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0832D4"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56</w:t>
                            </w:r>
                            <w:r w:rsidR="00322450" w:rsidRPr="004B7EB6">
                              <w:rPr>
                                <w:rFonts w:asciiTheme="majorHAnsi" w:hAnsiTheme="majorHAnsi" w:cs="Arial"/>
                                <w:b/>
                                <w:bCs/>
                                <w:color w:val="0D0D0D" w:themeColor="text1" w:themeTint="F2"/>
                                <w:sz w:val="36"/>
                                <w:szCs w:val="40"/>
                              </w:rPr>
                              <w:t>/14</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0832D4">
                              <w:rPr>
                                <w:rFonts w:asciiTheme="majorHAnsi" w:hAnsiTheme="majorHAnsi" w:cs="Arial"/>
                                <w:b/>
                                <w:color w:val="0D0D0D" w:themeColor="text1" w:themeTint="F2"/>
                                <w:sz w:val="36"/>
                                <w:szCs w:val="40"/>
                              </w:rPr>
                              <w:t>886-04</w:t>
                            </w:r>
                          </w:p>
                          <w:p w:rsidR="00322450" w:rsidRPr="004B7EB6" w:rsidRDefault="00450A4A" w:rsidP="000832D4">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4B7EB6" w:rsidRDefault="000832D4" w:rsidP="004B7EB6">
                            <w:pPr>
                              <w:spacing w:line="276" w:lineRule="auto"/>
                              <w:rPr>
                                <w:rFonts w:asciiTheme="majorHAnsi" w:hAnsiTheme="majorHAnsi" w:cs="Arial"/>
                                <w:color w:val="0D0D0D" w:themeColor="text1" w:themeTint="F2"/>
                                <w:szCs w:val="22"/>
                                <w:lang w:val="es-ES_tradnl"/>
                              </w:rPr>
                            </w:pPr>
                            <w:r w:rsidRPr="000832D4">
                              <w:rPr>
                                <w:rFonts w:asciiTheme="majorHAnsi" w:hAnsiTheme="majorHAnsi" w:cs="Arial"/>
                                <w:color w:val="0D0D0D" w:themeColor="text1" w:themeTint="F2"/>
                                <w:szCs w:val="22"/>
                                <w:lang w:val="es-ES_tradnl"/>
                              </w:rPr>
                              <w:t>RONAL JARED MARTÍNEZ AND FAMILY AND MARLÓN FABRICIO HERNÁNDEZ FÚNEZ</w:t>
                            </w:r>
                          </w:p>
                          <w:p w:rsidR="000832D4" w:rsidRPr="004B7EB6" w:rsidRDefault="000832D4"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HONDURAS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0832D4"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56</w:t>
                      </w:r>
                      <w:r w:rsidR="00322450" w:rsidRPr="004B7EB6">
                        <w:rPr>
                          <w:rFonts w:asciiTheme="majorHAnsi" w:hAnsiTheme="majorHAnsi" w:cs="Arial"/>
                          <w:b/>
                          <w:bCs/>
                          <w:color w:val="0D0D0D" w:themeColor="text1" w:themeTint="F2"/>
                          <w:sz w:val="36"/>
                          <w:szCs w:val="40"/>
                        </w:rPr>
                        <w:t>/14</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0832D4">
                        <w:rPr>
                          <w:rFonts w:asciiTheme="majorHAnsi" w:hAnsiTheme="majorHAnsi" w:cs="Arial"/>
                          <w:b/>
                          <w:color w:val="0D0D0D" w:themeColor="text1" w:themeTint="F2"/>
                          <w:sz w:val="36"/>
                          <w:szCs w:val="40"/>
                        </w:rPr>
                        <w:t>886-04</w:t>
                      </w:r>
                    </w:p>
                    <w:p w:rsidR="00322450" w:rsidRPr="004B7EB6" w:rsidRDefault="00450A4A" w:rsidP="000832D4">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4B7EB6" w:rsidRDefault="000832D4" w:rsidP="004B7EB6">
                      <w:pPr>
                        <w:spacing w:line="276" w:lineRule="auto"/>
                        <w:rPr>
                          <w:rFonts w:asciiTheme="majorHAnsi" w:hAnsiTheme="majorHAnsi" w:cs="Arial"/>
                          <w:color w:val="0D0D0D" w:themeColor="text1" w:themeTint="F2"/>
                          <w:szCs w:val="22"/>
                          <w:lang w:val="es-ES_tradnl"/>
                        </w:rPr>
                      </w:pPr>
                      <w:r w:rsidRPr="000832D4">
                        <w:rPr>
                          <w:rFonts w:asciiTheme="majorHAnsi" w:hAnsiTheme="majorHAnsi" w:cs="Arial"/>
                          <w:color w:val="0D0D0D" w:themeColor="text1" w:themeTint="F2"/>
                          <w:szCs w:val="22"/>
                          <w:lang w:val="es-ES_tradnl"/>
                        </w:rPr>
                        <w:t>RONAL JARED MARTÍNEZ AND FAMILY AND MARLÓN FABRICIO HERNÁNDEZ FÚNEZ</w:t>
                      </w:r>
                    </w:p>
                    <w:p w:rsidR="000832D4" w:rsidRPr="004B7EB6" w:rsidRDefault="000832D4"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HONDURAS</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0B3D4A" w:rsidRDefault="00CD7686" w:rsidP="002C1641">
                            <w:pPr>
                              <w:jc w:val="right"/>
                              <w:rPr>
                                <w:rFonts w:asciiTheme="minorHAnsi" w:hAnsiTheme="minorHAnsi"/>
                                <w:color w:val="FFFFFF" w:themeColor="background1"/>
                                <w:sz w:val="22"/>
                                <w:lang w:val="pt-BR"/>
                              </w:rPr>
                            </w:pPr>
                            <w:r w:rsidRPr="000B3D4A">
                              <w:rPr>
                                <w:rFonts w:asciiTheme="minorHAnsi" w:hAnsiTheme="minorHAnsi"/>
                                <w:color w:val="FFFFFF" w:themeColor="background1"/>
                                <w:sz w:val="22"/>
                                <w:lang w:val="pt-BR"/>
                              </w:rPr>
                              <w:t>OEA/Ser.L/V/II.151</w:t>
                            </w:r>
                          </w:p>
                          <w:p w:rsidR="00627C9F" w:rsidRPr="000B3D4A" w:rsidRDefault="000832D4" w:rsidP="002C1641">
                            <w:pPr>
                              <w:jc w:val="right"/>
                              <w:rPr>
                                <w:rFonts w:asciiTheme="minorHAnsi" w:hAnsiTheme="minorHAnsi"/>
                                <w:color w:val="FFFFFF" w:themeColor="background1"/>
                                <w:sz w:val="22"/>
                                <w:lang w:val="pt-BR"/>
                              </w:rPr>
                            </w:pPr>
                            <w:r w:rsidRPr="000B3D4A">
                              <w:rPr>
                                <w:rFonts w:asciiTheme="minorHAnsi" w:hAnsiTheme="minorHAnsi"/>
                                <w:color w:val="FFFFFF" w:themeColor="background1"/>
                                <w:sz w:val="22"/>
                                <w:lang w:val="pt-BR"/>
                              </w:rPr>
                              <w:t>Doc. 21</w:t>
                            </w:r>
                          </w:p>
                          <w:p w:rsidR="00627C9F" w:rsidRPr="004B7EB6" w:rsidRDefault="000832D4" w:rsidP="002C1641">
                            <w:pPr>
                              <w:jc w:val="right"/>
                              <w:rPr>
                                <w:rFonts w:asciiTheme="minorHAnsi" w:hAnsiTheme="minorHAnsi"/>
                                <w:color w:val="FFFFFF" w:themeColor="background1"/>
                                <w:sz w:val="22"/>
                              </w:rPr>
                            </w:pPr>
                            <w:r>
                              <w:rPr>
                                <w:rFonts w:asciiTheme="minorHAnsi" w:hAnsiTheme="minorHAnsi"/>
                                <w:color w:val="FFFFFF" w:themeColor="background1"/>
                                <w:sz w:val="22"/>
                              </w:rPr>
                              <w:t>21</w:t>
                            </w:r>
                            <w:r w:rsidR="00627C9F" w:rsidRPr="004B7EB6">
                              <w:rPr>
                                <w:rFonts w:asciiTheme="minorHAnsi" w:hAnsiTheme="minorHAnsi"/>
                                <w:color w:val="FFFFFF" w:themeColor="background1"/>
                                <w:sz w:val="22"/>
                              </w:rPr>
                              <w:t xml:space="preserve"> </w:t>
                            </w:r>
                            <w:r w:rsidR="00CD7686">
                              <w:rPr>
                                <w:rFonts w:asciiTheme="minorHAnsi" w:hAnsiTheme="minorHAnsi"/>
                                <w:color w:val="FFFFFF" w:themeColor="background1"/>
                                <w:sz w:val="22"/>
                              </w:rPr>
                              <w:t>July</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CD7686">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0832D4" w:rsidRDefault="00CD7686" w:rsidP="002C1641">
                      <w:pPr>
                        <w:jc w:val="right"/>
                        <w:rPr>
                          <w:rFonts w:asciiTheme="minorHAnsi" w:hAnsiTheme="minorHAnsi"/>
                          <w:color w:val="FFFFFF" w:themeColor="background1"/>
                          <w:sz w:val="22"/>
                        </w:rPr>
                      </w:pPr>
                      <w:r w:rsidRPr="000832D4">
                        <w:rPr>
                          <w:rFonts w:asciiTheme="minorHAnsi" w:hAnsiTheme="minorHAnsi"/>
                          <w:color w:val="FFFFFF" w:themeColor="background1"/>
                          <w:sz w:val="22"/>
                        </w:rPr>
                        <w:t>OEA/</w:t>
                      </w:r>
                      <w:proofErr w:type="spellStart"/>
                      <w:r w:rsidRPr="000832D4">
                        <w:rPr>
                          <w:rFonts w:asciiTheme="minorHAnsi" w:hAnsiTheme="minorHAnsi"/>
                          <w:color w:val="FFFFFF" w:themeColor="background1"/>
                          <w:sz w:val="22"/>
                        </w:rPr>
                        <w:t>Ser.L</w:t>
                      </w:r>
                      <w:proofErr w:type="spellEnd"/>
                      <w:r w:rsidRPr="000832D4">
                        <w:rPr>
                          <w:rFonts w:asciiTheme="minorHAnsi" w:hAnsiTheme="minorHAnsi"/>
                          <w:color w:val="FFFFFF" w:themeColor="background1"/>
                          <w:sz w:val="22"/>
                        </w:rPr>
                        <w:t>/V/II.151</w:t>
                      </w:r>
                    </w:p>
                    <w:p w:rsidR="00627C9F" w:rsidRPr="000832D4" w:rsidRDefault="000832D4" w:rsidP="002C1641">
                      <w:pPr>
                        <w:jc w:val="right"/>
                        <w:rPr>
                          <w:rFonts w:asciiTheme="minorHAnsi" w:hAnsiTheme="minorHAnsi"/>
                          <w:color w:val="FFFFFF" w:themeColor="background1"/>
                          <w:sz w:val="22"/>
                        </w:rPr>
                      </w:pPr>
                      <w:r w:rsidRPr="000832D4">
                        <w:rPr>
                          <w:rFonts w:asciiTheme="minorHAnsi" w:hAnsiTheme="minorHAnsi"/>
                          <w:color w:val="FFFFFF" w:themeColor="background1"/>
                          <w:sz w:val="22"/>
                        </w:rPr>
                        <w:t>Doc. 2</w:t>
                      </w:r>
                      <w:r>
                        <w:rPr>
                          <w:rFonts w:asciiTheme="minorHAnsi" w:hAnsiTheme="minorHAnsi"/>
                          <w:color w:val="FFFFFF" w:themeColor="background1"/>
                          <w:sz w:val="22"/>
                        </w:rPr>
                        <w:t>1</w:t>
                      </w:r>
                    </w:p>
                    <w:p w:rsidR="00627C9F" w:rsidRPr="004B7EB6" w:rsidRDefault="000832D4" w:rsidP="002C1641">
                      <w:pPr>
                        <w:jc w:val="right"/>
                        <w:rPr>
                          <w:rFonts w:asciiTheme="minorHAnsi" w:hAnsiTheme="minorHAnsi"/>
                          <w:color w:val="FFFFFF" w:themeColor="background1"/>
                          <w:sz w:val="22"/>
                        </w:rPr>
                      </w:pPr>
                      <w:r>
                        <w:rPr>
                          <w:rFonts w:asciiTheme="minorHAnsi" w:hAnsiTheme="minorHAnsi"/>
                          <w:color w:val="FFFFFF" w:themeColor="background1"/>
                          <w:sz w:val="22"/>
                        </w:rPr>
                        <w:t>21</w:t>
                      </w:r>
                      <w:r w:rsidR="00627C9F" w:rsidRPr="004B7EB6">
                        <w:rPr>
                          <w:rFonts w:asciiTheme="minorHAnsi" w:hAnsiTheme="minorHAnsi"/>
                          <w:color w:val="FFFFFF" w:themeColor="background1"/>
                          <w:sz w:val="22"/>
                        </w:rPr>
                        <w:t xml:space="preserve"> </w:t>
                      </w:r>
                      <w:r w:rsidR="00CD7686">
                        <w:rPr>
                          <w:rFonts w:asciiTheme="minorHAnsi" w:hAnsiTheme="minorHAnsi"/>
                          <w:color w:val="FFFFFF" w:themeColor="background1"/>
                          <w:sz w:val="22"/>
                        </w:rPr>
                        <w:t>July</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CD7686">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1241DF">
                              <w:rPr>
                                <w:rFonts w:asciiTheme="majorHAnsi" w:hAnsiTheme="majorHAnsi"/>
                                <w:color w:val="0D0D0D" w:themeColor="text1" w:themeTint="F2"/>
                                <w:sz w:val="18"/>
                                <w:szCs w:val="20"/>
                              </w:rPr>
                              <w:t xml:space="preserve"> 1991 </w:t>
                            </w:r>
                            <w:r w:rsidR="00613027" w:rsidRPr="003C32BC">
                              <w:rPr>
                                <w:rFonts w:asciiTheme="majorHAnsi" w:hAnsiTheme="majorHAnsi"/>
                                <w:color w:val="0D0D0D" w:themeColor="text1" w:themeTint="F2"/>
                                <w:sz w:val="18"/>
                                <w:szCs w:val="20"/>
                              </w:rPr>
                              <w:t>h</w:t>
                            </w:r>
                            <w:r w:rsidRPr="003C32BC">
                              <w:rPr>
                                <w:rFonts w:asciiTheme="majorHAnsi" w:hAnsiTheme="majorHAnsi"/>
                                <w:color w:val="0D0D0D" w:themeColor="text1" w:themeTint="F2"/>
                                <w:sz w:val="18"/>
                                <w:szCs w:val="20"/>
                              </w:rPr>
                              <w:t xml:space="preserve">eld on </w:t>
                            </w:r>
                            <w:r w:rsidR="00781808">
                              <w:rPr>
                                <w:rFonts w:asciiTheme="majorHAnsi" w:hAnsiTheme="majorHAnsi"/>
                                <w:color w:val="0D0D0D" w:themeColor="text1" w:themeTint="F2"/>
                                <w:sz w:val="18"/>
                                <w:szCs w:val="20"/>
                              </w:rPr>
                              <w:t>July</w:t>
                            </w:r>
                            <w:r w:rsidR="00781808" w:rsidRPr="003C32BC">
                              <w:rPr>
                                <w:rFonts w:asciiTheme="majorHAnsi" w:hAnsiTheme="majorHAnsi"/>
                                <w:color w:val="0D0D0D" w:themeColor="text1" w:themeTint="F2"/>
                                <w:sz w:val="18"/>
                                <w:szCs w:val="20"/>
                              </w:rPr>
                              <w:t xml:space="preserve"> </w:t>
                            </w:r>
                            <w:r w:rsidR="00B06314">
                              <w:rPr>
                                <w:rFonts w:asciiTheme="majorHAnsi" w:hAnsiTheme="majorHAnsi"/>
                                <w:color w:val="0D0D0D" w:themeColor="text1" w:themeTint="F2"/>
                                <w:sz w:val="18"/>
                                <w:szCs w:val="20"/>
                              </w:rPr>
                              <w:t>21</w:t>
                            </w:r>
                            <w:r w:rsidR="00B06314" w:rsidRPr="00B06314">
                              <w:rPr>
                                <w:rFonts w:asciiTheme="majorHAnsi" w:hAnsiTheme="majorHAnsi"/>
                                <w:color w:val="0D0D0D" w:themeColor="text1" w:themeTint="F2"/>
                                <w:sz w:val="18"/>
                                <w:szCs w:val="20"/>
                                <w:vertAlign w:val="superscript"/>
                              </w:rPr>
                              <w:t>st</w:t>
                            </w:r>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D279CE">
                              <w:rPr>
                                <w:rFonts w:asciiTheme="majorHAnsi" w:hAnsiTheme="majorHAnsi" w:cs="Univers"/>
                                <w:color w:val="0D0D0D" w:themeColor="text1" w:themeTint="F2"/>
                                <w:sz w:val="18"/>
                                <w:szCs w:val="20"/>
                              </w:rPr>
                              <w:t>151</w:t>
                            </w:r>
                            <w:r w:rsidR="00D279CE" w:rsidRPr="00D279CE">
                              <w:rPr>
                                <w:rFonts w:asciiTheme="majorHAnsi" w:hAnsiTheme="majorHAnsi" w:cs="Univers"/>
                                <w:color w:val="0D0D0D" w:themeColor="text1" w:themeTint="F2"/>
                                <w:sz w:val="18"/>
                                <w:szCs w:val="20"/>
                                <w:vertAlign w:val="superscript"/>
                              </w:rPr>
                              <w:t>st</w:t>
                            </w:r>
                            <w:r w:rsidR="00092F32" w:rsidRPr="003C32BC">
                              <w:rPr>
                                <w:rFonts w:asciiTheme="majorHAnsi" w:hAnsiTheme="majorHAnsi" w:cs="Univers"/>
                                <w:color w:val="0D0D0D" w:themeColor="text1" w:themeTint="F2"/>
                                <w:sz w:val="18"/>
                                <w:szCs w:val="20"/>
                              </w:rPr>
                              <w:t xml:space="preserve"> Regular Period of Sessions</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1241DF">
                        <w:rPr>
                          <w:rFonts w:asciiTheme="majorHAnsi" w:hAnsiTheme="majorHAnsi"/>
                          <w:color w:val="0D0D0D" w:themeColor="text1" w:themeTint="F2"/>
                          <w:sz w:val="18"/>
                          <w:szCs w:val="20"/>
                        </w:rPr>
                        <w:t xml:space="preserve"> </w:t>
                      </w:r>
                      <w:r w:rsidR="001241DF">
                        <w:rPr>
                          <w:rFonts w:asciiTheme="majorHAnsi" w:hAnsiTheme="majorHAnsi"/>
                          <w:color w:val="0D0D0D" w:themeColor="text1" w:themeTint="F2"/>
                          <w:sz w:val="18"/>
                          <w:szCs w:val="20"/>
                        </w:rPr>
                        <w:t xml:space="preserve">1991 </w:t>
                      </w:r>
                      <w:r w:rsidR="00613027" w:rsidRPr="003C32BC">
                        <w:rPr>
                          <w:rFonts w:asciiTheme="majorHAnsi" w:hAnsiTheme="majorHAnsi"/>
                          <w:color w:val="0D0D0D" w:themeColor="text1" w:themeTint="F2"/>
                          <w:sz w:val="18"/>
                          <w:szCs w:val="20"/>
                        </w:rPr>
                        <w:t>h</w:t>
                      </w:r>
                      <w:r w:rsidRPr="003C32BC">
                        <w:rPr>
                          <w:rFonts w:asciiTheme="majorHAnsi" w:hAnsiTheme="majorHAnsi"/>
                          <w:color w:val="0D0D0D" w:themeColor="text1" w:themeTint="F2"/>
                          <w:sz w:val="18"/>
                          <w:szCs w:val="20"/>
                        </w:rPr>
                        <w:t xml:space="preserve">eld on </w:t>
                      </w:r>
                      <w:r w:rsidR="00781808">
                        <w:rPr>
                          <w:rFonts w:asciiTheme="majorHAnsi" w:hAnsiTheme="majorHAnsi"/>
                          <w:color w:val="0D0D0D" w:themeColor="text1" w:themeTint="F2"/>
                          <w:sz w:val="18"/>
                          <w:szCs w:val="20"/>
                        </w:rPr>
                        <w:t>July</w:t>
                      </w:r>
                      <w:r w:rsidR="00781808" w:rsidRPr="003C32BC">
                        <w:rPr>
                          <w:rFonts w:asciiTheme="majorHAnsi" w:hAnsiTheme="majorHAnsi"/>
                          <w:color w:val="0D0D0D" w:themeColor="text1" w:themeTint="F2"/>
                          <w:sz w:val="18"/>
                          <w:szCs w:val="20"/>
                        </w:rPr>
                        <w:t xml:space="preserve"> </w:t>
                      </w:r>
                      <w:r w:rsidR="00B06314">
                        <w:rPr>
                          <w:rFonts w:asciiTheme="majorHAnsi" w:hAnsiTheme="majorHAnsi"/>
                          <w:color w:val="0D0D0D" w:themeColor="text1" w:themeTint="F2"/>
                          <w:sz w:val="18"/>
                          <w:szCs w:val="20"/>
                        </w:rPr>
                        <w:t>21</w:t>
                      </w:r>
                      <w:r w:rsidR="00B06314" w:rsidRPr="00B06314">
                        <w:rPr>
                          <w:rFonts w:asciiTheme="majorHAnsi" w:hAnsiTheme="majorHAnsi"/>
                          <w:color w:val="0D0D0D" w:themeColor="text1" w:themeTint="F2"/>
                          <w:sz w:val="18"/>
                          <w:szCs w:val="20"/>
                          <w:vertAlign w:val="superscript"/>
                        </w:rPr>
                        <w:t>st</w:t>
                      </w:r>
                      <w:bookmarkStart w:id="1" w:name="_GoBack"/>
                      <w:bookmarkEnd w:id="1"/>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D279CE">
                        <w:rPr>
                          <w:rFonts w:asciiTheme="majorHAnsi" w:hAnsiTheme="majorHAnsi" w:cs="Univers"/>
                          <w:color w:val="0D0D0D" w:themeColor="text1" w:themeTint="F2"/>
                          <w:sz w:val="18"/>
                          <w:szCs w:val="20"/>
                        </w:rPr>
                        <w:t>151</w:t>
                      </w:r>
                      <w:r w:rsidR="00D279CE" w:rsidRPr="00D279CE">
                        <w:rPr>
                          <w:rFonts w:asciiTheme="majorHAnsi" w:hAnsiTheme="majorHAnsi" w:cs="Univers"/>
                          <w:color w:val="0D0D0D" w:themeColor="text1" w:themeTint="F2"/>
                          <w:sz w:val="18"/>
                          <w:szCs w:val="20"/>
                          <w:vertAlign w:val="superscript"/>
                        </w:rPr>
                        <w:t>st</w:t>
                      </w:r>
                      <w:r w:rsidR="00092F32" w:rsidRPr="003C32BC">
                        <w:rPr>
                          <w:rFonts w:asciiTheme="majorHAnsi" w:hAnsiTheme="majorHAnsi" w:cs="Univers"/>
                          <w:color w:val="0D0D0D" w:themeColor="text1" w:themeTint="F2"/>
                          <w:sz w:val="18"/>
                          <w:szCs w:val="20"/>
                        </w:rPr>
                        <w:t xml:space="preserve"> Regular Period of Sessions</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1241DF">
                              <w:rPr>
                                <w:rFonts w:asciiTheme="majorHAnsi" w:hAnsiTheme="majorHAnsi"/>
                                <w:color w:val="595959" w:themeColor="text1" w:themeTint="A6"/>
                                <w:sz w:val="18"/>
                              </w:rPr>
                              <w:t xml:space="preserve">IACHR, Report No. 56/14, Petition 886-04. </w:t>
                            </w:r>
                            <w:proofErr w:type="gramStart"/>
                            <w:r w:rsidRPr="003C32BC">
                              <w:rPr>
                                <w:rFonts w:asciiTheme="majorHAnsi" w:hAnsiTheme="majorHAnsi"/>
                                <w:color w:val="595959" w:themeColor="text1" w:themeTint="A6"/>
                                <w:sz w:val="18"/>
                              </w:rPr>
                              <w:t>Admis</w:t>
                            </w:r>
                            <w:r w:rsidR="00D279CE">
                              <w:rPr>
                                <w:rFonts w:asciiTheme="majorHAnsi" w:hAnsiTheme="majorHAnsi"/>
                                <w:color w:val="595959" w:themeColor="text1" w:themeTint="A6"/>
                                <w:sz w:val="18"/>
                              </w:rPr>
                              <w:t>s</w:t>
                            </w:r>
                            <w:r w:rsidR="001241DF">
                              <w:rPr>
                                <w:rFonts w:asciiTheme="majorHAnsi" w:hAnsiTheme="majorHAnsi"/>
                                <w:color w:val="595959" w:themeColor="text1" w:themeTint="A6"/>
                                <w:sz w:val="18"/>
                              </w:rPr>
                              <w:t>ibility.</w:t>
                            </w:r>
                            <w:proofErr w:type="gramEnd"/>
                            <w:r w:rsidR="001241DF">
                              <w:rPr>
                                <w:rFonts w:asciiTheme="majorHAnsi" w:hAnsiTheme="majorHAnsi"/>
                                <w:color w:val="595959" w:themeColor="text1" w:themeTint="A6"/>
                                <w:sz w:val="18"/>
                              </w:rPr>
                              <w:t xml:space="preserve"> </w:t>
                            </w:r>
                            <w:proofErr w:type="gramStart"/>
                            <w:r w:rsidR="001241DF">
                              <w:rPr>
                                <w:rFonts w:asciiTheme="majorHAnsi" w:hAnsiTheme="majorHAnsi"/>
                                <w:color w:val="595959" w:themeColor="text1" w:themeTint="A6"/>
                                <w:sz w:val="18"/>
                              </w:rPr>
                              <w:t xml:space="preserve">Ronal Jared </w:t>
                            </w:r>
                            <w:proofErr w:type="spellStart"/>
                            <w:r w:rsidR="001241DF">
                              <w:rPr>
                                <w:rFonts w:asciiTheme="majorHAnsi" w:hAnsiTheme="majorHAnsi"/>
                                <w:color w:val="595959" w:themeColor="text1" w:themeTint="A6"/>
                                <w:sz w:val="18"/>
                              </w:rPr>
                              <w:t>Mart</w:t>
                            </w:r>
                            <w:r w:rsidR="001241DF" w:rsidRPr="001241DF">
                              <w:rPr>
                                <w:rFonts w:asciiTheme="majorHAnsi" w:hAnsiTheme="majorHAnsi"/>
                                <w:color w:val="595959" w:themeColor="text1" w:themeTint="A6"/>
                                <w:sz w:val="18"/>
                              </w:rPr>
                              <w:t>ínez</w:t>
                            </w:r>
                            <w:proofErr w:type="spellEnd"/>
                            <w:r w:rsidR="001241DF" w:rsidRPr="001241DF">
                              <w:rPr>
                                <w:rFonts w:asciiTheme="majorHAnsi" w:hAnsiTheme="majorHAnsi"/>
                                <w:color w:val="595959" w:themeColor="text1" w:themeTint="A6"/>
                                <w:sz w:val="18"/>
                              </w:rPr>
                              <w:t xml:space="preserve"> and </w:t>
                            </w:r>
                            <w:proofErr w:type="spellStart"/>
                            <w:r w:rsidR="001241DF" w:rsidRPr="001241DF">
                              <w:rPr>
                                <w:rFonts w:asciiTheme="majorHAnsi" w:hAnsiTheme="majorHAnsi"/>
                                <w:color w:val="595959" w:themeColor="text1" w:themeTint="A6"/>
                                <w:sz w:val="18"/>
                              </w:rPr>
                              <w:t>Marlón</w:t>
                            </w:r>
                            <w:proofErr w:type="spellEnd"/>
                            <w:r w:rsidR="001241DF" w:rsidRPr="001241DF">
                              <w:rPr>
                                <w:rFonts w:asciiTheme="majorHAnsi" w:hAnsiTheme="majorHAnsi"/>
                                <w:color w:val="595959" w:themeColor="text1" w:themeTint="A6"/>
                                <w:sz w:val="18"/>
                              </w:rPr>
                              <w:t xml:space="preserve"> </w:t>
                            </w:r>
                            <w:proofErr w:type="spellStart"/>
                            <w:r w:rsidR="001241DF" w:rsidRPr="001241DF">
                              <w:rPr>
                                <w:rFonts w:asciiTheme="majorHAnsi" w:hAnsiTheme="majorHAnsi"/>
                                <w:color w:val="595959" w:themeColor="text1" w:themeTint="A6"/>
                                <w:sz w:val="18"/>
                              </w:rPr>
                              <w:t>Fabricio</w:t>
                            </w:r>
                            <w:proofErr w:type="spellEnd"/>
                            <w:r w:rsidR="001241DF" w:rsidRPr="001241DF">
                              <w:rPr>
                                <w:rFonts w:asciiTheme="majorHAnsi" w:hAnsiTheme="majorHAnsi"/>
                                <w:color w:val="595959" w:themeColor="text1" w:themeTint="A6"/>
                                <w:sz w:val="18"/>
                              </w:rPr>
                              <w:t xml:space="preserve"> Hernández </w:t>
                            </w:r>
                            <w:proofErr w:type="spellStart"/>
                            <w:r w:rsidR="001241DF" w:rsidRPr="001241DF">
                              <w:rPr>
                                <w:rFonts w:asciiTheme="majorHAnsi" w:hAnsiTheme="majorHAnsi"/>
                                <w:color w:val="595959" w:themeColor="text1" w:themeTint="A6"/>
                                <w:sz w:val="18"/>
                              </w:rPr>
                              <w:t>Fúnez</w:t>
                            </w:r>
                            <w:proofErr w:type="spellEnd"/>
                            <w:r w:rsidR="001241DF">
                              <w:rPr>
                                <w:rFonts w:asciiTheme="majorHAnsi" w:hAnsiTheme="majorHAnsi"/>
                                <w:color w:val="595959" w:themeColor="text1" w:themeTint="A6"/>
                                <w:sz w:val="18"/>
                              </w:rPr>
                              <w:t>.</w:t>
                            </w:r>
                            <w:proofErr w:type="gramEnd"/>
                            <w:r w:rsidR="001241DF">
                              <w:rPr>
                                <w:rFonts w:asciiTheme="majorHAnsi" w:hAnsiTheme="majorHAnsi"/>
                                <w:color w:val="595959" w:themeColor="text1" w:themeTint="A6"/>
                                <w:sz w:val="18"/>
                              </w:rPr>
                              <w:t xml:space="preserve"> Honduras. July 21</w:t>
                            </w:r>
                            <w:r w:rsidR="001241DF" w:rsidRPr="001241DF">
                              <w:rPr>
                                <w:rFonts w:asciiTheme="majorHAnsi" w:hAnsiTheme="majorHAnsi"/>
                                <w:color w:val="595959" w:themeColor="text1" w:themeTint="A6"/>
                                <w:sz w:val="18"/>
                                <w:vertAlign w:val="superscript"/>
                              </w:rPr>
                              <w:t>st</w:t>
                            </w:r>
                            <w:r w:rsidR="001241DF">
                              <w:rPr>
                                <w:rFonts w:asciiTheme="majorHAnsi" w:hAnsiTheme="majorHAnsi"/>
                                <w:color w:val="595959" w:themeColor="text1" w:themeTint="A6"/>
                                <w:sz w:val="18"/>
                              </w:rPr>
                              <w:t>, 2014</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1241DF">
                        <w:rPr>
                          <w:rFonts w:asciiTheme="majorHAnsi" w:hAnsiTheme="majorHAnsi"/>
                          <w:color w:val="595959" w:themeColor="text1" w:themeTint="A6"/>
                          <w:sz w:val="18"/>
                        </w:rPr>
                        <w:t xml:space="preserve">IACHR, Report No. 56/14, Petition 886-04. </w:t>
                      </w:r>
                      <w:proofErr w:type="gramStart"/>
                      <w:r w:rsidRPr="003C32BC">
                        <w:rPr>
                          <w:rFonts w:asciiTheme="majorHAnsi" w:hAnsiTheme="majorHAnsi"/>
                          <w:color w:val="595959" w:themeColor="text1" w:themeTint="A6"/>
                          <w:sz w:val="18"/>
                        </w:rPr>
                        <w:t>Admis</w:t>
                      </w:r>
                      <w:r w:rsidR="00D279CE">
                        <w:rPr>
                          <w:rFonts w:asciiTheme="majorHAnsi" w:hAnsiTheme="majorHAnsi"/>
                          <w:color w:val="595959" w:themeColor="text1" w:themeTint="A6"/>
                          <w:sz w:val="18"/>
                        </w:rPr>
                        <w:t>s</w:t>
                      </w:r>
                      <w:r w:rsidR="001241DF">
                        <w:rPr>
                          <w:rFonts w:asciiTheme="majorHAnsi" w:hAnsiTheme="majorHAnsi"/>
                          <w:color w:val="595959" w:themeColor="text1" w:themeTint="A6"/>
                          <w:sz w:val="18"/>
                        </w:rPr>
                        <w:t>ibility.</w:t>
                      </w:r>
                      <w:proofErr w:type="gramEnd"/>
                      <w:r w:rsidR="001241DF">
                        <w:rPr>
                          <w:rFonts w:asciiTheme="majorHAnsi" w:hAnsiTheme="majorHAnsi"/>
                          <w:color w:val="595959" w:themeColor="text1" w:themeTint="A6"/>
                          <w:sz w:val="18"/>
                        </w:rPr>
                        <w:t xml:space="preserve"> </w:t>
                      </w:r>
                      <w:proofErr w:type="gramStart"/>
                      <w:r w:rsidR="001241DF">
                        <w:rPr>
                          <w:rFonts w:asciiTheme="majorHAnsi" w:hAnsiTheme="majorHAnsi"/>
                          <w:color w:val="595959" w:themeColor="text1" w:themeTint="A6"/>
                          <w:sz w:val="18"/>
                        </w:rPr>
                        <w:t xml:space="preserve">Ronal Jared </w:t>
                      </w:r>
                      <w:proofErr w:type="spellStart"/>
                      <w:r w:rsidR="001241DF">
                        <w:rPr>
                          <w:rFonts w:asciiTheme="majorHAnsi" w:hAnsiTheme="majorHAnsi"/>
                          <w:color w:val="595959" w:themeColor="text1" w:themeTint="A6"/>
                          <w:sz w:val="18"/>
                        </w:rPr>
                        <w:t>Mart</w:t>
                      </w:r>
                      <w:r w:rsidR="001241DF" w:rsidRPr="001241DF">
                        <w:rPr>
                          <w:rFonts w:asciiTheme="majorHAnsi" w:hAnsiTheme="majorHAnsi"/>
                          <w:color w:val="595959" w:themeColor="text1" w:themeTint="A6"/>
                          <w:sz w:val="18"/>
                        </w:rPr>
                        <w:t>ínez</w:t>
                      </w:r>
                      <w:proofErr w:type="spellEnd"/>
                      <w:r w:rsidR="001241DF" w:rsidRPr="001241DF">
                        <w:rPr>
                          <w:rFonts w:asciiTheme="majorHAnsi" w:hAnsiTheme="majorHAnsi"/>
                          <w:color w:val="595959" w:themeColor="text1" w:themeTint="A6"/>
                          <w:sz w:val="18"/>
                        </w:rPr>
                        <w:t xml:space="preserve"> and </w:t>
                      </w:r>
                      <w:proofErr w:type="spellStart"/>
                      <w:r w:rsidR="001241DF" w:rsidRPr="001241DF">
                        <w:rPr>
                          <w:rFonts w:asciiTheme="majorHAnsi" w:hAnsiTheme="majorHAnsi"/>
                          <w:color w:val="595959" w:themeColor="text1" w:themeTint="A6"/>
                          <w:sz w:val="18"/>
                        </w:rPr>
                        <w:t>Marlón</w:t>
                      </w:r>
                      <w:proofErr w:type="spellEnd"/>
                      <w:r w:rsidR="001241DF" w:rsidRPr="001241DF">
                        <w:rPr>
                          <w:rFonts w:asciiTheme="majorHAnsi" w:hAnsiTheme="majorHAnsi"/>
                          <w:color w:val="595959" w:themeColor="text1" w:themeTint="A6"/>
                          <w:sz w:val="18"/>
                        </w:rPr>
                        <w:t xml:space="preserve"> </w:t>
                      </w:r>
                      <w:proofErr w:type="spellStart"/>
                      <w:r w:rsidR="001241DF" w:rsidRPr="001241DF">
                        <w:rPr>
                          <w:rFonts w:asciiTheme="majorHAnsi" w:hAnsiTheme="majorHAnsi"/>
                          <w:color w:val="595959" w:themeColor="text1" w:themeTint="A6"/>
                          <w:sz w:val="18"/>
                        </w:rPr>
                        <w:t>Fabricio</w:t>
                      </w:r>
                      <w:proofErr w:type="spellEnd"/>
                      <w:r w:rsidR="001241DF" w:rsidRPr="001241DF">
                        <w:rPr>
                          <w:rFonts w:asciiTheme="majorHAnsi" w:hAnsiTheme="majorHAnsi"/>
                          <w:color w:val="595959" w:themeColor="text1" w:themeTint="A6"/>
                          <w:sz w:val="18"/>
                        </w:rPr>
                        <w:t xml:space="preserve"> Hernández </w:t>
                      </w:r>
                      <w:proofErr w:type="spellStart"/>
                      <w:r w:rsidR="001241DF" w:rsidRPr="001241DF">
                        <w:rPr>
                          <w:rFonts w:asciiTheme="majorHAnsi" w:hAnsiTheme="majorHAnsi"/>
                          <w:color w:val="595959" w:themeColor="text1" w:themeTint="A6"/>
                          <w:sz w:val="18"/>
                        </w:rPr>
                        <w:t>Fúnez</w:t>
                      </w:r>
                      <w:proofErr w:type="spellEnd"/>
                      <w:r w:rsidR="001241DF">
                        <w:rPr>
                          <w:rFonts w:asciiTheme="majorHAnsi" w:hAnsiTheme="majorHAnsi"/>
                          <w:color w:val="595959" w:themeColor="text1" w:themeTint="A6"/>
                          <w:sz w:val="18"/>
                        </w:rPr>
                        <w:t>.</w:t>
                      </w:r>
                      <w:proofErr w:type="gramEnd"/>
                      <w:r w:rsidR="001241DF">
                        <w:rPr>
                          <w:rFonts w:asciiTheme="majorHAnsi" w:hAnsiTheme="majorHAnsi"/>
                          <w:color w:val="595959" w:themeColor="text1" w:themeTint="A6"/>
                          <w:sz w:val="18"/>
                        </w:rPr>
                        <w:t xml:space="preserve"> Honduras. July 21</w:t>
                      </w:r>
                      <w:r w:rsidR="001241DF" w:rsidRPr="001241DF">
                        <w:rPr>
                          <w:rFonts w:asciiTheme="majorHAnsi" w:hAnsiTheme="majorHAnsi"/>
                          <w:color w:val="595959" w:themeColor="text1" w:themeTint="A6"/>
                          <w:sz w:val="18"/>
                          <w:vertAlign w:val="superscript"/>
                        </w:rPr>
                        <w:t>st</w:t>
                      </w:r>
                      <w:r w:rsidR="001241DF">
                        <w:rPr>
                          <w:rFonts w:asciiTheme="majorHAnsi" w:hAnsiTheme="majorHAnsi"/>
                          <w:color w:val="595959" w:themeColor="text1" w:themeTint="A6"/>
                          <w:sz w:val="18"/>
                        </w:rPr>
                        <w:t>, 2014</w:t>
                      </w:r>
                      <w:r w:rsidRPr="007607C4">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7607C4" w:rsidRDefault="006311DA" w:rsidP="003C32BC">
      <w:pPr>
        <w:tabs>
          <w:tab w:val="center" w:pos="5400"/>
        </w:tabs>
        <w:suppressAutoHyphens/>
        <w:jc w:val="center"/>
        <w:rPr>
          <w:rFonts w:asciiTheme="majorHAnsi" w:hAnsiTheme="majorHAnsi"/>
          <w:sz w:val="18"/>
          <w:szCs w:val="22"/>
        </w:rPr>
        <w:sectPr w:rsidR="007607C4" w:rsidSect="00853419">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E519C11" wp14:editId="2BDD0641">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5945A96E" wp14:editId="6081B52E">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73F4CA7F" wp14:editId="110956B6">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73F4CA7F" wp14:editId="110956B6">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81808" w:rsidRPr="00781808" w:rsidRDefault="00781808" w:rsidP="00781808">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center"/>
        <w:outlineLvl w:val="1"/>
        <w:rPr>
          <w:rFonts w:asciiTheme="majorHAnsi" w:eastAsia="Times New Roman" w:hAnsiTheme="majorHAnsi"/>
          <w:b/>
          <w:iCs/>
          <w:sz w:val="18"/>
          <w:szCs w:val="18"/>
          <w:bdr w:val="none" w:sz="0" w:space="0" w:color="auto"/>
        </w:rPr>
      </w:pPr>
      <w:r w:rsidRPr="00781808">
        <w:rPr>
          <w:rFonts w:asciiTheme="majorHAnsi" w:eastAsia="Times New Roman" w:hAnsiTheme="majorHAnsi"/>
          <w:b/>
          <w:iCs/>
          <w:sz w:val="18"/>
          <w:szCs w:val="18"/>
          <w:bdr w:val="none" w:sz="0" w:space="0" w:color="auto"/>
        </w:rPr>
        <w:lastRenderedPageBreak/>
        <w:t>REPORT No</w:t>
      </w:r>
      <w:r w:rsidR="00E22E73">
        <w:rPr>
          <w:rFonts w:asciiTheme="majorHAnsi" w:eastAsia="Times New Roman" w:hAnsiTheme="majorHAnsi"/>
          <w:b/>
          <w:iCs/>
          <w:sz w:val="18"/>
          <w:szCs w:val="18"/>
          <w:bdr w:val="none" w:sz="0" w:space="0" w:color="auto"/>
        </w:rPr>
        <w:t>. 56</w:t>
      </w:r>
      <w:r w:rsidRPr="00781808">
        <w:rPr>
          <w:rFonts w:asciiTheme="majorHAnsi" w:eastAsia="Times New Roman" w:hAnsiTheme="majorHAnsi"/>
          <w:b/>
          <w:iCs/>
          <w:sz w:val="18"/>
          <w:szCs w:val="18"/>
          <w:bdr w:val="none" w:sz="0" w:space="0" w:color="auto"/>
        </w:rPr>
        <w:t>/14</w:t>
      </w:r>
    </w:p>
    <w:p w:rsidR="00781808" w:rsidRPr="00781808" w:rsidRDefault="00781808" w:rsidP="00781808">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center"/>
        <w:outlineLvl w:val="1"/>
        <w:rPr>
          <w:rFonts w:asciiTheme="majorHAnsi" w:eastAsia="Times New Roman" w:hAnsiTheme="majorHAnsi"/>
          <w:b/>
          <w:iCs/>
          <w:sz w:val="18"/>
          <w:szCs w:val="18"/>
          <w:bdr w:val="none" w:sz="0" w:space="0" w:color="auto"/>
        </w:rPr>
      </w:pPr>
      <w:r w:rsidRPr="00781808">
        <w:rPr>
          <w:rFonts w:asciiTheme="majorHAnsi" w:eastAsia="Times New Roman" w:hAnsiTheme="majorHAnsi"/>
          <w:b/>
          <w:iCs/>
          <w:sz w:val="18"/>
          <w:szCs w:val="18"/>
          <w:bdr w:val="none" w:sz="0" w:space="0" w:color="auto"/>
        </w:rPr>
        <w:t>PETITION 886-04</w:t>
      </w:r>
    </w:p>
    <w:p w:rsidR="00781808" w:rsidRPr="00781808" w:rsidRDefault="00781808" w:rsidP="00781808">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center"/>
        <w:outlineLvl w:val="1"/>
        <w:rPr>
          <w:rFonts w:asciiTheme="majorHAnsi" w:eastAsia="Times New Roman" w:hAnsiTheme="majorHAnsi"/>
          <w:iCs/>
          <w:sz w:val="18"/>
          <w:szCs w:val="18"/>
          <w:bdr w:val="none" w:sz="0" w:space="0" w:color="auto"/>
        </w:rPr>
      </w:pPr>
      <w:r w:rsidRPr="00781808">
        <w:rPr>
          <w:rFonts w:asciiTheme="majorHAnsi" w:eastAsia="Times New Roman" w:hAnsiTheme="majorHAnsi"/>
          <w:iCs/>
          <w:sz w:val="18"/>
          <w:szCs w:val="18"/>
          <w:bdr w:val="none" w:sz="0" w:space="0" w:color="auto"/>
        </w:rPr>
        <w:t>ADMISSIBILITY</w:t>
      </w:r>
    </w:p>
    <w:p w:rsidR="00781808" w:rsidRPr="00781808" w:rsidRDefault="00781808" w:rsidP="00781808">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center"/>
        <w:outlineLvl w:val="1"/>
        <w:rPr>
          <w:rFonts w:asciiTheme="majorHAnsi" w:eastAsia="Times New Roman" w:hAnsiTheme="majorHAnsi"/>
          <w:iCs/>
          <w:sz w:val="18"/>
          <w:szCs w:val="18"/>
          <w:bdr w:val="none" w:sz="0" w:space="0" w:color="auto"/>
        </w:rPr>
      </w:pPr>
      <w:r w:rsidRPr="00781808">
        <w:rPr>
          <w:rFonts w:asciiTheme="majorHAnsi" w:eastAsia="Times New Roman" w:hAnsiTheme="majorHAnsi"/>
          <w:iCs/>
          <w:sz w:val="18"/>
          <w:szCs w:val="18"/>
          <w:bdr w:val="none" w:sz="0" w:space="0" w:color="auto"/>
        </w:rPr>
        <w:t xml:space="preserve">RONAL JARED MARTÍNEZ AND FAMILY AND MARLÓN FABRICIO HERNÁNDEZ FÚNEZ </w:t>
      </w:r>
    </w:p>
    <w:p w:rsidR="00781808" w:rsidRPr="00781808" w:rsidRDefault="00781808" w:rsidP="00781808">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center"/>
        <w:outlineLvl w:val="1"/>
        <w:rPr>
          <w:rFonts w:ascii="Cambria" w:eastAsia="Times New Roman" w:hAnsi="Cambria"/>
          <w:iCs/>
          <w:sz w:val="18"/>
          <w:szCs w:val="18"/>
          <w:bdr w:val="none" w:sz="0" w:space="0" w:color="auto"/>
        </w:rPr>
      </w:pPr>
      <w:r w:rsidRPr="00781808">
        <w:rPr>
          <w:rFonts w:ascii="Cambria" w:eastAsia="Times New Roman" w:hAnsi="Cambria"/>
          <w:iCs/>
          <w:sz w:val="18"/>
          <w:szCs w:val="18"/>
          <w:bdr w:val="none" w:sz="0" w:space="0" w:color="auto"/>
        </w:rPr>
        <w:t>HONDURAS</w:t>
      </w:r>
    </w:p>
    <w:p w:rsidR="00781808" w:rsidRPr="00781808" w:rsidRDefault="00781808" w:rsidP="00C31108">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center"/>
        <w:outlineLvl w:val="1"/>
        <w:rPr>
          <w:rFonts w:ascii="Cambria" w:eastAsia="Times New Roman" w:hAnsi="Cambria"/>
          <w:iCs/>
          <w:sz w:val="18"/>
          <w:szCs w:val="18"/>
          <w:bdr w:val="none" w:sz="0" w:space="0" w:color="auto"/>
        </w:rPr>
      </w:pPr>
      <w:r w:rsidRPr="00781808">
        <w:rPr>
          <w:rFonts w:ascii="Cambria" w:eastAsia="Times New Roman" w:hAnsi="Cambria"/>
          <w:iCs/>
          <w:sz w:val="18"/>
          <w:szCs w:val="18"/>
          <w:bdr w:val="none" w:sz="0" w:space="0" w:color="auto"/>
        </w:rPr>
        <w:t xml:space="preserve">JULY </w:t>
      </w:r>
      <w:r w:rsidR="00E22E73" w:rsidRPr="00E22E73">
        <w:rPr>
          <w:rFonts w:ascii="Cambria" w:eastAsia="Times New Roman" w:hAnsi="Cambria"/>
          <w:iCs/>
          <w:sz w:val="18"/>
          <w:szCs w:val="18"/>
          <w:bdr w:val="none" w:sz="0" w:space="0" w:color="auto"/>
        </w:rPr>
        <w:t>21</w:t>
      </w:r>
      <w:r w:rsidRPr="00781808">
        <w:rPr>
          <w:rFonts w:ascii="Cambria" w:eastAsia="Times New Roman" w:hAnsi="Cambria"/>
          <w:iCs/>
          <w:sz w:val="18"/>
          <w:szCs w:val="18"/>
          <w:bdr w:val="none" w:sz="0" w:space="0" w:color="auto"/>
        </w:rPr>
        <w:t>, 2014</w:t>
      </w:r>
    </w:p>
    <w:p w:rsidR="00781808" w:rsidRDefault="00781808" w:rsidP="00781808">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heme="minorEastAsia" w:hAnsi="Cambria" w:cstheme="minorBidi"/>
          <w:sz w:val="20"/>
          <w:szCs w:val="20"/>
          <w:bdr w:val="none" w:sz="0" w:space="0" w:color="auto"/>
        </w:rPr>
      </w:pPr>
    </w:p>
    <w:p w:rsidR="00E500AF" w:rsidRPr="00E500AF" w:rsidRDefault="00E500AF" w:rsidP="00E500A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heme="minorEastAsia" w:hAnsiTheme="majorHAnsi" w:cstheme="minorBidi"/>
          <w:sz w:val="20"/>
          <w:szCs w:val="20"/>
          <w:bdr w:val="none" w:sz="0" w:space="0" w:color="auto"/>
        </w:rPr>
      </w:pPr>
    </w:p>
    <w:p w:rsidR="00781808" w:rsidRDefault="00781808" w:rsidP="00E500AF">
      <w:pPr>
        <w:keepNex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heme="majorHAnsi" w:eastAsia="Times New Roman" w:hAnsiTheme="majorHAnsi" w:cs="Arial"/>
          <w:b/>
          <w:bCs/>
          <w:kern w:val="32"/>
          <w:sz w:val="20"/>
          <w:szCs w:val="20"/>
          <w:bdr w:val="none" w:sz="0" w:space="0" w:color="auto"/>
        </w:rPr>
      </w:pPr>
      <w:r w:rsidRPr="00E500AF">
        <w:rPr>
          <w:rFonts w:asciiTheme="majorHAnsi" w:eastAsia="Times New Roman" w:hAnsiTheme="majorHAnsi" w:cs="Arial"/>
          <w:b/>
          <w:bCs/>
          <w:kern w:val="32"/>
          <w:sz w:val="20"/>
          <w:szCs w:val="20"/>
          <w:bdr w:val="none" w:sz="0" w:space="0" w:color="auto"/>
        </w:rPr>
        <w:t>SUMMARY</w:t>
      </w:r>
    </w:p>
    <w:p w:rsidR="00E500AF" w:rsidRPr="00E500AF" w:rsidRDefault="00E500AF" w:rsidP="00E500AF">
      <w:pPr>
        <w:keepNext/>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heme="majorHAnsi" w:eastAsia="Times New Roman" w:hAnsiTheme="majorHAnsi" w:cs="Arial"/>
          <w:b/>
          <w:bCs/>
          <w:kern w:val="32"/>
          <w:sz w:val="20"/>
          <w:szCs w:val="20"/>
          <w:bdr w:val="none" w:sz="0" w:space="0" w:color="auto"/>
        </w:rPr>
      </w:pPr>
    </w:p>
    <w:p w:rsidR="00781808" w:rsidRDefault="00781808" w:rsidP="00E500A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heme="minorEastAsia" w:hAnsiTheme="majorHAnsi" w:cstheme="minorBidi"/>
          <w:sz w:val="20"/>
          <w:szCs w:val="20"/>
          <w:bdr w:val="none" w:sz="0" w:space="0" w:color="auto"/>
        </w:rPr>
      </w:pPr>
      <w:r w:rsidRPr="00E500AF">
        <w:rPr>
          <w:rFonts w:asciiTheme="majorHAnsi" w:eastAsiaTheme="minorEastAsia" w:hAnsiTheme="majorHAnsi" w:cstheme="minorBidi"/>
          <w:sz w:val="20"/>
          <w:szCs w:val="20"/>
          <w:bdr w:val="none" w:sz="0" w:space="0" w:color="auto"/>
        </w:rPr>
        <w:t xml:space="preserve">The Inter-American Commission on Human Rights (hereinafter “the Commission” or “the IACHR”) received a petition filed by Jorge Roberto Martínez (hereinafter “the petitioner”) on September </w:t>
      </w:r>
      <w:r w:rsidRPr="00E500AF">
        <w:rPr>
          <w:rFonts w:asciiTheme="majorHAnsi" w:eastAsia="Times New Roman" w:hAnsiTheme="majorHAnsi"/>
          <w:sz w:val="20"/>
          <w:szCs w:val="20"/>
          <w:bdr w:val="none" w:sz="0" w:space="0" w:color="auto"/>
        </w:rPr>
        <w:t xml:space="preserve">15, 2004, alleging the international responsibility of the State of Honduras (hereinafter </w:t>
      </w:r>
      <w:r w:rsidRPr="00E500AF">
        <w:rPr>
          <w:rFonts w:asciiTheme="majorHAnsi" w:eastAsiaTheme="minorEastAsia" w:hAnsiTheme="majorHAnsi" w:cs="Arial"/>
          <w:sz w:val="20"/>
          <w:szCs w:val="20"/>
          <w:bdr w:val="none" w:sz="0" w:space="0" w:color="auto"/>
        </w:rPr>
        <w:t>"Honduras,"</w:t>
      </w:r>
      <w:r w:rsidRPr="00E500AF">
        <w:rPr>
          <w:rFonts w:asciiTheme="majorHAnsi" w:eastAsiaTheme="minorEastAsia" w:hAnsiTheme="majorHAnsi" w:cstheme="minorBidi"/>
          <w:sz w:val="20"/>
          <w:szCs w:val="20"/>
          <w:bdr w:val="none" w:sz="0" w:space="0" w:color="auto"/>
        </w:rPr>
        <w:t xml:space="preserve"> </w:t>
      </w:r>
      <w:r w:rsidRPr="00E500AF">
        <w:rPr>
          <w:rFonts w:asciiTheme="majorHAnsi" w:eastAsiaTheme="minorEastAsia" w:hAnsiTheme="majorHAnsi" w:cs="Arial"/>
          <w:sz w:val="20"/>
          <w:szCs w:val="20"/>
          <w:bdr w:val="none" w:sz="0" w:space="0" w:color="auto"/>
        </w:rPr>
        <w:t xml:space="preserve">"the State,” </w:t>
      </w:r>
      <w:r w:rsidRPr="00E500AF">
        <w:rPr>
          <w:rFonts w:asciiTheme="majorHAnsi" w:eastAsiaTheme="minorEastAsia" w:hAnsiTheme="majorHAnsi" w:cstheme="minorBidi"/>
          <w:sz w:val="20"/>
          <w:szCs w:val="20"/>
          <w:bdr w:val="none" w:sz="0" w:space="0" w:color="auto"/>
        </w:rPr>
        <w:t xml:space="preserve">or </w:t>
      </w:r>
      <w:r w:rsidRPr="00E500AF">
        <w:rPr>
          <w:rFonts w:asciiTheme="majorHAnsi" w:eastAsiaTheme="minorEastAsia" w:hAnsiTheme="majorHAnsi" w:cs="Arial"/>
          <w:sz w:val="20"/>
          <w:szCs w:val="20"/>
          <w:bdr w:val="none" w:sz="0" w:space="0" w:color="auto"/>
        </w:rPr>
        <w:t>"the Honduran State "</w:t>
      </w:r>
      <w:r w:rsidRPr="00E500AF">
        <w:rPr>
          <w:rFonts w:asciiTheme="majorHAnsi" w:eastAsiaTheme="minorEastAsia" w:hAnsiTheme="majorHAnsi" w:cstheme="minorBidi"/>
          <w:sz w:val="20"/>
          <w:szCs w:val="20"/>
          <w:bdr w:val="none" w:sz="0" w:space="0" w:color="auto"/>
        </w:rPr>
        <w:t xml:space="preserve">) to the detriment of Ronal Jared </w:t>
      </w:r>
      <w:proofErr w:type="spellStart"/>
      <w:r w:rsidRPr="00E500AF">
        <w:rPr>
          <w:rFonts w:asciiTheme="majorHAnsi" w:eastAsiaTheme="minorEastAsia" w:hAnsiTheme="majorHAnsi" w:cstheme="minorBidi"/>
          <w:sz w:val="20"/>
          <w:szCs w:val="20"/>
          <w:bdr w:val="none" w:sz="0" w:space="0" w:color="auto"/>
        </w:rPr>
        <w:t>Martínez</w:t>
      </w:r>
      <w:proofErr w:type="spellEnd"/>
      <w:r w:rsidRPr="00E500AF">
        <w:rPr>
          <w:rFonts w:asciiTheme="majorHAnsi" w:eastAsiaTheme="minorEastAsia" w:hAnsiTheme="majorHAnsi" w:cstheme="minorBidi"/>
          <w:sz w:val="20"/>
          <w:szCs w:val="20"/>
          <w:bdr w:val="none" w:sz="0" w:space="0" w:color="auto"/>
        </w:rPr>
        <w:t xml:space="preserve"> </w:t>
      </w:r>
      <w:proofErr w:type="spellStart"/>
      <w:r w:rsidRPr="00E500AF">
        <w:rPr>
          <w:rFonts w:asciiTheme="majorHAnsi" w:eastAsiaTheme="minorEastAsia" w:hAnsiTheme="majorHAnsi" w:cstheme="minorBidi"/>
          <w:sz w:val="20"/>
          <w:szCs w:val="20"/>
          <w:bdr w:val="none" w:sz="0" w:space="0" w:color="auto"/>
        </w:rPr>
        <w:t>Velásquez</w:t>
      </w:r>
      <w:proofErr w:type="spellEnd"/>
      <w:r w:rsidRPr="00E500AF">
        <w:rPr>
          <w:rFonts w:asciiTheme="majorHAnsi" w:eastAsiaTheme="minorEastAsia" w:hAnsiTheme="majorHAnsi" w:cstheme="minorBidi"/>
          <w:sz w:val="20"/>
          <w:szCs w:val="20"/>
          <w:bdr w:val="none" w:sz="0" w:space="0" w:color="auto"/>
        </w:rPr>
        <w:t xml:space="preserve"> and </w:t>
      </w:r>
      <w:proofErr w:type="spellStart"/>
      <w:r w:rsidRPr="00E500AF">
        <w:rPr>
          <w:rFonts w:asciiTheme="majorHAnsi" w:eastAsiaTheme="minorEastAsia" w:hAnsiTheme="majorHAnsi" w:cstheme="minorBidi"/>
          <w:sz w:val="20"/>
          <w:szCs w:val="20"/>
          <w:bdr w:val="none" w:sz="0" w:space="0" w:color="auto"/>
        </w:rPr>
        <w:t>Marlón</w:t>
      </w:r>
      <w:proofErr w:type="spellEnd"/>
      <w:r w:rsidRPr="00E500AF">
        <w:rPr>
          <w:rFonts w:asciiTheme="majorHAnsi" w:eastAsiaTheme="minorEastAsia" w:hAnsiTheme="majorHAnsi" w:cstheme="minorBidi"/>
          <w:sz w:val="20"/>
          <w:szCs w:val="20"/>
          <w:bdr w:val="none" w:sz="0" w:space="0" w:color="auto"/>
        </w:rPr>
        <w:t xml:space="preserve"> </w:t>
      </w:r>
      <w:proofErr w:type="spellStart"/>
      <w:r w:rsidRPr="00E500AF">
        <w:rPr>
          <w:rFonts w:asciiTheme="majorHAnsi" w:eastAsiaTheme="minorEastAsia" w:hAnsiTheme="majorHAnsi" w:cstheme="minorBidi"/>
          <w:sz w:val="20"/>
          <w:szCs w:val="20"/>
          <w:bdr w:val="none" w:sz="0" w:space="0" w:color="auto"/>
        </w:rPr>
        <w:t>Fabricio</w:t>
      </w:r>
      <w:proofErr w:type="spellEnd"/>
      <w:r w:rsidRPr="00E500AF">
        <w:rPr>
          <w:rFonts w:asciiTheme="majorHAnsi" w:eastAsiaTheme="minorEastAsia" w:hAnsiTheme="majorHAnsi" w:cstheme="minorBidi"/>
          <w:sz w:val="20"/>
          <w:szCs w:val="20"/>
          <w:bdr w:val="none" w:sz="0" w:space="0" w:color="auto"/>
        </w:rPr>
        <w:t xml:space="preserve"> Hernández </w:t>
      </w:r>
      <w:proofErr w:type="spellStart"/>
      <w:r w:rsidRPr="00E500AF">
        <w:rPr>
          <w:rFonts w:asciiTheme="majorHAnsi" w:eastAsiaTheme="minorEastAsia" w:hAnsiTheme="majorHAnsi" w:cstheme="minorBidi"/>
          <w:sz w:val="20"/>
          <w:szCs w:val="20"/>
          <w:bdr w:val="none" w:sz="0" w:space="0" w:color="auto"/>
        </w:rPr>
        <w:t>Fúnez</w:t>
      </w:r>
      <w:proofErr w:type="spellEnd"/>
      <w:r w:rsidRPr="00E500AF">
        <w:rPr>
          <w:rFonts w:asciiTheme="majorHAnsi" w:eastAsiaTheme="minorEastAsia" w:hAnsiTheme="majorHAnsi" w:cstheme="minorBidi"/>
          <w:sz w:val="20"/>
          <w:szCs w:val="20"/>
          <w:bdr w:val="none" w:sz="0" w:space="0" w:color="auto"/>
        </w:rPr>
        <w:t xml:space="preserve"> (hereinafter “the alleged victims”) all of them minors at the time of the events, for alleged violations of rights enshrined in the American Convention on Human Rights (hereinafter “the American Convention” or “the Convention”) stemming from the alleged excessive use of force by members of the Army and National Police, as well as the subsequent failure to investigate and punish the persons purportedly responsible. </w:t>
      </w:r>
    </w:p>
    <w:p w:rsidR="00E500AF" w:rsidRPr="00E500AF" w:rsidRDefault="00E500AF" w:rsidP="00E50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heme="minorEastAsia" w:hAnsiTheme="majorHAnsi" w:cstheme="minorBidi"/>
          <w:sz w:val="20"/>
          <w:szCs w:val="20"/>
          <w:bdr w:val="none" w:sz="0" w:space="0" w:color="auto"/>
        </w:rPr>
      </w:pPr>
    </w:p>
    <w:p w:rsidR="00781808" w:rsidRDefault="00781808" w:rsidP="00E500A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heme="minorEastAsia" w:hAnsiTheme="majorHAnsi" w:cstheme="minorBidi"/>
          <w:sz w:val="20"/>
          <w:szCs w:val="20"/>
          <w:bdr w:val="none" w:sz="0" w:space="0" w:color="auto"/>
        </w:rPr>
      </w:pPr>
      <w:r w:rsidRPr="00E500AF">
        <w:rPr>
          <w:rFonts w:asciiTheme="majorHAnsi" w:eastAsiaTheme="minorEastAsia" w:hAnsiTheme="majorHAnsi" w:cstheme="minorBidi"/>
          <w:sz w:val="20"/>
          <w:szCs w:val="20"/>
          <w:bdr w:val="none" w:sz="0" w:space="0" w:color="auto"/>
        </w:rPr>
        <w:t>In particular, the petitioner claims that due to the alleged “abuse of authority” (“</w:t>
      </w:r>
      <w:proofErr w:type="spellStart"/>
      <w:r w:rsidRPr="00E500AF">
        <w:rPr>
          <w:rFonts w:asciiTheme="majorHAnsi" w:eastAsiaTheme="minorEastAsia" w:hAnsiTheme="majorHAnsi" w:cstheme="minorBidi"/>
          <w:i/>
          <w:iCs/>
          <w:sz w:val="20"/>
          <w:szCs w:val="20"/>
          <w:bdr w:val="none" w:sz="0" w:space="0" w:color="auto"/>
        </w:rPr>
        <w:t>abuso</w:t>
      </w:r>
      <w:proofErr w:type="spellEnd"/>
      <w:r w:rsidRPr="00E500AF">
        <w:rPr>
          <w:rFonts w:asciiTheme="majorHAnsi" w:eastAsiaTheme="minorEastAsia" w:hAnsiTheme="majorHAnsi" w:cstheme="minorBidi"/>
          <w:i/>
          <w:iCs/>
          <w:sz w:val="20"/>
          <w:szCs w:val="20"/>
          <w:bdr w:val="none" w:sz="0" w:space="0" w:color="auto"/>
        </w:rPr>
        <w:t xml:space="preserve"> de </w:t>
      </w:r>
      <w:proofErr w:type="spellStart"/>
      <w:r w:rsidRPr="00E500AF">
        <w:rPr>
          <w:rFonts w:asciiTheme="majorHAnsi" w:eastAsiaTheme="minorEastAsia" w:hAnsiTheme="majorHAnsi" w:cstheme="minorBidi"/>
          <w:i/>
          <w:iCs/>
          <w:sz w:val="20"/>
          <w:szCs w:val="20"/>
          <w:bdr w:val="none" w:sz="0" w:space="0" w:color="auto"/>
        </w:rPr>
        <w:t>poder</w:t>
      </w:r>
      <w:proofErr w:type="spellEnd"/>
      <w:r w:rsidRPr="00E500AF">
        <w:rPr>
          <w:rFonts w:asciiTheme="majorHAnsi" w:eastAsiaTheme="minorEastAsia" w:hAnsiTheme="majorHAnsi" w:cstheme="minorBidi"/>
          <w:sz w:val="20"/>
          <w:szCs w:val="20"/>
          <w:bdr w:val="none" w:sz="0" w:space="0" w:color="auto"/>
        </w:rPr>
        <w:t xml:space="preserve">”) by police agents and officers of the National Army, the child Ronal Jared Martínez had acquired a physical disability (irreversible paraplegia). In addition, it is noted that even though the very agents of the State of Honduras are said to have been directly responsible for this wrongdoing, the case continues to be in impunity. </w:t>
      </w:r>
    </w:p>
    <w:p w:rsidR="00E500AF" w:rsidRPr="00E500AF" w:rsidRDefault="00E500AF" w:rsidP="00E50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heme="minorEastAsia" w:hAnsiTheme="majorHAnsi" w:cstheme="minorBidi"/>
          <w:sz w:val="20"/>
          <w:szCs w:val="20"/>
          <w:bdr w:val="none" w:sz="0" w:space="0" w:color="auto"/>
        </w:rPr>
      </w:pPr>
    </w:p>
    <w:p w:rsidR="00781808" w:rsidRDefault="00781808" w:rsidP="00E500A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heme="minorEastAsia" w:hAnsiTheme="majorHAnsi" w:cstheme="minorBidi"/>
          <w:sz w:val="20"/>
          <w:szCs w:val="20"/>
          <w:bdr w:val="none" w:sz="0" w:space="0" w:color="auto"/>
        </w:rPr>
      </w:pPr>
      <w:r w:rsidRPr="00E500AF">
        <w:rPr>
          <w:rFonts w:asciiTheme="majorHAnsi" w:eastAsiaTheme="minorEastAsia" w:hAnsiTheme="majorHAnsi" w:cstheme="minorBidi"/>
          <w:sz w:val="20"/>
          <w:szCs w:val="20"/>
          <w:bdr w:val="none" w:sz="0" w:space="0" w:color="auto"/>
        </w:rPr>
        <w:t xml:space="preserve">The State has not responded to the facts alleged by the petitioner, nor has it called into question the admissibility of the petition under consideration. </w:t>
      </w:r>
    </w:p>
    <w:p w:rsidR="00E500AF" w:rsidRPr="00E500AF" w:rsidRDefault="00E500AF" w:rsidP="00E50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heme="minorEastAsia" w:hAnsiTheme="majorHAnsi" w:cstheme="minorBidi"/>
          <w:sz w:val="20"/>
          <w:szCs w:val="20"/>
          <w:bdr w:val="none" w:sz="0" w:space="0" w:color="auto"/>
        </w:rPr>
      </w:pPr>
    </w:p>
    <w:p w:rsidR="00781808" w:rsidRDefault="00781808" w:rsidP="00E500A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heme="minorEastAsia" w:hAnsiTheme="majorHAnsi" w:cstheme="minorBidi"/>
          <w:sz w:val="20"/>
          <w:szCs w:val="20"/>
          <w:bdr w:val="none" w:sz="0" w:space="0" w:color="auto"/>
        </w:rPr>
      </w:pPr>
      <w:r w:rsidRPr="00E500AF">
        <w:rPr>
          <w:rFonts w:asciiTheme="majorHAnsi" w:eastAsiaTheme="minorEastAsia" w:hAnsiTheme="majorHAnsi" w:cstheme="minorBidi"/>
          <w:snapToGrid w:val="0"/>
          <w:sz w:val="20"/>
          <w:szCs w:val="20"/>
          <w:bdr w:val="none" w:sz="0" w:space="0" w:color="auto"/>
        </w:rPr>
        <w:t xml:space="preserve">Without prejudging on the merits, after analyzing the parties’ positions and satisfying the requirements set forth at Articles </w:t>
      </w:r>
      <w:r w:rsidRPr="00E500AF">
        <w:rPr>
          <w:rFonts w:asciiTheme="majorHAnsi" w:eastAsiaTheme="minorEastAsia" w:hAnsiTheme="majorHAnsi" w:cstheme="minorBidi"/>
          <w:sz w:val="20"/>
          <w:szCs w:val="20"/>
          <w:bdr w:val="none" w:sz="0" w:space="0" w:color="auto"/>
        </w:rPr>
        <w:t xml:space="preserve">46 and 47 of the Convention, the Commission decided to find the claim admissible for purposes of examining the alleged violation of Articles 5, 8, 19, and 25 of the Convention, in conjunction with its Article 1(1).  Finally, it decided to notify the parties and order the report published in its annual report to the General Assembly of the OAS. </w:t>
      </w:r>
    </w:p>
    <w:p w:rsidR="00E500AF" w:rsidRPr="00E500AF" w:rsidRDefault="00E500AF" w:rsidP="00E50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heme="minorEastAsia" w:hAnsiTheme="majorHAnsi" w:cstheme="minorBidi"/>
          <w:sz w:val="20"/>
          <w:szCs w:val="20"/>
          <w:bdr w:val="none" w:sz="0" w:space="0" w:color="auto"/>
        </w:rPr>
      </w:pPr>
    </w:p>
    <w:p w:rsidR="00E500AF" w:rsidRDefault="00781808" w:rsidP="00E500AF">
      <w:pPr>
        <w:keepNex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outlineLvl w:val="1"/>
        <w:rPr>
          <w:rFonts w:asciiTheme="majorHAnsi" w:eastAsia="Times New Roman" w:hAnsiTheme="majorHAnsi"/>
          <w:b/>
          <w:bCs/>
          <w:sz w:val="20"/>
          <w:szCs w:val="20"/>
          <w:bdr w:val="none" w:sz="0" w:space="0" w:color="auto"/>
        </w:rPr>
      </w:pPr>
      <w:r w:rsidRPr="00E500AF">
        <w:rPr>
          <w:rFonts w:asciiTheme="majorHAnsi" w:eastAsia="Times New Roman" w:hAnsiTheme="majorHAnsi"/>
          <w:b/>
          <w:bCs/>
          <w:sz w:val="20"/>
          <w:szCs w:val="20"/>
          <w:bdr w:val="none" w:sz="0" w:space="0" w:color="auto"/>
        </w:rPr>
        <w:t xml:space="preserve">PROCESSING BY THE COMMISSION </w:t>
      </w:r>
    </w:p>
    <w:p w:rsidR="00E500AF" w:rsidRPr="00E500AF" w:rsidRDefault="00E500AF" w:rsidP="00E500AF">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Times New Roman" w:hAnsiTheme="majorHAnsi"/>
          <w:b/>
          <w:bCs/>
          <w:sz w:val="20"/>
          <w:szCs w:val="20"/>
          <w:bdr w:val="none" w:sz="0" w:space="0" w:color="auto"/>
        </w:rPr>
      </w:pPr>
    </w:p>
    <w:p w:rsidR="00781808" w:rsidRPr="00E500AF" w:rsidRDefault="00781808" w:rsidP="00E500A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heme="minorEastAsia" w:hAnsiTheme="majorHAnsi" w:cstheme="minorBidi"/>
          <w:sz w:val="20"/>
          <w:szCs w:val="20"/>
          <w:bdr w:val="none" w:sz="0" w:space="0" w:color="auto"/>
        </w:rPr>
      </w:pPr>
      <w:r w:rsidRPr="00E500AF">
        <w:rPr>
          <w:rFonts w:asciiTheme="majorHAnsi" w:eastAsia="Times New Roman" w:hAnsiTheme="majorHAnsi"/>
          <w:sz w:val="20"/>
          <w:szCs w:val="20"/>
          <w:bdr w:val="none" w:sz="0" w:space="0" w:color="auto"/>
        </w:rPr>
        <w:t xml:space="preserve">On September 15, 2004, the Commission received the complaint from the petitioner and assigned it number </w:t>
      </w:r>
      <w:r w:rsidRPr="00E500AF">
        <w:rPr>
          <w:rFonts w:asciiTheme="majorHAnsi" w:eastAsiaTheme="minorEastAsia" w:hAnsiTheme="majorHAnsi" w:cstheme="minorBidi"/>
          <w:sz w:val="20"/>
          <w:szCs w:val="20"/>
          <w:bdr w:val="none" w:sz="0" w:space="0" w:color="auto"/>
        </w:rPr>
        <w:t xml:space="preserve">886-04. On September </w:t>
      </w:r>
      <w:r w:rsidRPr="00E500AF">
        <w:rPr>
          <w:rFonts w:asciiTheme="majorHAnsi" w:eastAsia="Times New Roman" w:hAnsiTheme="majorHAnsi"/>
          <w:sz w:val="20"/>
          <w:szCs w:val="20"/>
          <w:bdr w:val="none" w:sz="0" w:space="0" w:color="auto"/>
        </w:rPr>
        <w:t xml:space="preserve">2, 2010, the IACHR forwarded the petition to the Honduran State, and asked that it respond within two months from the receipt of the communication, in keeping with Article 30(3) of its Rules of Procedure. On January </w:t>
      </w:r>
      <w:r w:rsidRPr="00E500AF">
        <w:rPr>
          <w:rFonts w:asciiTheme="majorHAnsi" w:eastAsiaTheme="minorEastAsia" w:hAnsiTheme="majorHAnsi" w:cs="Arial"/>
          <w:sz w:val="20"/>
          <w:szCs w:val="20"/>
          <w:bdr w:val="none" w:sz="0" w:space="0" w:color="auto"/>
        </w:rPr>
        <w:t xml:space="preserve">30, 2012, the request to Honduras to submit its response was reiterated. As of the date of the consideration of this report, the State had not provided any information related to the petition. </w:t>
      </w:r>
    </w:p>
    <w:p w:rsidR="00E500AF" w:rsidRPr="00E500AF" w:rsidRDefault="00E500AF" w:rsidP="00E50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heme="minorEastAsia" w:hAnsiTheme="majorHAnsi" w:cstheme="minorBidi"/>
          <w:sz w:val="20"/>
          <w:szCs w:val="20"/>
          <w:bdr w:val="none" w:sz="0" w:space="0" w:color="auto"/>
        </w:rPr>
      </w:pPr>
    </w:p>
    <w:p w:rsidR="00781808" w:rsidRDefault="00781808" w:rsidP="00E500AF">
      <w:pPr>
        <w:keepNex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heme="majorHAnsi" w:eastAsia="Times New Roman" w:hAnsiTheme="majorHAnsi" w:cs="Arial"/>
          <w:b/>
          <w:snapToGrid w:val="0"/>
          <w:spacing w:val="-3"/>
          <w:sz w:val="20"/>
          <w:szCs w:val="20"/>
          <w:bdr w:val="none" w:sz="0" w:space="0" w:color="auto"/>
        </w:rPr>
      </w:pPr>
      <w:r w:rsidRPr="00E500AF">
        <w:rPr>
          <w:rFonts w:asciiTheme="majorHAnsi" w:eastAsia="Times New Roman" w:hAnsiTheme="majorHAnsi" w:cs="Arial"/>
          <w:b/>
          <w:snapToGrid w:val="0"/>
          <w:spacing w:val="-3"/>
          <w:sz w:val="20"/>
          <w:szCs w:val="20"/>
          <w:bdr w:val="none" w:sz="0" w:space="0" w:color="auto"/>
        </w:rPr>
        <w:t xml:space="preserve">THE PARTIES’ POSITIONS </w:t>
      </w:r>
    </w:p>
    <w:p w:rsidR="00E500AF" w:rsidRPr="00E500AF" w:rsidRDefault="00E500AF" w:rsidP="00E500AF">
      <w:pPr>
        <w:keepNext/>
        <w:pBdr>
          <w:top w:val="none" w:sz="0" w:space="0" w:color="auto"/>
          <w:left w:val="none" w:sz="0" w:space="0" w:color="auto"/>
          <w:bottom w:val="none" w:sz="0" w:space="0" w:color="auto"/>
          <w:right w:val="none" w:sz="0" w:space="0" w:color="auto"/>
          <w:between w:val="none" w:sz="0" w:space="0" w:color="auto"/>
          <w:bar w:val="none" w:sz="0" w:color="auto"/>
        </w:pBdr>
        <w:outlineLvl w:val="0"/>
        <w:rPr>
          <w:rFonts w:asciiTheme="majorHAnsi" w:eastAsia="Times New Roman" w:hAnsiTheme="majorHAnsi" w:cs="Arial"/>
          <w:b/>
          <w:snapToGrid w:val="0"/>
          <w:spacing w:val="-3"/>
          <w:sz w:val="20"/>
          <w:szCs w:val="20"/>
          <w:bdr w:val="none" w:sz="0" w:space="0" w:color="auto"/>
        </w:rPr>
      </w:pPr>
    </w:p>
    <w:p w:rsidR="00781808" w:rsidRDefault="00781808" w:rsidP="00E500A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620"/>
          <w:tab w:val="num" w:pos="1440"/>
        </w:tabs>
        <w:snapToGrid w:val="0"/>
        <w:ind w:left="0" w:firstLine="720"/>
        <w:rPr>
          <w:rFonts w:asciiTheme="majorHAnsi" w:eastAsiaTheme="minorEastAsia" w:hAnsiTheme="majorHAnsi" w:cs="Arial"/>
          <w:b/>
          <w:spacing w:val="-3"/>
          <w:sz w:val="20"/>
          <w:szCs w:val="20"/>
          <w:bdr w:val="none" w:sz="0" w:space="0" w:color="auto"/>
        </w:rPr>
      </w:pPr>
      <w:r w:rsidRPr="00E500AF">
        <w:rPr>
          <w:rFonts w:asciiTheme="majorHAnsi" w:eastAsiaTheme="minorEastAsia" w:hAnsiTheme="majorHAnsi" w:cs="Arial"/>
          <w:b/>
          <w:spacing w:val="-3"/>
          <w:sz w:val="20"/>
          <w:szCs w:val="20"/>
          <w:bdr w:val="none" w:sz="0" w:space="0" w:color="auto"/>
        </w:rPr>
        <w:t xml:space="preserve">The petitioner’s position </w:t>
      </w:r>
    </w:p>
    <w:p w:rsidR="00E500AF" w:rsidRPr="00E500AF" w:rsidRDefault="00E500AF" w:rsidP="00E500AF">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Theme="majorHAnsi" w:eastAsiaTheme="minorEastAsia" w:hAnsiTheme="majorHAnsi" w:cs="Arial"/>
          <w:b/>
          <w:spacing w:val="-3"/>
          <w:sz w:val="20"/>
          <w:szCs w:val="20"/>
          <w:bdr w:val="none" w:sz="0" w:space="0" w:color="auto"/>
        </w:rPr>
      </w:pPr>
    </w:p>
    <w:p w:rsidR="00781808" w:rsidRDefault="00781808" w:rsidP="00E500A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heme="minorEastAsia" w:hAnsiTheme="majorHAnsi" w:cstheme="minorBidi"/>
          <w:sz w:val="20"/>
          <w:szCs w:val="20"/>
          <w:bdr w:val="none" w:sz="0" w:space="0" w:color="auto"/>
        </w:rPr>
      </w:pPr>
      <w:r w:rsidRPr="00E500AF">
        <w:rPr>
          <w:rFonts w:asciiTheme="majorHAnsi" w:eastAsia="Times New Roman" w:hAnsiTheme="majorHAnsi"/>
          <w:sz w:val="20"/>
          <w:szCs w:val="20"/>
          <w:bdr w:val="none" w:sz="0" w:space="0" w:color="auto"/>
        </w:rPr>
        <w:t>The petitioner states that due to the alleged “abuse of authority” (“</w:t>
      </w:r>
      <w:proofErr w:type="spellStart"/>
      <w:r w:rsidRPr="00E500AF">
        <w:rPr>
          <w:rFonts w:asciiTheme="majorHAnsi" w:eastAsia="Times New Roman" w:hAnsiTheme="majorHAnsi"/>
          <w:i/>
          <w:iCs/>
          <w:sz w:val="20"/>
          <w:szCs w:val="20"/>
          <w:bdr w:val="none" w:sz="0" w:space="0" w:color="auto"/>
        </w:rPr>
        <w:t>abuso</w:t>
      </w:r>
      <w:proofErr w:type="spellEnd"/>
      <w:r w:rsidRPr="00E500AF">
        <w:rPr>
          <w:rFonts w:asciiTheme="majorHAnsi" w:eastAsia="Times New Roman" w:hAnsiTheme="majorHAnsi"/>
          <w:i/>
          <w:iCs/>
          <w:sz w:val="20"/>
          <w:szCs w:val="20"/>
          <w:bdr w:val="none" w:sz="0" w:space="0" w:color="auto"/>
        </w:rPr>
        <w:t xml:space="preserve"> de </w:t>
      </w:r>
      <w:proofErr w:type="spellStart"/>
      <w:r w:rsidRPr="00E500AF">
        <w:rPr>
          <w:rFonts w:asciiTheme="majorHAnsi" w:eastAsia="Times New Roman" w:hAnsiTheme="majorHAnsi"/>
          <w:i/>
          <w:iCs/>
          <w:sz w:val="20"/>
          <w:szCs w:val="20"/>
          <w:bdr w:val="none" w:sz="0" w:space="0" w:color="auto"/>
        </w:rPr>
        <w:t>poder</w:t>
      </w:r>
      <w:proofErr w:type="spellEnd"/>
      <w:r w:rsidRPr="00E500AF">
        <w:rPr>
          <w:rFonts w:asciiTheme="majorHAnsi" w:eastAsia="Times New Roman" w:hAnsiTheme="majorHAnsi"/>
          <w:sz w:val="20"/>
          <w:szCs w:val="20"/>
          <w:bdr w:val="none" w:sz="0" w:space="0" w:color="auto"/>
        </w:rPr>
        <w:t xml:space="preserve">”) by police agents and members of the National Army, his youngest son </w:t>
      </w:r>
      <w:r w:rsidRPr="00E500AF">
        <w:rPr>
          <w:rFonts w:asciiTheme="majorHAnsi" w:eastAsiaTheme="minorEastAsia" w:hAnsiTheme="majorHAnsi" w:cstheme="minorBidi"/>
          <w:sz w:val="20"/>
          <w:szCs w:val="20"/>
          <w:bdr w:val="none" w:sz="0" w:space="0" w:color="auto"/>
        </w:rPr>
        <w:t xml:space="preserve">Ronald Jared </w:t>
      </w:r>
      <w:proofErr w:type="spellStart"/>
      <w:r w:rsidRPr="00E500AF">
        <w:rPr>
          <w:rFonts w:asciiTheme="majorHAnsi" w:eastAsiaTheme="minorEastAsia" w:hAnsiTheme="majorHAnsi" w:cstheme="minorBidi"/>
          <w:sz w:val="20"/>
          <w:szCs w:val="20"/>
          <w:bdr w:val="none" w:sz="0" w:space="0" w:color="auto"/>
        </w:rPr>
        <w:t>Martínez</w:t>
      </w:r>
      <w:proofErr w:type="spellEnd"/>
      <w:r w:rsidRPr="00E500AF">
        <w:rPr>
          <w:rFonts w:asciiTheme="majorHAnsi" w:eastAsiaTheme="minorEastAsia" w:hAnsiTheme="majorHAnsi" w:cstheme="minorBidi"/>
          <w:sz w:val="20"/>
          <w:szCs w:val="20"/>
          <w:bdr w:val="none" w:sz="0" w:space="0" w:color="auto"/>
        </w:rPr>
        <w:t xml:space="preserve"> </w:t>
      </w:r>
      <w:proofErr w:type="spellStart"/>
      <w:r w:rsidRPr="00E500AF">
        <w:rPr>
          <w:rFonts w:asciiTheme="majorHAnsi" w:eastAsiaTheme="minorEastAsia" w:hAnsiTheme="majorHAnsi" w:cstheme="minorBidi"/>
          <w:sz w:val="20"/>
          <w:szCs w:val="20"/>
          <w:bdr w:val="none" w:sz="0" w:space="0" w:color="auto"/>
        </w:rPr>
        <w:t>Velásquez</w:t>
      </w:r>
      <w:proofErr w:type="spellEnd"/>
      <w:r w:rsidRPr="00E500AF">
        <w:rPr>
          <w:rFonts w:asciiTheme="majorHAnsi" w:eastAsiaTheme="minorEastAsia" w:hAnsiTheme="majorHAnsi" w:cstheme="minorBidi"/>
          <w:sz w:val="20"/>
          <w:szCs w:val="20"/>
          <w:bdr w:val="none" w:sz="0" w:space="0" w:color="auto"/>
        </w:rPr>
        <w:t xml:space="preserve"> was left paraplegic for life. As regards the incident said to have caused this permanent physical disability, it appears in the documents produced by the petitioner that on July 20, 2002, the petitioner was driving a car in which his son Ronald Jared </w:t>
      </w:r>
      <w:proofErr w:type="spellStart"/>
      <w:r w:rsidRPr="00E500AF">
        <w:rPr>
          <w:rFonts w:asciiTheme="majorHAnsi" w:eastAsiaTheme="minorEastAsia" w:hAnsiTheme="majorHAnsi" w:cstheme="minorBidi"/>
          <w:sz w:val="20"/>
          <w:szCs w:val="20"/>
          <w:bdr w:val="none" w:sz="0" w:space="0" w:color="auto"/>
        </w:rPr>
        <w:t>Martínez</w:t>
      </w:r>
      <w:proofErr w:type="spellEnd"/>
      <w:r w:rsidRPr="00E500AF">
        <w:rPr>
          <w:rFonts w:asciiTheme="majorHAnsi" w:eastAsiaTheme="minorEastAsia" w:hAnsiTheme="majorHAnsi" w:cstheme="minorBidi"/>
          <w:sz w:val="20"/>
          <w:szCs w:val="20"/>
          <w:bdr w:val="none" w:sz="0" w:space="0" w:color="auto"/>
        </w:rPr>
        <w:t xml:space="preserve"> </w:t>
      </w:r>
      <w:proofErr w:type="spellStart"/>
      <w:r w:rsidRPr="00E500AF">
        <w:rPr>
          <w:rFonts w:asciiTheme="majorHAnsi" w:eastAsiaTheme="minorEastAsia" w:hAnsiTheme="majorHAnsi" w:cstheme="minorBidi"/>
          <w:sz w:val="20"/>
          <w:szCs w:val="20"/>
          <w:bdr w:val="none" w:sz="0" w:space="0" w:color="auto"/>
        </w:rPr>
        <w:t>Velásquez</w:t>
      </w:r>
      <w:proofErr w:type="spellEnd"/>
      <w:r w:rsidRPr="00E500AF">
        <w:rPr>
          <w:rFonts w:asciiTheme="majorHAnsi" w:eastAsiaTheme="minorEastAsia" w:hAnsiTheme="majorHAnsi" w:cstheme="minorBidi"/>
          <w:sz w:val="20"/>
          <w:szCs w:val="20"/>
          <w:bdr w:val="none" w:sz="0" w:space="0" w:color="auto"/>
        </w:rPr>
        <w:t xml:space="preserve"> and a neighbor’s child, </w:t>
      </w:r>
      <w:proofErr w:type="spellStart"/>
      <w:r w:rsidRPr="00E500AF">
        <w:rPr>
          <w:rFonts w:asciiTheme="majorHAnsi" w:eastAsiaTheme="minorEastAsia" w:hAnsiTheme="majorHAnsi" w:cstheme="minorBidi"/>
          <w:sz w:val="20"/>
          <w:szCs w:val="20"/>
          <w:bdr w:val="none" w:sz="0" w:space="0" w:color="auto"/>
        </w:rPr>
        <w:t>Marlón</w:t>
      </w:r>
      <w:proofErr w:type="spellEnd"/>
      <w:r w:rsidRPr="00E500AF">
        <w:rPr>
          <w:rFonts w:asciiTheme="majorHAnsi" w:eastAsiaTheme="minorEastAsia" w:hAnsiTheme="majorHAnsi" w:cstheme="minorBidi"/>
          <w:sz w:val="20"/>
          <w:szCs w:val="20"/>
          <w:bdr w:val="none" w:sz="0" w:space="0" w:color="auto"/>
        </w:rPr>
        <w:t xml:space="preserve"> </w:t>
      </w:r>
      <w:proofErr w:type="spellStart"/>
      <w:r w:rsidRPr="00E500AF">
        <w:rPr>
          <w:rFonts w:asciiTheme="majorHAnsi" w:eastAsiaTheme="minorEastAsia" w:hAnsiTheme="majorHAnsi" w:cstheme="minorBidi"/>
          <w:sz w:val="20"/>
          <w:szCs w:val="20"/>
          <w:bdr w:val="none" w:sz="0" w:space="0" w:color="auto"/>
        </w:rPr>
        <w:t>Fabricio</w:t>
      </w:r>
      <w:proofErr w:type="spellEnd"/>
      <w:r w:rsidRPr="00E500AF">
        <w:rPr>
          <w:rFonts w:asciiTheme="majorHAnsi" w:eastAsiaTheme="minorEastAsia" w:hAnsiTheme="majorHAnsi" w:cstheme="minorBidi"/>
          <w:sz w:val="20"/>
          <w:szCs w:val="20"/>
          <w:bdr w:val="none" w:sz="0" w:space="0" w:color="auto"/>
        </w:rPr>
        <w:t xml:space="preserve"> Hernández </w:t>
      </w:r>
      <w:proofErr w:type="spellStart"/>
      <w:r w:rsidRPr="00E500AF">
        <w:rPr>
          <w:rFonts w:asciiTheme="majorHAnsi" w:eastAsiaTheme="minorEastAsia" w:hAnsiTheme="majorHAnsi" w:cstheme="minorBidi"/>
          <w:sz w:val="20"/>
          <w:szCs w:val="20"/>
          <w:bdr w:val="none" w:sz="0" w:space="0" w:color="auto"/>
        </w:rPr>
        <w:t>Fúnez</w:t>
      </w:r>
      <w:proofErr w:type="spellEnd"/>
      <w:r w:rsidRPr="00E500AF">
        <w:rPr>
          <w:rFonts w:asciiTheme="majorHAnsi" w:eastAsiaTheme="minorEastAsia" w:hAnsiTheme="majorHAnsi" w:cstheme="minorBidi"/>
          <w:sz w:val="20"/>
          <w:szCs w:val="20"/>
          <w:bdr w:val="none" w:sz="0" w:space="0" w:color="auto"/>
        </w:rPr>
        <w:t xml:space="preserve">, ages 10 and 5 years respectively, were accompanying him. Since the petitioner drove his vehicle the wrong way, members of a patrol squad purportedly made up of one agent of the National Police and five Army officers (Jorge Joel </w:t>
      </w:r>
      <w:proofErr w:type="spellStart"/>
      <w:r w:rsidRPr="00E500AF">
        <w:rPr>
          <w:rFonts w:asciiTheme="majorHAnsi" w:eastAsiaTheme="minorEastAsia" w:hAnsiTheme="majorHAnsi" w:cstheme="minorBidi"/>
          <w:sz w:val="20"/>
          <w:szCs w:val="20"/>
          <w:bdr w:val="none" w:sz="0" w:space="0" w:color="auto"/>
        </w:rPr>
        <w:t>Cubías</w:t>
      </w:r>
      <w:proofErr w:type="spellEnd"/>
      <w:r w:rsidRPr="00E500AF">
        <w:rPr>
          <w:rFonts w:asciiTheme="majorHAnsi" w:eastAsiaTheme="minorEastAsia" w:hAnsiTheme="majorHAnsi" w:cstheme="minorBidi"/>
          <w:sz w:val="20"/>
          <w:szCs w:val="20"/>
          <w:bdr w:val="none" w:sz="0" w:space="0" w:color="auto"/>
        </w:rPr>
        <w:t xml:space="preserve"> </w:t>
      </w:r>
      <w:proofErr w:type="spellStart"/>
      <w:r w:rsidRPr="00E500AF">
        <w:rPr>
          <w:rFonts w:asciiTheme="majorHAnsi" w:eastAsiaTheme="minorEastAsia" w:hAnsiTheme="majorHAnsi" w:cstheme="minorBidi"/>
          <w:sz w:val="20"/>
          <w:szCs w:val="20"/>
          <w:bdr w:val="none" w:sz="0" w:space="0" w:color="auto"/>
        </w:rPr>
        <w:t>Irías</w:t>
      </w:r>
      <w:proofErr w:type="spellEnd"/>
      <w:r w:rsidRPr="00E500AF">
        <w:rPr>
          <w:rFonts w:asciiTheme="majorHAnsi" w:eastAsiaTheme="minorEastAsia" w:hAnsiTheme="majorHAnsi" w:cstheme="minorBidi"/>
          <w:sz w:val="20"/>
          <w:szCs w:val="20"/>
          <w:bdr w:val="none" w:sz="0" w:space="0" w:color="auto"/>
        </w:rPr>
        <w:t xml:space="preserve">, </w:t>
      </w:r>
      <w:proofErr w:type="spellStart"/>
      <w:r w:rsidRPr="00E500AF">
        <w:rPr>
          <w:rFonts w:asciiTheme="majorHAnsi" w:eastAsiaTheme="minorEastAsia" w:hAnsiTheme="majorHAnsi" w:cstheme="minorBidi"/>
          <w:sz w:val="20"/>
          <w:szCs w:val="20"/>
          <w:bdr w:val="none" w:sz="0" w:space="0" w:color="auto"/>
        </w:rPr>
        <w:t>Ángel</w:t>
      </w:r>
      <w:proofErr w:type="spellEnd"/>
      <w:r w:rsidRPr="00E500AF">
        <w:rPr>
          <w:rFonts w:asciiTheme="majorHAnsi" w:eastAsiaTheme="minorEastAsia" w:hAnsiTheme="majorHAnsi" w:cstheme="minorBidi"/>
          <w:sz w:val="20"/>
          <w:szCs w:val="20"/>
          <w:bdr w:val="none" w:sz="0" w:space="0" w:color="auto"/>
        </w:rPr>
        <w:t xml:space="preserve"> Gabriel Padilla, Marvin Israel Amaya S., </w:t>
      </w:r>
      <w:proofErr w:type="spellStart"/>
      <w:r w:rsidRPr="00E500AF">
        <w:rPr>
          <w:rFonts w:asciiTheme="majorHAnsi" w:eastAsiaTheme="minorEastAsia" w:hAnsiTheme="majorHAnsi" w:cstheme="minorBidi"/>
          <w:sz w:val="20"/>
          <w:szCs w:val="20"/>
          <w:bdr w:val="none" w:sz="0" w:space="0" w:color="auto"/>
        </w:rPr>
        <w:t>Harin</w:t>
      </w:r>
      <w:proofErr w:type="spellEnd"/>
      <w:r w:rsidRPr="00E500AF">
        <w:rPr>
          <w:rFonts w:asciiTheme="majorHAnsi" w:eastAsiaTheme="minorEastAsia" w:hAnsiTheme="majorHAnsi" w:cstheme="minorBidi"/>
          <w:sz w:val="20"/>
          <w:szCs w:val="20"/>
          <w:bdr w:val="none" w:sz="0" w:space="0" w:color="auto"/>
        </w:rPr>
        <w:t xml:space="preserve"> Noel </w:t>
      </w:r>
      <w:proofErr w:type="spellStart"/>
      <w:r w:rsidRPr="00E500AF">
        <w:rPr>
          <w:rFonts w:asciiTheme="majorHAnsi" w:eastAsiaTheme="minorEastAsia" w:hAnsiTheme="majorHAnsi" w:cstheme="minorBidi"/>
          <w:sz w:val="20"/>
          <w:szCs w:val="20"/>
          <w:bdr w:val="none" w:sz="0" w:space="0" w:color="auto"/>
        </w:rPr>
        <w:t>Martínez</w:t>
      </w:r>
      <w:proofErr w:type="spellEnd"/>
      <w:r w:rsidRPr="00E500AF">
        <w:rPr>
          <w:rFonts w:asciiTheme="majorHAnsi" w:eastAsiaTheme="minorEastAsia" w:hAnsiTheme="majorHAnsi" w:cstheme="minorBidi"/>
          <w:sz w:val="20"/>
          <w:szCs w:val="20"/>
          <w:bdr w:val="none" w:sz="0" w:space="0" w:color="auto"/>
        </w:rPr>
        <w:t xml:space="preserve">, and </w:t>
      </w:r>
      <w:proofErr w:type="spellStart"/>
      <w:r w:rsidRPr="00E500AF">
        <w:rPr>
          <w:rFonts w:asciiTheme="majorHAnsi" w:eastAsiaTheme="minorEastAsia" w:hAnsiTheme="majorHAnsi" w:cstheme="minorBidi"/>
          <w:sz w:val="20"/>
          <w:szCs w:val="20"/>
          <w:bdr w:val="none" w:sz="0" w:space="0" w:color="auto"/>
        </w:rPr>
        <w:t>Alcidez</w:t>
      </w:r>
      <w:proofErr w:type="spellEnd"/>
      <w:r w:rsidRPr="00E500AF">
        <w:rPr>
          <w:rFonts w:asciiTheme="majorHAnsi" w:eastAsiaTheme="minorEastAsia" w:hAnsiTheme="majorHAnsi" w:cstheme="minorBidi"/>
          <w:sz w:val="20"/>
          <w:szCs w:val="20"/>
          <w:bdr w:val="none" w:sz="0" w:space="0" w:color="auto"/>
        </w:rPr>
        <w:t xml:space="preserve"> Rafael </w:t>
      </w:r>
      <w:r w:rsidRPr="00E500AF">
        <w:rPr>
          <w:rFonts w:asciiTheme="majorHAnsi" w:eastAsiaTheme="minorEastAsia" w:hAnsiTheme="majorHAnsi" w:cstheme="minorBidi"/>
          <w:sz w:val="20"/>
          <w:szCs w:val="20"/>
          <w:bdr w:val="none" w:sz="0" w:space="0" w:color="auto"/>
        </w:rPr>
        <w:lastRenderedPageBreak/>
        <w:t xml:space="preserve">Rodríguez) are said to have fired six shots, with five 5.56 millimeter caliber projectiles towards the rear of the vehicle and one projectile of the same caliber in the small window of the right-side door.  </w:t>
      </w:r>
    </w:p>
    <w:p w:rsidR="00E500AF" w:rsidRPr="00E500AF" w:rsidRDefault="00E500AF" w:rsidP="00E50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heme="minorEastAsia" w:hAnsiTheme="majorHAnsi" w:cstheme="minorBidi"/>
          <w:sz w:val="20"/>
          <w:szCs w:val="20"/>
          <w:bdr w:val="none" w:sz="0" w:space="0" w:color="auto"/>
        </w:rPr>
      </w:pPr>
    </w:p>
    <w:p w:rsidR="00781808" w:rsidRDefault="00781808" w:rsidP="00E500A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heme="minorEastAsia" w:hAnsiTheme="majorHAnsi" w:cstheme="minorBidi"/>
          <w:sz w:val="20"/>
          <w:szCs w:val="20"/>
          <w:bdr w:val="none" w:sz="0" w:space="0" w:color="auto"/>
        </w:rPr>
      </w:pPr>
      <w:r w:rsidRPr="00E500AF">
        <w:rPr>
          <w:rFonts w:asciiTheme="majorHAnsi" w:eastAsiaTheme="minorEastAsia" w:hAnsiTheme="majorHAnsi" w:cstheme="minorBidi"/>
          <w:sz w:val="20"/>
          <w:szCs w:val="20"/>
          <w:bdr w:val="none" w:sz="0" w:space="0" w:color="auto"/>
        </w:rPr>
        <w:t xml:space="preserve">According to information provided by the petitioner, he was detained and taken to the police station in Jutiapa. Due to the lesions suffered by the alleged victims, they are said to have been transferred to the Hospital Atlántida </w:t>
      </w:r>
      <w:proofErr w:type="spellStart"/>
      <w:r w:rsidRPr="00E500AF">
        <w:rPr>
          <w:rFonts w:asciiTheme="majorHAnsi" w:eastAsiaTheme="minorEastAsia" w:hAnsiTheme="majorHAnsi" w:cstheme="minorBidi"/>
          <w:sz w:val="20"/>
          <w:szCs w:val="20"/>
          <w:bdr w:val="none" w:sz="0" w:space="0" w:color="auto"/>
        </w:rPr>
        <w:t>Integrado</w:t>
      </w:r>
      <w:proofErr w:type="spellEnd"/>
      <w:r w:rsidRPr="00E500AF">
        <w:rPr>
          <w:rFonts w:asciiTheme="majorHAnsi" w:eastAsiaTheme="minorEastAsia" w:hAnsiTheme="majorHAnsi" w:cstheme="minorBidi"/>
          <w:sz w:val="20"/>
          <w:szCs w:val="20"/>
          <w:bdr w:val="none" w:sz="0" w:space="0" w:color="auto"/>
        </w:rPr>
        <w:t xml:space="preserve">. Ronal Jared Martínez was “gravely wounded by a projectile that lacerated his colon, right kidney, lumbar vertebrae […] and affected his spinal cord [...] which cause[d] the permanent disability”; and the child </w:t>
      </w:r>
      <w:proofErr w:type="spellStart"/>
      <w:r w:rsidRPr="00E500AF">
        <w:rPr>
          <w:rFonts w:asciiTheme="majorHAnsi" w:eastAsiaTheme="minorEastAsia" w:hAnsiTheme="majorHAnsi" w:cstheme="minorBidi"/>
          <w:sz w:val="20"/>
          <w:szCs w:val="20"/>
          <w:bdr w:val="none" w:sz="0" w:space="0" w:color="auto"/>
        </w:rPr>
        <w:t>Marlón</w:t>
      </w:r>
      <w:proofErr w:type="spellEnd"/>
      <w:r w:rsidRPr="00E500AF">
        <w:rPr>
          <w:rFonts w:asciiTheme="majorHAnsi" w:eastAsiaTheme="minorEastAsia" w:hAnsiTheme="majorHAnsi" w:cstheme="minorBidi"/>
          <w:sz w:val="20"/>
          <w:szCs w:val="20"/>
          <w:bdr w:val="none" w:sz="0" w:space="0" w:color="auto"/>
        </w:rPr>
        <w:t xml:space="preserve"> </w:t>
      </w:r>
      <w:proofErr w:type="spellStart"/>
      <w:r w:rsidRPr="00E500AF">
        <w:rPr>
          <w:rFonts w:asciiTheme="majorHAnsi" w:eastAsiaTheme="minorEastAsia" w:hAnsiTheme="majorHAnsi" w:cstheme="minorBidi"/>
          <w:sz w:val="20"/>
          <w:szCs w:val="20"/>
          <w:bdr w:val="none" w:sz="0" w:space="0" w:color="auto"/>
        </w:rPr>
        <w:t>Fabricio</w:t>
      </w:r>
      <w:proofErr w:type="spellEnd"/>
      <w:r w:rsidRPr="00E500AF">
        <w:rPr>
          <w:rFonts w:asciiTheme="majorHAnsi" w:eastAsiaTheme="minorEastAsia" w:hAnsiTheme="majorHAnsi" w:cstheme="minorBidi"/>
          <w:sz w:val="20"/>
          <w:szCs w:val="20"/>
          <w:bdr w:val="none" w:sz="0" w:space="0" w:color="auto"/>
        </w:rPr>
        <w:t xml:space="preserve"> Hernández </w:t>
      </w:r>
      <w:proofErr w:type="spellStart"/>
      <w:r w:rsidRPr="00E500AF">
        <w:rPr>
          <w:rFonts w:asciiTheme="majorHAnsi" w:eastAsiaTheme="minorEastAsia" w:hAnsiTheme="majorHAnsi" w:cstheme="minorBidi"/>
          <w:sz w:val="20"/>
          <w:szCs w:val="20"/>
          <w:bdr w:val="none" w:sz="0" w:space="0" w:color="auto"/>
        </w:rPr>
        <w:t>Fúnez</w:t>
      </w:r>
      <w:proofErr w:type="spellEnd"/>
      <w:r w:rsidRPr="00E500AF">
        <w:rPr>
          <w:rFonts w:asciiTheme="majorHAnsi" w:eastAsiaTheme="minorEastAsia" w:hAnsiTheme="majorHAnsi" w:cstheme="minorBidi"/>
          <w:sz w:val="20"/>
          <w:szCs w:val="20"/>
          <w:bdr w:val="none" w:sz="0" w:space="0" w:color="auto"/>
        </w:rPr>
        <w:t xml:space="preserve"> was said to have “been wounded in the abdomen, by a projectile, causing him a temporary disability for 21 days.” It also appears in the information provided by the petitioners that a complaint was filed against army officer Jorge Joel </w:t>
      </w:r>
      <w:proofErr w:type="spellStart"/>
      <w:r w:rsidRPr="00E500AF">
        <w:rPr>
          <w:rFonts w:asciiTheme="majorHAnsi" w:eastAsiaTheme="minorEastAsia" w:hAnsiTheme="majorHAnsi" w:cstheme="minorBidi"/>
          <w:sz w:val="20"/>
          <w:szCs w:val="20"/>
          <w:bdr w:val="none" w:sz="0" w:space="0" w:color="auto"/>
        </w:rPr>
        <w:t>Cubías</w:t>
      </w:r>
      <w:proofErr w:type="spellEnd"/>
      <w:r w:rsidRPr="00E500AF">
        <w:rPr>
          <w:rFonts w:asciiTheme="majorHAnsi" w:eastAsiaTheme="minorEastAsia" w:hAnsiTheme="majorHAnsi" w:cstheme="minorBidi"/>
          <w:sz w:val="20"/>
          <w:szCs w:val="20"/>
          <w:bdr w:val="none" w:sz="0" w:space="0" w:color="auto"/>
        </w:rPr>
        <w:t xml:space="preserve"> </w:t>
      </w:r>
      <w:proofErr w:type="spellStart"/>
      <w:r w:rsidRPr="00E500AF">
        <w:rPr>
          <w:rFonts w:asciiTheme="majorHAnsi" w:eastAsiaTheme="minorEastAsia" w:hAnsiTheme="majorHAnsi" w:cstheme="minorBidi"/>
          <w:sz w:val="20"/>
          <w:szCs w:val="20"/>
          <w:bdr w:val="none" w:sz="0" w:space="0" w:color="auto"/>
        </w:rPr>
        <w:t>Irías</w:t>
      </w:r>
      <w:proofErr w:type="spellEnd"/>
      <w:r w:rsidRPr="00E500AF">
        <w:rPr>
          <w:rFonts w:asciiTheme="majorHAnsi" w:eastAsiaTheme="minorEastAsia" w:hAnsiTheme="majorHAnsi" w:cstheme="minorBidi"/>
          <w:sz w:val="20"/>
          <w:szCs w:val="20"/>
          <w:bdr w:val="none" w:sz="0" w:space="0" w:color="auto"/>
        </w:rPr>
        <w:t>.</w:t>
      </w:r>
    </w:p>
    <w:p w:rsidR="00E500AF" w:rsidRPr="00E500AF" w:rsidRDefault="00E500AF" w:rsidP="00E50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heme="minorEastAsia" w:hAnsiTheme="majorHAnsi" w:cstheme="minorBidi"/>
          <w:sz w:val="20"/>
          <w:szCs w:val="20"/>
          <w:bdr w:val="none" w:sz="0" w:space="0" w:color="auto"/>
        </w:rPr>
      </w:pPr>
    </w:p>
    <w:p w:rsidR="00781808" w:rsidRDefault="00781808" w:rsidP="00E500A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heme="minorEastAsia" w:hAnsiTheme="majorHAnsi" w:cstheme="minorBidi"/>
          <w:sz w:val="20"/>
          <w:szCs w:val="20"/>
          <w:bdr w:val="none" w:sz="0" w:space="0" w:color="auto"/>
        </w:rPr>
      </w:pPr>
      <w:r w:rsidRPr="00E500AF">
        <w:rPr>
          <w:rFonts w:asciiTheme="majorHAnsi" w:eastAsiaTheme="minorEastAsia" w:hAnsiTheme="majorHAnsi" w:cstheme="minorBidi"/>
          <w:sz w:val="20"/>
          <w:szCs w:val="20"/>
          <w:bdr w:val="none" w:sz="0" w:space="0" w:color="auto"/>
        </w:rPr>
        <w:t xml:space="preserve">In addition, as regards the exhaustion of domestic remedies, the petitioner alleges that even though the State agents were responsible for having fired against the alleged victims, they are still free. </w:t>
      </w:r>
    </w:p>
    <w:p w:rsidR="00E500AF" w:rsidRPr="00E500AF" w:rsidRDefault="00E500AF" w:rsidP="00E50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heme="minorEastAsia" w:hAnsiTheme="majorHAnsi" w:cstheme="minorBidi"/>
          <w:sz w:val="20"/>
          <w:szCs w:val="20"/>
          <w:bdr w:val="none" w:sz="0" w:space="0" w:color="auto"/>
        </w:rPr>
      </w:pPr>
    </w:p>
    <w:p w:rsidR="00781808" w:rsidRDefault="00781808" w:rsidP="00E500A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heme="minorEastAsia" w:hAnsiTheme="majorHAnsi" w:cstheme="minorBidi"/>
          <w:sz w:val="20"/>
          <w:szCs w:val="20"/>
          <w:bdr w:val="none" w:sz="0" w:space="0" w:color="auto"/>
        </w:rPr>
      </w:pPr>
      <w:r w:rsidRPr="00E500AF">
        <w:rPr>
          <w:rFonts w:asciiTheme="majorHAnsi" w:eastAsiaTheme="minorEastAsia" w:hAnsiTheme="majorHAnsi" w:cstheme="minorBidi"/>
          <w:sz w:val="20"/>
          <w:szCs w:val="20"/>
          <w:bdr w:val="none" w:sz="0" w:space="0" w:color="auto"/>
        </w:rPr>
        <w:t xml:space="preserve">The petitioner also mentions that from the date on which the facts alleged occurred, in addition to the permanent disability of his son, he had been caused extremely high expenditures and economic losses to his family, yet the State had not given his family any type of monetary aid, except for a donation of 15,000 lempiras by the First Lady. In addition, the petitioner indicates that one of his greatest challenges has been not being able to send his son to school since they do not have the resources needed to be able to take him there. </w:t>
      </w:r>
    </w:p>
    <w:p w:rsidR="00E500AF" w:rsidRPr="00E500AF" w:rsidRDefault="00E500AF" w:rsidP="00E50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heme="minorEastAsia" w:hAnsiTheme="majorHAnsi" w:cstheme="minorBidi"/>
          <w:sz w:val="20"/>
          <w:szCs w:val="20"/>
          <w:bdr w:val="none" w:sz="0" w:space="0" w:color="auto"/>
        </w:rPr>
      </w:pPr>
    </w:p>
    <w:p w:rsidR="00781808" w:rsidRPr="00E500AF" w:rsidRDefault="00781808" w:rsidP="00E500AF">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sz w:val="20"/>
          <w:szCs w:val="20"/>
          <w:bdr w:val="none" w:sz="0" w:space="0" w:color="auto"/>
        </w:rPr>
      </w:pPr>
      <w:r w:rsidRPr="00E500AF">
        <w:rPr>
          <w:rFonts w:asciiTheme="majorHAnsi" w:eastAsia="Times New Roman" w:hAnsiTheme="majorHAnsi"/>
          <w:b/>
          <w:bCs/>
          <w:sz w:val="20"/>
          <w:szCs w:val="20"/>
          <w:bdr w:val="none" w:sz="0" w:space="0" w:color="auto"/>
        </w:rPr>
        <w:t>B.</w:t>
      </w:r>
      <w:r w:rsidRPr="00E500AF">
        <w:rPr>
          <w:rFonts w:asciiTheme="majorHAnsi" w:eastAsia="Times New Roman" w:hAnsiTheme="majorHAnsi"/>
          <w:b/>
          <w:bCs/>
          <w:sz w:val="20"/>
          <w:szCs w:val="20"/>
          <w:bdr w:val="none" w:sz="0" w:space="0" w:color="auto"/>
        </w:rPr>
        <w:tab/>
        <w:t>The State</w:t>
      </w:r>
    </w:p>
    <w:p w:rsidR="00781808" w:rsidRPr="00E500AF" w:rsidRDefault="00781808" w:rsidP="00E500A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heme="minorEastAsia" w:hAnsiTheme="majorHAnsi" w:cstheme="minorBidi"/>
          <w:sz w:val="20"/>
          <w:szCs w:val="20"/>
          <w:bdr w:val="none" w:sz="0" w:space="0" w:color="auto"/>
        </w:rPr>
      </w:pPr>
    </w:p>
    <w:p w:rsidR="00781808" w:rsidRPr="00E500AF" w:rsidRDefault="00781808" w:rsidP="00E500A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heme="minorEastAsia" w:hAnsiTheme="majorHAnsi" w:cstheme="minorBidi"/>
          <w:sz w:val="20"/>
          <w:szCs w:val="20"/>
          <w:bdr w:val="none" w:sz="0" w:space="0" w:color="auto"/>
        </w:rPr>
      </w:pPr>
      <w:r w:rsidRPr="00E500AF">
        <w:rPr>
          <w:rFonts w:asciiTheme="majorHAnsi" w:eastAsia="Times New Roman" w:hAnsiTheme="majorHAnsi"/>
          <w:sz w:val="20"/>
          <w:szCs w:val="20"/>
          <w:bdr w:val="none" w:sz="0" w:space="0" w:color="auto"/>
        </w:rPr>
        <w:t xml:space="preserve">The State did not present any response to the facts alleged by the petitioner, nor has it questioned the admissibility of the petition under consideration. </w:t>
      </w:r>
    </w:p>
    <w:p w:rsidR="00E500AF" w:rsidRPr="00E500AF" w:rsidRDefault="00E500AF" w:rsidP="00E50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heme="minorEastAsia" w:hAnsiTheme="majorHAnsi" w:cstheme="minorBidi"/>
          <w:sz w:val="20"/>
          <w:szCs w:val="20"/>
          <w:bdr w:val="none" w:sz="0" w:space="0" w:color="auto"/>
        </w:rPr>
      </w:pPr>
    </w:p>
    <w:p w:rsidR="00781808" w:rsidRDefault="00781808" w:rsidP="00E500AF">
      <w:pPr>
        <w:keepNex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Times New Roman" w:hAnsiTheme="majorHAnsi"/>
          <w:b/>
          <w:bCs/>
          <w:sz w:val="20"/>
          <w:szCs w:val="20"/>
          <w:bdr w:val="none" w:sz="0" w:space="0" w:color="auto"/>
        </w:rPr>
      </w:pPr>
      <w:r w:rsidRPr="00E500AF">
        <w:rPr>
          <w:rFonts w:asciiTheme="majorHAnsi" w:eastAsia="Times New Roman" w:hAnsiTheme="majorHAnsi"/>
          <w:b/>
          <w:bCs/>
          <w:sz w:val="20"/>
          <w:szCs w:val="20"/>
          <w:bdr w:val="none" w:sz="0" w:space="0" w:color="auto"/>
        </w:rPr>
        <w:t>ANALYSIS OF COMPETENCE AND ADMISSIBILITY</w:t>
      </w:r>
    </w:p>
    <w:p w:rsidR="00E500AF" w:rsidRPr="00E500AF" w:rsidRDefault="00E500AF" w:rsidP="00E500AF">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Times New Roman" w:hAnsiTheme="majorHAnsi"/>
          <w:b/>
          <w:bCs/>
          <w:sz w:val="20"/>
          <w:szCs w:val="20"/>
          <w:bdr w:val="none" w:sz="0" w:space="0" w:color="auto"/>
        </w:rPr>
      </w:pPr>
    </w:p>
    <w:p w:rsidR="00781808" w:rsidRPr="00E500AF" w:rsidRDefault="00781808" w:rsidP="00E500AF">
      <w:pPr>
        <w:keepNext/>
        <w:numPr>
          <w:ilvl w:val="2"/>
          <w:numId w:val="106"/>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rPr>
          <w:rFonts w:asciiTheme="majorHAnsi" w:eastAsia="Times New Roman" w:hAnsiTheme="majorHAnsi"/>
          <w:b/>
          <w:i/>
          <w:sz w:val="20"/>
          <w:szCs w:val="20"/>
          <w:bdr w:val="none" w:sz="0" w:space="0" w:color="auto"/>
        </w:rPr>
      </w:pPr>
      <w:r w:rsidRPr="00E500AF">
        <w:rPr>
          <w:rFonts w:asciiTheme="majorHAnsi" w:eastAsia="Times New Roman" w:hAnsiTheme="majorHAnsi"/>
          <w:b/>
          <w:sz w:val="20"/>
          <w:szCs w:val="20"/>
          <w:bdr w:val="none" w:sz="0" w:space="0" w:color="auto"/>
        </w:rPr>
        <w:t xml:space="preserve">Preliminary considerations </w:t>
      </w:r>
    </w:p>
    <w:p w:rsidR="00E500AF" w:rsidRPr="00E500AF" w:rsidRDefault="00E500AF" w:rsidP="00E500AF">
      <w:pPr>
        <w:keepNext/>
        <w:pBdr>
          <w:top w:val="none" w:sz="0" w:space="0" w:color="auto"/>
          <w:left w:val="none" w:sz="0" w:space="0" w:color="auto"/>
          <w:bottom w:val="none" w:sz="0" w:space="0" w:color="auto"/>
          <w:right w:val="none" w:sz="0" w:space="0" w:color="auto"/>
          <w:between w:val="none" w:sz="0" w:space="0" w:color="auto"/>
          <w:bar w:val="none" w:sz="0" w:color="auto"/>
        </w:pBdr>
        <w:ind w:left="1440"/>
        <w:jc w:val="both"/>
        <w:outlineLvl w:val="1"/>
        <w:rPr>
          <w:rFonts w:asciiTheme="majorHAnsi" w:eastAsia="Times New Roman" w:hAnsiTheme="majorHAnsi"/>
          <w:b/>
          <w:i/>
          <w:sz w:val="20"/>
          <w:szCs w:val="20"/>
          <w:bdr w:val="none" w:sz="0" w:space="0" w:color="auto"/>
        </w:rPr>
      </w:pPr>
    </w:p>
    <w:p w:rsidR="00781808" w:rsidRPr="00E500AF" w:rsidRDefault="00781808" w:rsidP="00E500A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heme="minorEastAsia" w:hAnsiTheme="majorHAnsi" w:cstheme="minorBidi"/>
          <w:sz w:val="20"/>
          <w:szCs w:val="20"/>
          <w:bdr w:val="none" w:sz="0" w:space="0" w:color="auto"/>
        </w:rPr>
      </w:pPr>
      <w:r w:rsidRPr="00E500AF">
        <w:rPr>
          <w:rFonts w:asciiTheme="majorHAnsi" w:eastAsia="Times New Roman" w:hAnsiTheme="majorHAnsi"/>
          <w:sz w:val="20"/>
          <w:szCs w:val="20"/>
          <w:bdr w:val="none" w:sz="0" w:space="0" w:color="auto"/>
        </w:rPr>
        <w:t xml:space="preserve">The IACHR observes that at no time has the State responded to the petitioner’s allegations nor has it questioned the admissibility of the petition. </w:t>
      </w:r>
      <w:bookmarkStart w:id="0" w:name="_ftnref1"/>
      <w:bookmarkEnd w:id="0"/>
      <w:r w:rsidRPr="00E500AF">
        <w:rPr>
          <w:rFonts w:asciiTheme="majorHAnsi" w:eastAsia="Times New Roman" w:hAnsiTheme="majorHAnsi"/>
          <w:sz w:val="20"/>
          <w:szCs w:val="20"/>
          <w:bdr w:val="none" w:sz="0" w:space="0" w:color="auto"/>
        </w:rPr>
        <w:t>The IACHR recalls that Honduras is responsible for its international obligations assumed in keeping with the terms of the American Convention. Article 48(1</w:t>
      </w:r>
      <w:proofErr w:type="gramStart"/>
      <w:r w:rsidRPr="00E500AF">
        <w:rPr>
          <w:rFonts w:asciiTheme="majorHAnsi" w:eastAsia="Times New Roman" w:hAnsiTheme="majorHAnsi"/>
          <w:sz w:val="20"/>
          <w:szCs w:val="20"/>
          <w:bdr w:val="none" w:sz="0" w:space="0" w:color="auto"/>
        </w:rPr>
        <w:t>)(</w:t>
      </w:r>
      <w:proofErr w:type="gramEnd"/>
      <w:r w:rsidRPr="00E500AF">
        <w:rPr>
          <w:rFonts w:asciiTheme="majorHAnsi" w:eastAsia="Times New Roman" w:hAnsiTheme="majorHAnsi"/>
          <w:sz w:val="20"/>
          <w:szCs w:val="20"/>
          <w:bdr w:val="none" w:sz="0" w:space="0" w:color="auto"/>
        </w:rPr>
        <w:t>a) of the Convention is especially relevant as it establishes the procedures that should be followed when a petition or communication is submitted to the Commission. The IACHR “shall request information from the government of the state indicated as being responsible for the alleged violations” and “</w:t>
      </w:r>
      <w:r w:rsidRPr="00E500AF">
        <w:rPr>
          <w:rFonts w:asciiTheme="majorHAnsi" w:eastAsiaTheme="minorEastAsia" w:hAnsiTheme="majorHAnsi" w:cstheme="minorBidi"/>
          <w:sz w:val="20"/>
          <w:szCs w:val="20"/>
          <w:bdr w:val="none" w:sz="0" w:space="0" w:color="auto"/>
        </w:rPr>
        <w:t xml:space="preserve">[t]his information shall be submitted within a reasonable period […]” </w:t>
      </w:r>
      <w:r w:rsidRPr="00E500AF">
        <w:rPr>
          <w:rFonts w:asciiTheme="majorHAnsi" w:eastAsia="Times New Roman" w:hAnsiTheme="majorHAnsi"/>
          <w:sz w:val="20"/>
          <w:szCs w:val="20"/>
          <w:bdr w:val="none" w:sz="0" w:space="0" w:color="auto"/>
        </w:rPr>
        <w:t>The provisions of Article 48(1</w:t>
      </w:r>
      <w:proofErr w:type="gramStart"/>
      <w:r w:rsidRPr="00E500AF">
        <w:rPr>
          <w:rFonts w:asciiTheme="majorHAnsi" w:eastAsia="Times New Roman" w:hAnsiTheme="majorHAnsi"/>
          <w:sz w:val="20"/>
          <w:szCs w:val="20"/>
          <w:bdr w:val="none" w:sz="0" w:space="0" w:color="auto"/>
        </w:rPr>
        <w:t>)(</w:t>
      </w:r>
      <w:proofErr w:type="gramEnd"/>
      <w:r w:rsidRPr="00E500AF">
        <w:rPr>
          <w:rFonts w:asciiTheme="majorHAnsi" w:eastAsia="Times New Roman" w:hAnsiTheme="majorHAnsi"/>
          <w:sz w:val="20"/>
          <w:szCs w:val="20"/>
          <w:bdr w:val="none" w:sz="0" w:space="0" w:color="auto"/>
        </w:rPr>
        <w:t>e) stipulate that the Commission “may request the states concerned to furnish any pertinent information.” This requires that states party to the Convention give the Commission the information it needs to analyze the individual petitions</w:t>
      </w:r>
      <w:r w:rsidRPr="00E500AF">
        <w:rPr>
          <w:rFonts w:asciiTheme="majorHAnsi" w:eastAsia="Times New Roman" w:hAnsiTheme="majorHAnsi"/>
          <w:sz w:val="20"/>
          <w:szCs w:val="20"/>
          <w:bdr w:val="none" w:sz="0" w:space="0" w:color="auto"/>
          <w:vertAlign w:val="superscript"/>
          <w:lang w:val="es-EC"/>
        </w:rPr>
        <w:footnoteReference w:id="2"/>
      </w:r>
      <w:r w:rsidRPr="00E500AF">
        <w:rPr>
          <w:rFonts w:asciiTheme="majorHAnsi" w:eastAsia="Times New Roman" w:hAnsiTheme="majorHAnsi"/>
          <w:sz w:val="20"/>
          <w:szCs w:val="20"/>
          <w:bdr w:val="none" w:sz="0" w:space="0" w:color="auto"/>
        </w:rPr>
        <w:t xml:space="preserve">. </w:t>
      </w:r>
    </w:p>
    <w:p w:rsidR="00781808" w:rsidRPr="00E500AF" w:rsidRDefault="00781808" w:rsidP="00E500A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Theme="minorEastAsia" w:hAnsiTheme="majorHAnsi" w:cstheme="minorBidi"/>
          <w:sz w:val="20"/>
          <w:szCs w:val="20"/>
          <w:bdr w:val="none" w:sz="0" w:space="0" w:color="auto"/>
        </w:rPr>
      </w:pPr>
    </w:p>
    <w:p w:rsidR="00781808" w:rsidRDefault="00781808" w:rsidP="00E500AF">
      <w:pPr>
        <w:keepNext/>
        <w:numPr>
          <w:ilvl w:val="2"/>
          <w:numId w:val="106"/>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rPr>
          <w:rFonts w:asciiTheme="majorHAnsi" w:eastAsia="Times New Roman" w:hAnsiTheme="majorHAnsi"/>
          <w:b/>
          <w:i/>
          <w:sz w:val="20"/>
          <w:szCs w:val="20"/>
          <w:bdr w:val="none" w:sz="0" w:space="0" w:color="auto"/>
        </w:rPr>
      </w:pPr>
      <w:r w:rsidRPr="00E500AF">
        <w:rPr>
          <w:rFonts w:asciiTheme="majorHAnsi" w:eastAsia="Times New Roman" w:hAnsiTheme="majorHAnsi"/>
          <w:b/>
          <w:sz w:val="20"/>
          <w:szCs w:val="20"/>
          <w:bdr w:val="none" w:sz="0" w:space="0" w:color="auto"/>
        </w:rPr>
        <w:t xml:space="preserve">Competence of the Commission </w:t>
      </w:r>
      <w:proofErr w:type="spellStart"/>
      <w:r w:rsidRPr="00E500AF">
        <w:rPr>
          <w:rFonts w:asciiTheme="majorHAnsi" w:eastAsia="Times New Roman" w:hAnsiTheme="majorHAnsi"/>
          <w:b/>
          <w:i/>
          <w:sz w:val="20"/>
          <w:szCs w:val="20"/>
          <w:bdr w:val="none" w:sz="0" w:space="0" w:color="auto"/>
        </w:rPr>
        <w:t>ratione</w:t>
      </w:r>
      <w:proofErr w:type="spellEnd"/>
      <w:r w:rsidRPr="00E500AF">
        <w:rPr>
          <w:rFonts w:asciiTheme="majorHAnsi" w:eastAsia="Times New Roman" w:hAnsiTheme="majorHAnsi"/>
          <w:b/>
          <w:i/>
          <w:sz w:val="20"/>
          <w:szCs w:val="20"/>
          <w:bdr w:val="none" w:sz="0" w:space="0" w:color="auto"/>
        </w:rPr>
        <w:t xml:space="preserve"> personae, </w:t>
      </w:r>
      <w:proofErr w:type="spellStart"/>
      <w:r w:rsidRPr="00E500AF">
        <w:rPr>
          <w:rFonts w:asciiTheme="majorHAnsi" w:eastAsia="Times New Roman" w:hAnsiTheme="majorHAnsi"/>
          <w:b/>
          <w:i/>
          <w:sz w:val="20"/>
          <w:szCs w:val="20"/>
          <w:bdr w:val="none" w:sz="0" w:space="0" w:color="auto"/>
        </w:rPr>
        <w:t>ratione</w:t>
      </w:r>
      <w:proofErr w:type="spellEnd"/>
      <w:r w:rsidRPr="00E500AF">
        <w:rPr>
          <w:rFonts w:asciiTheme="majorHAnsi" w:eastAsia="Times New Roman" w:hAnsiTheme="majorHAnsi"/>
          <w:b/>
          <w:i/>
          <w:sz w:val="20"/>
          <w:szCs w:val="20"/>
          <w:bdr w:val="none" w:sz="0" w:space="0" w:color="auto"/>
        </w:rPr>
        <w:t xml:space="preserve"> </w:t>
      </w:r>
      <w:proofErr w:type="spellStart"/>
      <w:r w:rsidRPr="00E500AF">
        <w:rPr>
          <w:rFonts w:asciiTheme="majorHAnsi" w:eastAsia="Times New Roman" w:hAnsiTheme="majorHAnsi"/>
          <w:b/>
          <w:i/>
          <w:sz w:val="20"/>
          <w:szCs w:val="20"/>
          <w:bdr w:val="none" w:sz="0" w:space="0" w:color="auto"/>
        </w:rPr>
        <w:t>materiae</w:t>
      </w:r>
      <w:proofErr w:type="spellEnd"/>
      <w:r w:rsidRPr="00E500AF">
        <w:rPr>
          <w:rFonts w:asciiTheme="majorHAnsi" w:eastAsia="Times New Roman" w:hAnsiTheme="majorHAnsi"/>
          <w:b/>
          <w:i/>
          <w:sz w:val="20"/>
          <w:szCs w:val="20"/>
          <w:bdr w:val="none" w:sz="0" w:space="0" w:color="auto"/>
        </w:rPr>
        <w:t xml:space="preserve">, </w:t>
      </w:r>
      <w:proofErr w:type="spellStart"/>
      <w:r w:rsidRPr="00E500AF">
        <w:rPr>
          <w:rFonts w:asciiTheme="majorHAnsi" w:eastAsia="Times New Roman" w:hAnsiTheme="majorHAnsi"/>
          <w:b/>
          <w:i/>
          <w:sz w:val="20"/>
          <w:szCs w:val="20"/>
          <w:bdr w:val="none" w:sz="0" w:space="0" w:color="auto"/>
        </w:rPr>
        <w:t>ratione</w:t>
      </w:r>
      <w:proofErr w:type="spellEnd"/>
      <w:r w:rsidRPr="00E500AF">
        <w:rPr>
          <w:rFonts w:asciiTheme="majorHAnsi" w:eastAsia="Times New Roman" w:hAnsiTheme="majorHAnsi"/>
          <w:b/>
          <w:i/>
          <w:sz w:val="20"/>
          <w:szCs w:val="20"/>
          <w:bdr w:val="none" w:sz="0" w:space="0" w:color="auto"/>
        </w:rPr>
        <w:t xml:space="preserve"> </w:t>
      </w:r>
      <w:proofErr w:type="spellStart"/>
      <w:r w:rsidRPr="00E500AF">
        <w:rPr>
          <w:rFonts w:asciiTheme="majorHAnsi" w:eastAsia="Times New Roman" w:hAnsiTheme="majorHAnsi"/>
          <w:b/>
          <w:i/>
          <w:sz w:val="20"/>
          <w:szCs w:val="20"/>
          <w:bdr w:val="none" w:sz="0" w:space="0" w:color="auto"/>
        </w:rPr>
        <w:t>temporis</w:t>
      </w:r>
      <w:proofErr w:type="spellEnd"/>
      <w:r w:rsidRPr="00E500AF">
        <w:rPr>
          <w:rFonts w:asciiTheme="majorHAnsi" w:eastAsia="Times New Roman" w:hAnsiTheme="majorHAnsi"/>
          <w:b/>
          <w:i/>
          <w:sz w:val="20"/>
          <w:szCs w:val="20"/>
          <w:bdr w:val="none" w:sz="0" w:space="0" w:color="auto"/>
        </w:rPr>
        <w:t xml:space="preserve">, </w:t>
      </w:r>
      <w:r w:rsidRPr="00E500AF">
        <w:rPr>
          <w:rFonts w:asciiTheme="majorHAnsi" w:eastAsia="Times New Roman" w:hAnsiTheme="majorHAnsi"/>
          <w:b/>
          <w:iCs/>
          <w:sz w:val="20"/>
          <w:szCs w:val="20"/>
          <w:bdr w:val="none" w:sz="0" w:space="0" w:color="auto"/>
        </w:rPr>
        <w:t>and</w:t>
      </w:r>
      <w:r w:rsidRPr="00E500AF">
        <w:rPr>
          <w:rFonts w:asciiTheme="majorHAnsi" w:eastAsia="Times New Roman" w:hAnsiTheme="majorHAnsi"/>
          <w:b/>
          <w:i/>
          <w:sz w:val="20"/>
          <w:szCs w:val="20"/>
          <w:bdr w:val="none" w:sz="0" w:space="0" w:color="auto"/>
        </w:rPr>
        <w:t xml:space="preserve"> </w:t>
      </w:r>
      <w:proofErr w:type="spellStart"/>
      <w:r w:rsidRPr="00E500AF">
        <w:rPr>
          <w:rFonts w:asciiTheme="majorHAnsi" w:eastAsia="Times New Roman" w:hAnsiTheme="majorHAnsi"/>
          <w:b/>
          <w:i/>
          <w:sz w:val="20"/>
          <w:szCs w:val="20"/>
          <w:bdr w:val="none" w:sz="0" w:space="0" w:color="auto"/>
        </w:rPr>
        <w:t>ratione</w:t>
      </w:r>
      <w:proofErr w:type="spellEnd"/>
      <w:r w:rsidRPr="00E500AF">
        <w:rPr>
          <w:rFonts w:asciiTheme="majorHAnsi" w:eastAsia="Times New Roman" w:hAnsiTheme="majorHAnsi"/>
          <w:b/>
          <w:i/>
          <w:sz w:val="20"/>
          <w:szCs w:val="20"/>
          <w:bdr w:val="none" w:sz="0" w:space="0" w:color="auto"/>
        </w:rPr>
        <w:t xml:space="preserve"> loci</w:t>
      </w:r>
    </w:p>
    <w:p w:rsidR="00E500AF" w:rsidRPr="00E500AF" w:rsidRDefault="00E500AF" w:rsidP="00E500AF">
      <w:pPr>
        <w:keepNext/>
        <w:pBdr>
          <w:top w:val="none" w:sz="0" w:space="0" w:color="auto"/>
          <w:left w:val="none" w:sz="0" w:space="0" w:color="auto"/>
          <w:bottom w:val="none" w:sz="0" w:space="0" w:color="auto"/>
          <w:right w:val="none" w:sz="0" w:space="0" w:color="auto"/>
          <w:between w:val="none" w:sz="0" w:space="0" w:color="auto"/>
          <w:bar w:val="none" w:sz="0" w:color="auto"/>
        </w:pBdr>
        <w:ind w:left="1440"/>
        <w:jc w:val="both"/>
        <w:outlineLvl w:val="1"/>
        <w:rPr>
          <w:rFonts w:asciiTheme="majorHAnsi" w:eastAsia="Times New Roman" w:hAnsiTheme="majorHAnsi"/>
          <w:b/>
          <w:i/>
          <w:sz w:val="20"/>
          <w:szCs w:val="20"/>
          <w:bdr w:val="none" w:sz="0" w:space="0" w:color="auto"/>
        </w:rPr>
      </w:pPr>
    </w:p>
    <w:p w:rsidR="00781808" w:rsidRPr="00E500AF" w:rsidRDefault="00781808" w:rsidP="00E500A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heme="minorEastAsia" w:hAnsiTheme="majorHAnsi" w:cstheme="minorBidi"/>
          <w:sz w:val="20"/>
          <w:szCs w:val="20"/>
          <w:bdr w:val="none" w:sz="0" w:space="0" w:color="auto"/>
        </w:rPr>
      </w:pPr>
      <w:r w:rsidRPr="00E500AF">
        <w:rPr>
          <w:rFonts w:asciiTheme="majorHAnsi" w:eastAsiaTheme="minorEastAsia" w:hAnsiTheme="majorHAnsi" w:cstheme="minorBidi"/>
          <w:sz w:val="20"/>
          <w:szCs w:val="20"/>
          <w:bdr w:val="none" w:sz="0" w:space="0" w:color="auto"/>
        </w:rPr>
        <w:t xml:space="preserve">In principle the petitioners are authorized by Article 44 of the American Convention to submit petitions to the Commission. The petition identifies as the alleged victims individual persons with respect to whom the State of Honduras undertook to respect and ensure the rights enshrined in the American Convention. As regards the State, the Commission notes that Honduras has been a state party to the American Convention since September 8, 1977, the date on which it deposited its instrument of ratification. Therefore, the Commission is competent </w:t>
      </w:r>
      <w:proofErr w:type="spellStart"/>
      <w:r w:rsidRPr="00E500AF">
        <w:rPr>
          <w:rFonts w:asciiTheme="majorHAnsi" w:eastAsiaTheme="minorEastAsia" w:hAnsiTheme="majorHAnsi" w:cstheme="minorBidi"/>
          <w:i/>
          <w:iCs/>
          <w:sz w:val="20"/>
          <w:szCs w:val="20"/>
          <w:bdr w:val="none" w:sz="0" w:space="0" w:color="auto"/>
        </w:rPr>
        <w:t>ratione</w:t>
      </w:r>
      <w:proofErr w:type="spellEnd"/>
      <w:r w:rsidRPr="00E500AF">
        <w:rPr>
          <w:rFonts w:asciiTheme="majorHAnsi" w:eastAsiaTheme="minorEastAsia" w:hAnsiTheme="majorHAnsi" w:cstheme="minorBidi"/>
          <w:i/>
          <w:iCs/>
          <w:sz w:val="20"/>
          <w:szCs w:val="20"/>
          <w:bdr w:val="none" w:sz="0" w:space="0" w:color="auto"/>
        </w:rPr>
        <w:t xml:space="preserve"> personae</w:t>
      </w:r>
      <w:r w:rsidRPr="00E500AF">
        <w:rPr>
          <w:rFonts w:asciiTheme="majorHAnsi" w:eastAsiaTheme="minorEastAsia" w:hAnsiTheme="majorHAnsi" w:cstheme="minorBidi"/>
          <w:sz w:val="20"/>
          <w:szCs w:val="20"/>
          <w:bdr w:val="none" w:sz="0" w:space="0" w:color="auto"/>
        </w:rPr>
        <w:t xml:space="preserve"> to examine the petition. In addition, the Commission is competent </w:t>
      </w:r>
      <w:proofErr w:type="spellStart"/>
      <w:r w:rsidRPr="00E500AF">
        <w:rPr>
          <w:rFonts w:asciiTheme="majorHAnsi" w:eastAsiaTheme="minorEastAsia" w:hAnsiTheme="majorHAnsi" w:cstheme="minorBidi"/>
          <w:i/>
          <w:iCs/>
          <w:sz w:val="20"/>
          <w:szCs w:val="20"/>
          <w:bdr w:val="none" w:sz="0" w:space="0" w:color="auto"/>
        </w:rPr>
        <w:t>ratione</w:t>
      </w:r>
      <w:proofErr w:type="spellEnd"/>
      <w:r w:rsidRPr="00E500AF">
        <w:rPr>
          <w:rFonts w:asciiTheme="majorHAnsi" w:eastAsiaTheme="minorEastAsia" w:hAnsiTheme="majorHAnsi" w:cstheme="minorBidi"/>
          <w:i/>
          <w:iCs/>
          <w:sz w:val="20"/>
          <w:szCs w:val="20"/>
          <w:bdr w:val="none" w:sz="0" w:space="0" w:color="auto"/>
        </w:rPr>
        <w:t xml:space="preserve"> loci</w:t>
      </w:r>
      <w:r w:rsidRPr="00E500AF">
        <w:rPr>
          <w:rFonts w:asciiTheme="majorHAnsi" w:eastAsiaTheme="minorEastAsia" w:hAnsiTheme="majorHAnsi" w:cstheme="minorBidi"/>
          <w:sz w:val="20"/>
          <w:szCs w:val="20"/>
          <w:bdr w:val="none" w:sz="0" w:space="0" w:color="auto"/>
        </w:rPr>
        <w:t xml:space="preserve"> to take cognizance of the petition, insofar as it alleges violations of rights protected by the American Convention said to have taken place in the territory of Honduras, a state party to that treaty.  </w:t>
      </w:r>
    </w:p>
    <w:p w:rsidR="00781808" w:rsidRDefault="00781808" w:rsidP="00E500A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heme="minorEastAsia" w:hAnsiTheme="majorHAnsi" w:cstheme="minorBidi"/>
          <w:sz w:val="20"/>
          <w:szCs w:val="20"/>
          <w:bdr w:val="none" w:sz="0" w:space="0" w:color="auto"/>
        </w:rPr>
      </w:pPr>
      <w:r w:rsidRPr="00E500AF">
        <w:rPr>
          <w:rFonts w:asciiTheme="majorHAnsi" w:eastAsiaTheme="minorEastAsia" w:hAnsiTheme="majorHAnsi" w:cstheme="minorBidi"/>
          <w:sz w:val="20"/>
          <w:szCs w:val="20"/>
          <w:bdr w:val="none" w:sz="0" w:space="0" w:color="auto"/>
        </w:rPr>
        <w:lastRenderedPageBreak/>
        <w:t xml:space="preserve">The Commission is competent </w:t>
      </w:r>
      <w:proofErr w:type="spellStart"/>
      <w:r w:rsidRPr="00E500AF">
        <w:rPr>
          <w:rFonts w:asciiTheme="majorHAnsi" w:eastAsiaTheme="minorEastAsia" w:hAnsiTheme="majorHAnsi" w:cstheme="minorBidi"/>
          <w:i/>
          <w:iCs/>
          <w:sz w:val="20"/>
          <w:szCs w:val="20"/>
          <w:bdr w:val="none" w:sz="0" w:space="0" w:color="auto"/>
        </w:rPr>
        <w:t>ratione</w:t>
      </w:r>
      <w:proofErr w:type="spellEnd"/>
      <w:r w:rsidRPr="00E500AF">
        <w:rPr>
          <w:rFonts w:asciiTheme="majorHAnsi" w:eastAsiaTheme="minorEastAsia" w:hAnsiTheme="majorHAnsi" w:cstheme="minorBidi"/>
          <w:i/>
          <w:iCs/>
          <w:sz w:val="20"/>
          <w:szCs w:val="20"/>
          <w:bdr w:val="none" w:sz="0" w:space="0" w:color="auto"/>
        </w:rPr>
        <w:t xml:space="preserve"> </w:t>
      </w:r>
      <w:proofErr w:type="spellStart"/>
      <w:r w:rsidRPr="00E500AF">
        <w:rPr>
          <w:rFonts w:asciiTheme="majorHAnsi" w:eastAsiaTheme="minorEastAsia" w:hAnsiTheme="majorHAnsi" w:cstheme="minorBidi"/>
          <w:i/>
          <w:iCs/>
          <w:sz w:val="20"/>
          <w:szCs w:val="20"/>
          <w:bdr w:val="none" w:sz="0" w:space="0" w:color="auto"/>
        </w:rPr>
        <w:t>temporis</w:t>
      </w:r>
      <w:proofErr w:type="spellEnd"/>
      <w:r w:rsidRPr="00E500AF">
        <w:rPr>
          <w:rFonts w:asciiTheme="majorHAnsi" w:eastAsiaTheme="minorEastAsia" w:hAnsiTheme="majorHAnsi" w:cstheme="minorBidi"/>
          <w:sz w:val="20"/>
          <w:szCs w:val="20"/>
          <w:bdr w:val="none" w:sz="0" w:space="0" w:color="auto"/>
        </w:rPr>
        <w:t xml:space="preserve"> insofar as the obligation to respect and ensure the rights protected in the American Convention was already in force for the State as of the date on which the facts alleged in the petition are said to have occurred.  Finally, the Commission is competent </w:t>
      </w:r>
      <w:proofErr w:type="spellStart"/>
      <w:r w:rsidRPr="00E500AF">
        <w:rPr>
          <w:rFonts w:asciiTheme="majorHAnsi" w:eastAsiaTheme="minorEastAsia" w:hAnsiTheme="majorHAnsi" w:cstheme="minorBidi"/>
          <w:i/>
          <w:iCs/>
          <w:sz w:val="20"/>
          <w:szCs w:val="20"/>
          <w:bdr w:val="none" w:sz="0" w:space="0" w:color="auto"/>
        </w:rPr>
        <w:t>ratione</w:t>
      </w:r>
      <w:proofErr w:type="spellEnd"/>
      <w:r w:rsidRPr="00E500AF">
        <w:rPr>
          <w:rFonts w:asciiTheme="majorHAnsi" w:eastAsiaTheme="minorEastAsia" w:hAnsiTheme="majorHAnsi" w:cstheme="minorBidi"/>
          <w:i/>
          <w:iCs/>
          <w:sz w:val="20"/>
          <w:szCs w:val="20"/>
          <w:bdr w:val="none" w:sz="0" w:space="0" w:color="auto"/>
        </w:rPr>
        <w:t xml:space="preserve"> </w:t>
      </w:r>
      <w:proofErr w:type="spellStart"/>
      <w:r w:rsidRPr="00E500AF">
        <w:rPr>
          <w:rFonts w:asciiTheme="majorHAnsi" w:eastAsiaTheme="minorEastAsia" w:hAnsiTheme="majorHAnsi" w:cstheme="minorBidi"/>
          <w:i/>
          <w:iCs/>
          <w:sz w:val="20"/>
          <w:szCs w:val="20"/>
          <w:bdr w:val="none" w:sz="0" w:space="0" w:color="auto"/>
        </w:rPr>
        <w:t>materiae</w:t>
      </w:r>
      <w:proofErr w:type="spellEnd"/>
      <w:r w:rsidRPr="00E500AF">
        <w:rPr>
          <w:rFonts w:asciiTheme="majorHAnsi" w:eastAsiaTheme="minorEastAsia" w:hAnsiTheme="majorHAnsi" w:cstheme="minorBidi"/>
          <w:sz w:val="20"/>
          <w:szCs w:val="20"/>
          <w:bdr w:val="none" w:sz="0" w:space="0" w:color="auto"/>
        </w:rPr>
        <w:t xml:space="preserve"> because the petition alleges possible violations of human rights protected by the American Convention.  </w:t>
      </w:r>
    </w:p>
    <w:p w:rsidR="00E500AF" w:rsidRPr="00E500AF" w:rsidRDefault="00E500AF" w:rsidP="00E50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heme="minorEastAsia" w:hAnsiTheme="majorHAnsi" w:cstheme="minorBidi"/>
          <w:sz w:val="20"/>
          <w:szCs w:val="20"/>
          <w:bdr w:val="none" w:sz="0" w:space="0" w:color="auto"/>
        </w:rPr>
      </w:pPr>
    </w:p>
    <w:p w:rsidR="00781808" w:rsidRDefault="00781808" w:rsidP="00E500A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heme="minorEastAsia" w:hAnsiTheme="majorHAnsi" w:cstheme="minorBidi"/>
          <w:sz w:val="20"/>
          <w:szCs w:val="20"/>
          <w:bdr w:val="none" w:sz="0" w:space="0" w:color="auto"/>
        </w:rPr>
      </w:pPr>
      <w:r w:rsidRPr="00E500AF">
        <w:rPr>
          <w:rFonts w:asciiTheme="majorHAnsi" w:eastAsiaTheme="minorEastAsia" w:hAnsiTheme="majorHAnsi" w:cs="Arial"/>
          <w:sz w:val="20"/>
          <w:szCs w:val="20"/>
          <w:bdr w:val="none" w:sz="0" w:space="0" w:color="auto"/>
        </w:rPr>
        <w:t xml:space="preserve">Furthermore, the IACHR might whether the Honduran State’s international responsibility was triggered under the American Convention, other instruments that are part of the </w:t>
      </w:r>
      <w:r w:rsidRPr="00E500AF">
        <w:rPr>
          <w:rFonts w:asciiTheme="majorHAnsi" w:eastAsiaTheme="minorEastAsia" w:hAnsiTheme="majorHAnsi" w:cs="Arial"/>
          <w:i/>
          <w:sz w:val="20"/>
          <w:szCs w:val="20"/>
          <w:bdr w:val="none" w:sz="0" w:space="0" w:color="auto"/>
        </w:rPr>
        <w:t xml:space="preserve">corpus juris </w:t>
      </w:r>
      <w:r w:rsidRPr="00E500AF">
        <w:rPr>
          <w:rFonts w:asciiTheme="majorHAnsi" w:eastAsiaTheme="minorEastAsia" w:hAnsiTheme="majorHAnsi" w:cs="Arial"/>
          <w:sz w:val="20"/>
          <w:szCs w:val="20"/>
          <w:bdr w:val="none" w:sz="0" w:space="0" w:color="auto"/>
        </w:rPr>
        <w:t xml:space="preserve">on the rights of children and adolescents in relation to the situation of </w:t>
      </w:r>
      <w:r w:rsidRPr="00E500AF">
        <w:rPr>
          <w:rFonts w:asciiTheme="majorHAnsi" w:eastAsiaTheme="minorEastAsia" w:hAnsiTheme="majorHAnsi" w:cstheme="minorBidi"/>
          <w:sz w:val="20"/>
          <w:szCs w:val="20"/>
          <w:bdr w:val="none" w:sz="0" w:space="0" w:color="auto"/>
        </w:rPr>
        <w:t xml:space="preserve">Ronal Jared </w:t>
      </w:r>
      <w:proofErr w:type="spellStart"/>
      <w:r w:rsidRPr="00E500AF">
        <w:rPr>
          <w:rFonts w:asciiTheme="majorHAnsi" w:eastAsiaTheme="minorEastAsia" w:hAnsiTheme="majorHAnsi" w:cstheme="minorBidi"/>
          <w:sz w:val="20"/>
          <w:szCs w:val="20"/>
          <w:bdr w:val="none" w:sz="0" w:space="0" w:color="auto"/>
        </w:rPr>
        <w:t>Martínez</w:t>
      </w:r>
      <w:proofErr w:type="spellEnd"/>
      <w:r w:rsidRPr="00E500AF">
        <w:rPr>
          <w:rFonts w:asciiTheme="majorHAnsi" w:eastAsiaTheme="minorEastAsia" w:hAnsiTheme="majorHAnsi" w:cstheme="minorBidi"/>
          <w:sz w:val="20"/>
          <w:szCs w:val="20"/>
          <w:bdr w:val="none" w:sz="0" w:space="0" w:color="auto"/>
        </w:rPr>
        <w:t xml:space="preserve"> </w:t>
      </w:r>
      <w:proofErr w:type="spellStart"/>
      <w:r w:rsidRPr="00E500AF">
        <w:rPr>
          <w:rFonts w:asciiTheme="majorHAnsi" w:eastAsiaTheme="minorEastAsia" w:hAnsiTheme="majorHAnsi" w:cstheme="minorBidi"/>
          <w:sz w:val="20"/>
          <w:szCs w:val="20"/>
          <w:bdr w:val="none" w:sz="0" w:space="0" w:color="auto"/>
        </w:rPr>
        <w:t>Velásquez</w:t>
      </w:r>
      <w:proofErr w:type="spellEnd"/>
      <w:r w:rsidRPr="00E500AF">
        <w:rPr>
          <w:rFonts w:asciiTheme="majorHAnsi" w:eastAsiaTheme="minorEastAsia" w:hAnsiTheme="majorHAnsi" w:cs="Arial"/>
          <w:sz w:val="20"/>
          <w:szCs w:val="20"/>
          <w:bdr w:val="none" w:sz="0" w:space="0" w:color="auto"/>
        </w:rPr>
        <w:t xml:space="preserve"> and </w:t>
      </w:r>
      <w:proofErr w:type="spellStart"/>
      <w:r w:rsidRPr="00E500AF">
        <w:rPr>
          <w:rFonts w:asciiTheme="majorHAnsi" w:eastAsiaTheme="minorEastAsia" w:hAnsiTheme="majorHAnsi" w:cstheme="minorBidi"/>
          <w:sz w:val="20"/>
          <w:szCs w:val="20"/>
          <w:bdr w:val="none" w:sz="0" w:space="0" w:color="auto"/>
        </w:rPr>
        <w:t>Marlón</w:t>
      </w:r>
      <w:proofErr w:type="spellEnd"/>
      <w:r w:rsidRPr="00E500AF">
        <w:rPr>
          <w:rFonts w:asciiTheme="majorHAnsi" w:eastAsiaTheme="minorEastAsia" w:hAnsiTheme="majorHAnsi" w:cstheme="minorBidi"/>
          <w:sz w:val="20"/>
          <w:szCs w:val="20"/>
          <w:bdr w:val="none" w:sz="0" w:space="0" w:color="auto"/>
        </w:rPr>
        <w:t xml:space="preserve"> </w:t>
      </w:r>
      <w:proofErr w:type="spellStart"/>
      <w:r w:rsidRPr="00E500AF">
        <w:rPr>
          <w:rFonts w:asciiTheme="majorHAnsi" w:eastAsiaTheme="minorEastAsia" w:hAnsiTheme="majorHAnsi" w:cstheme="minorBidi"/>
          <w:sz w:val="20"/>
          <w:szCs w:val="20"/>
          <w:bdr w:val="none" w:sz="0" w:space="0" w:color="auto"/>
        </w:rPr>
        <w:t>Fabricio</w:t>
      </w:r>
      <w:proofErr w:type="spellEnd"/>
      <w:r w:rsidRPr="00E500AF">
        <w:rPr>
          <w:rFonts w:asciiTheme="majorHAnsi" w:eastAsiaTheme="minorEastAsia" w:hAnsiTheme="majorHAnsi" w:cstheme="minorBidi"/>
          <w:sz w:val="20"/>
          <w:szCs w:val="20"/>
          <w:bdr w:val="none" w:sz="0" w:space="0" w:color="auto"/>
        </w:rPr>
        <w:t xml:space="preserve"> Hernández </w:t>
      </w:r>
      <w:proofErr w:type="spellStart"/>
      <w:r w:rsidRPr="00E500AF">
        <w:rPr>
          <w:rFonts w:asciiTheme="majorHAnsi" w:eastAsiaTheme="minorEastAsia" w:hAnsiTheme="majorHAnsi" w:cstheme="minorBidi"/>
          <w:sz w:val="20"/>
          <w:szCs w:val="20"/>
          <w:bdr w:val="none" w:sz="0" w:space="0" w:color="auto"/>
        </w:rPr>
        <w:t>Fúnez</w:t>
      </w:r>
      <w:proofErr w:type="spellEnd"/>
      <w:r w:rsidRPr="00E500AF">
        <w:rPr>
          <w:rFonts w:asciiTheme="majorHAnsi" w:eastAsiaTheme="minorEastAsia" w:hAnsiTheme="majorHAnsi" w:cs="Arial"/>
          <w:sz w:val="20"/>
          <w:szCs w:val="20"/>
          <w:bdr w:val="none" w:sz="0" w:space="0" w:color="auto"/>
        </w:rPr>
        <w:t xml:space="preserve">, and in relation to the rights of persons with disabilities, as regards </w:t>
      </w:r>
      <w:r w:rsidRPr="00E500AF">
        <w:rPr>
          <w:rFonts w:asciiTheme="majorHAnsi" w:eastAsiaTheme="minorEastAsia" w:hAnsiTheme="majorHAnsi" w:cstheme="minorBidi"/>
          <w:sz w:val="20"/>
          <w:szCs w:val="20"/>
          <w:bdr w:val="none" w:sz="0" w:space="0" w:color="auto"/>
        </w:rPr>
        <w:t xml:space="preserve">Ronal Jared </w:t>
      </w:r>
      <w:proofErr w:type="spellStart"/>
      <w:r w:rsidRPr="00E500AF">
        <w:rPr>
          <w:rFonts w:asciiTheme="majorHAnsi" w:eastAsiaTheme="minorEastAsia" w:hAnsiTheme="majorHAnsi" w:cstheme="minorBidi"/>
          <w:sz w:val="20"/>
          <w:szCs w:val="20"/>
          <w:bdr w:val="none" w:sz="0" w:space="0" w:color="auto"/>
        </w:rPr>
        <w:t>Martínez</w:t>
      </w:r>
      <w:proofErr w:type="spellEnd"/>
      <w:r w:rsidRPr="00E500AF">
        <w:rPr>
          <w:rFonts w:asciiTheme="majorHAnsi" w:eastAsiaTheme="minorEastAsia" w:hAnsiTheme="majorHAnsi" w:cstheme="minorBidi"/>
          <w:sz w:val="20"/>
          <w:szCs w:val="20"/>
          <w:bdr w:val="none" w:sz="0" w:space="0" w:color="auto"/>
        </w:rPr>
        <w:t xml:space="preserve"> </w:t>
      </w:r>
      <w:proofErr w:type="spellStart"/>
      <w:r w:rsidRPr="00E500AF">
        <w:rPr>
          <w:rFonts w:asciiTheme="majorHAnsi" w:eastAsiaTheme="minorEastAsia" w:hAnsiTheme="majorHAnsi" w:cstheme="minorBidi"/>
          <w:sz w:val="20"/>
          <w:szCs w:val="20"/>
          <w:bdr w:val="none" w:sz="0" w:space="0" w:color="auto"/>
        </w:rPr>
        <w:t>Velásquez</w:t>
      </w:r>
      <w:proofErr w:type="spellEnd"/>
      <w:r w:rsidRPr="00E500AF">
        <w:rPr>
          <w:rFonts w:asciiTheme="majorHAnsi" w:eastAsiaTheme="minorEastAsia" w:hAnsiTheme="majorHAnsi" w:cstheme="minorBidi"/>
          <w:sz w:val="20"/>
          <w:szCs w:val="20"/>
          <w:bdr w:val="none" w:sz="0" w:space="0" w:color="auto"/>
        </w:rPr>
        <w:t>.</w:t>
      </w:r>
    </w:p>
    <w:p w:rsidR="00E500AF" w:rsidRPr="00E500AF" w:rsidRDefault="00E500AF" w:rsidP="00E50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heme="minorEastAsia" w:hAnsiTheme="majorHAnsi" w:cstheme="minorBidi"/>
          <w:sz w:val="20"/>
          <w:szCs w:val="20"/>
          <w:bdr w:val="none" w:sz="0" w:space="0" w:color="auto"/>
        </w:rPr>
      </w:pPr>
    </w:p>
    <w:p w:rsidR="00781808" w:rsidRDefault="00781808" w:rsidP="00E500AF">
      <w:pPr>
        <w:keepNext/>
        <w:numPr>
          <w:ilvl w:val="2"/>
          <w:numId w:val="106"/>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rPr>
          <w:rFonts w:asciiTheme="majorHAnsi" w:eastAsia="Times New Roman" w:hAnsiTheme="majorHAnsi"/>
          <w:b/>
          <w:sz w:val="20"/>
          <w:szCs w:val="20"/>
          <w:bdr w:val="none" w:sz="0" w:space="0" w:color="auto"/>
        </w:rPr>
      </w:pPr>
      <w:r w:rsidRPr="00E500AF">
        <w:rPr>
          <w:rFonts w:asciiTheme="majorHAnsi" w:eastAsia="Times New Roman" w:hAnsiTheme="majorHAnsi"/>
          <w:b/>
          <w:sz w:val="20"/>
          <w:szCs w:val="20"/>
          <w:bdr w:val="none" w:sz="0" w:space="0" w:color="auto"/>
        </w:rPr>
        <w:t xml:space="preserve">Admissibility requirements </w:t>
      </w:r>
    </w:p>
    <w:p w:rsidR="00E500AF" w:rsidRPr="00E500AF" w:rsidRDefault="00E500AF" w:rsidP="00E500AF">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Times New Roman" w:hAnsiTheme="majorHAnsi"/>
          <w:b/>
          <w:sz w:val="20"/>
          <w:szCs w:val="20"/>
          <w:bdr w:val="none" w:sz="0" w:space="0" w:color="auto"/>
        </w:rPr>
      </w:pPr>
    </w:p>
    <w:p w:rsidR="00781808" w:rsidRDefault="00781808" w:rsidP="00E500AF">
      <w:pPr>
        <w:numPr>
          <w:ilvl w:val="3"/>
          <w:numId w:val="106"/>
        </w:numPr>
        <w:pBdr>
          <w:top w:val="none" w:sz="0" w:space="0" w:color="auto"/>
          <w:left w:val="none" w:sz="0" w:space="0" w:color="auto"/>
          <w:bottom w:val="none" w:sz="0" w:space="0" w:color="auto"/>
          <w:right w:val="none" w:sz="0" w:space="0" w:color="auto"/>
          <w:between w:val="none" w:sz="0" w:space="0" w:color="auto"/>
          <w:bar w:val="none" w:sz="0" w:color="auto"/>
        </w:pBdr>
        <w:ind w:left="1440" w:hanging="720"/>
        <w:rPr>
          <w:rFonts w:asciiTheme="majorHAnsi" w:eastAsiaTheme="minorEastAsia" w:hAnsiTheme="majorHAnsi" w:cstheme="minorBidi"/>
          <w:b/>
          <w:sz w:val="20"/>
          <w:szCs w:val="20"/>
          <w:bdr w:val="none" w:sz="0" w:space="0" w:color="auto"/>
        </w:rPr>
      </w:pPr>
      <w:r w:rsidRPr="00E500AF">
        <w:rPr>
          <w:rFonts w:asciiTheme="majorHAnsi" w:eastAsiaTheme="minorEastAsia" w:hAnsiTheme="majorHAnsi" w:cstheme="minorBidi"/>
          <w:b/>
          <w:sz w:val="20"/>
          <w:szCs w:val="20"/>
          <w:bdr w:val="none" w:sz="0" w:space="0" w:color="auto"/>
        </w:rPr>
        <w:t xml:space="preserve">Exhaustion of domestic remedies </w:t>
      </w:r>
    </w:p>
    <w:p w:rsidR="00E500AF" w:rsidRPr="00E500AF" w:rsidRDefault="00E500AF" w:rsidP="00E500A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heme="minorEastAsia" w:hAnsiTheme="majorHAnsi" w:cstheme="minorBidi"/>
          <w:b/>
          <w:sz w:val="20"/>
          <w:szCs w:val="20"/>
          <w:bdr w:val="none" w:sz="0" w:space="0" w:color="auto"/>
        </w:rPr>
      </w:pPr>
    </w:p>
    <w:p w:rsidR="00781808" w:rsidRDefault="00781808" w:rsidP="00E500A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heme="minorEastAsia" w:hAnsiTheme="majorHAnsi" w:cstheme="minorBidi"/>
          <w:sz w:val="20"/>
          <w:szCs w:val="20"/>
          <w:bdr w:val="none" w:sz="0" w:space="0" w:color="auto"/>
        </w:rPr>
      </w:pPr>
      <w:r w:rsidRPr="00E500AF">
        <w:rPr>
          <w:rFonts w:asciiTheme="majorHAnsi" w:eastAsiaTheme="minorEastAsia" w:hAnsiTheme="majorHAnsi" w:cstheme="minorBidi"/>
          <w:sz w:val="20"/>
          <w:szCs w:val="20"/>
          <w:bdr w:val="none" w:sz="0" w:space="0" w:color="auto"/>
        </w:rPr>
        <w:t>Article 46(1)(a) of the American Convention provides that in order for a complaint lodged with the Inter-American Commission in keeping with Article 44 of the Convention to be admissible, one must have pursued and exhausted domestic remedies, in keeping with generally recognize principles of international law. The purpose of this requirement is to enable the national authorities to learn of the alleged violation of a protected right and, if appropriate, to solve it before it is heard by an international body. Article 46(2) of the Convention establishes three situations in which the rule of exhaustion of domestic remedies does not apply: (a) when the domestic legislation of the state concerned does not afford due process of law for the protection of the right or rights that have allegedly been violated; (b) when the party alleging violation of his or her rights has been denied access to the remedies under domestic law or has been prevented from exhausting them; and (c) when there has been unwarranted delay in rendering a final judgment under the aforementioned remedies. These situations do refer not merely to the formal existence of such remedies</w:t>
      </w:r>
      <w:proofErr w:type="gramStart"/>
      <w:r w:rsidRPr="00E500AF">
        <w:rPr>
          <w:rFonts w:asciiTheme="majorHAnsi" w:eastAsiaTheme="minorEastAsia" w:hAnsiTheme="majorHAnsi" w:cstheme="minorBidi"/>
          <w:sz w:val="20"/>
          <w:szCs w:val="20"/>
          <w:bdr w:val="none" w:sz="0" w:space="0" w:color="auto"/>
        </w:rPr>
        <w:t>,  for</w:t>
      </w:r>
      <w:proofErr w:type="gramEnd"/>
      <w:r w:rsidRPr="00E500AF">
        <w:rPr>
          <w:rFonts w:asciiTheme="majorHAnsi" w:eastAsiaTheme="minorEastAsia" w:hAnsiTheme="majorHAnsi" w:cstheme="minorBidi"/>
          <w:sz w:val="20"/>
          <w:szCs w:val="20"/>
          <w:bdr w:val="none" w:sz="0" w:space="0" w:color="auto"/>
        </w:rPr>
        <w:t xml:space="preserve"> they must also be suitable and effective.</w:t>
      </w:r>
    </w:p>
    <w:p w:rsidR="00E500AF" w:rsidRPr="00E500AF" w:rsidRDefault="00E500AF" w:rsidP="00E50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heme="minorEastAsia" w:hAnsiTheme="majorHAnsi" w:cstheme="minorBidi"/>
          <w:sz w:val="20"/>
          <w:szCs w:val="20"/>
          <w:bdr w:val="none" w:sz="0" w:space="0" w:color="auto"/>
        </w:rPr>
      </w:pPr>
    </w:p>
    <w:p w:rsidR="00781808" w:rsidRDefault="00781808" w:rsidP="00E500A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heme="minorEastAsia" w:hAnsiTheme="majorHAnsi" w:cstheme="minorBidi"/>
          <w:sz w:val="20"/>
          <w:szCs w:val="20"/>
          <w:bdr w:val="none" w:sz="0" w:space="0" w:color="auto"/>
        </w:rPr>
      </w:pPr>
      <w:r w:rsidRPr="00E500AF">
        <w:rPr>
          <w:rFonts w:asciiTheme="majorHAnsi" w:eastAsiaTheme="minorEastAsia" w:hAnsiTheme="majorHAnsi" w:cstheme="minorBidi"/>
          <w:sz w:val="20"/>
          <w:szCs w:val="20"/>
          <w:bdr w:val="none" w:sz="0" w:space="0" w:color="auto"/>
        </w:rPr>
        <w:t xml:space="preserve">As regards the exhaustion of domestic remedies, the petitioner alleges that even though the state agents were the ones responsible for having caused his son to suffer irreversible paraplegia, no one has been criminally prosecuted, and so they continue to be free. The State has not taken a position on exhaustion of domestic remedies. </w:t>
      </w:r>
    </w:p>
    <w:p w:rsidR="00E500AF" w:rsidRPr="00E500AF" w:rsidRDefault="00E500AF" w:rsidP="00E50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heme="minorEastAsia" w:hAnsiTheme="majorHAnsi" w:cstheme="minorBidi"/>
          <w:sz w:val="20"/>
          <w:szCs w:val="20"/>
          <w:bdr w:val="none" w:sz="0" w:space="0" w:color="auto"/>
        </w:rPr>
      </w:pPr>
    </w:p>
    <w:p w:rsidR="00781808" w:rsidRDefault="00781808" w:rsidP="00E500A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heme="minorEastAsia" w:hAnsiTheme="majorHAnsi" w:cstheme="minorBidi"/>
          <w:sz w:val="20"/>
          <w:szCs w:val="20"/>
          <w:bdr w:val="none" w:sz="0" w:space="0" w:color="auto"/>
        </w:rPr>
      </w:pPr>
      <w:r w:rsidRPr="00E500AF">
        <w:rPr>
          <w:rFonts w:asciiTheme="majorHAnsi" w:eastAsiaTheme="minorEastAsia" w:hAnsiTheme="majorHAnsi" w:cstheme="minorBidi"/>
          <w:sz w:val="20"/>
          <w:szCs w:val="20"/>
          <w:bdr w:val="none" w:sz="0" w:space="0" w:color="auto"/>
        </w:rPr>
        <w:t xml:space="preserve">It appears in the judicial evidence that the Criminal Court of La </w:t>
      </w:r>
      <w:proofErr w:type="spellStart"/>
      <w:r w:rsidRPr="00E500AF">
        <w:rPr>
          <w:rFonts w:asciiTheme="majorHAnsi" w:eastAsiaTheme="minorEastAsia" w:hAnsiTheme="majorHAnsi" w:cstheme="minorBidi"/>
          <w:sz w:val="20"/>
          <w:szCs w:val="20"/>
          <w:bdr w:val="none" w:sz="0" w:space="0" w:color="auto"/>
        </w:rPr>
        <w:t>Ceiba</w:t>
      </w:r>
      <w:proofErr w:type="spellEnd"/>
      <w:r w:rsidRPr="00E500AF">
        <w:rPr>
          <w:rFonts w:asciiTheme="majorHAnsi" w:eastAsiaTheme="minorEastAsia" w:hAnsiTheme="majorHAnsi" w:cstheme="minorBidi"/>
          <w:sz w:val="20"/>
          <w:szCs w:val="20"/>
          <w:bdr w:val="none" w:sz="0" w:space="0" w:color="auto"/>
        </w:rPr>
        <w:t xml:space="preserve"> (Tribunal de </w:t>
      </w:r>
      <w:proofErr w:type="spellStart"/>
      <w:r w:rsidRPr="00E500AF">
        <w:rPr>
          <w:rFonts w:asciiTheme="majorHAnsi" w:eastAsiaTheme="minorEastAsia" w:hAnsiTheme="majorHAnsi" w:cstheme="minorBidi"/>
          <w:sz w:val="20"/>
          <w:szCs w:val="20"/>
          <w:bdr w:val="none" w:sz="0" w:space="0" w:color="auto"/>
        </w:rPr>
        <w:t>Sentencia</w:t>
      </w:r>
      <w:proofErr w:type="spellEnd"/>
      <w:r w:rsidRPr="00E500AF">
        <w:rPr>
          <w:rFonts w:asciiTheme="majorHAnsi" w:eastAsiaTheme="minorEastAsia" w:hAnsiTheme="majorHAnsi" w:cstheme="minorBidi"/>
          <w:sz w:val="20"/>
          <w:szCs w:val="20"/>
          <w:bdr w:val="none" w:sz="0" w:space="0" w:color="auto"/>
        </w:rPr>
        <w:t xml:space="preserve"> de la </w:t>
      </w:r>
      <w:proofErr w:type="spellStart"/>
      <w:r w:rsidRPr="00E500AF">
        <w:rPr>
          <w:rFonts w:asciiTheme="majorHAnsi" w:eastAsiaTheme="minorEastAsia" w:hAnsiTheme="majorHAnsi" w:cstheme="minorBidi"/>
          <w:sz w:val="20"/>
          <w:szCs w:val="20"/>
          <w:bdr w:val="none" w:sz="0" w:space="0" w:color="auto"/>
        </w:rPr>
        <w:t>Ceiba</w:t>
      </w:r>
      <w:proofErr w:type="spellEnd"/>
      <w:r w:rsidRPr="00E500AF">
        <w:rPr>
          <w:rFonts w:asciiTheme="majorHAnsi" w:eastAsiaTheme="minorEastAsia" w:hAnsiTheme="majorHAnsi" w:cstheme="minorBidi"/>
          <w:sz w:val="20"/>
          <w:szCs w:val="20"/>
          <w:bdr w:val="none" w:sz="0" w:space="0" w:color="auto"/>
        </w:rPr>
        <w:t>), by judgment of March 26, 2003, took a position on the case in which it made allegations against five Army officers identified by the petitioners as responsible for the damages inflicted to the alleged victims, and of abuse of authority to the detriment of the Public Administration</w:t>
      </w:r>
      <w:r w:rsidRPr="00E500AF">
        <w:rPr>
          <w:rFonts w:asciiTheme="majorHAnsi" w:eastAsiaTheme="minorEastAsia" w:hAnsiTheme="majorHAnsi" w:cstheme="minorBidi"/>
          <w:sz w:val="20"/>
          <w:szCs w:val="20"/>
          <w:bdr w:val="none" w:sz="0" w:space="0" w:color="auto"/>
          <w:vertAlign w:val="superscript"/>
          <w:lang w:val="es-MX"/>
        </w:rPr>
        <w:footnoteReference w:id="3"/>
      </w:r>
      <w:r w:rsidRPr="00E500AF">
        <w:rPr>
          <w:rFonts w:asciiTheme="majorHAnsi" w:eastAsiaTheme="minorEastAsia" w:hAnsiTheme="majorHAnsi" w:cstheme="minorBidi"/>
          <w:sz w:val="20"/>
          <w:szCs w:val="20"/>
          <w:bdr w:val="none" w:sz="0" w:space="0" w:color="auto"/>
        </w:rPr>
        <w:t xml:space="preserve">. In that judgment the court of first instance acquitted the five persons responsible “due to the lack of evidence for reach certainty and be able to find [their] guilt” based on the impossibility of establishing to which of the Army officers the projectiles found in the body of the child Ronal Jared Martínez belonged. </w:t>
      </w:r>
    </w:p>
    <w:p w:rsidR="00E500AF" w:rsidRPr="00E500AF" w:rsidRDefault="00E500AF" w:rsidP="00E50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heme="minorEastAsia" w:hAnsiTheme="majorHAnsi" w:cstheme="minorBidi"/>
          <w:sz w:val="20"/>
          <w:szCs w:val="20"/>
          <w:bdr w:val="none" w:sz="0" w:space="0" w:color="auto"/>
        </w:rPr>
      </w:pPr>
    </w:p>
    <w:p w:rsidR="00781808" w:rsidRDefault="00781808" w:rsidP="00E500A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heme="minorEastAsia" w:hAnsiTheme="majorHAnsi" w:cstheme="minorBidi"/>
          <w:sz w:val="20"/>
          <w:szCs w:val="20"/>
          <w:bdr w:val="none" w:sz="0" w:space="0" w:color="auto"/>
        </w:rPr>
      </w:pPr>
      <w:r w:rsidRPr="00E500AF">
        <w:rPr>
          <w:rFonts w:asciiTheme="majorHAnsi" w:eastAsiaTheme="minorEastAsia" w:hAnsiTheme="majorHAnsi" w:cstheme="minorBidi"/>
          <w:sz w:val="20"/>
          <w:szCs w:val="20"/>
          <w:bdr w:val="none" w:sz="0" w:space="0" w:color="auto"/>
        </w:rPr>
        <w:t>In the face of this decision of acquittal, on April 30, 2003, the office of the Prosecutor filed a motion for cassation on grounds of a procedural violation (No. 1491-2003) before the Supreme Court of Justice, based on the consideration that the court of first instance did not weigh the evidence in keeping with the rules of sound legal reasoning (</w:t>
      </w:r>
      <w:r w:rsidRPr="00E500AF">
        <w:rPr>
          <w:rFonts w:asciiTheme="majorHAnsi" w:eastAsiaTheme="minorEastAsia" w:hAnsiTheme="majorHAnsi" w:cstheme="minorBidi"/>
          <w:i/>
          <w:iCs/>
          <w:sz w:val="20"/>
          <w:szCs w:val="20"/>
          <w:bdr w:val="none" w:sz="0" w:space="0" w:color="auto"/>
        </w:rPr>
        <w:t xml:space="preserve">la </w:t>
      </w:r>
      <w:proofErr w:type="spellStart"/>
      <w:r w:rsidRPr="00E500AF">
        <w:rPr>
          <w:rFonts w:asciiTheme="majorHAnsi" w:eastAsiaTheme="minorEastAsia" w:hAnsiTheme="majorHAnsi" w:cstheme="minorBidi"/>
          <w:i/>
          <w:iCs/>
          <w:sz w:val="20"/>
          <w:szCs w:val="20"/>
          <w:bdr w:val="none" w:sz="0" w:space="0" w:color="auto"/>
        </w:rPr>
        <w:t>sana</w:t>
      </w:r>
      <w:proofErr w:type="spellEnd"/>
      <w:r w:rsidRPr="00E500AF">
        <w:rPr>
          <w:rFonts w:asciiTheme="majorHAnsi" w:eastAsiaTheme="minorEastAsia" w:hAnsiTheme="majorHAnsi" w:cstheme="minorBidi"/>
          <w:i/>
          <w:iCs/>
          <w:sz w:val="20"/>
          <w:szCs w:val="20"/>
          <w:bdr w:val="none" w:sz="0" w:space="0" w:color="auto"/>
        </w:rPr>
        <w:t xml:space="preserve"> </w:t>
      </w:r>
      <w:proofErr w:type="spellStart"/>
      <w:r w:rsidRPr="00E500AF">
        <w:rPr>
          <w:rFonts w:asciiTheme="majorHAnsi" w:eastAsiaTheme="minorEastAsia" w:hAnsiTheme="majorHAnsi" w:cstheme="minorBidi"/>
          <w:i/>
          <w:iCs/>
          <w:sz w:val="20"/>
          <w:szCs w:val="20"/>
          <w:bdr w:val="none" w:sz="0" w:space="0" w:color="auto"/>
        </w:rPr>
        <w:t>crítica</w:t>
      </w:r>
      <w:proofErr w:type="spellEnd"/>
      <w:r w:rsidRPr="00E500AF">
        <w:rPr>
          <w:rFonts w:asciiTheme="majorHAnsi" w:eastAsiaTheme="minorEastAsia" w:hAnsiTheme="majorHAnsi" w:cstheme="minorBidi"/>
          <w:sz w:val="20"/>
          <w:szCs w:val="20"/>
          <w:bdr w:val="none" w:sz="0" w:space="0" w:color="auto"/>
        </w:rPr>
        <w:t xml:space="preserve">). Indeed, said investigative body mentioned that this decision left in impunity an act “serious in nature committed by state agents.” </w:t>
      </w:r>
    </w:p>
    <w:p w:rsidR="00E500AF" w:rsidRPr="00E500AF" w:rsidRDefault="00E500AF" w:rsidP="00E50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heme="minorEastAsia" w:hAnsiTheme="majorHAnsi" w:cstheme="minorBidi"/>
          <w:sz w:val="20"/>
          <w:szCs w:val="20"/>
          <w:bdr w:val="none" w:sz="0" w:space="0" w:color="auto"/>
        </w:rPr>
      </w:pPr>
    </w:p>
    <w:p w:rsidR="00781808" w:rsidRDefault="00781808" w:rsidP="00E500A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heme="minorEastAsia" w:hAnsiTheme="majorHAnsi" w:cstheme="minorBidi"/>
          <w:sz w:val="20"/>
          <w:szCs w:val="20"/>
          <w:bdr w:val="none" w:sz="0" w:space="0" w:color="auto"/>
        </w:rPr>
      </w:pPr>
      <w:r w:rsidRPr="00E500AF">
        <w:rPr>
          <w:rFonts w:asciiTheme="majorHAnsi" w:eastAsiaTheme="minorEastAsia" w:hAnsiTheme="majorHAnsi" w:cstheme="minorBidi"/>
          <w:sz w:val="20"/>
          <w:szCs w:val="20"/>
          <w:bdr w:val="none" w:sz="0" w:space="0" w:color="auto"/>
        </w:rPr>
        <w:t xml:space="preserve">According to the information produced by the petitioner, on March 11, 2004, the motion for cassation was found admissible by the Chamber for Criminal Matters of the Supreme Court of Justice, which remanded the matter to the court of first instance for it to amend the judgment. In the face of this remand, on February 22, 2005, the Criminal Court (Tribunal de </w:t>
      </w:r>
      <w:proofErr w:type="spellStart"/>
      <w:r w:rsidRPr="00E500AF">
        <w:rPr>
          <w:rFonts w:asciiTheme="majorHAnsi" w:eastAsiaTheme="minorEastAsia" w:hAnsiTheme="majorHAnsi" w:cstheme="minorBidi"/>
          <w:sz w:val="20"/>
          <w:szCs w:val="20"/>
          <w:bdr w:val="none" w:sz="0" w:space="0" w:color="auto"/>
        </w:rPr>
        <w:t>Sentencia</w:t>
      </w:r>
      <w:proofErr w:type="spellEnd"/>
      <w:r w:rsidRPr="00E500AF">
        <w:rPr>
          <w:rFonts w:asciiTheme="majorHAnsi" w:eastAsiaTheme="minorEastAsia" w:hAnsiTheme="majorHAnsi" w:cstheme="minorBidi"/>
          <w:sz w:val="20"/>
          <w:szCs w:val="20"/>
          <w:bdr w:val="none" w:sz="0" w:space="0" w:color="auto"/>
        </w:rPr>
        <w:t xml:space="preserve">) of La </w:t>
      </w:r>
      <w:proofErr w:type="spellStart"/>
      <w:r w:rsidRPr="00E500AF">
        <w:rPr>
          <w:rFonts w:asciiTheme="majorHAnsi" w:eastAsiaTheme="minorEastAsia" w:hAnsiTheme="majorHAnsi" w:cstheme="minorBidi"/>
          <w:sz w:val="20"/>
          <w:szCs w:val="20"/>
          <w:bdr w:val="none" w:sz="0" w:space="0" w:color="auto"/>
        </w:rPr>
        <w:t>Ceiba</w:t>
      </w:r>
      <w:proofErr w:type="spellEnd"/>
      <w:r w:rsidRPr="00E500AF">
        <w:rPr>
          <w:rFonts w:asciiTheme="majorHAnsi" w:eastAsiaTheme="minorEastAsia" w:hAnsiTheme="majorHAnsi" w:cstheme="minorBidi"/>
          <w:sz w:val="20"/>
          <w:szCs w:val="20"/>
          <w:bdr w:val="none" w:sz="0" w:space="0" w:color="auto"/>
        </w:rPr>
        <w:t xml:space="preserve"> handed down a judgment of </w:t>
      </w:r>
      <w:r w:rsidRPr="00E500AF">
        <w:rPr>
          <w:rFonts w:asciiTheme="majorHAnsi" w:eastAsiaTheme="minorEastAsia" w:hAnsiTheme="majorHAnsi" w:cstheme="minorBidi"/>
          <w:sz w:val="20"/>
          <w:szCs w:val="20"/>
          <w:bdr w:val="none" w:sz="0" w:space="0" w:color="auto"/>
        </w:rPr>
        <w:lastRenderedPageBreak/>
        <w:t xml:space="preserve">acquittal only with respect to member of the military Jorge Joel </w:t>
      </w:r>
      <w:proofErr w:type="spellStart"/>
      <w:r w:rsidRPr="00E500AF">
        <w:rPr>
          <w:rFonts w:asciiTheme="majorHAnsi" w:eastAsiaTheme="minorEastAsia" w:hAnsiTheme="majorHAnsi" w:cstheme="minorBidi"/>
          <w:sz w:val="20"/>
          <w:szCs w:val="20"/>
          <w:bdr w:val="none" w:sz="0" w:space="0" w:color="auto"/>
        </w:rPr>
        <w:t>Cubías</w:t>
      </w:r>
      <w:proofErr w:type="spellEnd"/>
      <w:r w:rsidRPr="00E500AF">
        <w:rPr>
          <w:rFonts w:asciiTheme="majorHAnsi" w:eastAsiaTheme="minorEastAsia" w:hAnsiTheme="majorHAnsi" w:cstheme="minorBidi"/>
          <w:sz w:val="20"/>
          <w:szCs w:val="20"/>
          <w:bdr w:val="none" w:sz="0" w:space="0" w:color="auto"/>
        </w:rPr>
        <w:t xml:space="preserve"> </w:t>
      </w:r>
      <w:proofErr w:type="spellStart"/>
      <w:r w:rsidRPr="00E500AF">
        <w:rPr>
          <w:rFonts w:asciiTheme="majorHAnsi" w:eastAsiaTheme="minorEastAsia" w:hAnsiTheme="majorHAnsi" w:cstheme="minorBidi"/>
          <w:sz w:val="20"/>
          <w:szCs w:val="20"/>
          <w:bdr w:val="none" w:sz="0" w:space="0" w:color="auto"/>
        </w:rPr>
        <w:t>Irías</w:t>
      </w:r>
      <w:proofErr w:type="spellEnd"/>
      <w:r w:rsidRPr="00E500AF">
        <w:rPr>
          <w:rFonts w:asciiTheme="majorHAnsi" w:eastAsiaTheme="minorEastAsia" w:hAnsiTheme="majorHAnsi" w:cstheme="minorBidi"/>
          <w:sz w:val="20"/>
          <w:szCs w:val="20"/>
          <w:bdr w:val="none" w:sz="0" w:space="0" w:color="auto"/>
        </w:rPr>
        <w:t xml:space="preserve">. Its decision of acquittal was based on there being “no nexus between the bullets that penetrated the vehicle […] and the firearm borne by Jorge Joel </w:t>
      </w:r>
      <w:proofErr w:type="spellStart"/>
      <w:r w:rsidRPr="00E500AF">
        <w:rPr>
          <w:rFonts w:asciiTheme="majorHAnsi" w:eastAsiaTheme="minorEastAsia" w:hAnsiTheme="majorHAnsi" w:cstheme="minorBidi"/>
          <w:sz w:val="20"/>
          <w:szCs w:val="20"/>
          <w:bdr w:val="none" w:sz="0" w:space="0" w:color="auto"/>
        </w:rPr>
        <w:t>Cubías</w:t>
      </w:r>
      <w:proofErr w:type="spellEnd"/>
      <w:r w:rsidRPr="00E500AF">
        <w:rPr>
          <w:rFonts w:asciiTheme="majorHAnsi" w:eastAsiaTheme="minorEastAsia" w:hAnsiTheme="majorHAnsi" w:cstheme="minorBidi"/>
          <w:sz w:val="20"/>
          <w:szCs w:val="20"/>
          <w:bdr w:val="none" w:sz="0" w:space="0" w:color="auto"/>
        </w:rPr>
        <w:t xml:space="preserve"> </w:t>
      </w:r>
      <w:proofErr w:type="spellStart"/>
      <w:r w:rsidRPr="00E500AF">
        <w:rPr>
          <w:rFonts w:asciiTheme="majorHAnsi" w:eastAsiaTheme="minorEastAsia" w:hAnsiTheme="majorHAnsi" w:cstheme="minorBidi"/>
          <w:sz w:val="20"/>
          <w:szCs w:val="20"/>
          <w:bdr w:val="none" w:sz="0" w:space="0" w:color="auto"/>
        </w:rPr>
        <w:t>Irías</w:t>
      </w:r>
      <w:proofErr w:type="spellEnd"/>
      <w:r w:rsidRPr="00E500AF">
        <w:rPr>
          <w:rFonts w:asciiTheme="majorHAnsi" w:eastAsiaTheme="minorEastAsia" w:hAnsiTheme="majorHAnsi" w:cstheme="minorBidi"/>
          <w:sz w:val="20"/>
          <w:szCs w:val="20"/>
          <w:bdr w:val="none" w:sz="0" w:space="0" w:color="auto"/>
        </w:rPr>
        <w:t>,” since the day of the events the accused was bearing “a firearm that was a 9 mm pistol,”</w:t>
      </w:r>
      <w:r w:rsidRPr="00E500AF">
        <w:rPr>
          <w:rFonts w:asciiTheme="majorHAnsi" w:eastAsiaTheme="minorEastAsia" w:hAnsiTheme="majorHAnsi" w:cstheme="minorBidi"/>
          <w:sz w:val="20"/>
          <w:szCs w:val="20"/>
          <w:bdr w:val="none" w:sz="0" w:space="0" w:color="auto"/>
          <w:vertAlign w:val="superscript"/>
          <w:lang w:val="es-MX"/>
        </w:rPr>
        <w:footnoteReference w:id="4"/>
      </w:r>
      <w:r w:rsidRPr="00E500AF">
        <w:rPr>
          <w:rFonts w:asciiTheme="majorHAnsi" w:eastAsiaTheme="minorEastAsia" w:hAnsiTheme="majorHAnsi" w:cstheme="minorBidi"/>
          <w:sz w:val="20"/>
          <w:szCs w:val="20"/>
          <w:bdr w:val="none" w:sz="0" w:space="0" w:color="auto"/>
        </w:rPr>
        <w:t xml:space="preserve"> and the vehicle was hit by “six projectiles caliber 5.56 x 45 mm.” </w:t>
      </w:r>
    </w:p>
    <w:p w:rsidR="00E500AF" w:rsidRPr="00E500AF" w:rsidRDefault="00E500AF" w:rsidP="00E50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heme="minorEastAsia" w:hAnsiTheme="majorHAnsi" w:cstheme="minorBidi"/>
          <w:sz w:val="20"/>
          <w:szCs w:val="20"/>
          <w:bdr w:val="none" w:sz="0" w:space="0" w:color="auto"/>
        </w:rPr>
      </w:pPr>
    </w:p>
    <w:p w:rsidR="00781808" w:rsidRDefault="00781808" w:rsidP="00E500A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heme="minorEastAsia" w:hAnsiTheme="majorHAnsi" w:cstheme="minorBidi"/>
          <w:sz w:val="20"/>
          <w:szCs w:val="20"/>
          <w:bdr w:val="none" w:sz="0" w:space="0" w:color="auto"/>
        </w:rPr>
      </w:pPr>
      <w:r w:rsidRPr="00E500AF">
        <w:rPr>
          <w:rFonts w:asciiTheme="majorHAnsi" w:eastAsiaTheme="minorEastAsia" w:hAnsiTheme="majorHAnsi" w:cstheme="minorBidi"/>
          <w:sz w:val="20"/>
          <w:szCs w:val="20"/>
          <w:bdr w:val="none" w:sz="0" w:space="0" w:color="auto"/>
        </w:rPr>
        <w:t>The facts in the instant case involve the alleged violation of rights that translates – according to the Code of Criminal Procedure of Honduras – into possible crimes subject to prosecution at the initiative of the criminal justice authorities. In this regard, the precedents established by the Commission indicate that whenever a crime subject to prosecution at the initiative of the authorities is committed, the State has the obligation to promote and give impetus to the criminal proceeding, and that in those cases that is the suitable way to clarify the facts, prosecute those responsible, and establishing the corresponding convictions, in addition to making possible other forms of reparation pecuniary in nature.</w:t>
      </w:r>
      <w:r w:rsidRPr="00E500AF">
        <w:rPr>
          <w:rFonts w:asciiTheme="majorHAnsi" w:eastAsia="Calibri" w:hAnsiTheme="majorHAnsi"/>
          <w:sz w:val="20"/>
          <w:szCs w:val="20"/>
          <w:bdr w:val="none" w:sz="0" w:space="0" w:color="auto"/>
          <w:vertAlign w:val="superscript"/>
          <w:lang w:val="es-CL"/>
        </w:rPr>
        <w:footnoteReference w:id="5"/>
      </w:r>
      <w:r w:rsidRPr="00E500AF">
        <w:rPr>
          <w:rFonts w:asciiTheme="majorHAnsi" w:eastAsiaTheme="minorEastAsia" w:hAnsiTheme="majorHAnsi" w:cstheme="minorBidi"/>
          <w:sz w:val="20"/>
          <w:szCs w:val="20"/>
          <w:bdr w:val="none" w:sz="0" w:space="0" w:color="auto"/>
        </w:rPr>
        <w:t xml:space="preserve"> </w:t>
      </w:r>
      <w:r w:rsidRPr="00E500AF">
        <w:rPr>
          <w:rFonts w:asciiTheme="majorHAnsi" w:eastAsia="Calibri" w:hAnsiTheme="majorHAnsi"/>
          <w:sz w:val="20"/>
          <w:szCs w:val="20"/>
          <w:bdr w:val="none" w:sz="0" w:space="0" w:color="auto"/>
        </w:rPr>
        <w:t xml:space="preserve">In addition, the Commission has emphasized this obligation, on indicating that </w:t>
      </w:r>
      <w:r w:rsidRPr="00E500AF">
        <w:rPr>
          <w:rFonts w:asciiTheme="majorHAnsi" w:eastAsiaTheme="minorEastAsia" w:hAnsiTheme="majorHAnsi" w:cstheme="minorBidi"/>
          <w:sz w:val="20"/>
          <w:szCs w:val="20"/>
          <w:bdr w:val="none" w:sz="0" w:space="0" w:color="auto"/>
        </w:rPr>
        <w:t>“since the crimes in question here are public crimes--that is to say, subject to ex officio prosecution [i.e. at the initiative of the prosecutorial authorities]--the State has the legal obligation to investigate them, and that is an obligation that may not be delegated or renounced.”</w:t>
      </w:r>
      <w:r w:rsidRPr="00E500AF">
        <w:rPr>
          <w:rFonts w:asciiTheme="majorHAnsi" w:eastAsiaTheme="minorEastAsia" w:hAnsiTheme="majorHAnsi" w:cstheme="minorBidi"/>
          <w:sz w:val="20"/>
          <w:szCs w:val="20"/>
          <w:bdr w:val="none" w:sz="0" w:space="0" w:color="auto"/>
          <w:vertAlign w:val="superscript"/>
          <w:lang w:val="es-MX"/>
        </w:rPr>
        <w:footnoteReference w:id="6"/>
      </w:r>
      <w:r w:rsidRPr="00E500AF">
        <w:rPr>
          <w:rFonts w:asciiTheme="majorHAnsi" w:eastAsiaTheme="minorEastAsia" w:hAnsiTheme="majorHAnsi" w:cstheme="minorBidi"/>
          <w:sz w:val="20"/>
          <w:szCs w:val="20"/>
          <w:bdr w:val="none" w:sz="0" w:space="0" w:color="auto"/>
        </w:rPr>
        <w:t xml:space="preserve"> Based on the foregoing, the Commission considers that it is this criminal proceeding, promoted by the </w:t>
      </w:r>
      <w:proofErr w:type="gramStart"/>
      <w:r w:rsidRPr="00E500AF">
        <w:rPr>
          <w:rFonts w:asciiTheme="majorHAnsi" w:eastAsiaTheme="minorEastAsia" w:hAnsiTheme="majorHAnsi" w:cstheme="minorBidi"/>
          <w:sz w:val="20"/>
          <w:szCs w:val="20"/>
          <w:bdr w:val="none" w:sz="0" w:space="0" w:color="auto"/>
        </w:rPr>
        <w:t>State, that</w:t>
      </w:r>
      <w:proofErr w:type="gramEnd"/>
      <w:r w:rsidRPr="00E500AF">
        <w:rPr>
          <w:rFonts w:asciiTheme="majorHAnsi" w:eastAsiaTheme="minorEastAsia" w:hAnsiTheme="majorHAnsi" w:cstheme="minorBidi"/>
          <w:sz w:val="20"/>
          <w:szCs w:val="20"/>
          <w:bdr w:val="none" w:sz="0" w:space="0" w:color="auto"/>
        </w:rPr>
        <w:t xml:space="preserve"> should be considered for the purposes of determining the admissibility of the claim. </w:t>
      </w:r>
    </w:p>
    <w:p w:rsidR="00E500AF" w:rsidRPr="00E500AF" w:rsidRDefault="00E500AF" w:rsidP="00E50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heme="minorEastAsia" w:hAnsiTheme="majorHAnsi" w:cstheme="minorBidi"/>
          <w:sz w:val="20"/>
          <w:szCs w:val="20"/>
          <w:bdr w:val="none" w:sz="0" w:space="0" w:color="auto"/>
        </w:rPr>
      </w:pPr>
    </w:p>
    <w:p w:rsidR="00781808" w:rsidRPr="00E500AF" w:rsidRDefault="00781808" w:rsidP="00E500A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heme="minorEastAsia" w:hAnsiTheme="majorHAnsi" w:cstheme="minorBidi"/>
          <w:sz w:val="20"/>
          <w:szCs w:val="20"/>
          <w:bdr w:val="none" w:sz="0" w:space="0" w:color="auto"/>
        </w:rPr>
      </w:pPr>
      <w:r w:rsidRPr="00E500AF">
        <w:rPr>
          <w:rFonts w:asciiTheme="majorHAnsi" w:eastAsiaTheme="minorEastAsia" w:hAnsiTheme="majorHAnsi" w:cstheme="minorBidi"/>
          <w:sz w:val="20"/>
          <w:szCs w:val="20"/>
          <w:bdr w:val="none" w:sz="0" w:space="0" w:color="auto"/>
        </w:rPr>
        <w:t xml:space="preserve">In addition, the IACHR notes that it appears in the judicial evidence that the Criminal Court of La </w:t>
      </w:r>
      <w:proofErr w:type="spellStart"/>
      <w:r w:rsidRPr="00E500AF">
        <w:rPr>
          <w:rFonts w:asciiTheme="majorHAnsi" w:eastAsiaTheme="minorEastAsia" w:hAnsiTheme="majorHAnsi" w:cstheme="minorBidi"/>
          <w:sz w:val="20"/>
          <w:szCs w:val="20"/>
          <w:bdr w:val="none" w:sz="0" w:space="0" w:color="auto"/>
        </w:rPr>
        <w:t>Ceiba</w:t>
      </w:r>
      <w:proofErr w:type="spellEnd"/>
      <w:r w:rsidRPr="00E500AF">
        <w:rPr>
          <w:rFonts w:asciiTheme="majorHAnsi" w:eastAsiaTheme="minorEastAsia" w:hAnsiTheme="majorHAnsi" w:cstheme="minorBidi"/>
          <w:sz w:val="20"/>
          <w:szCs w:val="20"/>
          <w:bdr w:val="none" w:sz="0" w:space="0" w:color="auto"/>
        </w:rPr>
        <w:t xml:space="preserve"> only ruled on one of the five state agents who are said to have fired on the petitioner’s vehicle. Indeed, the judicial file indicates that even though by order of October 14, 2004 of the Supreme Court of Justice, the General Directorate for Criminal Investigation (DGIC) ordered “the immediate arrest of the five alleged perpetrators,”</w:t>
      </w:r>
      <w:r w:rsidRPr="00E500AF">
        <w:rPr>
          <w:rFonts w:asciiTheme="majorHAnsi" w:eastAsiaTheme="minorEastAsia" w:hAnsiTheme="majorHAnsi" w:cstheme="minorBidi"/>
          <w:sz w:val="20"/>
          <w:szCs w:val="20"/>
          <w:bdr w:val="none" w:sz="0" w:space="0" w:color="auto"/>
          <w:vertAlign w:val="superscript"/>
          <w:lang w:val="es-MX"/>
        </w:rPr>
        <w:footnoteReference w:id="7"/>
      </w:r>
      <w:r w:rsidRPr="00E500AF">
        <w:rPr>
          <w:rFonts w:asciiTheme="majorHAnsi" w:eastAsiaTheme="minorEastAsia" w:hAnsiTheme="majorHAnsi" w:cstheme="minorBidi"/>
          <w:sz w:val="20"/>
          <w:szCs w:val="20"/>
          <w:bdr w:val="none" w:sz="0" w:space="0" w:color="auto"/>
        </w:rPr>
        <w:t xml:space="preserve"> only Mr. Jorge Joel </w:t>
      </w:r>
      <w:proofErr w:type="spellStart"/>
      <w:r w:rsidRPr="00E500AF">
        <w:rPr>
          <w:rFonts w:asciiTheme="majorHAnsi" w:eastAsiaTheme="minorEastAsia" w:hAnsiTheme="majorHAnsi" w:cstheme="minorBidi"/>
          <w:sz w:val="20"/>
          <w:szCs w:val="20"/>
          <w:bdr w:val="none" w:sz="0" w:space="0" w:color="auto"/>
        </w:rPr>
        <w:t>Cubías</w:t>
      </w:r>
      <w:proofErr w:type="spellEnd"/>
      <w:r w:rsidRPr="00E500AF">
        <w:rPr>
          <w:rFonts w:asciiTheme="majorHAnsi" w:eastAsiaTheme="minorEastAsia" w:hAnsiTheme="majorHAnsi" w:cstheme="minorBidi"/>
          <w:sz w:val="20"/>
          <w:szCs w:val="20"/>
          <w:bdr w:val="none" w:sz="0" w:space="0" w:color="auto"/>
        </w:rPr>
        <w:t xml:space="preserve"> was arrested; his arrest occurred November 22, 2004. Accordingly, only one of the persons allegedly responsible was prosecuted, and then he was released. For this reason, considering that more than 12 years after the facts it has not been possible to establish the circumstances that gave rise to them, nor have all of those allegedly responsible been prosecuted – in addition to which the State has not provided information on the remedies available in relation to the instant case – the IACHR concludes that there is an unwarranted delay in carrying out the investigations, and therefore the exception enshrined at Article </w:t>
      </w:r>
      <w:r w:rsidRPr="00E500AF">
        <w:rPr>
          <w:rFonts w:asciiTheme="majorHAnsi" w:eastAsiaTheme="minorEastAsia" w:hAnsiTheme="majorHAnsi" w:cstheme="minorBidi"/>
          <w:spacing w:val="-2"/>
          <w:sz w:val="20"/>
          <w:szCs w:val="20"/>
          <w:bdr w:val="none" w:sz="0" w:space="0" w:color="auto"/>
        </w:rPr>
        <w:t xml:space="preserve">46(2)(c) of the American Convention is applicable. </w:t>
      </w:r>
    </w:p>
    <w:p w:rsidR="00E500AF" w:rsidRPr="00E500AF" w:rsidRDefault="00E500AF" w:rsidP="00E50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heme="minorEastAsia" w:hAnsiTheme="majorHAnsi" w:cstheme="minorBidi"/>
          <w:sz w:val="20"/>
          <w:szCs w:val="20"/>
          <w:bdr w:val="none" w:sz="0" w:space="0" w:color="auto"/>
        </w:rPr>
      </w:pPr>
    </w:p>
    <w:p w:rsidR="007F7124" w:rsidRDefault="00781808" w:rsidP="00E500A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heme="minorEastAsia" w:hAnsiTheme="majorHAnsi" w:cstheme="minorBidi"/>
          <w:sz w:val="20"/>
          <w:szCs w:val="20"/>
          <w:bdr w:val="none" w:sz="0" w:space="0" w:color="auto"/>
        </w:rPr>
      </w:pPr>
      <w:bookmarkStart w:id="1" w:name="_ftnref11"/>
      <w:bookmarkEnd w:id="1"/>
      <w:r w:rsidRPr="00E500AF">
        <w:rPr>
          <w:rFonts w:asciiTheme="majorHAnsi" w:eastAsiaTheme="minorEastAsia" w:hAnsiTheme="majorHAnsi" w:cstheme="minorBidi"/>
          <w:sz w:val="20"/>
          <w:szCs w:val="20"/>
          <w:bdr w:val="none" w:sz="0" w:space="0" w:color="auto"/>
        </w:rPr>
        <w:t xml:space="preserve">It only remains to note that invoking exceptions to the rule of prior exhaustion of domestic remedies provided for at Article 46(2) of the Convention is closely linked to the determination of possible violations of certain rights enshrined therein, such as the guarantees of access to justice. Nonetheless, Article 46(2), given its nature and purpose, is a provision with autonomous content vis-à-vis the substantive provisions of the Convention. Therefore, to determine whether the exceptions to the rule of prior exhaustion set forth in that provision are applicable to the case in question, one must perform a prior and separate analysis of the merits, since it depends on a different standard of appreciation from that used to determine the violation of Articles 8 and 25 of the Convention. </w:t>
      </w:r>
    </w:p>
    <w:p w:rsidR="00E500AF" w:rsidRPr="00E500AF" w:rsidRDefault="00E500AF" w:rsidP="00E50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heme="minorEastAsia" w:hAnsiTheme="majorHAnsi" w:cstheme="minorBidi"/>
          <w:sz w:val="20"/>
          <w:szCs w:val="20"/>
          <w:bdr w:val="none" w:sz="0" w:space="0" w:color="auto"/>
        </w:rPr>
      </w:pPr>
    </w:p>
    <w:p w:rsidR="00781808" w:rsidRDefault="00781808" w:rsidP="00E500AF">
      <w:pPr>
        <w:keepNext/>
        <w:numPr>
          <w:ilvl w:val="2"/>
          <w:numId w:val="106"/>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rPr>
          <w:rFonts w:asciiTheme="majorHAnsi" w:eastAsia="Times New Roman" w:hAnsiTheme="majorHAnsi"/>
          <w:b/>
          <w:sz w:val="20"/>
          <w:szCs w:val="20"/>
          <w:bdr w:val="none" w:sz="0" w:space="0" w:color="auto"/>
        </w:rPr>
      </w:pPr>
      <w:r w:rsidRPr="00E500AF">
        <w:rPr>
          <w:rFonts w:asciiTheme="majorHAnsi" w:eastAsia="Times New Roman" w:hAnsiTheme="majorHAnsi"/>
          <w:b/>
          <w:sz w:val="20"/>
          <w:szCs w:val="20"/>
          <w:bdr w:val="none" w:sz="0" w:space="0" w:color="auto"/>
        </w:rPr>
        <w:t xml:space="preserve">Time for submitting the petition </w:t>
      </w:r>
    </w:p>
    <w:p w:rsidR="00E500AF" w:rsidRPr="00E500AF" w:rsidRDefault="00E500AF" w:rsidP="00E500AF">
      <w:pPr>
        <w:keepNext/>
        <w:pBdr>
          <w:top w:val="none" w:sz="0" w:space="0" w:color="auto"/>
          <w:left w:val="none" w:sz="0" w:space="0" w:color="auto"/>
          <w:bottom w:val="none" w:sz="0" w:space="0" w:color="auto"/>
          <w:right w:val="none" w:sz="0" w:space="0" w:color="auto"/>
          <w:between w:val="none" w:sz="0" w:space="0" w:color="auto"/>
          <w:bar w:val="none" w:sz="0" w:color="auto"/>
        </w:pBdr>
        <w:ind w:left="1440"/>
        <w:jc w:val="both"/>
        <w:outlineLvl w:val="1"/>
        <w:rPr>
          <w:rFonts w:asciiTheme="majorHAnsi" w:eastAsia="Times New Roman" w:hAnsiTheme="majorHAnsi"/>
          <w:b/>
          <w:sz w:val="20"/>
          <w:szCs w:val="20"/>
          <w:bdr w:val="none" w:sz="0" w:space="0" w:color="auto"/>
        </w:rPr>
      </w:pPr>
    </w:p>
    <w:p w:rsidR="00781808" w:rsidRDefault="00781808" w:rsidP="00E500A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heme="minorEastAsia" w:hAnsiTheme="majorHAnsi" w:cstheme="minorBidi"/>
          <w:sz w:val="20"/>
          <w:szCs w:val="20"/>
          <w:bdr w:val="none" w:sz="0" w:space="0" w:color="auto"/>
        </w:rPr>
      </w:pPr>
      <w:r w:rsidRPr="00E500AF">
        <w:rPr>
          <w:rFonts w:asciiTheme="majorHAnsi" w:eastAsiaTheme="minorEastAsia" w:hAnsiTheme="majorHAnsi" w:cstheme="minorBidi"/>
          <w:sz w:val="20"/>
          <w:szCs w:val="20"/>
          <w:bdr w:val="none" w:sz="0" w:space="0" w:color="auto"/>
        </w:rPr>
        <w:t>According to Article 46(1</w:t>
      </w:r>
      <w:proofErr w:type="gramStart"/>
      <w:r w:rsidRPr="00E500AF">
        <w:rPr>
          <w:rFonts w:asciiTheme="majorHAnsi" w:eastAsiaTheme="minorEastAsia" w:hAnsiTheme="majorHAnsi" w:cstheme="minorBidi"/>
          <w:sz w:val="20"/>
          <w:szCs w:val="20"/>
          <w:bdr w:val="none" w:sz="0" w:space="0" w:color="auto"/>
        </w:rPr>
        <w:t>)(</w:t>
      </w:r>
      <w:proofErr w:type="gramEnd"/>
      <w:r w:rsidRPr="00E500AF">
        <w:rPr>
          <w:rFonts w:asciiTheme="majorHAnsi" w:eastAsiaTheme="minorEastAsia" w:hAnsiTheme="majorHAnsi" w:cstheme="minorBidi"/>
          <w:sz w:val="20"/>
          <w:szCs w:val="20"/>
          <w:bdr w:val="none" w:sz="0" w:space="0" w:color="auto"/>
        </w:rPr>
        <w:t xml:space="preserve">b) of the Convention, in order for a petition to be admitted it must be filed within six months of the date on which the party alleging a violation was notified of the final decision handed down by the domestic courts. In the claim under analysis, the IACHR has established that the </w:t>
      </w:r>
      <w:r w:rsidRPr="00E500AF">
        <w:rPr>
          <w:rFonts w:asciiTheme="majorHAnsi" w:eastAsiaTheme="minorEastAsia" w:hAnsiTheme="majorHAnsi" w:cstheme="minorBidi"/>
          <w:sz w:val="20"/>
          <w:szCs w:val="20"/>
          <w:bdr w:val="none" w:sz="0" w:space="0" w:color="auto"/>
        </w:rPr>
        <w:lastRenderedPageBreak/>
        <w:t>exception to the exhaustion of domestic remedies as per Article 46(2</w:t>
      </w:r>
      <w:proofErr w:type="gramStart"/>
      <w:r w:rsidRPr="00E500AF">
        <w:rPr>
          <w:rFonts w:asciiTheme="majorHAnsi" w:eastAsiaTheme="minorEastAsia" w:hAnsiTheme="majorHAnsi" w:cstheme="minorBidi"/>
          <w:sz w:val="20"/>
          <w:szCs w:val="20"/>
          <w:bdr w:val="none" w:sz="0" w:space="0" w:color="auto"/>
        </w:rPr>
        <w:t>)(</w:t>
      </w:r>
      <w:proofErr w:type="gramEnd"/>
      <w:r w:rsidRPr="00E500AF">
        <w:rPr>
          <w:rFonts w:asciiTheme="majorHAnsi" w:eastAsiaTheme="minorEastAsia" w:hAnsiTheme="majorHAnsi" w:cstheme="minorBidi"/>
          <w:sz w:val="20"/>
          <w:szCs w:val="20"/>
          <w:bdr w:val="none" w:sz="0" w:space="0" w:color="auto"/>
        </w:rPr>
        <w:t xml:space="preserve">c) of the Convention applies in the instant case. In this respect, Article 32 of the IACHR’s Rules of Procedure establishes that in those cases in which the exceptions to the prior exhaustion of domestic remedies apply, the petition must be filed within a time that the Commission considers reasonable. For that purpose the Commission should consider the date on which the alleged violation of rights occurred and the circumstances of each case.  </w:t>
      </w:r>
    </w:p>
    <w:p w:rsidR="00E500AF" w:rsidRPr="00E500AF" w:rsidRDefault="00E500AF" w:rsidP="00E50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heme="minorEastAsia" w:hAnsiTheme="majorHAnsi" w:cstheme="minorBidi"/>
          <w:sz w:val="20"/>
          <w:szCs w:val="20"/>
          <w:bdr w:val="none" w:sz="0" w:space="0" w:color="auto"/>
        </w:rPr>
      </w:pPr>
    </w:p>
    <w:p w:rsidR="00781808" w:rsidRDefault="00781808" w:rsidP="00E500A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heme="minorEastAsia" w:hAnsiTheme="majorHAnsi" w:cstheme="minorBidi"/>
          <w:sz w:val="20"/>
          <w:szCs w:val="20"/>
          <w:bdr w:val="none" w:sz="0" w:space="0" w:color="auto"/>
        </w:rPr>
      </w:pPr>
      <w:r w:rsidRPr="00E500AF">
        <w:rPr>
          <w:rFonts w:asciiTheme="majorHAnsi" w:eastAsiaTheme="minorEastAsia" w:hAnsiTheme="majorHAnsi" w:cstheme="minorBidi"/>
          <w:sz w:val="20"/>
          <w:szCs w:val="20"/>
          <w:bdr w:val="none" w:sz="0" w:space="0" w:color="auto"/>
        </w:rPr>
        <w:t xml:space="preserve">Therefore, in view of the context and characteristics of the instant case, for considering whether it was filed in a reasonable time, given the circumstances, the IACHR takes into account that the petition was filed on September 15, 2004, that alleged the facts began on July 20, 2002 when Jared </w:t>
      </w:r>
      <w:proofErr w:type="spellStart"/>
      <w:r w:rsidRPr="00E500AF">
        <w:rPr>
          <w:rFonts w:asciiTheme="majorHAnsi" w:eastAsiaTheme="minorEastAsia" w:hAnsiTheme="majorHAnsi" w:cstheme="minorBidi"/>
          <w:sz w:val="20"/>
          <w:szCs w:val="20"/>
          <w:bdr w:val="none" w:sz="0" w:space="0" w:color="auto"/>
        </w:rPr>
        <w:t>Martínez</w:t>
      </w:r>
      <w:proofErr w:type="spellEnd"/>
      <w:r w:rsidRPr="00E500AF">
        <w:rPr>
          <w:rFonts w:asciiTheme="majorHAnsi" w:eastAsiaTheme="minorEastAsia" w:hAnsiTheme="majorHAnsi" w:cstheme="minorBidi"/>
          <w:sz w:val="20"/>
          <w:szCs w:val="20"/>
          <w:bdr w:val="none" w:sz="0" w:space="0" w:color="auto"/>
        </w:rPr>
        <w:t xml:space="preserve"> </w:t>
      </w:r>
      <w:proofErr w:type="spellStart"/>
      <w:r w:rsidRPr="00E500AF">
        <w:rPr>
          <w:rFonts w:asciiTheme="majorHAnsi" w:eastAsiaTheme="minorEastAsia" w:hAnsiTheme="majorHAnsi" w:cstheme="minorBidi"/>
          <w:sz w:val="20"/>
          <w:szCs w:val="20"/>
          <w:bdr w:val="none" w:sz="0" w:space="0" w:color="auto"/>
        </w:rPr>
        <w:t>Velásquez</w:t>
      </w:r>
      <w:proofErr w:type="spellEnd"/>
      <w:r w:rsidRPr="00E500AF">
        <w:rPr>
          <w:rFonts w:asciiTheme="majorHAnsi" w:eastAsiaTheme="minorEastAsia" w:hAnsiTheme="majorHAnsi" w:cstheme="minorBidi"/>
          <w:sz w:val="20"/>
          <w:szCs w:val="20"/>
          <w:bdr w:val="none" w:sz="0" w:space="0" w:color="auto"/>
        </w:rPr>
        <w:t xml:space="preserve"> and </w:t>
      </w:r>
      <w:proofErr w:type="spellStart"/>
      <w:r w:rsidRPr="00E500AF">
        <w:rPr>
          <w:rFonts w:asciiTheme="majorHAnsi" w:eastAsiaTheme="minorEastAsia" w:hAnsiTheme="majorHAnsi" w:cstheme="minorBidi"/>
          <w:sz w:val="20"/>
          <w:szCs w:val="20"/>
          <w:bdr w:val="none" w:sz="0" w:space="0" w:color="auto"/>
        </w:rPr>
        <w:t>Marlón</w:t>
      </w:r>
      <w:proofErr w:type="spellEnd"/>
      <w:r w:rsidRPr="00E500AF">
        <w:rPr>
          <w:rFonts w:asciiTheme="majorHAnsi" w:eastAsiaTheme="minorEastAsia" w:hAnsiTheme="majorHAnsi" w:cstheme="minorBidi"/>
          <w:sz w:val="20"/>
          <w:szCs w:val="20"/>
          <w:bdr w:val="none" w:sz="0" w:space="0" w:color="auto"/>
        </w:rPr>
        <w:t xml:space="preserve"> </w:t>
      </w:r>
      <w:proofErr w:type="spellStart"/>
      <w:r w:rsidRPr="00E500AF">
        <w:rPr>
          <w:rFonts w:asciiTheme="majorHAnsi" w:eastAsiaTheme="minorEastAsia" w:hAnsiTheme="majorHAnsi" w:cstheme="minorBidi"/>
          <w:sz w:val="20"/>
          <w:szCs w:val="20"/>
          <w:bdr w:val="none" w:sz="0" w:space="0" w:color="auto"/>
        </w:rPr>
        <w:t>Fabricio</w:t>
      </w:r>
      <w:proofErr w:type="spellEnd"/>
      <w:r w:rsidRPr="00E500AF">
        <w:rPr>
          <w:rFonts w:asciiTheme="majorHAnsi" w:eastAsiaTheme="minorEastAsia" w:hAnsiTheme="majorHAnsi" w:cstheme="minorBidi"/>
          <w:sz w:val="20"/>
          <w:szCs w:val="20"/>
          <w:bdr w:val="none" w:sz="0" w:space="0" w:color="auto"/>
        </w:rPr>
        <w:t xml:space="preserve"> Hernández </w:t>
      </w:r>
      <w:proofErr w:type="spellStart"/>
      <w:r w:rsidRPr="00E500AF">
        <w:rPr>
          <w:rFonts w:asciiTheme="majorHAnsi" w:eastAsiaTheme="minorEastAsia" w:hAnsiTheme="majorHAnsi" w:cstheme="minorBidi"/>
          <w:sz w:val="20"/>
          <w:szCs w:val="20"/>
          <w:bdr w:val="none" w:sz="0" w:space="0" w:color="auto"/>
        </w:rPr>
        <w:t>Fúnez</w:t>
      </w:r>
      <w:proofErr w:type="spellEnd"/>
      <w:r w:rsidRPr="00E500AF">
        <w:rPr>
          <w:rFonts w:asciiTheme="majorHAnsi" w:eastAsiaTheme="minorEastAsia" w:hAnsiTheme="majorHAnsi" w:cstheme="minorBidi"/>
          <w:sz w:val="20"/>
          <w:szCs w:val="20"/>
          <w:bdr w:val="none" w:sz="0" w:space="0" w:color="auto"/>
        </w:rPr>
        <w:t xml:space="preserve"> were said to have been injured occurred, and that the alleged effects of that incident, in terms of the administration of justice, extend to the present day. Based on the foregoing, the IACHR concludes that the petition was submitted within a reasonable time, in the terms of Article 32 of its Rules of Procedure, and that it should be deemed to have satisfied the admissibility requirements regarding the time of filing. </w:t>
      </w:r>
    </w:p>
    <w:p w:rsidR="00E500AF" w:rsidRPr="00E500AF" w:rsidRDefault="00E500AF" w:rsidP="00E50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heme="minorEastAsia" w:hAnsiTheme="majorHAnsi" w:cstheme="minorBidi"/>
          <w:sz w:val="20"/>
          <w:szCs w:val="20"/>
          <w:bdr w:val="none" w:sz="0" w:space="0" w:color="auto"/>
        </w:rPr>
      </w:pPr>
    </w:p>
    <w:p w:rsidR="00781808" w:rsidRPr="00E500AF" w:rsidRDefault="00781808" w:rsidP="00E500AF">
      <w:pPr>
        <w:keepNext/>
        <w:numPr>
          <w:ilvl w:val="2"/>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hanging="720"/>
        <w:outlineLvl w:val="0"/>
        <w:rPr>
          <w:rFonts w:asciiTheme="majorHAnsi" w:eastAsia="Times New Roman" w:hAnsiTheme="majorHAnsi" w:cs="Arial"/>
          <w:b/>
          <w:bCs/>
          <w:kern w:val="32"/>
          <w:sz w:val="20"/>
          <w:szCs w:val="20"/>
          <w:bdr w:val="none" w:sz="0" w:space="0" w:color="auto"/>
        </w:rPr>
      </w:pPr>
      <w:r w:rsidRPr="00E500AF">
        <w:rPr>
          <w:rFonts w:asciiTheme="majorHAnsi" w:eastAsia="Times New Roman" w:hAnsiTheme="majorHAnsi" w:cs="Arial"/>
          <w:b/>
          <w:bCs/>
          <w:kern w:val="32"/>
          <w:sz w:val="20"/>
          <w:szCs w:val="20"/>
          <w:bdr w:val="none" w:sz="0" w:space="0" w:color="auto"/>
        </w:rPr>
        <w:t xml:space="preserve">Duplication of procedures and international </w:t>
      </w:r>
      <w:r w:rsidRPr="00E500AF">
        <w:rPr>
          <w:rFonts w:asciiTheme="majorHAnsi" w:eastAsia="Times New Roman" w:hAnsiTheme="majorHAnsi" w:cs="Arial"/>
          <w:b/>
          <w:bCs/>
          <w:i/>
          <w:iCs/>
          <w:kern w:val="32"/>
          <w:sz w:val="20"/>
          <w:szCs w:val="20"/>
          <w:bdr w:val="none" w:sz="0" w:space="0" w:color="auto"/>
        </w:rPr>
        <w:t>res judicata</w:t>
      </w:r>
    </w:p>
    <w:p w:rsidR="00E500AF" w:rsidRPr="00E500AF" w:rsidRDefault="00E500AF" w:rsidP="00E500AF">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2985"/>
        </w:tabs>
        <w:ind w:left="1440"/>
        <w:outlineLvl w:val="0"/>
        <w:rPr>
          <w:rFonts w:asciiTheme="majorHAnsi" w:eastAsia="Times New Roman" w:hAnsiTheme="majorHAnsi" w:cs="Arial"/>
          <w:b/>
          <w:bCs/>
          <w:kern w:val="32"/>
          <w:sz w:val="20"/>
          <w:szCs w:val="20"/>
          <w:bdr w:val="none" w:sz="0" w:space="0" w:color="auto"/>
        </w:rPr>
      </w:pPr>
    </w:p>
    <w:p w:rsidR="00781808" w:rsidRPr="00E500AF" w:rsidRDefault="00781808" w:rsidP="00E500A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heme="minorEastAsia" w:hAnsiTheme="majorHAnsi" w:cstheme="minorBidi"/>
          <w:sz w:val="20"/>
          <w:szCs w:val="20"/>
          <w:bdr w:val="none" w:sz="0" w:space="0" w:color="auto"/>
        </w:rPr>
      </w:pPr>
      <w:r w:rsidRPr="00E500AF">
        <w:rPr>
          <w:rFonts w:asciiTheme="majorHAnsi" w:eastAsiaTheme="minorEastAsia" w:hAnsiTheme="majorHAnsi" w:cstheme="minorBidi"/>
          <w:bCs/>
          <w:sz w:val="20"/>
          <w:szCs w:val="20"/>
          <w:bdr w:val="none" w:sz="0" w:space="0" w:color="auto"/>
        </w:rPr>
        <w:t>Article 46(1</w:t>
      </w:r>
      <w:proofErr w:type="gramStart"/>
      <w:r w:rsidRPr="00E500AF">
        <w:rPr>
          <w:rFonts w:asciiTheme="majorHAnsi" w:eastAsiaTheme="minorEastAsia" w:hAnsiTheme="majorHAnsi" w:cstheme="minorBidi"/>
          <w:bCs/>
          <w:sz w:val="20"/>
          <w:szCs w:val="20"/>
          <w:bdr w:val="none" w:sz="0" w:space="0" w:color="auto"/>
        </w:rPr>
        <w:t>)(</w:t>
      </w:r>
      <w:proofErr w:type="gramEnd"/>
      <w:r w:rsidRPr="00E500AF">
        <w:rPr>
          <w:rFonts w:asciiTheme="majorHAnsi" w:eastAsiaTheme="minorEastAsia" w:hAnsiTheme="majorHAnsi" w:cstheme="minorBidi"/>
          <w:bCs/>
          <w:sz w:val="20"/>
          <w:szCs w:val="20"/>
          <w:bdr w:val="none" w:sz="0" w:space="0" w:color="auto"/>
        </w:rPr>
        <w:t>c) of the Convention provides that the admissibility of petitions is subject to the requirement that the subject matter “is not pending in another international proceeding for settlement</w:t>
      </w:r>
      <w:r w:rsidRPr="00E500AF">
        <w:rPr>
          <w:rFonts w:asciiTheme="majorHAnsi" w:eastAsiaTheme="minorEastAsia" w:hAnsiTheme="majorHAnsi" w:cs="Arial"/>
          <w:sz w:val="20"/>
          <w:szCs w:val="20"/>
          <w:bdr w:val="none" w:sz="0" w:space="0" w:color="auto"/>
        </w:rPr>
        <w:t>”</w:t>
      </w:r>
      <w:r w:rsidRPr="00E500AF">
        <w:rPr>
          <w:rFonts w:asciiTheme="majorHAnsi" w:eastAsiaTheme="minorEastAsia" w:hAnsiTheme="majorHAnsi" w:cstheme="minorBidi"/>
          <w:bCs/>
          <w:sz w:val="20"/>
          <w:szCs w:val="20"/>
          <w:bdr w:val="none" w:sz="0" w:space="0" w:color="auto"/>
        </w:rPr>
        <w:t xml:space="preserve"> and at Article 47(d) the Convention stipulates that the Commission shall not admit a petition that substantially reproduces another petition or communication already examined by the Commission or other international body. In the instant case the parties have not argued the existence of either of those two circumstances, nor can they be deduced from the record. </w:t>
      </w:r>
    </w:p>
    <w:p w:rsidR="00781808" w:rsidRPr="00E500AF" w:rsidRDefault="00781808" w:rsidP="00E50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heme="minorEastAsia" w:hAnsiTheme="majorHAnsi" w:cstheme="minorBidi"/>
          <w:bCs/>
          <w:sz w:val="20"/>
          <w:szCs w:val="20"/>
          <w:bdr w:val="none" w:sz="0" w:space="0" w:color="auto"/>
        </w:rPr>
      </w:pPr>
    </w:p>
    <w:p w:rsidR="00781808" w:rsidRDefault="00781808" w:rsidP="00E500AF">
      <w:pPr>
        <w:numPr>
          <w:ilvl w:val="1"/>
          <w:numId w:val="106"/>
        </w:numPr>
        <w:pBdr>
          <w:top w:val="none" w:sz="0" w:space="0" w:color="auto"/>
          <w:left w:val="none" w:sz="0" w:space="0" w:color="auto"/>
          <w:bottom w:val="none" w:sz="0" w:space="0" w:color="auto"/>
          <w:right w:val="none" w:sz="0" w:space="0" w:color="auto"/>
          <w:between w:val="none" w:sz="0" w:space="0" w:color="auto"/>
          <w:bar w:val="none" w:sz="0" w:color="auto"/>
        </w:pBdr>
        <w:ind w:hanging="720"/>
        <w:rPr>
          <w:rFonts w:asciiTheme="majorHAnsi" w:eastAsia="Times New Roman" w:hAnsiTheme="majorHAnsi"/>
          <w:b/>
          <w:bCs/>
          <w:sz w:val="20"/>
          <w:szCs w:val="20"/>
          <w:bdr w:val="none" w:sz="0" w:space="0" w:color="auto"/>
        </w:rPr>
      </w:pPr>
      <w:r w:rsidRPr="00E500AF">
        <w:rPr>
          <w:rFonts w:asciiTheme="majorHAnsi" w:eastAsia="Times New Roman" w:hAnsiTheme="majorHAnsi"/>
          <w:b/>
          <w:bCs/>
          <w:sz w:val="20"/>
          <w:szCs w:val="20"/>
          <w:bdr w:val="none" w:sz="0" w:space="0" w:color="auto"/>
        </w:rPr>
        <w:t xml:space="preserve">Characterization of the facts alleged </w:t>
      </w:r>
    </w:p>
    <w:p w:rsidR="00E500AF" w:rsidRPr="00E500AF" w:rsidRDefault="00E500AF" w:rsidP="00E500A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bCs/>
          <w:sz w:val="20"/>
          <w:szCs w:val="20"/>
          <w:bdr w:val="none" w:sz="0" w:space="0" w:color="auto"/>
        </w:rPr>
      </w:pPr>
    </w:p>
    <w:p w:rsidR="00781808" w:rsidRDefault="00781808" w:rsidP="00E500A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heme="minorEastAsia" w:hAnsiTheme="majorHAnsi" w:cstheme="minorBidi"/>
          <w:sz w:val="20"/>
          <w:szCs w:val="20"/>
          <w:bdr w:val="none" w:sz="0" w:space="0" w:color="auto"/>
        </w:rPr>
      </w:pPr>
      <w:r w:rsidRPr="00E500AF">
        <w:rPr>
          <w:rFonts w:asciiTheme="majorHAnsi" w:eastAsiaTheme="minorEastAsia" w:hAnsiTheme="majorHAnsi" w:cstheme="minorBidi"/>
          <w:sz w:val="20"/>
          <w:szCs w:val="20"/>
          <w:bdr w:val="none" w:sz="0" w:space="0" w:color="auto"/>
        </w:rPr>
        <w:t>For purposes of admissibility, the IACHR must decide whether the arguments state facts that tend to establish a violation of the American Convention, as stipulated in its Article 47(b) and whether the petition is “manifestly groundless” or “obviously out of order,” as per Article 47(c).</w:t>
      </w:r>
    </w:p>
    <w:p w:rsidR="00E500AF" w:rsidRPr="00E500AF" w:rsidRDefault="00E500AF" w:rsidP="00E50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heme="minorEastAsia" w:hAnsiTheme="majorHAnsi" w:cstheme="minorBidi"/>
          <w:sz w:val="20"/>
          <w:szCs w:val="20"/>
          <w:bdr w:val="none" w:sz="0" w:space="0" w:color="auto"/>
        </w:rPr>
      </w:pPr>
    </w:p>
    <w:p w:rsidR="00781808" w:rsidRDefault="00781808" w:rsidP="00E500A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heme="minorEastAsia" w:hAnsiTheme="majorHAnsi" w:cstheme="minorBidi"/>
          <w:sz w:val="20"/>
          <w:szCs w:val="20"/>
          <w:bdr w:val="none" w:sz="0" w:space="0" w:color="auto"/>
        </w:rPr>
      </w:pPr>
      <w:r w:rsidRPr="00E500AF">
        <w:rPr>
          <w:rFonts w:asciiTheme="majorHAnsi" w:eastAsiaTheme="minorEastAsia" w:hAnsiTheme="majorHAnsi" w:cstheme="minorBidi"/>
          <w:sz w:val="20"/>
          <w:szCs w:val="20"/>
          <w:bdr w:val="none" w:sz="0" w:space="0" w:color="auto"/>
        </w:rPr>
        <w:t xml:space="preserve">In addition, neither the American Convention nor the Rules of Procedure of the IACHR requires the petitioner to identify the specific rights allegedly violated by the state in a matter submitted to the Commission, although the petitioners may do so. It is up to the Commission, based on the case-law of the system, to determine in its admissibility reports what provision or provisions of the relevant inter-American instruments apply and whose violation could be established if the facts alleged are proven by sufficient evidence.  </w:t>
      </w:r>
    </w:p>
    <w:p w:rsidR="00E500AF" w:rsidRPr="00E500AF" w:rsidRDefault="00E500AF" w:rsidP="00E50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heme="minorEastAsia" w:hAnsiTheme="majorHAnsi" w:cstheme="minorBidi"/>
          <w:sz w:val="20"/>
          <w:szCs w:val="20"/>
          <w:bdr w:val="none" w:sz="0" w:space="0" w:color="auto"/>
        </w:rPr>
      </w:pPr>
    </w:p>
    <w:p w:rsidR="00781808" w:rsidRDefault="00781808" w:rsidP="00E500A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heme="minorEastAsia" w:hAnsiTheme="majorHAnsi" w:cstheme="minorBidi"/>
          <w:sz w:val="20"/>
          <w:szCs w:val="20"/>
          <w:bdr w:val="none" w:sz="0" w:space="0" w:color="auto"/>
        </w:rPr>
      </w:pPr>
      <w:r w:rsidRPr="00E500AF">
        <w:rPr>
          <w:rFonts w:asciiTheme="majorHAnsi" w:eastAsiaTheme="minorEastAsia" w:hAnsiTheme="majorHAnsi" w:cstheme="minorBidi"/>
          <w:sz w:val="20"/>
          <w:szCs w:val="20"/>
          <w:bdr w:val="none" w:sz="0" w:space="0" w:color="auto"/>
        </w:rPr>
        <w:t>The petitioner indicates that due to the alleged “abuse of authority” (</w:t>
      </w:r>
      <w:r w:rsidRPr="00E500AF">
        <w:rPr>
          <w:rFonts w:asciiTheme="majorHAnsi" w:eastAsia="Times New Roman" w:hAnsiTheme="majorHAnsi"/>
          <w:sz w:val="20"/>
          <w:szCs w:val="20"/>
          <w:bdr w:val="none" w:sz="0" w:space="0" w:color="auto"/>
        </w:rPr>
        <w:t>“</w:t>
      </w:r>
      <w:proofErr w:type="spellStart"/>
      <w:r w:rsidRPr="00E500AF">
        <w:rPr>
          <w:rFonts w:asciiTheme="majorHAnsi" w:eastAsia="Times New Roman" w:hAnsiTheme="majorHAnsi"/>
          <w:i/>
          <w:iCs/>
          <w:sz w:val="20"/>
          <w:szCs w:val="20"/>
          <w:bdr w:val="none" w:sz="0" w:space="0" w:color="auto"/>
        </w:rPr>
        <w:t>abuso</w:t>
      </w:r>
      <w:proofErr w:type="spellEnd"/>
      <w:r w:rsidRPr="00E500AF">
        <w:rPr>
          <w:rFonts w:asciiTheme="majorHAnsi" w:eastAsia="Times New Roman" w:hAnsiTheme="majorHAnsi"/>
          <w:i/>
          <w:iCs/>
          <w:sz w:val="20"/>
          <w:szCs w:val="20"/>
          <w:bdr w:val="none" w:sz="0" w:space="0" w:color="auto"/>
        </w:rPr>
        <w:t xml:space="preserve"> de </w:t>
      </w:r>
      <w:proofErr w:type="spellStart"/>
      <w:r w:rsidRPr="00E500AF">
        <w:rPr>
          <w:rFonts w:asciiTheme="majorHAnsi" w:eastAsia="Times New Roman" w:hAnsiTheme="majorHAnsi"/>
          <w:i/>
          <w:iCs/>
          <w:sz w:val="20"/>
          <w:szCs w:val="20"/>
          <w:bdr w:val="none" w:sz="0" w:space="0" w:color="auto"/>
        </w:rPr>
        <w:t>poder</w:t>
      </w:r>
      <w:proofErr w:type="spellEnd"/>
      <w:r w:rsidRPr="00E500AF">
        <w:rPr>
          <w:rFonts w:asciiTheme="majorHAnsi" w:eastAsia="Times New Roman" w:hAnsiTheme="majorHAnsi"/>
          <w:sz w:val="20"/>
          <w:szCs w:val="20"/>
          <w:bdr w:val="none" w:sz="0" w:space="0" w:color="auto"/>
        </w:rPr>
        <w:t xml:space="preserve">”) brought to bear by police agents and members of the National Army, his minor child </w:t>
      </w:r>
      <w:r w:rsidRPr="00E500AF">
        <w:rPr>
          <w:rFonts w:asciiTheme="majorHAnsi" w:eastAsiaTheme="minorEastAsia" w:hAnsiTheme="majorHAnsi" w:cstheme="minorBidi"/>
          <w:sz w:val="20"/>
          <w:szCs w:val="20"/>
          <w:bdr w:val="none" w:sz="0" w:space="0" w:color="auto"/>
        </w:rPr>
        <w:t xml:space="preserve">Ronald Jared </w:t>
      </w:r>
      <w:proofErr w:type="spellStart"/>
      <w:r w:rsidRPr="00E500AF">
        <w:rPr>
          <w:rFonts w:asciiTheme="majorHAnsi" w:eastAsiaTheme="minorEastAsia" w:hAnsiTheme="majorHAnsi" w:cstheme="minorBidi"/>
          <w:sz w:val="20"/>
          <w:szCs w:val="20"/>
          <w:bdr w:val="none" w:sz="0" w:space="0" w:color="auto"/>
        </w:rPr>
        <w:t>Martínez</w:t>
      </w:r>
      <w:proofErr w:type="spellEnd"/>
      <w:r w:rsidRPr="00E500AF">
        <w:rPr>
          <w:rFonts w:asciiTheme="majorHAnsi" w:eastAsiaTheme="minorEastAsia" w:hAnsiTheme="majorHAnsi" w:cstheme="minorBidi"/>
          <w:sz w:val="20"/>
          <w:szCs w:val="20"/>
          <w:bdr w:val="none" w:sz="0" w:space="0" w:color="auto"/>
        </w:rPr>
        <w:t xml:space="preserve"> </w:t>
      </w:r>
      <w:proofErr w:type="spellStart"/>
      <w:r w:rsidRPr="00E500AF">
        <w:rPr>
          <w:rFonts w:asciiTheme="majorHAnsi" w:eastAsiaTheme="minorEastAsia" w:hAnsiTheme="majorHAnsi" w:cstheme="minorBidi"/>
          <w:sz w:val="20"/>
          <w:szCs w:val="20"/>
          <w:bdr w:val="none" w:sz="0" w:space="0" w:color="auto"/>
        </w:rPr>
        <w:t>Velásquez</w:t>
      </w:r>
      <w:proofErr w:type="spellEnd"/>
      <w:r w:rsidRPr="00E500AF">
        <w:rPr>
          <w:rFonts w:asciiTheme="majorHAnsi" w:eastAsiaTheme="minorEastAsia" w:hAnsiTheme="majorHAnsi" w:cstheme="minorBidi"/>
          <w:sz w:val="20"/>
          <w:szCs w:val="20"/>
          <w:bdr w:val="none" w:sz="0" w:space="0" w:color="auto"/>
        </w:rPr>
        <w:t xml:space="preserve"> was rendered paraplegic for life. In addition, he argues that even though the State of Honduras is directly responsible for what happened to his son –due to the fact that it was its agents who caused his son’s permanent disability– the Honduran courts acquitted one of the persons purportedly responsible. The State did not submit any observations or information on the violations alleged by the petitioner. </w:t>
      </w:r>
    </w:p>
    <w:p w:rsidR="00E500AF" w:rsidRPr="00E500AF" w:rsidRDefault="00E500AF" w:rsidP="00E50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heme="minorEastAsia" w:hAnsiTheme="majorHAnsi" w:cstheme="minorBidi"/>
          <w:sz w:val="20"/>
          <w:szCs w:val="20"/>
          <w:bdr w:val="none" w:sz="0" w:space="0" w:color="auto"/>
        </w:rPr>
      </w:pPr>
    </w:p>
    <w:p w:rsidR="00781808" w:rsidRDefault="00781808" w:rsidP="00E500A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heme="minorEastAsia" w:hAnsiTheme="majorHAnsi" w:cstheme="minorBidi"/>
          <w:sz w:val="20"/>
          <w:szCs w:val="20"/>
          <w:bdr w:val="none" w:sz="0" w:space="0" w:color="auto"/>
        </w:rPr>
      </w:pPr>
      <w:r w:rsidRPr="00E500AF">
        <w:rPr>
          <w:rFonts w:asciiTheme="majorHAnsi" w:eastAsiaTheme="minorEastAsia" w:hAnsiTheme="majorHAnsi" w:cstheme="minorBidi"/>
          <w:sz w:val="20"/>
          <w:szCs w:val="20"/>
          <w:bdr w:val="none" w:sz="0" w:space="0" w:color="auto"/>
        </w:rPr>
        <w:t xml:space="preserve">Having reviewed the information submitted by the petitioner, the Commission finds that his claims are not “manifestly groundless” or "obviously out of order" and that, if proven true, might constitute violations of Articles 5, 8, 19, and 25 of the American Convention in relation to Article 1(1) of the same international instrument. In addition, the Commission will examine the facts alleged in light of Article 19 of the American Convention, specifically in relation to the special duty of protection that states have, in keeping with the principle of the best interests of the child and the existing </w:t>
      </w:r>
      <w:r w:rsidRPr="00E500AF">
        <w:rPr>
          <w:rFonts w:asciiTheme="majorHAnsi" w:eastAsiaTheme="minorEastAsia" w:hAnsiTheme="majorHAnsi" w:cstheme="minorBidi"/>
          <w:i/>
          <w:sz w:val="20"/>
          <w:szCs w:val="20"/>
          <w:bdr w:val="none" w:sz="0" w:space="0" w:color="auto"/>
        </w:rPr>
        <w:t>corpus juris</w:t>
      </w:r>
      <w:r w:rsidRPr="00E500AF">
        <w:rPr>
          <w:rFonts w:asciiTheme="majorHAnsi" w:eastAsiaTheme="minorEastAsia" w:hAnsiTheme="majorHAnsi" w:cstheme="minorBidi"/>
          <w:sz w:val="20"/>
          <w:szCs w:val="20"/>
          <w:bdr w:val="none" w:sz="0" w:space="0" w:color="auto"/>
        </w:rPr>
        <w:t xml:space="preserve"> on the rights of children and adolescents. </w:t>
      </w:r>
    </w:p>
    <w:p w:rsidR="00E500AF" w:rsidRPr="00E500AF" w:rsidRDefault="00E500AF" w:rsidP="00E50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heme="minorEastAsia" w:hAnsiTheme="majorHAnsi" w:cstheme="minorBidi"/>
          <w:sz w:val="20"/>
          <w:szCs w:val="20"/>
          <w:bdr w:val="none" w:sz="0" w:space="0" w:color="auto"/>
        </w:rPr>
      </w:pPr>
    </w:p>
    <w:p w:rsidR="00781808" w:rsidRDefault="00781808" w:rsidP="00E500A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heme="minorEastAsia" w:hAnsiTheme="majorHAnsi" w:cstheme="minorBidi"/>
          <w:sz w:val="20"/>
          <w:szCs w:val="20"/>
          <w:bdr w:val="none" w:sz="0" w:space="0" w:color="auto"/>
        </w:rPr>
      </w:pPr>
      <w:r w:rsidRPr="00E500AF">
        <w:rPr>
          <w:rFonts w:asciiTheme="majorHAnsi" w:eastAsiaTheme="minorEastAsia" w:hAnsiTheme="majorHAnsi" w:cstheme="minorBidi"/>
          <w:sz w:val="20"/>
          <w:szCs w:val="20"/>
          <w:bdr w:val="none" w:sz="0" w:space="0" w:color="auto"/>
        </w:rPr>
        <w:t xml:space="preserve">In particular, the Commission observes that the allegations in the instant petition are related fundamentally to the alleged international responsibility of Honduras stemming from the actions of Honduran state agents, which are said to have resulted in an excessive use of force against Ronal Jared </w:t>
      </w:r>
      <w:proofErr w:type="spellStart"/>
      <w:r w:rsidRPr="00E500AF">
        <w:rPr>
          <w:rFonts w:asciiTheme="majorHAnsi" w:eastAsiaTheme="minorEastAsia" w:hAnsiTheme="majorHAnsi" w:cstheme="minorBidi"/>
          <w:sz w:val="20"/>
          <w:szCs w:val="20"/>
          <w:bdr w:val="none" w:sz="0" w:space="0" w:color="auto"/>
        </w:rPr>
        <w:lastRenderedPageBreak/>
        <w:t>Martínez</w:t>
      </w:r>
      <w:proofErr w:type="spellEnd"/>
      <w:r w:rsidRPr="00E500AF">
        <w:rPr>
          <w:rFonts w:asciiTheme="majorHAnsi" w:eastAsiaTheme="minorEastAsia" w:hAnsiTheme="majorHAnsi" w:cstheme="minorBidi"/>
          <w:sz w:val="20"/>
          <w:szCs w:val="20"/>
          <w:bdr w:val="none" w:sz="0" w:space="0" w:color="auto"/>
        </w:rPr>
        <w:t xml:space="preserve"> </w:t>
      </w:r>
      <w:proofErr w:type="spellStart"/>
      <w:r w:rsidRPr="00E500AF">
        <w:rPr>
          <w:rFonts w:asciiTheme="majorHAnsi" w:eastAsiaTheme="minorEastAsia" w:hAnsiTheme="majorHAnsi" w:cstheme="minorBidi"/>
          <w:sz w:val="20"/>
          <w:szCs w:val="20"/>
          <w:bdr w:val="none" w:sz="0" w:space="0" w:color="auto"/>
        </w:rPr>
        <w:t>Velásquez</w:t>
      </w:r>
      <w:proofErr w:type="spellEnd"/>
      <w:r w:rsidRPr="00E500AF">
        <w:rPr>
          <w:rFonts w:asciiTheme="majorHAnsi" w:eastAsiaTheme="minorEastAsia" w:hAnsiTheme="majorHAnsi" w:cstheme="minorBidi"/>
          <w:sz w:val="20"/>
          <w:szCs w:val="20"/>
          <w:bdr w:val="none" w:sz="0" w:space="0" w:color="auto"/>
        </w:rPr>
        <w:t xml:space="preserve">, Jorge Roberto </w:t>
      </w:r>
      <w:proofErr w:type="spellStart"/>
      <w:r w:rsidRPr="00E500AF">
        <w:rPr>
          <w:rFonts w:asciiTheme="majorHAnsi" w:eastAsiaTheme="minorEastAsia" w:hAnsiTheme="majorHAnsi" w:cstheme="minorBidi"/>
          <w:sz w:val="20"/>
          <w:szCs w:val="20"/>
          <w:bdr w:val="none" w:sz="0" w:space="0" w:color="auto"/>
        </w:rPr>
        <w:t>Martínez</w:t>
      </w:r>
      <w:proofErr w:type="spellEnd"/>
      <w:r w:rsidRPr="00E500AF">
        <w:rPr>
          <w:rFonts w:asciiTheme="majorHAnsi" w:eastAsiaTheme="minorEastAsia" w:hAnsiTheme="majorHAnsi" w:cstheme="minorBidi"/>
          <w:sz w:val="20"/>
          <w:szCs w:val="20"/>
          <w:bdr w:val="none" w:sz="0" w:space="0" w:color="auto"/>
        </w:rPr>
        <w:t xml:space="preserve">, and Marlon </w:t>
      </w:r>
      <w:proofErr w:type="spellStart"/>
      <w:r w:rsidRPr="00E500AF">
        <w:rPr>
          <w:rFonts w:asciiTheme="majorHAnsi" w:eastAsiaTheme="minorEastAsia" w:hAnsiTheme="majorHAnsi" w:cstheme="minorBidi"/>
          <w:sz w:val="20"/>
          <w:szCs w:val="20"/>
          <w:bdr w:val="none" w:sz="0" w:space="0" w:color="auto"/>
        </w:rPr>
        <w:t>Fabricio</w:t>
      </w:r>
      <w:proofErr w:type="spellEnd"/>
      <w:r w:rsidRPr="00E500AF">
        <w:rPr>
          <w:rFonts w:asciiTheme="majorHAnsi" w:eastAsiaTheme="minorEastAsia" w:hAnsiTheme="majorHAnsi" w:cstheme="minorBidi"/>
          <w:sz w:val="20"/>
          <w:szCs w:val="20"/>
          <w:bdr w:val="none" w:sz="0" w:space="0" w:color="auto"/>
        </w:rPr>
        <w:t xml:space="preserve"> Hernández, acts which could be found, in the merits phase, to constitute violations of Article 5 in relation to Article 1(1) of the American Convention. </w:t>
      </w:r>
    </w:p>
    <w:p w:rsidR="00E500AF" w:rsidRPr="00E500AF" w:rsidRDefault="00E500AF" w:rsidP="00E50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heme="minorEastAsia" w:hAnsiTheme="majorHAnsi" w:cstheme="minorBidi"/>
          <w:sz w:val="20"/>
          <w:szCs w:val="20"/>
          <w:bdr w:val="none" w:sz="0" w:space="0" w:color="auto"/>
        </w:rPr>
      </w:pPr>
    </w:p>
    <w:p w:rsidR="00781808" w:rsidRDefault="00781808" w:rsidP="00E500A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heme="minorEastAsia" w:hAnsiTheme="majorHAnsi" w:cstheme="minorBidi"/>
          <w:sz w:val="20"/>
          <w:szCs w:val="20"/>
          <w:bdr w:val="none" w:sz="0" w:space="0" w:color="auto"/>
        </w:rPr>
      </w:pPr>
      <w:r w:rsidRPr="00E500AF">
        <w:rPr>
          <w:rFonts w:asciiTheme="majorHAnsi" w:eastAsiaTheme="minorEastAsia" w:hAnsiTheme="majorHAnsi" w:cstheme="minorBidi"/>
          <w:sz w:val="20"/>
          <w:szCs w:val="20"/>
          <w:bdr w:val="none" w:sz="0" w:space="0" w:color="auto"/>
        </w:rPr>
        <w:t xml:space="preserve">In addition, if the claims with respect to the lack of due diligence as regards the investigation, punishment, and prosecution of the persons purportedly responsible are proven, they could constitute violations of Articles 8 and 25 of the American Convention in relation to Article 1(1), to the detriment of Ronal Jared </w:t>
      </w:r>
      <w:proofErr w:type="spellStart"/>
      <w:r w:rsidRPr="00E500AF">
        <w:rPr>
          <w:rFonts w:asciiTheme="majorHAnsi" w:eastAsiaTheme="minorEastAsia" w:hAnsiTheme="majorHAnsi" w:cstheme="minorBidi"/>
          <w:sz w:val="20"/>
          <w:szCs w:val="20"/>
          <w:bdr w:val="none" w:sz="0" w:space="0" w:color="auto"/>
        </w:rPr>
        <w:t>Martínez</w:t>
      </w:r>
      <w:proofErr w:type="spellEnd"/>
      <w:r w:rsidRPr="00E500AF">
        <w:rPr>
          <w:rFonts w:asciiTheme="majorHAnsi" w:eastAsiaTheme="minorEastAsia" w:hAnsiTheme="majorHAnsi" w:cstheme="minorBidi"/>
          <w:sz w:val="20"/>
          <w:szCs w:val="20"/>
          <w:bdr w:val="none" w:sz="0" w:space="0" w:color="auto"/>
        </w:rPr>
        <w:t xml:space="preserve"> </w:t>
      </w:r>
      <w:proofErr w:type="spellStart"/>
      <w:r w:rsidRPr="00E500AF">
        <w:rPr>
          <w:rFonts w:asciiTheme="majorHAnsi" w:eastAsiaTheme="minorEastAsia" w:hAnsiTheme="majorHAnsi" w:cstheme="minorBidi"/>
          <w:sz w:val="20"/>
          <w:szCs w:val="20"/>
          <w:bdr w:val="none" w:sz="0" w:space="0" w:color="auto"/>
        </w:rPr>
        <w:t>Velásquez</w:t>
      </w:r>
      <w:proofErr w:type="spellEnd"/>
      <w:r w:rsidRPr="00E500AF">
        <w:rPr>
          <w:rFonts w:asciiTheme="majorHAnsi" w:eastAsiaTheme="minorEastAsia" w:hAnsiTheme="majorHAnsi" w:cstheme="minorBidi"/>
          <w:sz w:val="20"/>
          <w:szCs w:val="20"/>
          <w:bdr w:val="none" w:sz="0" w:space="0" w:color="auto"/>
        </w:rPr>
        <w:t xml:space="preserve"> and his family, and of Marlon </w:t>
      </w:r>
      <w:proofErr w:type="spellStart"/>
      <w:r w:rsidRPr="00E500AF">
        <w:rPr>
          <w:rFonts w:asciiTheme="majorHAnsi" w:eastAsiaTheme="minorEastAsia" w:hAnsiTheme="majorHAnsi" w:cstheme="minorBidi"/>
          <w:sz w:val="20"/>
          <w:szCs w:val="20"/>
          <w:bdr w:val="none" w:sz="0" w:space="0" w:color="auto"/>
        </w:rPr>
        <w:t>Fabricio</w:t>
      </w:r>
      <w:proofErr w:type="spellEnd"/>
      <w:r w:rsidRPr="00E500AF">
        <w:rPr>
          <w:rFonts w:asciiTheme="majorHAnsi" w:eastAsiaTheme="minorEastAsia" w:hAnsiTheme="majorHAnsi" w:cstheme="minorBidi"/>
          <w:sz w:val="20"/>
          <w:szCs w:val="20"/>
          <w:bdr w:val="none" w:sz="0" w:space="0" w:color="auto"/>
        </w:rPr>
        <w:t xml:space="preserve"> Hernández. </w:t>
      </w:r>
    </w:p>
    <w:p w:rsidR="00E500AF" w:rsidRPr="00E500AF" w:rsidRDefault="00E500AF" w:rsidP="00E50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heme="minorEastAsia" w:hAnsiTheme="majorHAnsi" w:cstheme="minorBidi"/>
          <w:sz w:val="20"/>
          <w:szCs w:val="20"/>
          <w:bdr w:val="none" w:sz="0" w:space="0" w:color="auto"/>
        </w:rPr>
      </w:pPr>
    </w:p>
    <w:p w:rsidR="00781808" w:rsidRDefault="00781808" w:rsidP="00E500A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heme="minorEastAsia" w:hAnsiTheme="majorHAnsi" w:cstheme="minorBidi"/>
          <w:sz w:val="20"/>
          <w:szCs w:val="20"/>
          <w:bdr w:val="none" w:sz="0" w:space="0" w:color="auto"/>
        </w:rPr>
      </w:pPr>
      <w:r w:rsidRPr="00E500AF">
        <w:rPr>
          <w:rFonts w:asciiTheme="majorHAnsi" w:eastAsiaTheme="minorEastAsia" w:hAnsiTheme="majorHAnsi" w:cstheme="minorBidi"/>
          <w:sz w:val="20"/>
          <w:szCs w:val="20"/>
          <w:bdr w:val="none" w:sz="0" w:space="0" w:color="auto"/>
        </w:rPr>
        <w:t xml:space="preserve">In addition, the IACHR considers that the effects suffered by the family members of the child Ronal Jared Martínez as a result of his having acquired a permanent physical disability and of the alleged denial of justice might amount to a violation of Article 5 of the American Convention, in conjunction with Article 1(1). </w:t>
      </w:r>
    </w:p>
    <w:p w:rsidR="00E500AF" w:rsidRPr="00E500AF" w:rsidRDefault="00E500AF" w:rsidP="00E500A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heme="minorEastAsia" w:hAnsiTheme="majorHAnsi" w:cstheme="minorBidi"/>
          <w:sz w:val="20"/>
          <w:szCs w:val="20"/>
          <w:bdr w:val="none" w:sz="0" w:space="0" w:color="auto"/>
        </w:rPr>
      </w:pPr>
    </w:p>
    <w:p w:rsidR="00781808" w:rsidRPr="00E500AF" w:rsidRDefault="00781808" w:rsidP="00E500A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heme="minorEastAsia" w:hAnsiTheme="majorHAnsi" w:cstheme="minorBidi"/>
          <w:sz w:val="20"/>
          <w:szCs w:val="20"/>
          <w:bdr w:val="none" w:sz="0" w:space="0" w:color="auto"/>
        </w:rPr>
      </w:pPr>
      <w:r w:rsidRPr="00E500AF">
        <w:rPr>
          <w:rFonts w:asciiTheme="majorHAnsi" w:eastAsiaTheme="minorEastAsia" w:hAnsiTheme="majorHAnsi" w:cstheme="minorBidi"/>
          <w:sz w:val="20"/>
          <w:szCs w:val="20"/>
          <w:bdr w:val="none" w:sz="0" w:space="0" w:color="auto"/>
        </w:rPr>
        <w:t xml:space="preserve">In view of all the foregoing, the Commission considers that the requirements established in Article 47(b) and (c) of the Convention have been met. </w:t>
      </w:r>
    </w:p>
    <w:p w:rsidR="00781808" w:rsidRPr="00E500AF" w:rsidRDefault="00781808" w:rsidP="00E500AF">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ajorHAnsi" w:eastAsia="Times New Roman" w:hAnsiTheme="majorHAnsi"/>
          <w:spacing w:val="-3"/>
          <w:sz w:val="20"/>
          <w:szCs w:val="20"/>
          <w:bdr w:val="none" w:sz="0" w:space="0" w:color="auto"/>
        </w:rPr>
      </w:pPr>
    </w:p>
    <w:p w:rsidR="00781808" w:rsidRPr="00E500AF" w:rsidRDefault="00781808" w:rsidP="00E500AF">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b/>
          <w:sz w:val="20"/>
          <w:szCs w:val="20"/>
          <w:bdr w:val="none" w:sz="0" w:space="0" w:color="auto"/>
        </w:rPr>
      </w:pPr>
      <w:r w:rsidRPr="00E500AF">
        <w:rPr>
          <w:rFonts w:asciiTheme="majorHAnsi" w:eastAsia="Times New Roman" w:hAnsiTheme="majorHAnsi"/>
          <w:b/>
          <w:sz w:val="20"/>
          <w:szCs w:val="20"/>
          <w:bdr w:val="none" w:sz="0" w:space="0" w:color="auto"/>
        </w:rPr>
        <w:t>CONCLUSIONS</w:t>
      </w:r>
    </w:p>
    <w:p w:rsidR="00781808" w:rsidRPr="00E500AF" w:rsidRDefault="00781808" w:rsidP="00E500AF">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ajorHAnsi" w:eastAsia="Times New Roman" w:hAnsiTheme="majorHAnsi"/>
          <w:spacing w:val="-3"/>
          <w:sz w:val="20"/>
          <w:szCs w:val="20"/>
          <w:bdr w:val="none" w:sz="0" w:space="0" w:color="auto"/>
        </w:rPr>
      </w:pPr>
    </w:p>
    <w:p w:rsidR="00781808" w:rsidRPr="00E500AF" w:rsidRDefault="00781808" w:rsidP="00E500A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heme="minorEastAsia" w:hAnsiTheme="majorHAnsi" w:cstheme="minorBidi"/>
          <w:sz w:val="20"/>
          <w:szCs w:val="20"/>
          <w:bdr w:val="none" w:sz="0" w:space="0" w:color="auto"/>
        </w:rPr>
      </w:pPr>
      <w:r w:rsidRPr="00E500AF">
        <w:rPr>
          <w:rFonts w:asciiTheme="majorHAnsi" w:eastAsiaTheme="minorEastAsia" w:hAnsiTheme="majorHAnsi" w:cstheme="minorBidi"/>
          <w:spacing w:val="-3"/>
          <w:sz w:val="20"/>
          <w:szCs w:val="20"/>
          <w:bdr w:val="none" w:sz="0" w:space="0" w:color="auto"/>
        </w:rPr>
        <w:t xml:space="preserve">Given the foregoing considerations of fact and law, </w:t>
      </w:r>
    </w:p>
    <w:p w:rsidR="00781808" w:rsidRPr="00E500AF" w:rsidRDefault="00781808" w:rsidP="00E500AF">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eastAsiaTheme="minorEastAsia" w:hAnsiTheme="majorHAnsi" w:cstheme="minorBidi"/>
          <w:spacing w:val="-3"/>
          <w:sz w:val="20"/>
          <w:szCs w:val="20"/>
          <w:bdr w:val="none" w:sz="0" w:space="0" w:color="auto"/>
        </w:rPr>
      </w:pPr>
    </w:p>
    <w:p w:rsidR="00781808" w:rsidRPr="00E500AF" w:rsidRDefault="00781808" w:rsidP="00E500A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1440" w:firstLine="720"/>
        <w:rPr>
          <w:rFonts w:asciiTheme="majorHAnsi" w:eastAsiaTheme="minorEastAsia" w:hAnsiTheme="majorHAnsi" w:cstheme="minorBidi"/>
          <w:b/>
          <w:spacing w:val="-3"/>
          <w:sz w:val="20"/>
          <w:szCs w:val="20"/>
          <w:bdr w:val="none" w:sz="0" w:space="0" w:color="auto"/>
        </w:rPr>
      </w:pPr>
      <w:r w:rsidRPr="00E500AF">
        <w:rPr>
          <w:rFonts w:asciiTheme="majorHAnsi" w:eastAsiaTheme="minorEastAsia" w:hAnsiTheme="majorHAnsi" w:cstheme="minorBidi"/>
          <w:b/>
          <w:spacing w:val="-3"/>
          <w:sz w:val="20"/>
          <w:szCs w:val="20"/>
          <w:bdr w:val="none" w:sz="0" w:space="0" w:color="auto"/>
        </w:rPr>
        <w:t xml:space="preserve">THE INTER-AMERICAN COMMISSION ON HUMAN RIGHTS </w:t>
      </w:r>
    </w:p>
    <w:p w:rsidR="00781808" w:rsidRPr="00E500AF" w:rsidRDefault="00781808" w:rsidP="00E500AF">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eastAsiaTheme="minorEastAsia" w:hAnsiTheme="majorHAnsi" w:cstheme="minorBidi"/>
          <w:b/>
          <w:spacing w:val="-3"/>
          <w:sz w:val="20"/>
          <w:szCs w:val="20"/>
          <w:bdr w:val="none" w:sz="0" w:space="0" w:color="auto"/>
        </w:rPr>
      </w:pPr>
      <w:r w:rsidRPr="00E500AF">
        <w:rPr>
          <w:rFonts w:asciiTheme="majorHAnsi" w:eastAsiaTheme="minorEastAsia" w:hAnsiTheme="majorHAnsi" w:cstheme="minorBidi"/>
          <w:b/>
          <w:spacing w:val="-3"/>
          <w:sz w:val="20"/>
          <w:szCs w:val="20"/>
          <w:bdr w:val="none" w:sz="0" w:space="0" w:color="auto"/>
        </w:rPr>
        <w:t>DECIDES:</w:t>
      </w:r>
    </w:p>
    <w:p w:rsidR="00781808" w:rsidRPr="00E500AF" w:rsidRDefault="00781808" w:rsidP="00E500AF">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eastAsiaTheme="minorEastAsia" w:hAnsiTheme="majorHAnsi" w:cstheme="minorBidi"/>
          <w:b/>
          <w:spacing w:val="-3"/>
          <w:sz w:val="20"/>
          <w:szCs w:val="20"/>
          <w:bdr w:val="none" w:sz="0" w:space="0" w:color="auto"/>
        </w:rPr>
      </w:pPr>
    </w:p>
    <w:p w:rsidR="00781808" w:rsidRDefault="00781808" w:rsidP="00E500AF">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rPr>
          <w:rFonts w:asciiTheme="majorHAnsi" w:eastAsia="Times New Roman" w:hAnsiTheme="majorHAnsi"/>
          <w:sz w:val="20"/>
          <w:szCs w:val="20"/>
          <w:bdr w:val="none" w:sz="0" w:space="0" w:color="auto"/>
        </w:rPr>
      </w:pPr>
      <w:r w:rsidRPr="00E500AF">
        <w:rPr>
          <w:rFonts w:asciiTheme="majorHAnsi" w:eastAsia="Times New Roman" w:hAnsiTheme="majorHAnsi"/>
          <w:spacing w:val="-3"/>
          <w:sz w:val="20"/>
          <w:szCs w:val="20"/>
          <w:bdr w:val="none" w:sz="0" w:space="0" w:color="auto"/>
        </w:rPr>
        <w:t xml:space="preserve">To find the instant case admissible in relation to the alleged violations of the rights established at Articles </w:t>
      </w:r>
      <w:r w:rsidRPr="00E500AF">
        <w:rPr>
          <w:rFonts w:asciiTheme="majorHAnsi" w:eastAsia="Times New Roman" w:hAnsiTheme="majorHAnsi"/>
          <w:sz w:val="20"/>
          <w:szCs w:val="20"/>
          <w:bdr w:val="none" w:sz="0" w:space="0" w:color="auto"/>
        </w:rPr>
        <w:t xml:space="preserve">5, 8, 19, and 25 of the American Convention, in connection with Article 1(1) of that instrument. </w:t>
      </w:r>
    </w:p>
    <w:p w:rsidR="00E500AF" w:rsidRPr="00E500AF" w:rsidRDefault="00E500AF" w:rsidP="00E500AF">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eastAsia="Times New Roman" w:hAnsiTheme="majorHAnsi"/>
          <w:sz w:val="20"/>
          <w:szCs w:val="20"/>
          <w:bdr w:val="none" w:sz="0" w:space="0" w:color="auto"/>
        </w:rPr>
      </w:pPr>
    </w:p>
    <w:p w:rsidR="00781808" w:rsidRPr="00E500AF" w:rsidRDefault="00781808" w:rsidP="00E500AF">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ind w:left="0" w:firstLine="720"/>
        <w:jc w:val="both"/>
        <w:rPr>
          <w:rFonts w:asciiTheme="majorHAnsi" w:eastAsiaTheme="minorEastAsia" w:hAnsiTheme="majorHAnsi" w:cstheme="minorBidi"/>
          <w:sz w:val="20"/>
          <w:szCs w:val="20"/>
          <w:bdr w:val="none" w:sz="0" w:space="0" w:color="auto"/>
        </w:rPr>
      </w:pPr>
      <w:r w:rsidRPr="00E500AF">
        <w:rPr>
          <w:rFonts w:asciiTheme="majorHAnsi" w:eastAsiaTheme="minorEastAsia" w:hAnsiTheme="majorHAnsi" w:cstheme="minorBidi"/>
          <w:spacing w:val="-3"/>
          <w:sz w:val="20"/>
          <w:szCs w:val="20"/>
          <w:bdr w:val="none" w:sz="0" w:space="0" w:color="auto"/>
        </w:rPr>
        <w:t xml:space="preserve">To notify the parties of this decision. </w:t>
      </w:r>
    </w:p>
    <w:p w:rsidR="00E500AF" w:rsidRDefault="00E500AF" w:rsidP="00E500AF">
      <w:pPr>
        <w:pStyle w:val="ListParagraph"/>
        <w:rPr>
          <w:rFonts w:asciiTheme="majorHAnsi" w:eastAsiaTheme="minorEastAsia" w:hAnsiTheme="majorHAnsi" w:cstheme="minorBidi"/>
          <w:sz w:val="20"/>
          <w:szCs w:val="20"/>
          <w:bdr w:val="none" w:sz="0" w:space="0" w:color="auto"/>
        </w:rPr>
      </w:pPr>
    </w:p>
    <w:p w:rsidR="00E500AF" w:rsidRPr="00E500AF" w:rsidRDefault="00E500AF" w:rsidP="00E500A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Theme="minorEastAsia" w:hAnsiTheme="majorHAnsi" w:cstheme="minorBidi"/>
          <w:sz w:val="20"/>
          <w:szCs w:val="20"/>
          <w:bdr w:val="none" w:sz="0" w:space="0" w:color="auto"/>
        </w:rPr>
      </w:pPr>
    </w:p>
    <w:p w:rsidR="00781808" w:rsidRPr="00E500AF" w:rsidRDefault="00781808" w:rsidP="00E500AF">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ind w:left="0" w:firstLine="720"/>
        <w:jc w:val="both"/>
        <w:rPr>
          <w:rFonts w:asciiTheme="majorHAnsi" w:eastAsiaTheme="minorEastAsia" w:hAnsiTheme="majorHAnsi" w:cstheme="minorBidi"/>
          <w:b/>
          <w:sz w:val="20"/>
          <w:szCs w:val="20"/>
          <w:bdr w:val="none" w:sz="0" w:space="0" w:color="auto"/>
        </w:rPr>
      </w:pPr>
      <w:r w:rsidRPr="00E500AF">
        <w:rPr>
          <w:rFonts w:asciiTheme="majorHAnsi" w:eastAsiaTheme="minorEastAsia" w:hAnsiTheme="majorHAnsi" w:cstheme="minorBidi"/>
          <w:sz w:val="20"/>
          <w:szCs w:val="20"/>
          <w:bdr w:val="none" w:sz="0" w:space="0" w:color="auto"/>
        </w:rPr>
        <w:t xml:space="preserve">To publish this decision and include it in its Annual Report to the General Assembly of the OAS. </w:t>
      </w:r>
    </w:p>
    <w:p w:rsidR="00E500AF" w:rsidRPr="00E500AF" w:rsidRDefault="00E500AF" w:rsidP="00E500A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Theme="minorEastAsia" w:hAnsiTheme="majorHAnsi" w:cstheme="minorBidi"/>
          <w:b/>
          <w:sz w:val="20"/>
          <w:szCs w:val="20"/>
          <w:bdr w:val="none" w:sz="0" w:space="0" w:color="auto"/>
        </w:rPr>
      </w:pPr>
      <w:bookmarkStart w:id="2" w:name="_GoBack"/>
      <w:bookmarkEnd w:id="2"/>
    </w:p>
    <w:p w:rsidR="00F42A2D" w:rsidRPr="00E500AF" w:rsidRDefault="00F42A2D" w:rsidP="00E500AF">
      <w:pPr>
        <w:suppressAutoHyphens/>
        <w:ind w:firstLine="720"/>
        <w:jc w:val="both"/>
        <w:rPr>
          <w:rFonts w:asciiTheme="majorHAnsi" w:hAnsiTheme="majorHAnsi"/>
          <w:spacing w:val="-2"/>
          <w:sz w:val="20"/>
          <w:szCs w:val="20"/>
        </w:rPr>
      </w:pPr>
      <w:r w:rsidRPr="00E500AF">
        <w:rPr>
          <w:rFonts w:asciiTheme="majorHAnsi" w:hAnsiTheme="majorHAnsi"/>
          <w:spacing w:val="-2"/>
          <w:sz w:val="20"/>
          <w:szCs w:val="20"/>
        </w:rPr>
        <w:t>Done and signed in the city of Washington, D.C., on the 21</w:t>
      </w:r>
      <w:r w:rsidR="000B3D4A" w:rsidRPr="00E500AF">
        <w:rPr>
          <w:rFonts w:asciiTheme="majorHAnsi" w:hAnsiTheme="majorHAnsi"/>
          <w:spacing w:val="-2"/>
          <w:sz w:val="20"/>
          <w:szCs w:val="20"/>
          <w:vertAlign w:val="superscript"/>
        </w:rPr>
        <w:t>st</w:t>
      </w:r>
      <w:r w:rsidRPr="00E500AF">
        <w:rPr>
          <w:rFonts w:asciiTheme="majorHAnsi" w:hAnsiTheme="majorHAnsi"/>
          <w:spacing w:val="-2"/>
          <w:sz w:val="20"/>
          <w:szCs w:val="20"/>
        </w:rPr>
        <w:t xml:space="preserve"> day of the month of July, 2014. (Signed): </w:t>
      </w:r>
      <w:r w:rsidRPr="00E500AF">
        <w:rPr>
          <w:rFonts w:asciiTheme="majorHAnsi" w:hAnsiTheme="majorHAnsi"/>
          <w:sz w:val="20"/>
          <w:szCs w:val="20"/>
        </w:rPr>
        <w:t xml:space="preserve">Tracy Robinson, President; </w:t>
      </w:r>
      <w:r w:rsidRPr="00E500AF">
        <w:rPr>
          <w:rFonts w:asciiTheme="majorHAnsi" w:hAnsiTheme="majorHAnsi" w:cs="Arial"/>
          <w:noProof/>
          <w:spacing w:val="-2"/>
          <w:sz w:val="20"/>
          <w:szCs w:val="20"/>
        </w:rPr>
        <w:t>Rose-Marie Belle Antoine</w:t>
      </w:r>
      <w:r w:rsidRPr="00E500AF">
        <w:rPr>
          <w:rFonts w:asciiTheme="majorHAnsi" w:hAnsiTheme="majorHAnsi"/>
          <w:sz w:val="20"/>
          <w:szCs w:val="20"/>
        </w:rPr>
        <w:t xml:space="preserve">, </w:t>
      </w:r>
      <w:r w:rsidRPr="00E500AF">
        <w:rPr>
          <w:rFonts w:asciiTheme="majorHAnsi" w:hAnsiTheme="majorHAnsi"/>
          <w:spacing w:val="-2"/>
          <w:sz w:val="20"/>
          <w:szCs w:val="20"/>
        </w:rPr>
        <w:t xml:space="preserve">First Vice President; </w:t>
      </w:r>
      <w:r w:rsidRPr="00E500AF">
        <w:rPr>
          <w:rFonts w:asciiTheme="majorHAnsi" w:hAnsiTheme="majorHAnsi" w:cs="Arial"/>
          <w:noProof/>
          <w:spacing w:val="-2"/>
          <w:sz w:val="20"/>
          <w:szCs w:val="20"/>
        </w:rPr>
        <w:t>Felipe González, Second Vice President;  José de Jesús Orozco Henríquez</w:t>
      </w:r>
      <w:r w:rsidRPr="00E500AF">
        <w:rPr>
          <w:rFonts w:asciiTheme="majorHAnsi" w:hAnsiTheme="majorHAnsi"/>
          <w:spacing w:val="-2"/>
          <w:sz w:val="20"/>
          <w:szCs w:val="20"/>
        </w:rPr>
        <w:t>,</w:t>
      </w:r>
      <w:r w:rsidRPr="00E500AF">
        <w:rPr>
          <w:rFonts w:asciiTheme="majorHAnsi" w:hAnsiTheme="majorHAnsi"/>
          <w:sz w:val="20"/>
          <w:szCs w:val="20"/>
        </w:rPr>
        <w:t xml:space="preserve"> </w:t>
      </w:r>
      <w:r w:rsidRPr="00E500AF">
        <w:rPr>
          <w:rFonts w:asciiTheme="majorHAnsi" w:hAnsiTheme="majorHAnsi" w:cs="Arial"/>
          <w:noProof/>
          <w:spacing w:val="-2"/>
          <w:sz w:val="20"/>
          <w:szCs w:val="20"/>
        </w:rPr>
        <w:t xml:space="preserve">Rosa María Ortiz, Paulo Vannuchi and James L. Cavallaro, </w:t>
      </w:r>
      <w:r w:rsidRPr="00E500AF">
        <w:rPr>
          <w:rFonts w:asciiTheme="majorHAnsi" w:hAnsiTheme="majorHAnsi"/>
          <w:spacing w:val="-2"/>
          <w:sz w:val="20"/>
          <w:szCs w:val="20"/>
        </w:rPr>
        <w:t>Commissioners.</w:t>
      </w:r>
    </w:p>
    <w:p w:rsidR="00F42A2D" w:rsidRPr="00365F2F" w:rsidRDefault="00F42A2D" w:rsidP="00F42A2D">
      <w:pPr>
        <w:tabs>
          <w:tab w:val="left" w:pos="2820"/>
        </w:tabs>
        <w:suppressAutoHyphens/>
        <w:ind w:firstLine="720"/>
        <w:jc w:val="both"/>
        <w:rPr>
          <w:rFonts w:ascii="Cambria" w:hAnsi="Cambria"/>
          <w:spacing w:val="-2"/>
          <w:sz w:val="20"/>
        </w:rPr>
      </w:pPr>
    </w:p>
    <w:sectPr w:rsidR="00F42A2D" w:rsidRPr="00365F2F" w:rsidSect="006311DA">
      <w:footerReference w:type="first" r:id="rId1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AFA" w:rsidRDefault="00EE1AFA" w:rsidP="00036A8A">
      <w:r>
        <w:separator/>
      </w:r>
    </w:p>
  </w:endnote>
  <w:endnote w:type="continuationSeparator" w:id="0">
    <w:p w:rsidR="00EE1AFA" w:rsidRDefault="00EE1AF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panose1 w:val="020B06030202020302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E500AF">
          <w:rPr>
            <w:noProof/>
            <w:sz w:val="16"/>
          </w:rPr>
          <w:t>6</w:t>
        </w:r>
        <w:r w:rsidRPr="006311DA">
          <w:rPr>
            <w:noProof/>
            <w:sz w:val="16"/>
          </w:rPr>
          <w:fldChar w:fldCharType="end"/>
        </w:r>
      </w:p>
    </w:sdtContent>
  </w:sdt>
  <w:p w:rsidR="00F1380F" w:rsidRDefault="00F13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AFA" w:rsidRPr="00036A8A" w:rsidRDefault="00EE1AF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EE1AFA" w:rsidRPr="00036A8A" w:rsidRDefault="00EE1AFA" w:rsidP="00036A8A">
      <w:pPr>
        <w:rPr>
          <w:rFonts w:asciiTheme="majorHAnsi" w:hAnsiTheme="majorHAnsi"/>
          <w:sz w:val="16"/>
          <w:szCs w:val="16"/>
        </w:rPr>
      </w:pPr>
      <w:r w:rsidRPr="00036A8A">
        <w:rPr>
          <w:rFonts w:asciiTheme="majorHAnsi" w:hAnsiTheme="majorHAnsi"/>
          <w:sz w:val="16"/>
          <w:szCs w:val="16"/>
        </w:rPr>
        <w:separator/>
      </w:r>
    </w:p>
    <w:p w:rsidR="00EE1AFA" w:rsidRPr="00036A8A" w:rsidRDefault="00EE1AF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EE1AFA" w:rsidRPr="0093441A" w:rsidRDefault="00EE1AFA"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781808" w:rsidRPr="00E6752D" w:rsidRDefault="00781808" w:rsidP="00781808">
      <w:pPr>
        <w:spacing w:after="120"/>
        <w:ind w:firstLine="720"/>
        <w:jc w:val="both"/>
        <w:rPr>
          <w:rFonts w:eastAsia="Times New Roman"/>
          <w:sz w:val="16"/>
          <w:szCs w:val="16"/>
        </w:rPr>
      </w:pPr>
      <w:r w:rsidRPr="00E6752D">
        <w:rPr>
          <w:rStyle w:val="FootnoteReference"/>
          <w:sz w:val="16"/>
          <w:szCs w:val="16"/>
        </w:rPr>
        <w:footnoteRef/>
      </w:r>
      <w:r w:rsidRPr="00E6752D">
        <w:rPr>
          <w:rFonts w:eastAsia="Times New Roman"/>
          <w:bCs/>
          <w:sz w:val="16"/>
          <w:szCs w:val="16"/>
        </w:rPr>
        <w:t xml:space="preserve"> IACHR, Admissibility Report No. 65/06, </w:t>
      </w:r>
      <w:r w:rsidRPr="00E6752D">
        <w:rPr>
          <w:rFonts w:eastAsia="Times New Roman"/>
          <w:sz w:val="16"/>
          <w:szCs w:val="16"/>
        </w:rPr>
        <w:t xml:space="preserve"> P 81-06, </w:t>
      </w:r>
      <w:r w:rsidRPr="00E6752D">
        <w:rPr>
          <w:rFonts w:eastAsia="Times New Roman"/>
          <w:i/>
          <w:sz w:val="16"/>
          <w:szCs w:val="16"/>
        </w:rPr>
        <w:t>Jimmy Charles</w:t>
      </w:r>
      <w:r w:rsidRPr="00E6752D">
        <w:rPr>
          <w:rFonts w:eastAsia="Times New Roman"/>
          <w:sz w:val="16"/>
          <w:szCs w:val="16"/>
        </w:rPr>
        <w:t>, Haiti, July 20, 2006</w:t>
      </w:r>
      <w:r w:rsidRPr="00E6752D">
        <w:rPr>
          <w:sz w:val="16"/>
          <w:szCs w:val="16"/>
        </w:rPr>
        <w:t>, para. 23.</w:t>
      </w:r>
    </w:p>
  </w:footnote>
  <w:footnote w:id="3">
    <w:p w:rsidR="00781808" w:rsidRPr="00CF6454" w:rsidRDefault="00781808" w:rsidP="00781808">
      <w:pPr>
        <w:spacing w:after="120"/>
        <w:ind w:firstLine="720"/>
        <w:jc w:val="both"/>
        <w:rPr>
          <w:sz w:val="16"/>
          <w:szCs w:val="16"/>
        </w:rPr>
      </w:pPr>
      <w:r w:rsidRPr="00CF6454">
        <w:rPr>
          <w:rStyle w:val="FootnoteReference"/>
          <w:sz w:val="16"/>
          <w:szCs w:val="16"/>
        </w:rPr>
        <w:footnoteRef/>
      </w:r>
      <w:r w:rsidRPr="00CF6454">
        <w:rPr>
          <w:sz w:val="16"/>
          <w:szCs w:val="16"/>
        </w:rPr>
        <w:t xml:space="preserve"> </w:t>
      </w:r>
      <w:proofErr w:type="gramStart"/>
      <w:r w:rsidRPr="00CF6454">
        <w:rPr>
          <w:sz w:val="16"/>
          <w:szCs w:val="16"/>
        </w:rPr>
        <w:t xml:space="preserve">Criminal Proceeding– Court of First Instance, La </w:t>
      </w:r>
      <w:proofErr w:type="spellStart"/>
      <w:r w:rsidRPr="00CF6454">
        <w:rPr>
          <w:sz w:val="16"/>
          <w:szCs w:val="16"/>
        </w:rPr>
        <w:t>Ceiba</w:t>
      </w:r>
      <w:proofErr w:type="spellEnd"/>
      <w:r w:rsidRPr="00CF6454">
        <w:rPr>
          <w:sz w:val="16"/>
          <w:szCs w:val="16"/>
        </w:rPr>
        <w:t>, Atlántida.</w:t>
      </w:r>
      <w:proofErr w:type="gramEnd"/>
      <w:r w:rsidRPr="00CF6454">
        <w:rPr>
          <w:sz w:val="16"/>
          <w:szCs w:val="16"/>
        </w:rPr>
        <w:t xml:space="preserve"> Case No. 49-2002</w:t>
      </w:r>
    </w:p>
  </w:footnote>
  <w:footnote w:id="4">
    <w:p w:rsidR="00781808" w:rsidRPr="00CF6454" w:rsidRDefault="00781808" w:rsidP="00781808">
      <w:pPr>
        <w:pStyle w:val="FootnoteText"/>
        <w:spacing w:after="120"/>
        <w:ind w:firstLine="720"/>
        <w:jc w:val="both"/>
        <w:rPr>
          <w:sz w:val="16"/>
          <w:szCs w:val="16"/>
        </w:rPr>
      </w:pPr>
      <w:r w:rsidRPr="00CF6454">
        <w:rPr>
          <w:rStyle w:val="FootnoteReference"/>
          <w:sz w:val="16"/>
          <w:szCs w:val="16"/>
        </w:rPr>
        <w:footnoteRef/>
      </w:r>
      <w:r w:rsidRPr="00CF6454">
        <w:rPr>
          <w:sz w:val="16"/>
          <w:szCs w:val="16"/>
        </w:rPr>
        <w:t xml:space="preserve"> It should be noted that this element was only added in the 2005 judgment. </w:t>
      </w:r>
    </w:p>
  </w:footnote>
  <w:footnote w:id="5">
    <w:p w:rsidR="00781808" w:rsidRPr="00CF6454" w:rsidRDefault="00781808" w:rsidP="00781808">
      <w:pPr>
        <w:spacing w:after="120"/>
        <w:ind w:firstLine="720"/>
        <w:jc w:val="both"/>
        <w:rPr>
          <w:rFonts w:eastAsia="Calibri" w:cs="Arial"/>
          <w:sz w:val="16"/>
          <w:szCs w:val="16"/>
        </w:rPr>
      </w:pPr>
      <w:r w:rsidRPr="00CF6454">
        <w:rPr>
          <w:rStyle w:val="FootnoteReference"/>
          <w:rFonts w:eastAsia="Calibri" w:cs="Arial"/>
          <w:sz w:val="16"/>
          <w:szCs w:val="16"/>
        </w:rPr>
        <w:footnoteRef/>
      </w:r>
      <w:r w:rsidRPr="00CF6454">
        <w:rPr>
          <w:rFonts w:eastAsia="Calibri" w:cs="Arial"/>
          <w:sz w:val="16"/>
          <w:szCs w:val="16"/>
        </w:rPr>
        <w:t xml:space="preserve"> IACHR</w:t>
      </w:r>
      <w:r w:rsidRPr="00CF6454">
        <w:rPr>
          <w:sz w:val="16"/>
          <w:szCs w:val="16"/>
        </w:rPr>
        <w:t xml:space="preserve">, </w:t>
      </w:r>
      <w:r w:rsidRPr="00CF6454">
        <w:rPr>
          <w:i/>
          <w:sz w:val="16"/>
          <w:szCs w:val="16"/>
        </w:rPr>
        <w:t xml:space="preserve">Nam Qom Indigenous Community of the Qom (Toba) People, </w:t>
      </w:r>
      <w:r w:rsidRPr="00CF6454">
        <w:rPr>
          <w:sz w:val="16"/>
          <w:szCs w:val="16"/>
        </w:rPr>
        <w:t xml:space="preserve">Argentina, Admissibility Report No. 273-05, March 19, 2013. </w:t>
      </w:r>
      <w:proofErr w:type="gramStart"/>
      <w:r w:rsidRPr="00CF6454">
        <w:rPr>
          <w:sz w:val="16"/>
          <w:szCs w:val="16"/>
        </w:rPr>
        <w:t>para</w:t>
      </w:r>
      <w:proofErr w:type="gramEnd"/>
      <w:r w:rsidRPr="00CF6454">
        <w:rPr>
          <w:sz w:val="16"/>
          <w:szCs w:val="16"/>
        </w:rPr>
        <w:t>.</w:t>
      </w:r>
      <w:r w:rsidRPr="00CF6454">
        <w:rPr>
          <w:i/>
          <w:sz w:val="16"/>
          <w:szCs w:val="16"/>
        </w:rPr>
        <w:t xml:space="preserve"> </w:t>
      </w:r>
      <w:r w:rsidRPr="00CF6454">
        <w:rPr>
          <w:sz w:val="16"/>
          <w:szCs w:val="16"/>
        </w:rPr>
        <w:t xml:space="preserve">33; IACHR, </w:t>
      </w:r>
      <w:r w:rsidRPr="00CF6454">
        <w:rPr>
          <w:i/>
          <w:sz w:val="16"/>
          <w:szCs w:val="16"/>
        </w:rPr>
        <w:t xml:space="preserve">Alex </w:t>
      </w:r>
      <w:proofErr w:type="spellStart"/>
      <w:r w:rsidRPr="00CF6454">
        <w:rPr>
          <w:i/>
          <w:sz w:val="16"/>
          <w:szCs w:val="16"/>
        </w:rPr>
        <w:t>Edmundo</w:t>
      </w:r>
      <w:proofErr w:type="spellEnd"/>
      <w:r w:rsidRPr="00CF6454">
        <w:rPr>
          <w:i/>
          <w:sz w:val="16"/>
          <w:szCs w:val="16"/>
        </w:rPr>
        <w:t xml:space="preserve"> </w:t>
      </w:r>
      <w:proofErr w:type="spellStart"/>
      <w:r w:rsidRPr="00CF6454">
        <w:rPr>
          <w:i/>
          <w:sz w:val="16"/>
          <w:szCs w:val="16"/>
        </w:rPr>
        <w:t>Lemún</w:t>
      </w:r>
      <w:proofErr w:type="spellEnd"/>
      <w:r w:rsidRPr="00CF6454">
        <w:rPr>
          <w:i/>
          <w:sz w:val="16"/>
          <w:szCs w:val="16"/>
        </w:rPr>
        <w:t xml:space="preserve"> Saavedra et al., </w:t>
      </w:r>
      <w:r w:rsidRPr="00CF6454">
        <w:rPr>
          <w:sz w:val="16"/>
          <w:szCs w:val="16"/>
        </w:rPr>
        <w:t xml:space="preserve">Chile, Admissibility Report No. 404-06, November 8, 2012. </w:t>
      </w:r>
      <w:proofErr w:type="gramStart"/>
      <w:r w:rsidRPr="00CF6454">
        <w:rPr>
          <w:rFonts w:eastAsia="Calibri"/>
          <w:sz w:val="16"/>
          <w:szCs w:val="16"/>
        </w:rPr>
        <w:t>para</w:t>
      </w:r>
      <w:proofErr w:type="gramEnd"/>
      <w:r w:rsidRPr="00CF6454">
        <w:rPr>
          <w:rFonts w:eastAsia="Calibri"/>
          <w:sz w:val="16"/>
          <w:szCs w:val="16"/>
        </w:rPr>
        <w:t>.</w:t>
      </w:r>
      <w:r w:rsidRPr="00CF6454">
        <w:rPr>
          <w:rFonts w:eastAsia="Calibri"/>
          <w:i/>
          <w:sz w:val="16"/>
          <w:szCs w:val="16"/>
        </w:rPr>
        <w:t xml:space="preserve"> </w:t>
      </w:r>
      <w:r w:rsidRPr="00CF6454">
        <w:rPr>
          <w:rFonts w:eastAsia="Calibri"/>
          <w:sz w:val="16"/>
          <w:szCs w:val="16"/>
        </w:rPr>
        <w:t xml:space="preserve">35; </w:t>
      </w:r>
      <w:r w:rsidRPr="00CF6454">
        <w:rPr>
          <w:sz w:val="16"/>
          <w:szCs w:val="16"/>
        </w:rPr>
        <w:t xml:space="preserve">IACHR, </w:t>
      </w:r>
      <w:r w:rsidRPr="00CF6454">
        <w:rPr>
          <w:i/>
          <w:sz w:val="16"/>
          <w:szCs w:val="16"/>
        </w:rPr>
        <w:t xml:space="preserve">Residents of the Village of </w:t>
      </w:r>
      <w:proofErr w:type="spellStart"/>
      <w:r w:rsidRPr="00CF6454">
        <w:rPr>
          <w:i/>
          <w:sz w:val="16"/>
          <w:szCs w:val="16"/>
        </w:rPr>
        <w:t>Chichupac</w:t>
      </w:r>
      <w:proofErr w:type="spellEnd"/>
      <w:r w:rsidRPr="00CF6454">
        <w:rPr>
          <w:i/>
          <w:sz w:val="16"/>
          <w:szCs w:val="16"/>
        </w:rPr>
        <w:t xml:space="preserve"> and </w:t>
      </w:r>
      <w:proofErr w:type="spellStart"/>
      <w:r w:rsidRPr="00CF6454">
        <w:rPr>
          <w:i/>
          <w:sz w:val="16"/>
          <w:szCs w:val="16"/>
        </w:rPr>
        <w:t>Xeabaj</w:t>
      </w:r>
      <w:proofErr w:type="spellEnd"/>
      <w:r w:rsidRPr="00CF6454">
        <w:rPr>
          <w:i/>
          <w:sz w:val="16"/>
          <w:szCs w:val="16"/>
        </w:rPr>
        <w:t xml:space="preserve"> </w:t>
      </w:r>
      <w:proofErr w:type="spellStart"/>
      <w:r w:rsidRPr="00CF6454">
        <w:rPr>
          <w:i/>
          <w:sz w:val="16"/>
          <w:szCs w:val="16"/>
        </w:rPr>
        <w:t>Halmlet</w:t>
      </w:r>
      <w:proofErr w:type="spellEnd"/>
      <w:r w:rsidRPr="00CF6454">
        <w:rPr>
          <w:i/>
          <w:sz w:val="16"/>
          <w:szCs w:val="16"/>
        </w:rPr>
        <w:t xml:space="preserve"> of the Municipality of </w:t>
      </w:r>
      <w:proofErr w:type="spellStart"/>
      <w:r w:rsidRPr="00CF6454">
        <w:rPr>
          <w:i/>
          <w:sz w:val="16"/>
          <w:szCs w:val="16"/>
        </w:rPr>
        <w:t>Rabinal</w:t>
      </w:r>
      <w:proofErr w:type="spellEnd"/>
      <w:r w:rsidRPr="00CF6454">
        <w:rPr>
          <w:i/>
          <w:sz w:val="16"/>
          <w:szCs w:val="16"/>
        </w:rPr>
        <w:t xml:space="preserve">, </w:t>
      </w:r>
      <w:r w:rsidRPr="00CF6454">
        <w:rPr>
          <w:sz w:val="16"/>
          <w:szCs w:val="16"/>
        </w:rPr>
        <w:t>Guatemala, Petition 1579-07, November 1, 2010</w:t>
      </w:r>
      <w:r w:rsidRPr="00CF6454">
        <w:rPr>
          <w:i/>
          <w:sz w:val="16"/>
          <w:szCs w:val="16"/>
        </w:rPr>
        <w:t xml:space="preserve">, </w:t>
      </w:r>
      <w:r w:rsidRPr="00CF6454">
        <w:rPr>
          <w:sz w:val="16"/>
          <w:szCs w:val="16"/>
        </w:rPr>
        <w:t>para.</w:t>
      </w:r>
      <w:r w:rsidRPr="00CF6454">
        <w:rPr>
          <w:i/>
          <w:sz w:val="16"/>
          <w:szCs w:val="16"/>
        </w:rPr>
        <w:t xml:space="preserve"> </w:t>
      </w:r>
      <w:r w:rsidRPr="00CF6454">
        <w:rPr>
          <w:sz w:val="16"/>
          <w:szCs w:val="16"/>
          <w:lang w:val="es-ES_tradnl"/>
        </w:rPr>
        <w:t xml:space="preserve">50; </w:t>
      </w:r>
      <w:r w:rsidRPr="00CF6454">
        <w:rPr>
          <w:rFonts w:eastAsia="Calibri"/>
          <w:sz w:val="16"/>
          <w:szCs w:val="16"/>
          <w:lang w:val="es-ES_tradnl"/>
        </w:rPr>
        <w:t xml:space="preserve">IACHR, </w:t>
      </w:r>
      <w:proofErr w:type="spellStart"/>
      <w:r w:rsidRPr="00CF6454">
        <w:rPr>
          <w:sz w:val="16"/>
          <w:szCs w:val="16"/>
          <w:lang w:val="es-ES_tradnl"/>
        </w:rPr>
        <w:t>Admissibility</w:t>
      </w:r>
      <w:proofErr w:type="spellEnd"/>
      <w:r w:rsidRPr="00CF6454">
        <w:rPr>
          <w:sz w:val="16"/>
          <w:szCs w:val="16"/>
          <w:lang w:val="es-ES_tradnl"/>
        </w:rPr>
        <w:t xml:space="preserve"> </w:t>
      </w:r>
      <w:proofErr w:type="spellStart"/>
      <w:r w:rsidRPr="00CF6454">
        <w:rPr>
          <w:sz w:val="16"/>
          <w:szCs w:val="16"/>
          <w:lang w:val="es-ES_tradnl"/>
        </w:rPr>
        <w:t>Report</w:t>
      </w:r>
      <w:proofErr w:type="spellEnd"/>
      <w:r w:rsidRPr="00CF6454">
        <w:rPr>
          <w:rFonts w:eastAsia="Calibri"/>
          <w:sz w:val="16"/>
          <w:szCs w:val="16"/>
          <w:lang w:val="es-ES_tradnl"/>
        </w:rPr>
        <w:t xml:space="preserve"> No. 99/09, </w:t>
      </w:r>
      <w:proofErr w:type="spellStart"/>
      <w:r w:rsidRPr="00CF6454">
        <w:rPr>
          <w:rFonts w:eastAsia="Calibri"/>
          <w:sz w:val="16"/>
          <w:szCs w:val="16"/>
          <w:lang w:val="es-ES_tradnl"/>
        </w:rPr>
        <w:t>Petition</w:t>
      </w:r>
      <w:proofErr w:type="spellEnd"/>
      <w:r w:rsidRPr="00CF6454">
        <w:rPr>
          <w:rFonts w:eastAsia="Calibri"/>
          <w:sz w:val="16"/>
          <w:szCs w:val="16"/>
          <w:lang w:val="es-ES_tradnl"/>
        </w:rPr>
        <w:t xml:space="preserve"> 12,335, </w:t>
      </w:r>
      <w:r w:rsidRPr="00CF6454">
        <w:rPr>
          <w:rFonts w:eastAsia="Calibri"/>
          <w:i/>
          <w:sz w:val="16"/>
          <w:szCs w:val="16"/>
          <w:lang w:val="es-ES_tradnl"/>
        </w:rPr>
        <w:t>Gustavo Giraldo Villamizar Durán</w:t>
      </w:r>
      <w:r w:rsidRPr="00CF6454">
        <w:rPr>
          <w:rFonts w:eastAsia="Calibri"/>
          <w:sz w:val="16"/>
          <w:szCs w:val="16"/>
          <w:lang w:val="es-ES_tradnl"/>
        </w:rPr>
        <w:t xml:space="preserve">, Colombia, </w:t>
      </w:r>
      <w:proofErr w:type="spellStart"/>
      <w:r w:rsidRPr="00CF6454">
        <w:rPr>
          <w:rFonts w:eastAsia="Calibri"/>
          <w:sz w:val="16"/>
          <w:szCs w:val="16"/>
          <w:lang w:val="es-ES_tradnl"/>
        </w:rPr>
        <w:t>October</w:t>
      </w:r>
      <w:proofErr w:type="spellEnd"/>
      <w:r w:rsidRPr="00CF6454">
        <w:rPr>
          <w:rFonts w:eastAsia="Calibri"/>
          <w:sz w:val="16"/>
          <w:szCs w:val="16"/>
          <w:lang w:val="es-ES_tradnl"/>
        </w:rPr>
        <w:t xml:space="preserve"> 29, 2009, para. </w:t>
      </w:r>
      <w:r w:rsidRPr="00CF6454">
        <w:rPr>
          <w:rFonts w:eastAsia="Calibri"/>
          <w:sz w:val="16"/>
          <w:szCs w:val="16"/>
        </w:rPr>
        <w:t xml:space="preserve">33; IACHR, Admissibility Report No. 52/97, </w:t>
      </w:r>
      <w:proofErr w:type="spellStart"/>
      <w:r w:rsidRPr="00CF6454">
        <w:rPr>
          <w:rFonts w:eastAsia="Calibri"/>
          <w:i/>
          <w:sz w:val="16"/>
          <w:szCs w:val="16"/>
        </w:rPr>
        <w:t>Arges</w:t>
      </w:r>
      <w:proofErr w:type="spellEnd"/>
      <w:r w:rsidRPr="00CF6454">
        <w:rPr>
          <w:rFonts w:eastAsia="Calibri"/>
          <w:i/>
          <w:sz w:val="16"/>
          <w:szCs w:val="16"/>
        </w:rPr>
        <w:t xml:space="preserve"> </w:t>
      </w:r>
      <w:proofErr w:type="spellStart"/>
      <w:r w:rsidRPr="00CF6454">
        <w:rPr>
          <w:rFonts w:eastAsia="Calibri"/>
          <w:i/>
          <w:sz w:val="16"/>
          <w:szCs w:val="16"/>
        </w:rPr>
        <w:t>Sequeira</w:t>
      </w:r>
      <w:proofErr w:type="spellEnd"/>
      <w:r w:rsidRPr="00CF6454">
        <w:rPr>
          <w:rFonts w:eastAsia="Calibri"/>
          <w:i/>
          <w:sz w:val="16"/>
          <w:szCs w:val="16"/>
        </w:rPr>
        <w:t xml:space="preserve"> </w:t>
      </w:r>
      <w:proofErr w:type="spellStart"/>
      <w:r w:rsidRPr="00CF6454">
        <w:rPr>
          <w:rFonts w:eastAsia="Calibri"/>
          <w:i/>
          <w:sz w:val="16"/>
          <w:szCs w:val="16"/>
        </w:rPr>
        <w:t>Mangas</w:t>
      </w:r>
      <w:proofErr w:type="spellEnd"/>
      <w:r w:rsidRPr="00CF6454">
        <w:rPr>
          <w:rFonts w:eastAsia="Calibri"/>
          <w:sz w:val="16"/>
          <w:szCs w:val="16"/>
        </w:rPr>
        <w:t xml:space="preserve">, Nicaragua, 1997 Annual Report of the </w:t>
      </w:r>
      <w:r w:rsidRPr="00CF6454">
        <w:rPr>
          <w:sz w:val="16"/>
          <w:szCs w:val="16"/>
        </w:rPr>
        <w:t>IACHR,</w:t>
      </w:r>
      <w:r w:rsidRPr="00CF6454">
        <w:rPr>
          <w:rFonts w:eastAsia="Calibri"/>
          <w:sz w:val="16"/>
          <w:szCs w:val="16"/>
        </w:rPr>
        <w:t xml:space="preserve"> paras. </w:t>
      </w:r>
      <w:proofErr w:type="gramStart"/>
      <w:r w:rsidRPr="00CF6454">
        <w:rPr>
          <w:rFonts w:eastAsia="Calibri"/>
          <w:sz w:val="16"/>
          <w:szCs w:val="16"/>
        </w:rPr>
        <w:t>96 and 97, and IACHR.</w:t>
      </w:r>
      <w:proofErr w:type="gramEnd"/>
      <w:r w:rsidRPr="00CF6454">
        <w:rPr>
          <w:rFonts w:eastAsia="Calibri"/>
          <w:sz w:val="16"/>
          <w:szCs w:val="16"/>
        </w:rPr>
        <w:t xml:space="preserve"> Admissibility Report No. 55/97, </w:t>
      </w:r>
      <w:proofErr w:type="spellStart"/>
      <w:r w:rsidRPr="00CF6454">
        <w:rPr>
          <w:rFonts w:eastAsia="Calibri"/>
          <w:i/>
          <w:sz w:val="16"/>
          <w:szCs w:val="16"/>
        </w:rPr>
        <w:t>Abella</w:t>
      </w:r>
      <w:proofErr w:type="spellEnd"/>
      <w:r w:rsidRPr="00CF6454">
        <w:rPr>
          <w:rFonts w:eastAsia="Calibri"/>
          <w:i/>
          <w:sz w:val="16"/>
          <w:szCs w:val="16"/>
        </w:rPr>
        <w:t xml:space="preserve"> et al.</w:t>
      </w:r>
      <w:r w:rsidRPr="00CF6454">
        <w:rPr>
          <w:rFonts w:eastAsia="Calibri"/>
          <w:sz w:val="16"/>
          <w:szCs w:val="16"/>
        </w:rPr>
        <w:t>, Argentina, November 18, 1997, para. 392.</w:t>
      </w:r>
      <w:r w:rsidRPr="00CF6454">
        <w:rPr>
          <w:rFonts w:eastAsia="Calibri" w:cs="Arial"/>
          <w:sz w:val="16"/>
          <w:szCs w:val="16"/>
        </w:rPr>
        <w:t xml:space="preserve">  </w:t>
      </w:r>
    </w:p>
  </w:footnote>
  <w:footnote w:id="6">
    <w:p w:rsidR="00781808" w:rsidRPr="004A48CA" w:rsidRDefault="00781808" w:rsidP="00781808">
      <w:pPr>
        <w:pStyle w:val="FootnoteText"/>
        <w:spacing w:after="120"/>
        <w:ind w:firstLine="720"/>
        <w:jc w:val="both"/>
        <w:rPr>
          <w:sz w:val="18"/>
          <w:szCs w:val="18"/>
        </w:rPr>
      </w:pPr>
      <w:r w:rsidRPr="00CF6454">
        <w:rPr>
          <w:rStyle w:val="FootnoteReference"/>
          <w:sz w:val="16"/>
          <w:szCs w:val="16"/>
        </w:rPr>
        <w:footnoteRef/>
      </w:r>
      <w:r w:rsidRPr="00CF6454">
        <w:rPr>
          <w:sz w:val="16"/>
          <w:szCs w:val="16"/>
        </w:rPr>
        <w:t xml:space="preserve"> </w:t>
      </w:r>
      <w:proofErr w:type="gramStart"/>
      <w:r w:rsidRPr="00CF6454">
        <w:rPr>
          <w:sz w:val="16"/>
          <w:szCs w:val="16"/>
        </w:rPr>
        <w:t xml:space="preserve">Admissibility Report No 61/01, Case 11,771, Samuel Alfonso </w:t>
      </w:r>
      <w:proofErr w:type="spellStart"/>
      <w:r w:rsidRPr="00CF6454">
        <w:rPr>
          <w:sz w:val="16"/>
          <w:szCs w:val="16"/>
        </w:rPr>
        <w:t>Catalán</w:t>
      </w:r>
      <w:proofErr w:type="spellEnd"/>
      <w:r w:rsidRPr="00CF6454">
        <w:rPr>
          <w:sz w:val="16"/>
          <w:szCs w:val="16"/>
        </w:rPr>
        <w:t xml:space="preserve"> </w:t>
      </w:r>
      <w:proofErr w:type="spellStart"/>
      <w:r w:rsidRPr="00CF6454">
        <w:rPr>
          <w:sz w:val="16"/>
          <w:szCs w:val="16"/>
        </w:rPr>
        <w:t>Lincoleo</w:t>
      </w:r>
      <w:proofErr w:type="spellEnd"/>
      <w:r w:rsidRPr="00CF6454">
        <w:rPr>
          <w:sz w:val="16"/>
          <w:szCs w:val="16"/>
        </w:rPr>
        <w:t xml:space="preserve"> v. Chile, April 16, 2001, para.</w:t>
      </w:r>
      <w:proofErr w:type="gramEnd"/>
      <w:r w:rsidRPr="00CF6454">
        <w:rPr>
          <w:sz w:val="16"/>
          <w:szCs w:val="16"/>
        </w:rPr>
        <w:t xml:space="preserve"> 62.</w:t>
      </w:r>
    </w:p>
  </w:footnote>
  <w:footnote w:id="7">
    <w:p w:rsidR="00781808" w:rsidRPr="004F6D68" w:rsidRDefault="00781808" w:rsidP="00781808">
      <w:pPr>
        <w:pStyle w:val="FootnoteText"/>
        <w:spacing w:after="120"/>
        <w:ind w:firstLine="720"/>
        <w:jc w:val="both"/>
        <w:rPr>
          <w:sz w:val="16"/>
          <w:szCs w:val="16"/>
        </w:rPr>
      </w:pPr>
      <w:r w:rsidRPr="004F6D68">
        <w:rPr>
          <w:rStyle w:val="FootnoteReference"/>
          <w:sz w:val="16"/>
          <w:szCs w:val="16"/>
        </w:rPr>
        <w:footnoteRef/>
      </w:r>
      <w:r w:rsidRPr="004F6D68">
        <w:rPr>
          <w:sz w:val="16"/>
          <w:szCs w:val="16"/>
        </w:rPr>
        <w:t xml:space="preserve"> This measure by the Supreme Court of Justice was issued at the request of the Public Ministry on September 22,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128D8C2C" wp14:editId="5B472F40">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EE1AFA"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D95CEB"/>
    <w:multiLevelType w:val="hybridMultilevel"/>
    <w:tmpl w:val="C5C80C48"/>
    <w:lvl w:ilvl="0" w:tplc="6FE89416">
      <w:start w:val="1"/>
      <w:numFmt w:val="upperRoman"/>
      <w:lvlText w:val="%1."/>
      <w:lvlJc w:val="left"/>
      <w:pPr>
        <w:ind w:left="1440" w:hanging="72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27B6CD1"/>
    <w:multiLevelType w:val="hybridMultilevel"/>
    <w:tmpl w:val="3EB65200"/>
    <w:lvl w:ilvl="0" w:tplc="5D142BF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7215D77"/>
    <w:multiLevelType w:val="hybridMultilevel"/>
    <w:tmpl w:val="28C46D68"/>
    <w:lvl w:ilvl="0" w:tplc="C58E5BE8">
      <w:start w:val="1"/>
      <w:numFmt w:val="upperLetter"/>
      <w:lvlText w:val="%1."/>
      <w:lvlJc w:val="left"/>
      <w:pPr>
        <w:tabs>
          <w:tab w:val="num" w:pos="1620"/>
        </w:tabs>
        <w:ind w:left="1620" w:hanging="720"/>
      </w:p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F17303C"/>
    <w:multiLevelType w:val="hybridMultilevel"/>
    <w:tmpl w:val="D814F292"/>
    <w:lvl w:ilvl="0" w:tplc="3A785E3A">
      <w:start w:val="1"/>
      <w:numFmt w:val="upperRoman"/>
      <w:lvlText w:val="%1."/>
      <w:lvlJc w:val="left"/>
      <w:pPr>
        <w:tabs>
          <w:tab w:val="num" w:pos="1440"/>
        </w:tabs>
        <w:ind w:left="1440" w:hanging="720"/>
      </w:pPr>
      <w:rPr>
        <w:rFonts w:ascii="Univers" w:hAnsi="Univers" w:hint="default"/>
        <w:sz w:val="22"/>
        <w:szCs w:val="22"/>
      </w:rPr>
    </w:lvl>
    <w:lvl w:ilvl="1" w:tplc="89A01F80">
      <w:start w:val="1"/>
      <w:numFmt w:val="decimal"/>
      <w:lvlText w:val="%2."/>
      <w:lvlJc w:val="left"/>
      <w:pPr>
        <w:tabs>
          <w:tab w:val="num" w:pos="1440"/>
        </w:tabs>
        <w:ind w:left="1440" w:hanging="630"/>
      </w:pPr>
      <w:rPr>
        <w:rFonts w:ascii="Cambria" w:hAnsi="Cambria" w:hint="default"/>
        <w:b/>
        <w:sz w:val="20"/>
      </w:rPr>
    </w:lvl>
    <w:lvl w:ilvl="2" w:tplc="06B48D98">
      <w:start w:val="1"/>
      <w:numFmt w:val="upperLetter"/>
      <w:lvlText w:val="%3."/>
      <w:lvlJc w:val="left"/>
      <w:pPr>
        <w:tabs>
          <w:tab w:val="num" w:pos="2985"/>
        </w:tabs>
        <w:ind w:left="2985" w:hanging="645"/>
      </w:pPr>
      <w:rPr>
        <w:rFonts w:ascii="Cambria" w:hAnsi="Cambria" w:hint="default"/>
        <w:i w:val="0"/>
        <w:sz w:val="20"/>
        <w:szCs w:val="20"/>
      </w:rPr>
    </w:lvl>
    <w:lvl w:ilvl="3" w:tplc="D068DE54">
      <w:start w:val="1"/>
      <w:numFmt w:val="decimal"/>
      <w:lvlText w:val="%4."/>
      <w:lvlJc w:val="left"/>
      <w:pPr>
        <w:tabs>
          <w:tab w:val="num" w:pos="3510"/>
        </w:tabs>
        <w:ind w:left="3510" w:hanging="630"/>
      </w:pPr>
      <w:rPr>
        <w:rFonts w:ascii="Cambria" w:hAnsi="Cambria" w:hint="default"/>
        <w:b/>
        <w:sz w:val="20"/>
        <w:szCs w:val="2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C5307DB"/>
    <w:multiLevelType w:val="hybridMultilevel"/>
    <w:tmpl w:val="C046E488"/>
    <w:lvl w:ilvl="0" w:tplc="F31E8378">
      <w:start w:val="1"/>
      <w:numFmt w:val="decimal"/>
      <w:lvlText w:val="%1."/>
      <w:lvlJc w:val="left"/>
      <w:pPr>
        <w:tabs>
          <w:tab w:val="num" w:pos="1440"/>
        </w:tabs>
        <w:ind w:left="1440" w:hanging="360"/>
      </w:pPr>
      <w:rPr>
        <w:i w:val="0"/>
        <w:sz w:val="20"/>
        <w:szCs w:val="20"/>
      </w:rPr>
    </w:lvl>
    <w:lvl w:ilvl="1" w:tplc="04090001">
      <w:start w:val="1"/>
      <w:numFmt w:val="bullet"/>
      <w:lvlText w:val=""/>
      <w:lvlJc w:val="left"/>
      <w:pPr>
        <w:tabs>
          <w:tab w:val="num" w:pos="2160"/>
        </w:tabs>
        <w:ind w:left="2160" w:hanging="360"/>
      </w:pPr>
      <w:rPr>
        <w:rFonts w:ascii="Symbol" w:hAnsi="Symbol" w:hint="default"/>
      </w:rPr>
    </w:lvl>
    <w:lvl w:ilvl="2" w:tplc="6DB4F7D6">
      <w:start w:val="2"/>
      <w:numFmt w:val="decimal"/>
      <w:lvlText w:val="%3)"/>
      <w:lvlJc w:val="left"/>
      <w:pPr>
        <w:tabs>
          <w:tab w:val="num" w:pos="3060"/>
        </w:tabs>
        <w:ind w:left="3060" w:hanging="360"/>
      </w:pPr>
      <w:rPr>
        <w:rFonts w:hint="default"/>
      </w:rPr>
    </w:lvl>
    <w:lvl w:ilvl="3" w:tplc="8DDA5AA0">
      <w:start w:val="1"/>
      <w:numFmt w:val="lowerLetter"/>
      <w:lvlText w:val="%4)"/>
      <w:lvlJc w:val="left"/>
      <w:pPr>
        <w:tabs>
          <w:tab w:val="num" w:pos="3600"/>
        </w:tabs>
        <w:ind w:left="3600" w:hanging="360"/>
      </w:pPr>
      <w:rPr>
        <w:rFonts w:ascii="Calibri" w:hAnsi="Calibri" w:hint="default"/>
        <w:sz w:val="18"/>
        <w:szCs w:val="18"/>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2"/>
  </w:num>
  <w:num w:numId="9">
    <w:abstractNumId w:val="51"/>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8"/>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8"/>
  </w:num>
  <w:num w:numId="55">
    <w:abstractNumId w:val="39"/>
  </w:num>
  <w:num w:numId="56">
    <w:abstractNumId w:val="46"/>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5"/>
  </w:num>
  <w:num w:numId="94">
    <w:abstractNumId w:val="21"/>
  </w:num>
  <w:num w:numId="95">
    <w:abstractNumId w:val="42"/>
  </w:num>
  <w:num w:numId="96">
    <w:abstractNumId w:val="56"/>
  </w:num>
  <w:num w:numId="97">
    <w:abstractNumId w:val="53"/>
  </w:num>
  <w:num w:numId="98">
    <w:abstractNumId w:val="47"/>
  </w:num>
  <w:num w:numId="99">
    <w:abstractNumId w:val="37"/>
  </w:num>
  <w:num w:numId="100">
    <w:abstractNumId w:val="3"/>
  </w:num>
  <w:num w:numId="101">
    <w:abstractNumId w:val="26"/>
  </w:num>
  <w:num w:numId="102">
    <w:abstractNumId w:val="50"/>
  </w:num>
  <w:num w:numId="103">
    <w:abstractNumId w:val="5"/>
  </w:num>
  <w:num w:numId="104">
    <w:abstractNumId w:val="54"/>
  </w:num>
  <w:num w:numId="10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8"/>
  </w:num>
  <w:num w:numId="107">
    <w:abstractNumId w:val="43"/>
  </w:num>
  <w:num w:numId="108">
    <w:abstractNumId w:val="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5E23"/>
    <w:rsid w:val="000832D4"/>
    <w:rsid w:val="00092F32"/>
    <w:rsid w:val="0009344A"/>
    <w:rsid w:val="00097C3F"/>
    <w:rsid w:val="000A575F"/>
    <w:rsid w:val="000B3D4A"/>
    <w:rsid w:val="000D10DB"/>
    <w:rsid w:val="001241DF"/>
    <w:rsid w:val="00137EBA"/>
    <w:rsid w:val="00145EDC"/>
    <w:rsid w:val="00167A34"/>
    <w:rsid w:val="0018037F"/>
    <w:rsid w:val="001A5F27"/>
    <w:rsid w:val="001A7870"/>
    <w:rsid w:val="001C1B41"/>
    <w:rsid w:val="00210E0E"/>
    <w:rsid w:val="00247403"/>
    <w:rsid w:val="00247542"/>
    <w:rsid w:val="00257893"/>
    <w:rsid w:val="00266092"/>
    <w:rsid w:val="00266B61"/>
    <w:rsid w:val="0026712A"/>
    <w:rsid w:val="002704DB"/>
    <w:rsid w:val="002C1641"/>
    <w:rsid w:val="002D4B1E"/>
    <w:rsid w:val="002D7EA2"/>
    <w:rsid w:val="002E15DF"/>
    <w:rsid w:val="002E187C"/>
    <w:rsid w:val="002E6E57"/>
    <w:rsid w:val="00301075"/>
    <w:rsid w:val="00302733"/>
    <w:rsid w:val="00311A4F"/>
    <w:rsid w:val="00314078"/>
    <w:rsid w:val="00322450"/>
    <w:rsid w:val="003246B5"/>
    <w:rsid w:val="0033169F"/>
    <w:rsid w:val="003414AC"/>
    <w:rsid w:val="00351E2A"/>
    <w:rsid w:val="00356185"/>
    <w:rsid w:val="00360380"/>
    <w:rsid w:val="00386CF0"/>
    <w:rsid w:val="003C32BC"/>
    <w:rsid w:val="003E24A5"/>
    <w:rsid w:val="003F1BBF"/>
    <w:rsid w:val="004165C2"/>
    <w:rsid w:val="00450A4A"/>
    <w:rsid w:val="004666FB"/>
    <w:rsid w:val="00467B7E"/>
    <w:rsid w:val="0049419D"/>
    <w:rsid w:val="004B2762"/>
    <w:rsid w:val="004B7EB6"/>
    <w:rsid w:val="004C4156"/>
    <w:rsid w:val="004C4B62"/>
    <w:rsid w:val="004D6025"/>
    <w:rsid w:val="004D72BC"/>
    <w:rsid w:val="004F6D68"/>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E7431"/>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45899"/>
    <w:rsid w:val="007607C4"/>
    <w:rsid w:val="0076643F"/>
    <w:rsid w:val="00781808"/>
    <w:rsid w:val="007A1D1F"/>
    <w:rsid w:val="007A2F70"/>
    <w:rsid w:val="007C3334"/>
    <w:rsid w:val="007C52BB"/>
    <w:rsid w:val="007D2B98"/>
    <w:rsid w:val="007F7124"/>
    <w:rsid w:val="00803F1C"/>
    <w:rsid w:val="0080600E"/>
    <w:rsid w:val="00817612"/>
    <w:rsid w:val="00837C45"/>
    <w:rsid w:val="00853419"/>
    <w:rsid w:val="00897E12"/>
    <w:rsid w:val="008B299C"/>
    <w:rsid w:val="008D43BA"/>
    <w:rsid w:val="008E3759"/>
    <w:rsid w:val="009041DC"/>
    <w:rsid w:val="00925FCD"/>
    <w:rsid w:val="0093441A"/>
    <w:rsid w:val="00954BF7"/>
    <w:rsid w:val="0096706E"/>
    <w:rsid w:val="00981FBA"/>
    <w:rsid w:val="009B381B"/>
    <w:rsid w:val="009D7611"/>
    <w:rsid w:val="009E53DE"/>
    <w:rsid w:val="00A43458"/>
    <w:rsid w:val="00A528D1"/>
    <w:rsid w:val="00A66BE5"/>
    <w:rsid w:val="00A92E35"/>
    <w:rsid w:val="00AD37C1"/>
    <w:rsid w:val="00AE66EC"/>
    <w:rsid w:val="00AE6F91"/>
    <w:rsid w:val="00AF5571"/>
    <w:rsid w:val="00B06314"/>
    <w:rsid w:val="00B167E9"/>
    <w:rsid w:val="00B314DB"/>
    <w:rsid w:val="00B31EBE"/>
    <w:rsid w:val="00B34E8C"/>
    <w:rsid w:val="00B3718B"/>
    <w:rsid w:val="00B4632A"/>
    <w:rsid w:val="00BA276C"/>
    <w:rsid w:val="00BB306F"/>
    <w:rsid w:val="00BD232B"/>
    <w:rsid w:val="00BD4B89"/>
    <w:rsid w:val="00C21762"/>
    <w:rsid w:val="00C21ADC"/>
    <w:rsid w:val="00C24543"/>
    <w:rsid w:val="00C256A2"/>
    <w:rsid w:val="00C31108"/>
    <w:rsid w:val="00C3492D"/>
    <w:rsid w:val="00C55560"/>
    <w:rsid w:val="00C66B72"/>
    <w:rsid w:val="00C9567A"/>
    <w:rsid w:val="00CB2660"/>
    <w:rsid w:val="00CC5E90"/>
    <w:rsid w:val="00CD046C"/>
    <w:rsid w:val="00CD7686"/>
    <w:rsid w:val="00CE5199"/>
    <w:rsid w:val="00CE66D5"/>
    <w:rsid w:val="00CF6454"/>
    <w:rsid w:val="00D279CE"/>
    <w:rsid w:val="00D34786"/>
    <w:rsid w:val="00D40A1E"/>
    <w:rsid w:val="00D712D3"/>
    <w:rsid w:val="00D71422"/>
    <w:rsid w:val="00D7145E"/>
    <w:rsid w:val="00D7558D"/>
    <w:rsid w:val="00D81D92"/>
    <w:rsid w:val="00D93446"/>
    <w:rsid w:val="00DA7B5F"/>
    <w:rsid w:val="00DF5F9B"/>
    <w:rsid w:val="00E22E73"/>
    <w:rsid w:val="00E43157"/>
    <w:rsid w:val="00E46F9E"/>
    <w:rsid w:val="00E500AF"/>
    <w:rsid w:val="00E533FF"/>
    <w:rsid w:val="00E6529E"/>
    <w:rsid w:val="00E6752D"/>
    <w:rsid w:val="00E709B3"/>
    <w:rsid w:val="00E8789F"/>
    <w:rsid w:val="00E97B71"/>
    <w:rsid w:val="00EB454D"/>
    <w:rsid w:val="00EC09DF"/>
    <w:rsid w:val="00EE1AFA"/>
    <w:rsid w:val="00EE3522"/>
    <w:rsid w:val="00EF619B"/>
    <w:rsid w:val="00F00B55"/>
    <w:rsid w:val="00F1380F"/>
    <w:rsid w:val="00F14F0E"/>
    <w:rsid w:val="00F24C29"/>
    <w:rsid w:val="00F253CC"/>
    <w:rsid w:val="00F42A2D"/>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8180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781808"/>
    <w:rPr>
      <w:rFonts w:asciiTheme="majorHAnsi" w:eastAsiaTheme="majorEastAsia" w:hAnsiTheme="majorHAnsi" w:cstheme="majorBidi"/>
      <w:b/>
      <w:bCs/>
      <w:color w:val="4F81BD" w:themeColor="accent1"/>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8180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781808"/>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0C95F-4FF1-4D3A-A954-A043C863C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3440</Words>
  <Characters>18270</Characters>
  <Application>Microsoft Office Word</Application>
  <DocSecurity>0</DocSecurity>
  <Lines>338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%OAS%</cp:lastModifiedBy>
  <cp:revision>20</cp:revision>
  <cp:lastPrinted>2014-06-04T21:22:00Z</cp:lastPrinted>
  <dcterms:created xsi:type="dcterms:W3CDTF">2014-08-01T19:09:00Z</dcterms:created>
  <dcterms:modified xsi:type="dcterms:W3CDTF">2015-03-03T19:47:00Z</dcterms:modified>
</cp:coreProperties>
</file>