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B12EF">
                              <w:rPr>
                                <w:rFonts w:asciiTheme="majorHAnsi" w:hAnsiTheme="majorHAnsi" w:cs="Arial"/>
                                <w:b/>
                                <w:bCs/>
                                <w:color w:val="0D0D0D" w:themeColor="text1" w:themeTint="F2"/>
                                <w:sz w:val="36"/>
                                <w:szCs w:val="40"/>
                              </w:rPr>
                              <w:t>29</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B12EF">
                              <w:rPr>
                                <w:rFonts w:asciiTheme="majorHAnsi" w:hAnsiTheme="majorHAnsi" w:cs="Arial"/>
                                <w:b/>
                                <w:bCs/>
                                <w:color w:val="0D0D0D" w:themeColor="text1" w:themeTint="F2"/>
                                <w:sz w:val="36"/>
                                <w:szCs w:val="40"/>
                              </w:rPr>
                              <w:t>11.884</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2B12EF" w:rsidP="004B7EB6">
                            <w:pPr>
                              <w:spacing w:line="276" w:lineRule="auto"/>
                              <w:rPr>
                                <w:rFonts w:asciiTheme="majorHAnsi" w:hAnsiTheme="majorHAnsi" w:cs="Arial"/>
                                <w:color w:val="0D0D0D" w:themeColor="text1" w:themeTint="F2"/>
                              </w:rPr>
                            </w:pPr>
                            <w:r>
                              <w:rPr>
                                <w:rFonts w:asciiTheme="majorHAnsi" w:hAnsiTheme="majorHAnsi"/>
                              </w:rPr>
                              <w:t>WHITLEY DIXON</w:t>
                            </w:r>
                          </w:p>
                          <w:p w:rsidR="005B52B0" w:rsidRPr="000A26E1" w:rsidRDefault="002B12EF"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JAMAICA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B12EF">
                        <w:rPr>
                          <w:rFonts w:asciiTheme="majorHAnsi" w:hAnsiTheme="majorHAnsi" w:cs="Arial"/>
                          <w:b/>
                          <w:bCs/>
                          <w:color w:val="0D0D0D" w:themeColor="text1" w:themeTint="F2"/>
                          <w:sz w:val="36"/>
                          <w:szCs w:val="40"/>
                        </w:rPr>
                        <w:t>29</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B12EF">
                        <w:rPr>
                          <w:rFonts w:asciiTheme="majorHAnsi" w:hAnsiTheme="majorHAnsi" w:cs="Arial"/>
                          <w:b/>
                          <w:bCs/>
                          <w:color w:val="0D0D0D" w:themeColor="text1" w:themeTint="F2"/>
                          <w:sz w:val="36"/>
                          <w:szCs w:val="40"/>
                        </w:rPr>
                        <w:t>11.884</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2B12EF" w:rsidP="004B7EB6">
                      <w:pPr>
                        <w:spacing w:line="276" w:lineRule="auto"/>
                        <w:rPr>
                          <w:rFonts w:asciiTheme="majorHAnsi" w:hAnsiTheme="majorHAnsi" w:cs="Arial"/>
                          <w:color w:val="0D0D0D" w:themeColor="text1" w:themeTint="F2"/>
                        </w:rPr>
                      </w:pPr>
                      <w:r>
                        <w:rPr>
                          <w:rFonts w:asciiTheme="majorHAnsi" w:hAnsiTheme="majorHAnsi"/>
                        </w:rPr>
                        <w:t>WHITLEY DIXON</w:t>
                      </w:r>
                    </w:p>
                    <w:p w:rsidR="005B52B0" w:rsidRPr="000A26E1" w:rsidRDefault="002B12EF"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JAMAICA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E55C3" w:rsidRDefault="00627C9F" w:rsidP="002C1641">
                            <w:pPr>
                              <w:jc w:val="right"/>
                              <w:rPr>
                                <w:rFonts w:asciiTheme="minorHAnsi" w:hAnsiTheme="minorHAnsi"/>
                                <w:color w:val="FFFFFF" w:themeColor="background1"/>
                                <w:sz w:val="22"/>
                                <w:lang w:val="pt-BR"/>
                              </w:rPr>
                            </w:pPr>
                            <w:r w:rsidRPr="001E55C3">
                              <w:rPr>
                                <w:rFonts w:asciiTheme="minorHAnsi" w:hAnsiTheme="minorHAnsi"/>
                                <w:color w:val="FFFFFF" w:themeColor="background1"/>
                                <w:sz w:val="22"/>
                                <w:lang w:val="pt-BR"/>
                              </w:rPr>
                              <w:t>OEA/Ser.L/V/II.150</w:t>
                            </w:r>
                          </w:p>
                          <w:p w:rsidR="00627C9F" w:rsidRPr="001E55C3" w:rsidRDefault="00627C9F" w:rsidP="002C1641">
                            <w:pPr>
                              <w:jc w:val="right"/>
                              <w:rPr>
                                <w:rFonts w:asciiTheme="minorHAnsi" w:hAnsiTheme="minorHAnsi"/>
                                <w:color w:val="FFFFFF" w:themeColor="background1"/>
                                <w:sz w:val="22"/>
                                <w:lang w:val="pt-BR"/>
                              </w:rPr>
                            </w:pPr>
                            <w:r w:rsidRPr="001E55C3">
                              <w:rPr>
                                <w:rFonts w:asciiTheme="minorHAnsi" w:hAnsiTheme="minorHAnsi"/>
                                <w:color w:val="FFFFFF" w:themeColor="background1"/>
                                <w:sz w:val="22"/>
                                <w:lang w:val="pt-BR"/>
                              </w:rPr>
                              <w:t xml:space="preserve">Doc. </w:t>
                            </w:r>
                            <w:r w:rsidR="000A26E1" w:rsidRPr="001E55C3">
                              <w:rPr>
                                <w:rFonts w:asciiTheme="minorHAnsi" w:hAnsiTheme="minorHAnsi"/>
                                <w:color w:val="FFFFFF" w:themeColor="background1"/>
                                <w:sz w:val="22"/>
                                <w:lang w:val="pt-BR"/>
                              </w:rPr>
                              <w:t>3</w:t>
                            </w:r>
                            <w:r w:rsidR="002B12EF" w:rsidRPr="001E55C3">
                              <w:rPr>
                                <w:rFonts w:asciiTheme="minorHAnsi" w:hAnsiTheme="minorHAnsi"/>
                                <w:color w:val="FFFFFF" w:themeColor="background1"/>
                                <w:sz w:val="22"/>
                                <w:lang w:val="pt-BR"/>
                              </w:rPr>
                              <w:t>3</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E55C3" w:rsidRDefault="00627C9F" w:rsidP="002C1641">
                      <w:pPr>
                        <w:jc w:val="right"/>
                        <w:rPr>
                          <w:rFonts w:asciiTheme="minorHAnsi" w:hAnsiTheme="minorHAnsi"/>
                          <w:color w:val="FFFFFF" w:themeColor="background1"/>
                          <w:sz w:val="22"/>
                          <w:lang w:val="pt-BR"/>
                        </w:rPr>
                      </w:pPr>
                      <w:r w:rsidRPr="001E55C3">
                        <w:rPr>
                          <w:rFonts w:asciiTheme="minorHAnsi" w:hAnsiTheme="minorHAnsi"/>
                          <w:color w:val="FFFFFF" w:themeColor="background1"/>
                          <w:sz w:val="22"/>
                          <w:lang w:val="pt-BR"/>
                        </w:rPr>
                        <w:t>OEA/Ser.L/V/II.150</w:t>
                      </w:r>
                    </w:p>
                    <w:p w:rsidR="00627C9F" w:rsidRPr="001E55C3" w:rsidRDefault="00627C9F" w:rsidP="002C1641">
                      <w:pPr>
                        <w:jc w:val="right"/>
                        <w:rPr>
                          <w:rFonts w:asciiTheme="minorHAnsi" w:hAnsiTheme="minorHAnsi"/>
                          <w:color w:val="FFFFFF" w:themeColor="background1"/>
                          <w:sz w:val="22"/>
                          <w:lang w:val="pt-BR"/>
                        </w:rPr>
                      </w:pPr>
                      <w:r w:rsidRPr="001E55C3">
                        <w:rPr>
                          <w:rFonts w:asciiTheme="minorHAnsi" w:hAnsiTheme="minorHAnsi"/>
                          <w:color w:val="FFFFFF" w:themeColor="background1"/>
                          <w:sz w:val="22"/>
                          <w:lang w:val="pt-BR"/>
                        </w:rPr>
                        <w:t xml:space="preserve">Doc. </w:t>
                      </w:r>
                      <w:r w:rsidR="000A26E1" w:rsidRPr="001E55C3">
                        <w:rPr>
                          <w:rFonts w:asciiTheme="minorHAnsi" w:hAnsiTheme="minorHAnsi"/>
                          <w:color w:val="FFFFFF" w:themeColor="background1"/>
                          <w:sz w:val="22"/>
                          <w:lang w:val="pt-BR"/>
                        </w:rPr>
                        <w:t>3</w:t>
                      </w:r>
                      <w:r w:rsidR="002B12EF" w:rsidRPr="001E55C3">
                        <w:rPr>
                          <w:rFonts w:asciiTheme="minorHAnsi" w:hAnsiTheme="minorHAnsi"/>
                          <w:color w:val="FFFFFF" w:themeColor="background1"/>
                          <w:sz w:val="22"/>
                          <w:lang w:val="pt-BR"/>
                        </w:rPr>
                        <w:t>3</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2B12EF">
                              <w:rPr>
                                <w:rFonts w:asciiTheme="majorHAnsi" w:hAnsiTheme="majorHAnsi"/>
                                <w:color w:val="595959" w:themeColor="text1" w:themeTint="A6"/>
                                <w:sz w:val="18"/>
                              </w:rPr>
                              <w:t>29</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1</w:t>
                            </w:r>
                            <w:r w:rsidR="002B12EF">
                              <w:rPr>
                                <w:rFonts w:asciiTheme="majorHAnsi" w:hAnsiTheme="majorHAnsi"/>
                                <w:color w:val="595959" w:themeColor="text1" w:themeTint="A6"/>
                                <w:sz w:val="18"/>
                              </w:rPr>
                              <w:t>1.884</w:t>
                            </w:r>
                            <w:r w:rsidR="000A26E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Archive. </w:t>
                            </w:r>
                            <w:r w:rsidR="002B12EF">
                              <w:rPr>
                                <w:rFonts w:asciiTheme="majorHAnsi" w:hAnsiTheme="majorHAnsi"/>
                                <w:color w:val="595959" w:themeColor="text1" w:themeTint="A6"/>
                                <w:sz w:val="18"/>
                              </w:rPr>
                              <w:t>Whitley Dixon</w:t>
                            </w:r>
                            <w:r w:rsidRPr="003C32BC">
                              <w:rPr>
                                <w:rFonts w:asciiTheme="majorHAnsi" w:hAnsiTheme="majorHAnsi"/>
                                <w:color w:val="595959" w:themeColor="text1" w:themeTint="A6"/>
                                <w:sz w:val="18"/>
                              </w:rPr>
                              <w:t xml:space="preserve">. </w:t>
                            </w:r>
                            <w:r w:rsidR="002B12EF">
                              <w:rPr>
                                <w:rFonts w:asciiTheme="majorHAnsi" w:hAnsiTheme="majorHAnsi"/>
                                <w:color w:val="595959" w:themeColor="text1" w:themeTint="A6"/>
                                <w:sz w:val="18"/>
                              </w:rPr>
                              <w:t>Jamaica</w:t>
                            </w:r>
                            <w:r w:rsidR="004A63BE">
                              <w:rPr>
                                <w:rFonts w:asciiTheme="majorHAnsi" w:hAnsiTheme="majorHAnsi"/>
                                <w:color w:val="595959" w:themeColor="text1" w:themeTint="A6"/>
                                <w:sz w:val="18"/>
                              </w:rPr>
                              <w:t>. April 4,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2B12EF">
                        <w:rPr>
                          <w:rFonts w:asciiTheme="majorHAnsi" w:hAnsiTheme="majorHAnsi"/>
                          <w:color w:val="595959" w:themeColor="text1" w:themeTint="A6"/>
                          <w:sz w:val="18"/>
                        </w:rPr>
                        <w:t>29</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1</w:t>
                      </w:r>
                      <w:r w:rsidR="002B12EF">
                        <w:rPr>
                          <w:rFonts w:asciiTheme="majorHAnsi" w:hAnsiTheme="majorHAnsi"/>
                          <w:color w:val="595959" w:themeColor="text1" w:themeTint="A6"/>
                          <w:sz w:val="18"/>
                        </w:rPr>
                        <w:t>1.884</w:t>
                      </w:r>
                      <w:r w:rsidR="000A26E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Archive. </w:t>
                      </w:r>
                      <w:r w:rsidR="002B12EF">
                        <w:rPr>
                          <w:rFonts w:asciiTheme="majorHAnsi" w:hAnsiTheme="majorHAnsi"/>
                          <w:color w:val="595959" w:themeColor="text1" w:themeTint="A6"/>
                          <w:sz w:val="18"/>
                        </w:rPr>
                        <w:t>Whitley Dixon</w:t>
                      </w:r>
                      <w:r w:rsidRPr="003C32BC">
                        <w:rPr>
                          <w:rFonts w:asciiTheme="majorHAnsi" w:hAnsiTheme="majorHAnsi"/>
                          <w:color w:val="595959" w:themeColor="text1" w:themeTint="A6"/>
                          <w:sz w:val="18"/>
                        </w:rPr>
                        <w:t xml:space="preserve">. </w:t>
                      </w:r>
                      <w:r w:rsidR="002B12EF">
                        <w:rPr>
                          <w:rFonts w:asciiTheme="majorHAnsi" w:hAnsiTheme="majorHAnsi"/>
                          <w:color w:val="595959" w:themeColor="text1" w:themeTint="A6"/>
                          <w:sz w:val="18"/>
                        </w:rPr>
                        <w:t>Jamaica</w:t>
                      </w:r>
                      <w:r w:rsidR="004A63BE">
                        <w:rPr>
                          <w:rFonts w:asciiTheme="majorHAnsi" w:hAnsiTheme="majorHAnsi"/>
                          <w:color w:val="595959" w:themeColor="text1" w:themeTint="A6"/>
                          <w:sz w:val="18"/>
                        </w:rPr>
                        <w:t>. April 4, 2014.</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166273">
        <w:rPr>
          <w:rFonts w:asciiTheme="majorHAnsi" w:hAnsiTheme="majorHAnsi"/>
          <w:b/>
          <w:sz w:val="18"/>
          <w:szCs w:val="18"/>
        </w:rPr>
        <w:t>29</w:t>
      </w:r>
      <w:r w:rsidRPr="00FC3EB4">
        <w:rPr>
          <w:rFonts w:asciiTheme="majorHAnsi" w:hAnsiTheme="majorHAnsi"/>
          <w:b/>
          <w:sz w:val="18"/>
          <w:szCs w:val="18"/>
        </w:rPr>
        <w:t>/14</w:t>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1C2749">
        <w:rPr>
          <w:rFonts w:asciiTheme="majorHAnsi" w:hAnsiTheme="majorHAnsi"/>
          <w:b/>
          <w:sz w:val="18"/>
          <w:szCs w:val="18"/>
        </w:rPr>
        <w:t>1</w:t>
      </w:r>
      <w:r w:rsidR="00166273">
        <w:rPr>
          <w:rFonts w:asciiTheme="majorHAnsi" w:hAnsiTheme="majorHAnsi"/>
          <w:b/>
          <w:sz w:val="18"/>
          <w:szCs w:val="18"/>
        </w:rPr>
        <w:t>1</w:t>
      </w:r>
      <w:r w:rsidR="001C2749">
        <w:rPr>
          <w:rFonts w:asciiTheme="majorHAnsi" w:hAnsiTheme="majorHAnsi"/>
          <w:b/>
          <w:sz w:val="18"/>
          <w:szCs w:val="18"/>
        </w:rPr>
        <w:t>.</w:t>
      </w:r>
      <w:r w:rsidR="00166273">
        <w:rPr>
          <w:rFonts w:asciiTheme="majorHAnsi" w:hAnsiTheme="majorHAnsi"/>
          <w:b/>
          <w:sz w:val="18"/>
          <w:szCs w:val="18"/>
        </w:rPr>
        <w:t>884</w:t>
      </w:r>
    </w:p>
    <w:p w:rsidR="007A2F70" w:rsidRPr="00166273" w:rsidRDefault="007A2F70" w:rsidP="00145EDC">
      <w:pPr>
        <w:tabs>
          <w:tab w:val="center" w:pos="5400"/>
        </w:tabs>
        <w:suppressAutoHyphens/>
        <w:spacing w:line="276" w:lineRule="auto"/>
        <w:jc w:val="center"/>
        <w:rPr>
          <w:rFonts w:asciiTheme="majorHAnsi" w:hAnsiTheme="majorHAnsi"/>
          <w:sz w:val="18"/>
          <w:szCs w:val="18"/>
        </w:rPr>
      </w:pPr>
      <w:r w:rsidRPr="00166273">
        <w:rPr>
          <w:rFonts w:asciiTheme="majorHAnsi" w:hAnsiTheme="majorHAnsi"/>
          <w:sz w:val="18"/>
          <w:szCs w:val="18"/>
        </w:rPr>
        <w:t>ARCHIVE</w:t>
      </w:r>
    </w:p>
    <w:p w:rsidR="007A2F70" w:rsidRPr="002A77F8" w:rsidRDefault="00166273"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WHITLEY DIXON</w:t>
      </w:r>
    </w:p>
    <w:p w:rsidR="001E55C3" w:rsidRPr="001E55C3" w:rsidRDefault="001E55C3" w:rsidP="001E55C3">
      <w:pPr>
        <w:jc w:val="center"/>
        <w:rPr>
          <w:rFonts w:asciiTheme="majorHAnsi" w:hAnsiTheme="majorHAnsi"/>
          <w:noProof/>
          <w:sz w:val="18"/>
          <w:szCs w:val="18"/>
        </w:rPr>
      </w:pPr>
      <w:r w:rsidRPr="001E55C3">
        <w:rPr>
          <w:rFonts w:asciiTheme="majorHAnsi" w:hAnsiTheme="majorHAnsi"/>
          <w:noProof/>
          <w:sz w:val="18"/>
          <w:szCs w:val="18"/>
        </w:rPr>
        <w:t>JAMAICA</w:t>
      </w:r>
      <w:r w:rsidRPr="001E55C3">
        <w:rPr>
          <w:rStyle w:val="FootnoteReference"/>
          <w:rFonts w:asciiTheme="majorHAnsi" w:hAnsiTheme="majorHAnsi"/>
          <w:noProof/>
          <w:sz w:val="18"/>
          <w:szCs w:val="18"/>
        </w:rPr>
        <w:footnoteReference w:id="2"/>
      </w:r>
    </w:p>
    <w:p w:rsidR="007A2F70" w:rsidRPr="00E334C5" w:rsidRDefault="00E334C5" w:rsidP="00145EDC">
      <w:pPr>
        <w:tabs>
          <w:tab w:val="center" w:pos="5400"/>
        </w:tabs>
        <w:suppressAutoHyphens/>
        <w:spacing w:line="276" w:lineRule="auto"/>
        <w:jc w:val="center"/>
        <w:rPr>
          <w:rFonts w:asciiTheme="majorHAnsi" w:hAnsiTheme="majorHAnsi"/>
          <w:sz w:val="18"/>
          <w:szCs w:val="18"/>
        </w:rPr>
      </w:pPr>
      <w:r w:rsidRPr="00E334C5">
        <w:rPr>
          <w:rFonts w:asciiTheme="majorHAnsi" w:hAnsiTheme="majorHAnsi"/>
          <w:sz w:val="18"/>
          <w:szCs w:val="18"/>
        </w:rPr>
        <w:t>A</w:t>
      </w:r>
      <w:r>
        <w:rPr>
          <w:rFonts w:asciiTheme="majorHAnsi" w:hAnsiTheme="majorHAnsi"/>
          <w:sz w:val="18"/>
          <w:szCs w:val="18"/>
        </w:rPr>
        <w:t>PRIL 4, 2014</w:t>
      </w:r>
    </w:p>
    <w:p w:rsidR="007607C4" w:rsidRDefault="007607C4" w:rsidP="00145EDC">
      <w:pPr>
        <w:tabs>
          <w:tab w:val="center" w:pos="5400"/>
        </w:tabs>
        <w:suppressAutoHyphens/>
        <w:spacing w:line="276" w:lineRule="auto"/>
        <w:rPr>
          <w:rFonts w:asciiTheme="majorHAnsi" w:hAnsiTheme="majorHAnsi"/>
          <w:sz w:val="20"/>
          <w:szCs w:val="20"/>
        </w:rPr>
      </w:pPr>
    </w:p>
    <w:p w:rsidR="00166273" w:rsidRPr="001E55C3" w:rsidRDefault="00166273" w:rsidP="00166273">
      <w:pPr>
        <w:ind w:right="-720"/>
        <w:rPr>
          <w:rFonts w:asciiTheme="majorHAnsi" w:hAnsiTheme="majorHAnsi"/>
          <w:noProof/>
          <w:sz w:val="20"/>
          <w:szCs w:val="20"/>
          <w:highlight w:val="magenta"/>
        </w:rPr>
      </w:pPr>
    </w:p>
    <w:p w:rsidR="00166273" w:rsidRPr="00166273" w:rsidRDefault="00166273" w:rsidP="00166273">
      <w:pPr>
        <w:jc w:val="both"/>
        <w:outlineLvl w:val="0"/>
        <w:rPr>
          <w:rFonts w:asciiTheme="majorHAnsi" w:hAnsiTheme="majorHAnsi"/>
          <w:noProof/>
          <w:sz w:val="20"/>
          <w:szCs w:val="20"/>
        </w:rPr>
      </w:pPr>
      <w:r w:rsidRPr="00166273">
        <w:rPr>
          <w:rFonts w:asciiTheme="majorHAnsi" w:hAnsiTheme="majorHAnsi"/>
          <w:b/>
          <w:noProof/>
          <w:sz w:val="20"/>
          <w:szCs w:val="20"/>
        </w:rPr>
        <w:t>ALLEGED VICTIM:</w:t>
      </w:r>
      <w:r w:rsidRPr="00166273">
        <w:rPr>
          <w:rFonts w:asciiTheme="majorHAnsi" w:hAnsiTheme="majorHAnsi"/>
          <w:b/>
          <w:noProof/>
          <w:sz w:val="20"/>
          <w:szCs w:val="20"/>
        </w:rPr>
        <w:tab/>
      </w:r>
      <w:r w:rsidRPr="00166273">
        <w:rPr>
          <w:rFonts w:asciiTheme="majorHAnsi" w:hAnsiTheme="majorHAnsi"/>
          <w:b/>
          <w:noProof/>
          <w:sz w:val="20"/>
          <w:szCs w:val="20"/>
        </w:rPr>
        <w:tab/>
      </w:r>
      <w:r w:rsidRPr="00166273">
        <w:rPr>
          <w:rFonts w:asciiTheme="majorHAnsi" w:hAnsiTheme="majorHAnsi"/>
          <w:b/>
          <w:noProof/>
          <w:sz w:val="20"/>
          <w:szCs w:val="20"/>
        </w:rPr>
        <w:tab/>
      </w:r>
      <w:r w:rsidRPr="00166273">
        <w:rPr>
          <w:rFonts w:asciiTheme="majorHAnsi" w:hAnsiTheme="majorHAnsi"/>
          <w:noProof/>
          <w:sz w:val="20"/>
          <w:szCs w:val="20"/>
        </w:rPr>
        <w:t>Whitley Dixon</w:t>
      </w:r>
    </w:p>
    <w:p w:rsidR="00166273" w:rsidRPr="00166273" w:rsidRDefault="00166273" w:rsidP="00166273">
      <w:pPr>
        <w:jc w:val="both"/>
        <w:outlineLvl w:val="0"/>
        <w:rPr>
          <w:rFonts w:asciiTheme="majorHAnsi" w:hAnsiTheme="majorHAnsi"/>
          <w:noProof/>
          <w:sz w:val="20"/>
          <w:szCs w:val="20"/>
        </w:rPr>
      </w:pPr>
    </w:p>
    <w:p w:rsidR="00166273" w:rsidRPr="00166273" w:rsidRDefault="00166273" w:rsidP="00166273">
      <w:pPr>
        <w:jc w:val="both"/>
        <w:rPr>
          <w:rFonts w:asciiTheme="majorHAnsi" w:hAnsiTheme="majorHAnsi"/>
          <w:noProof/>
          <w:sz w:val="20"/>
          <w:szCs w:val="20"/>
        </w:rPr>
      </w:pPr>
      <w:r w:rsidRPr="00166273">
        <w:rPr>
          <w:rFonts w:asciiTheme="majorHAnsi" w:hAnsiTheme="majorHAnsi"/>
          <w:b/>
          <w:noProof/>
          <w:sz w:val="20"/>
          <w:szCs w:val="20"/>
        </w:rPr>
        <w:t>PETITIONERS:</w:t>
      </w:r>
      <w:r w:rsidRPr="00166273">
        <w:rPr>
          <w:rFonts w:asciiTheme="majorHAnsi" w:hAnsiTheme="majorHAnsi"/>
          <w:noProof/>
          <w:sz w:val="20"/>
          <w:szCs w:val="20"/>
        </w:rPr>
        <w:t xml:space="preserve"> </w:t>
      </w:r>
      <w:r w:rsidRPr="00166273">
        <w:rPr>
          <w:rFonts w:asciiTheme="majorHAnsi" w:hAnsiTheme="majorHAnsi"/>
          <w:noProof/>
          <w:sz w:val="20"/>
          <w:szCs w:val="20"/>
        </w:rPr>
        <w:tab/>
      </w:r>
      <w:r w:rsidRPr="00166273">
        <w:rPr>
          <w:rFonts w:asciiTheme="majorHAnsi" w:hAnsiTheme="majorHAnsi"/>
          <w:noProof/>
          <w:sz w:val="20"/>
          <w:szCs w:val="20"/>
        </w:rPr>
        <w:tab/>
      </w:r>
      <w:r w:rsidRPr="00166273">
        <w:rPr>
          <w:rFonts w:asciiTheme="majorHAnsi" w:hAnsiTheme="majorHAnsi"/>
          <w:noProof/>
          <w:sz w:val="20"/>
          <w:szCs w:val="20"/>
        </w:rPr>
        <w:tab/>
      </w:r>
      <w:r w:rsidRPr="00166273">
        <w:rPr>
          <w:rFonts w:asciiTheme="majorHAnsi" w:hAnsiTheme="majorHAnsi"/>
          <w:noProof/>
          <w:sz w:val="20"/>
          <w:szCs w:val="20"/>
        </w:rPr>
        <w:tab/>
        <w:t>CMS Cameron McKenna Law Firm</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ind w:left="3600" w:hanging="3600"/>
        <w:jc w:val="both"/>
        <w:rPr>
          <w:rFonts w:asciiTheme="majorHAnsi" w:hAnsiTheme="majorHAnsi"/>
          <w:noProof/>
          <w:sz w:val="20"/>
          <w:szCs w:val="20"/>
        </w:rPr>
      </w:pPr>
      <w:r w:rsidRPr="00166273">
        <w:rPr>
          <w:rFonts w:asciiTheme="majorHAnsi" w:hAnsiTheme="majorHAnsi"/>
          <w:b/>
          <w:noProof/>
          <w:sz w:val="20"/>
          <w:szCs w:val="20"/>
        </w:rPr>
        <w:t>ALLEGED VIOLATIONS:</w:t>
      </w:r>
      <w:r w:rsidRPr="00166273">
        <w:rPr>
          <w:rFonts w:asciiTheme="majorHAnsi" w:hAnsiTheme="majorHAnsi"/>
          <w:noProof/>
          <w:sz w:val="20"/>
          <w:szCs w:val="20"/>
        </w:rPr>
        <w:t xml:space="preserve"> </w:t>
      </w:r>
      <w:r w:rsidRPr="00166273">
        <w:rPr>
          <w:rFonts w:asciiTheme="majorHAnsi" w:hAnsiTheme="majorHAnsi"/>
          <w:noProof/>
          <w:sz w:val="20"/>
          <w:szCs w:val="20"/>
        </w:rPr>
        <w:tab/>
        <w:t>Articles 4, 5, 8, 24 and 25 of the American Convention</w:t>
      </w:r>
    </w:p>
    <w:p w:rsidR="00166273" w:rsidRPr="00166273" w:rsidRDefault="00166273" w:rsidP="00166273">
      <w:pPr>
        <w:ind w:left="2880" w:hanging="2880"/>
        <w:jc w:val="both"/>
        <w:rPr>
          <w:rFonts w:asciiTheme="majorHAnsi" w:hAnsiTheme="majorHAnsi"/>
          <w:noProof/>
          <w:sz w:val="20"/>
          <w:szCs w:val="20"/>
        </w:rPr>
      </w:pPr>
    </w:p>
    <w:p w:rsidR="00166273" w:rsidRPr="00166273" w:rsidRDefault="00166273" w:rsidP="00166273">
      <w:pPr>
        <w:jc w:val="both"/>
        <w:rPr>
          <w:rFonts w:asciiTheme="majorHAnsi" w:hAnsiTheme="majorHAnsi"/>
          <w:noProof/>
          <w:sz w:val="20"/>
          <w:szCs w:val="20"/>
          <w:highlight w:val="magenta"/>
        </w:rPr>
      </w:pPr>
      <w:r w:rsidRPr="00166273">
        <w:rPr>
          <w:rFonts w:asciiTheme="majorHAnsi" w:hAnsiTheme="majorHAnsi"/>
          <w:b/>
          <w:noProof/>
          <w:sz w:val="20"/>
          <w:szCs w:val="20"/>
        </w:rPr>
        <w:t>PROCESSING INITIATED:</w:t>
      </w:r>
      <w:r w:rsidRPr="00166273">
        <w:rPr>
          <w:rFonts w:asciiTheme="majorHAnsi" w:hAnsiTheme="majorHAnsi"/>
          <w:noProof/>
          <w:sz w:val="20"/>
          <w:szCs w:val="20"/>
        </w:rPr>
        <w:tab/>
      </w:r>
      <w:r w:rsidRPr="00166273">
        <w:rPr>
          <w:rFonts w:asciiTheme="majorHAnsi" w:hAnsiTheme="majorHAnsi"/>
          <w:noProof/>
          <w:sz w:val="20"/>
          <w:szCs w:val="20"/>
        </w:rPr>
        <w:tab/>
        <w:t>February 18, 1998</w:t>
      </w:r>
    </w:p>
    <w:p w:rsidR="00166273" w:rsidRPr="00166273" w:rsidRDefault="00166273" w:rsidP="00166273">
      <w:pPr>
        <w:ind w:right="-720"/>
        <w:rPr>
          <w:rFonts w:asciiTheme="majorHAnsi" w:hAnsiTheme="majorHAnsi"/>
          <w:noProof/>
          <w:sz w:val="20"/>
          <w:szCs w:val="20"/>
          <w:highlight w:val="magenta"/>
        </w:rPr>
      </w:pPr>
    </w:p>
    <w:p w:rsidR="00166273" w:rsidRPr="00166273" w:rsidRDefault="00166273" w:rsidP="00166273">
      <w:pPr>
        <w:ind w:right="-720"/>
        <w:rPr>
          <w:rFonts w:asciiTheme="majorHAnsi" w:hAnsiTheme="majorHAnsi"/>
          <w:noProof/>
          <w:sz w:val="20"/>
          <w:szCs w:val="20"/>
          <w:highlight w:val="magenta"/>
        </w:rPr>
      </w:pPr>
    </w:p>
    <w:p w:rsidR="00166273" w:rsidRPr="00166273" w:rsidRDefault="00166273" w:rsidP="0016627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40"/>
        <w:jc w:val="both"/>
        <w:rPr>
          <w:rFonts w:asciiTheme="majorHAnsi" w:hAnsiTheme="majorHAnsi"/>
          <w:noProof/>
          <w:sz w:val="20"/>
          <w:szCs w:val="20"/>
        </w:rPr>
      </w:pPr>
      <w:r w:rsidRPr="00166273">
        <w:rPr>
          <w:rFonts w:asciiTheme="majorHAnsi" w:hAnsiTheme="majorHAnsi"/>
          <w:b/>
          <w:noProof/>
          <w:sz w:val="20"/>
          <w:szCs w:val="20"/>
        </w:rPr>
        <w:t>POSITION OF THE PETITIONER</w:t>
      </w:r>
    </w:p>
    <w:p w:rsidR="00166273" w:rsidRPr="00166273" w:rsidRDefault="00166273" w:rsidP="00166273">
      <w:pPr>
        <w:ind w:left="720"/>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On February 3, 1998, the Inter-American Commission on Human Rights (the “Inter-American Commission” or the “IACHR”) received a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tition presented by Cameron McKenna LLP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 xml:space="preserve">titioner”) against Jamaica (“the State”) on behalf of Whitley Dixon (“Mr. Dixon” or the “alleged victim”), who was incarcerated on death row at Saint Catherine District Prison (now Saint Catherine Adult Correctional Centre), Jamaica.  </w:t>
      </w:r>
    </w:p>
    <w:p w:rsidR="00166273" w:rsidRPr="00166273" w:rsidRDefault="00166273" w:rsidP="00166273">
      <w:pPr>
        <w:ind w:left="720"/>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 According to the information available, on February 12, 1996, Mr. Dixon was convicted of capital murder in the Home Circuit Court, Kingston, in the course of furtherance of an act of robbery and was sentenced to a mandatory penalty of death.  The application for leave to appeal against his conviction and sentence was dismissed by the Court of Appeal of Jamaica on March 21, 1997.  On January 19, 1998, the Judicial Committee of the Privy Council dismissed Mr. Dixon’s petition for Special Leave to Appeal.</w:t>
      </w:r>
    </w:p>
    <w:p w:rsidR="00166273" w:rsidRPr="00166273" w:rsidRDefault="00166273" w:rsidP="00166273">
      <w:pPr>
        <w:pStyle w:val="ListParagrap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With res</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 xml:space="preserve">ct to the merits of the complaint,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titioner submited that the mandatory nature of the death penalty under Jamaican law violated Mr. Dixon’s right to life under Article 4(1) of the American Convention; his right to have the death penalty imposed only for the most serious crimes under Article 4(2); and his right to a fair trial under Article 8.  He further alleged that Mr. Dixon’s treatment while imprisoned and the conditions under which he was being held violated his right to humane treatment under Article 5.  Finally, the petitioner claimed that the absence of legal aid for constitutional motions before Jamaican courts denied Mr. Dixon the right to equal protection under Article 24, as well as the right to judicial protection under Article. 25.  In the response to the State’s reply to their petition, the petitioner further allegeed that Mr. Dixon had querulant paranoia and was no longer able to give rational instructions to his solicitor or to take an informed interest in his own case.</w:t>
      </w:r>
    </w:p>
    <w:p w:rsidR="00166273" w:rsidRPr="00166273" w:rsidRDefault="00166273" w:rsidP="00166273">
      <w:pPr>
        <w:pStyle w:val="ListParagraph"/>
        <w:ind w:left="0"/>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On April 13, 1999, the Judicial Committee of the Privy Council considered the mental health of the alleged victim and recommended that his death sentence be commuted to one of life imprisonment.  The commutation was made effective on April 16, 1999, and the alleged victim was removed from death row.  </w:t>
      </w:r>
    </w:p>
    <w:p w:rsidR="00166273" w:rsidRPr="00166273" w:rsidRDefault="00166273" w:rsidP="00166273">
      <w:pPr>
        <w:pStyle w:val="ListParagraph"/>
        <w:ind w:left="0"/>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On May 30, 2012, the IACHR requested updated information from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titioner.  No response was received.</w:t>
      </w:r>
    </w:p>
    <w:p w:rsidR="00166273" w:rsidRDefault="00166273" w:rsidP="00166273">
      <w:pPr>
        <w:jc w:val="both"/>
        <w:rPr>
          <w:rFonts w:asciiTheme="majorHAnsi" w:hAnsiTheme="majorHAnsi"/>
          <w:noProof/>
          <w:sz w:val="20"/>
          <w:szCs w:val="20"/>
        </w:rPr>
      </w:pPr>
    </w:p>
    <w:p w:rsidR="0084158C" w:rsidRDefault="0084158C" w:rsidP="00166273">
      <w:pPr>
        <w:jc w:val="both"/>
        <w:rPr>
          <w:rFonts w:asciiTheme="majorHAnsi" w:hAnsiTheme="majorHAnsi"/>
          <w:noProof/>
          <w:sz w:val="20"/>
          <w:szCs w:val="20"/>
        </w:rPr>
      </w:pPr>
    </w:p>
    <w:p w:rsidR="0084158C" w:rsidRPr="00166273" w:rsidRDefault="0084158C" w:rsidP="00166273">
      <w:pPr>
        <w:jc w:val="both"/>
        <w:rPr>
          <w:rFonts w:asciiTheme="majorHAnsi" w:hAnsiTheme="majorHAnsi"/>
          <w:noProof/>
          <w:sz w:val="20"/>
          <w:szCs w:val="20"/>
        </w:rPr>
      </w:pPr>
    </w:p>
    <w:p w:rsidR="00166273" w:rsidRPr="00166273" w:rsidRDefault="00166273" w:rsidP="00166273">
      <w:pPr>
        <w:ind w:firstLine="720"/>
        <w:jc w:val="both"/>
        <w:rPr>
          <w:rFonts w:asciiTheme="majorHAnsi" w:hAnsiTheme="majorHAnsi"/>
          <w:b/>
          <w:noProof/>
          <w:sz w:val="20"/>
          <w:szCs w:val="20"/>
        </w:rPr>
      </w:pPr>
      <w:r w:rsidRPr="00166273">
        <w:rPr>
          <w:rFonts w:asciiTheme="majorHAnsi" w:hAnsiTheme="majorHAnsi"/>
          <w:b/>
          <w:noProof/>
          <w:sz w:val="20"/>
          <w:szCs w:val="20"/>
        </w:rPr>
        <w:lastRenderedPageBreak/>
        <w:t>II.</w:t>
      </w:r>
      <w:r w:rsidRPr="00166273">
        <w:rPr>
          <w:rFonts w:asciiTheme="majorHAnsi" w:hAnsiTheme="majorHAnsi"/>
          <w:b/>
          <w:noProof/>
          <w:sz w:val="20"/>
          <w:szCs w:val="20"/>
        </w:rPr>
        <w:tab/>
        <w:t>POSITION OF THE STATE</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The State claimed that the constitutionality of a mandatory death sentence could be challenged by bringing a constitutional motion in the courts.  The State denied any violations of Articles 24 and 25 of the Convention, for the reason that a new Legal Aid Act in Jamaica, which had not yet entered into force, provided for legal assistance for persons pursuing constitutional motions.  In addition, the State argued that it was possible for Mr. Dixon to bring a constitutional motion by an attorney on a pro bono basis.  Finally, the State indicated that the petitioners’ assertion that Mr. Dixon had a mental disability would be brought to the attention of the Jamaican Privy Council for its consideration.</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ind w:firstLine="720"/>
        <w:jc w:val="both"/>
        <w:rPr>
          <w:rFonts w:asciiTheme="majorHAnsi" w:hAnsiTheme="majorHAnsi"/>
          <w:b/>
          <w:noProof/>
          <w:sz w:val="20"/>
          <w:szCs w:val="20"/>
        </w:rPr>
      </w:pPr>
      <w:r w:rsidRPr="00166273">
        <w:rPr>
          <w:rFonts w:asciiTheme="majorHAnsi" w:hAnsiTheme="majorHAnsi"/>
          <w:b/>
          <w:noProof/>
          <w:sz w:val="20"/>
          <w:szCs w:val="20"/>
        </w:rPr>
        <w:t>III.</w:t>
      </w:r>
      <w:r w:rsidRPr="00166273">
        <w:rPr>
          <w:rFonts w:asciiTheme="majorHAnsi" w:hAnsiTheme="majorHAnsi"/>
          <w:b/>
          <w:noProof/>
          <w:sz w:val="20"/>
          <w:szCs w:val="20"/>
        </w:rPr>
        <w:tab/>
        <w:t>PROCEEDINGS BEFORE THE IACHR</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On February 3, 1998, the IACHR received the petition, which was transmitted to the State on February 18, 1998.  In the same communication </w:t>
      </w:r>
      <w:r w:rsidRPr="00166273">
        <w:rPr>
          <w:rFonts w:asciiTheme="majorHAnsi" w:hAnsiTheme="majorHAnsi"/>
          <w:sz w:val="20"/>
          <w:szCs w:val="20"/>
        </w:rPr>
        <w:t>the Inter-American Commission requested the State to stay the execution of Mr. Dixon pending an investigation by the Commission of the alleged facts.</w:t>
      </w:r>
    </w:p>
    <w:p w:rsidR="00166273" w:rsidRPr="00166273" w:rsidRDefault="00166273" w:rsidP="00166273">
      <w:pPr>
        <w:ind w:left="720"/>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On March 3, 1999, during its 102</w:t>
      </w:r>
      <w:r w:rsidRPr="00166273">
        <w:rPr>
          <w:rFonts w:asciiTheme="majorHAnsi" w:hAnsiTheme="majorHAnsi"/>
          <w:noProof/>
          <w:sz w:val="20"/>
          <w:szCs w:val="20"/>
          <w:vertAlign w:val="superscript"/>
        </w:rPr>
        <w:t>nd</w:t>
      </w:r>
      <w:r w:rsidRPr="00166273">
        <w:rPr>
          <w:rFonts w:asciiTheme="majorHAnsi" w:hAnsiTheme="majorHAnsi"/>
          <w:noProof/>
          <w:sz w:val="20"/>
          <w:szCs w:val="20"/>
        </w:rPr>
        <w:t xml:space="preserve"> period of sessions, the IACHR conducted a public hearing on this case.  On March 9, 1999, the Commission adopted Admissibility Report N</w:t>
      </w:r>
      <w:r w:rsidRPr="00166273">
        <w:rPr>
          <w:rFonts w:asciiTheme="majorHAnsi" w:hAnsiTheme="majorHAnsi"/>
          <w:noProof/>
          <w:sz w:val="20"/>
          <w:szCs w:val="20"/>
          <w:vertAlign w:val="superscript"/>
        </w:rPr>
        <w:t>o</w:t>
      </w:r>
      <w:r w:rsidRPr="00166273">
        <w:rPr>
          <w:rFonts w:asciiTheme="majorHAnsi" w:hAnsiTheme="majorHAnsi"/>
          <w:noProof/>
          <w:sz w:val="20"/>
          <w:szCs w:val="20"/>
        </w:rPr>
        <w:t xml:space="preserve"> 28/99 which was dully transmitted to the parties.  </w:t>
      </w:r>
    </w:p>
    <w:p w:rsidR="00166273" w:rsidRPr="00166273" w:rsidRDefault="00166273" w:rsidP="00166273">
      <w:pPr>
        <w:pStyle w:val="ListParagrap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By letter dated July 21, 1999, the petitioner informed the IACHR about the commutation of the death sentence and requested the IACHR’s advice on “whether it is still necessary for the IACHR to consider this matter” given that they “made representations on behalf of Mr. Dixon [in March 1999] in order that his death sentence may be reduced to one of life imprisonment.”</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The IACHR requested updated information from the petitioner on May 30, 2012, indicating that the Commission may archive the petition.  </w:t>
      </w:r>
      <w:r w:rsidRPr="00166273">
        <w:rPr>
          <w:rFonts w:asciiTheme="majorHAnsi" w:hAnsiTheme="majorHAnsi"/>
          <w:sz w:val="20"/>
          <w:szCs w:val="20"/>
        </w:rPr>
        <w:t>To date, the petitioner has not responded to the IACHR’s request.</w:t>
      </w:r>
      <w:r w:rsidRPr="00166273">
        <w:rPr>
          <w:rFonts w:asciiTheme="majorHAnsi" w:hAnsiTheme="majorHAnsi"/>
          <w:noProof/>
          <w:sz w:val="20"/>
          <w:szCs w:val="20"/>
        </w:rPr>
        <w:t xml:space="preserve"> </w:t>
      </w:r>
    </w:p>
    <w:p w:rsidR="00166273" w:rsidRPr="00166273" w:rsidRDefault="00166273" w:rsidP="00166273">
      <w:pPr>
        <w:pStyle w:val="ListParagraph"/>
        <w:rPr>
          <w:rFonts w:asciiTheme="majorHAnsi" w:hAnsiTheme="majorHAnsi"/>
          <w:noProof/>
          <w:sz w:val="20"/>
          <w:szCs w:val="20"/>
        </w:rPr>
      </w:pPr>
    </w:p>
    <w:p w:rsidR="00166273" w:rsidRPr="00166273" w:rsidRDefault="00166273" w:rsidP="0016627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noProof/>
          <w:sz w:val="20"/>
          <w:szCs w:val="20"/>
        </w:rPr>
      </w:pPr>
      <w:r w:rsidRPr="00166273">
        <w:rPr>
          <w:rFonts w:asciiTheme="majorHAnsi" w:hAnsiTheme="majorHAnsi"/>
          <w:b/>
          <w:noProof/>
          <w:sz w:val="20"/>
          <w:szCs w:val="20"/>
        </w:rPr>
        <w:t>GROUNDS FOR THE DECISION TO ARCHIVE</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Article 42 of the IACHR’s Rules sets forth the procedure for archiving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 xml:space="preserve">titions and cases, when the grounds for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 xml:space="preserve">tition or case do not exist or subsist; or when the information necessary for the adoption of a decision is unavailable.  In such cases, the IACHR, after having requested information from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 xml:space="preserve">titioners and given notice of the possibility of a decision to archive to the </w:t>
      </w:r>
      <w:smartTag w:uri="urn:schemas-microsoft-com:office:smarttags" w:element="PersonName">
        <w:r w:rsidRPr="00166273">
          <w:rPr>
            <w:rFonts w:asciiTheme="majorHAnsi" w:hAnsiTheme="majorHAnsi"/>
            <w:noProof/>
            <w:sz w:val="20"/>
            <w:szCs w:val="20"/>
          </w:rPr>
          <w:t>pe</w:t>
        </w:r>
      </w:smartTag>
      <w:r w:rsidRPr="00166273">
        <w:rPr>
          <w:rFonts w:asciiTheme="majorHAnsi" w:hAnsiTheme="majorHAnsi"/>
          <w:noProof/>
          <w:sz w:val="20"/>
          <w:szCs w:val="20"/>
        </w:rPr>
        <w:t>titioners, shall proceed to adopt the appropriate decision.</w:t>
      </w:r>
    </w:p>
    <w:p w:rsidR="00166273" w:rsidRPr="00166273" w:rsidRDefault="00166273" w:rsidP="00166273">
      <w:pPr>
        <w:jc w:val="both"/>
        <w:rPr>
          <w:rFonts w:asciiTheme="majorHAnsi" w:hAnsiTheme="majorHAnsi"/>
          <w:noProof/>
          <w:sz w:val="20"/>
          <w:szCs w:val="20"/>
        </w:rPr>
      </w:pPr>
    </w:p>
    <w:p w:rsidR="00166273" w:rsidRPr="00166273" w:rsidRDefault="00166273" w:rsidP="00166273">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166273">
        <w:rPr>
          <w:rFonts w:asciiTheme="majorHAnsi" w:hAnsiTheme="majorHAnsi"/>
          <w:noProof/>
          <w:sz w:val="20"/>
          <w:szCs w:val="20"/>
        </w:rPr>
        <w:t xml:space="preserve">The petitioner brought Mr. Dixon’s case to the IACHR alleging, </w:t>
      </w:r>
      <w:r w:rsidRPr="00166273">
        <w:rPr>
          <w:rFonts w:asciiTheme="majorHAnsi" w:hAnsiTheme="majorHAnsi"/>
          <w:i/>
          <w:noProof/>
          <w:sz w:val="20"/>
          <w:szCs w:val="20"/>
        </w:rPr>
        <w:t>inter alia</w:t>
      </w:r>
      <w:r w:rsidRPr="00166273">
        <w:rPr>
          <w:rFonts w:asciiTheme="majorHAnsi" w:hAnsiTheme="majorHAnsi"/>
          <w:noProof/>
          <w:sz w:val="20"/>
          <w:szCs w:val="20"/>
        </w:rPr>
        <w:t>, that the mandatory nature of the death penalty under Jamaican law violated his right to life under Article 4(1) of the American Convention.  On April 16, 1999, the mandatory death sentence was commuted to one of life imprisonment.  Therefore, those</w:t>
      </w:r>
      <w:r w:rsidRPr="00166273">
        <w:rPr>
          <w:rFonts w:asciiTheme="majorHAnsi" w:hAnsiTheme="majorHAnsi"/>
          <w:sz w:val="20"/>
          <w:szCs w:val="20"/>
        </w:rPr>
        <w:t xml:space="preserve"> grounds for the </w:t>
      </w:r>
      <w:smartTag w:uri="urn:schemas-microsoft-com:office:smarttags" w:element="PersonName">
        <w:r w:rsidRPr="00166273">
          <w:rPr>
            <w:rFonts w:asciiTheme="majorHAnsi" w:hAnsiTheme="majorHAnsi"/>
            <w:sz w:val="20"/>
            <w:szCs w:val="20"/>
          </w:rPr>
          <w:t>pe</w:t>
        </w:r>
      </w:smartTag>
      <w:r w:rsidRPr="00166273">
        <w:rPr>
          <w:rFonts w:asciiTheme="majorHAnsi" w:hAnsiTheme="majorHAnsi"/>
          <w:sz w:val="20"/>
          <w:szCs w:val="20"/>
        </w:rPr>
        <w:t xml:space="preserve">tition do not subsist, since the alleged victim has been removed from death row.  In their last communication, dated July 21, 1999, the petitioner expressed doubts about whether they should pursue the case before the IACHR.  </w:t>
      </w:r>
      <w:r w:rsidRPr="00166273">
        <w:rPr>
          <w:rFonts w:asciiTheme="majorHAnsi" w:hAnsiTheme="majorHAnsi"/>
          <w:noProof/>
          <w:sz w:val="20"/>
          <w:szCs w:val="20"/>
        </w:rPr>
        <w:t xml:space="preserve">Since then the Commission has received no information from the petitioner, despite its request for updated information giving notice of the possibility of a decision to archive.  </w:t>
      </w:r>
      <w:r w:rsidRPr="00166273">
        <w:rPr>
          <w:rFonts w:asciiTheme="majorHAnsi" w:hAnsiTheme="majorHAnsi"/>
          <w:sz w:val="20"/>
          <w:szCs w:val="20"/>
        </w:rPr>
        <w:t xml:space="preserve">In the absence of further information, the IACHR decides to archive the file of the present </w:t>
      </w:r>
      <w:smartTag w:uri="urn:schemas-microsoft-com:office:smarttags" w:element="PersonName">
        <w:r w:rsidRPr="00166273">
          <w:rPr>
            <w:rFonts w:asciiTheme="majorHAnsi" w:hAnsiTheme="majorHAnsi"/>
            <w:sz w:val="20"/>
            <w:szCs w:val="20"/>
          </w:rPr>
          <w:t>pe</w:t>
        </w:r>
      </w:smartTag>
      <w:r w:rsidRPr="00166273">
        <w:rPr>
          <w:rFonts w:asciiTheme="majorHAnsi" w:hAnsiTheme="majorHAnsi"/>
          <w:sz w:val="20"/>
          <w:szCs w:val="20"/>
        </w:rPr>
        <w:t>tition, pursuant to Article 42.1(b) of the Rules of Procedure.</w:t>
      </w:r>
    </w:p>
    <w:p w:rsidR="00166273" w:rsidRDefault="00166273" w:rsidP="00166273">
      <w:pPr>
        <w:jc w:val="both"/>
        <w:rPr>
          <w:rFonts w:asciiTheme="majorHAnsi" w:hAnsiTheme="majorHAnsi"/>
          <w:noProof/>
          <w:spacing w:val="-2"/>
          <w:sz w:val="20"/>
          <w:szCs w:val="20"/>
        </w:rPr>
      </w:pPr>
    </w:p>
    <w:p w:rsidR="00777248" w:rsidRPr="003469F3" w:rsidRDefault="00777248" w:rsidP="00777248">
      <w:pPr>
        <w:ind w:firstLine="720"/>
        <w:jc w:val="both"/>
        <w:rPr>
          <w:rFonts w:asciiTheme="majorHAnsi" w:hAnsiTheme="majorHAnsi"/>
          <w:spacing w:val="-2"/>
          <w:sz w:val="20"/>
          <w:szCs w:val="20"/>
        </w:rPr>
      </w:pPr>
      <w:r w:rsidRPr="003469F3">
        <w:rPr>
          <w:rFonts w:asciiTheme="majorHAnsi" w:hAnsiTheme="majorHAnsi"/>
          <w:spacing w:val="-2"/>
          <w:sz w:val="20"/>
          <w:szCs w:val="20"/>
        </w:rPr>
        <w:t xml:space="preserve">Done and signed in the city of Washington, D.C., on the 6th day of the month of November, 2014. </w:t>
      </w:r>
      <w:proofErr w:type="gramStart"/>
      <w:r w:rsidRPr="003469F3">
        <w:rPr>
          <w:rFonts w:asciiTheme="majorHAnsi" w:hAnsiTheme="majorHAnsi"/>
          <w:spacing w:val="-2"/>
          <w:sz w:val="20"/>
          <w:szCs w:val="20"/>
        </w:rPr>
        <w:t xml:space="preserve">(Signed):  </w:t>
      </w:r>
      <w:r w:rsidRPr="003469F3">
        <w:rPr>
          <w:rFonts w:asciiTheme="majorHAnsi" w:hAnsiTheme="majorHAnsi" w:cs="Arial"/>
          <w:noProof/>
          <w:spacing w:val="-2"/>
          <w:sz w:val="20"/>
          <w:szCs w:val="20"/>
        </w:rPr>
        <w:t>Rose-Marie Antoine</w:t>
      </w:r>
      <w:r w:rsidRPr="003469F3">
        <w:rPr>
          <w:rFonts w:asciiTheme="majorHAnsi" w:hAnsiTheme="majorHAnsi"/>
          <w:spacing w:val="-2"/>
          <w:sz w:val="20"/>
          <w:szCs w:val="20"/>
        </w:rPr>
        <w:t xml:space="preserve">, First Vice-President; </w:t>
      </w:r>
      <w:r w:rsidRPr="003469F3">
        <w:rPr>
          <w:rFonts w:asciiTheme="majorHAnsi" w:hAnsiTheme="majorHAnsi" w:cs="Arial"/>
          <w:noProof/>
          <w:spacing w:val="-2"/>
          <w:sz w:val="20"/>
          <w:szCs w:val="20"/>
        </w:rPr>
        <w:t>Felipe González</w:t>
      </w:r>
      <w:r w:rsidRPr="003469F3">
        <w:rPr>
          <w:rFonts w:asciiTheme="majorHAnsi" w:hAnsiTheme="majorHAnsi"/>
          <w:spacing w:val="-2"/>
          <w:sz w:val="20"/>
          <w:szCs w:val="20"/>
        </w:rPr>
        <w:t xml:space="preserve">, Second Vice-President; </w:t>
      </w:r>
      <w:r w:rsidRPr="003469F3">
        <w:rPr>
          <w:rFonts w:asciiTheme="majorHAnsi" w:hAnsiTheme="majorHAnsi" w:cs="Arial"/>
          <w:noProof/>
          <w:spacing w:val="-2"/>
          <w:sz w:val="20"/>
          <w:szCs w:val="20"/>
        </w:rPr>
        <w:t xml:space="preserve">José de Jesús Orozco Henríquez, Paulo Vannuchi, </w:t>
      </w:r>
      <w:r w:rsidRPr="003469F3">
        <w:rPr>
          <w:rFonts w:asciiTheme="majorHAnsi" w:hAnsiTheme="majorHAnsi"/>
          <w:spacing w:val="-2"/>
          <w:sz w:val="20"/>
          <w:szCs w:val="20"/>
        </w:rPr>
        <w:t>and</w:t>
      </w:r>
      <w:r w:rsidRPr="003469F3">
        <w:rPr>
          <w:rFonts w:asciiTheme="majorHAnsi" w:hAnsiTheme="majorHAnsi"/>
          <w:sz w:val="20"/>
          <w:szCs w:val="20"/>
        </w:rPr>
        <w:t xml:space="preserve"> James L. </w:t>
      </w:r>
      <w:proofErr w:type="spellStart"/>
      <w:r w:rsidRPr="003469F3">
        <w:rPr>
          <w:rFonts w:asciiTheme="majorHAnsi" w:hAnsiTheme="majorHAnsi"/>
          <w:sz w:val="20"/>
          <w:szCs w:val="20"/>
        </w:rPr>
        <w:t>Cavallaro</w:t>
      </w:r>
      <w:proofErr w:type="spellEnd"/>
      <w:r w:rsidRPr="003469F3">
        <w:rPr>
          <w:rFonts w:asciiTheme="majorHAnsi" w:hAnsiTheme="majorHAnsi"/>
          <w:sz w:val="20"/>
          <w:szCs w:val="20"/>
        </w:rPr>
        <w:t xml:space="preserve"> </w:t>
      </w:r>
      <w:r w:rsidRPr="003469F3">
        <w:rPr>
          <w:rFonts w:asciiTheme="majorHAnsi" w:hAnsiTheme="majorHAnsi"/>
          <w:spacing w:val="-2"/>
          <w:sz w:val="20"/>
          <w:szCs w:val="20"/>
        </w:rPr>
        <w:t>Commissioners.</w:t>
      </w:r>
      <w:proofErr w:type="gramEnd"/>
    </w:p>
    <w:p w:rsidR="00777248" w:rsidRPr="00166273" w:rsidRDefault="00777248" w:rsidP="00166273">
      <w:pPr>
        <w:jc w:val="both"/>
        <w:rPr>
          <w:rFonts w:asciiTheme="majorHAnsi" w:hAnsiTheme="majorHAnsi"/>
          <w:noProof/>
          <w:spacing w:val="-2"/>
          <w:sz w:val="20"/>
          <w:szCs w:val="20"/>
        </w:rPr>
      </w:pPr>
    </w:p>
    <w:sectPr w:rsidR="00777248" w:rsidRPr="00166273"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45" w:rsidRDefault="00FC3A45" w:rsidP="00036A8A">
      <w:r>
        <w:separator/>
      </w:r>
    </w:p>
  </w:endnote>
  <w:endnote w:type="continuationSeparator" w:id="0">
    <w:p w:rsidR="00FC3A45" w:rsidRDefault="00FC3A4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77248">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45" w:rsidRPr="00036A8A" w:rsidRDefault="00FC3A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C3A45" w:rsidRPr="00036A8A" w:rsidRDefault="00FC3A45" w:rsidP="00036A8A">
      <w:pPr>
        <w:rPr>
          <w:rFonts w:asciiTheme="majorHAnsi" w:hAnsiTheme="majorHAnsi"/>
          <w:sz w:val="16"/>
          <w:szCs w:val="16"/>
        </w:rPr>
      </w:pPr>
      <w:r w:rsidRPr="00036A8A">
        <w:rPr>
          <w:rFonts w:asciiTheme="majorHAnsi" w:hAnsiTheme="majorHAnsi"/>
          <w:sz w:val="16"/>
          <w:szCs w:val="16"/>
        </w:rPr>
        <w:separator/>
      </w:r>
    </w:p>
    <w:p w:rsidR="00FC3A45" w:rsidRPr="00036A8A" w:rsidRDefault="00FC3A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C3A45" w:rsidRPr="0093441A" w:rsidRDefault="00FC3A4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E55C3" w:rsidRPr="0097788B" w:rsidRDefault="001E55C3" w:rsidP="00AC1A57">
      <w:pPr>
        <w:pStyle w:val="FootnoteText"/>
        <w:ind w:firstLine="720"/>
        <w:jc w:val="both"/>
        <w:rPr>
          <w:sz w:val="16"/>
          <w:szCs w:val="16"/>
        </w:rPr>
      </w:pPr>
      <w:r w:rsidRPr="0097788B">
        <w:rPr>
          <w:rStyle w:val="FootnoteReference"/>
          <w:sz w:val="16"/>
          <w:szCs w:val="16"/>
        </w:rPr>
        <w:footnoteRef/>
      </w:r>
      <w:r w:rsidRPr="0097788B">
        <w:rPr>
          <w:sz w:val="16"/>
          <w:szCs w:val="16"/>
        </w:rPr>
        <w:t xml:space="preserve"> In keeping with Article 17.2.</w:t>
      </w:r>
      <w:proofErr w:type="spellStart"/>
      <w:r w:rsidRPr="0097788B">
        <w:rPr>
          <w:sz w:val="16"/>
          <w:szCs w:val="16"/>
        </w:rPr>
        <w:t>a</w:t>
      </w:r>
      <w:proofErr w:type="spellEnd"/>
      <w:r w:rsidRPr="0097788B">
        <w:rPr>
          <w:sz w:val="16"/>
          <w:szCs w:val="16"/>
        </w:rPr>
        <w:t xml:space="preserve"> of the Rules of Procedure of the IACHR, Commissioner Tracy Robinson, a national of Jamaica, did not participate in the deliberations or in the voting on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C3A4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2FE33B1"/>
    <w:multiLevelType w:val="hybridMultilevel"/>
    <w:tmpl w:val="DD664E54"/>
    <w:lvl w:ilvl="0" w:tplc="6FE2A9B6">
      <w:start w:val="1"/>
      <w:numFmt w:val="lowerLetter"/>
      <w:lvlText w:val="(%1)"/>
      <w:lvlJc w:val="left"/>
      <w:pPr>
        <w:tabs>
          <w:tab w:val="num" w:pos="720"/>
        </w:tabs>
        <w:ind w:left="720" w:hanging="360"/>
      </w:pPr>
      <w:rPr>
        <w:rFonts w:cs="Times New Roman" w:hint="default"/>
      </w:rPr>
    </w:lvl>
    <w:lvl w:ilvl="1" w:tplc="6824C754">
      <w:start w:val="4"/>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0C5D2C"/>
    <w:multiLevelType w:val="hybridMultilevel"/>
    <w:tmpl w:val="0B8EB41C"/>
    <w:lvl w:ilvl="0" w:tplc="8A36CD8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6"/>
  </w:num>
  <w:num w:numId="88">
    <w:abstractNumId w:val="58"/>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5"/>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6"/>
  </w:num>
  <w:num w:numId="104">
    <w:abstractNumId w:val="60"/>
  </w:num>
  <w:num w:numId="105">
    <w:abstractNumId w:val="4"/>
  </w:num>
  <w:num w:numId="106">
    <w:abstractNumId w:val="54"/>
  </w:num>
  <w:num w:numId="107">
    <w:abstractNumId w:val="10"/>
  </w:num>
  <w:num w:numId="108">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26E1"/>
    <w:rsid w:val="000A575F"/>
    <w:rsid w:val="000D10DB"/>
    <w:rsid w:val="0013104F"/>
    <w:rsid w:val="00137EBA"/>
    <w:rsid w:val="00145EDC"/>
    <w:rsid w:val="00166273"/>
    <w:rsid w:val="00167A34"/>
    <w:rsid w:val="0018037F"/>
    <w:rsid w:val="00184D12"/>
    <w:rsid w:val="001A5F27"/>
    <w:rsid w:val="001A7870"/>
    <w:rsid w:val="001C1B41"/>
    <w:rsid w:val="001C2749"/>
    <w:rsid w:val="001E55C3"/>
    <w:rsid w:val="00205DE1"/>
    <w:rsid w:val="00210E0E"/>
    <w:rsid w:val="00247403"/>
    <w:rsid w:val="00247542"/>
    <w:rsid w:val="00257893"/>
    <w:rsid w:val="00266092"/>
    <w:rsid w:val="00266B61"/>
    <w:rsid w:val="0026712A"/>
    <w:rsid w:val="002704DB"/>
    <w:rsid w:val="002A77F8"/>
    <w:rsid w:val="002B12EF"/>
    <w:rsid w:val="002C1641"/>
    <w:rsid w:val="002D7EA2"/>
    <w:rsid w:val="002E15DF"/>
    <w:rsid w:val="002E187C"/>
    <w:rsid w:val="002E6E57"/>
    <w:rsid w:val="00301075"/>
    <w:rsid w:val="00302733"/>
    <w:rsid w:val="00311A4F"/>
    <w:rsid w:val="00314078"/>
    <w:rsid w:val="00322450"/>
    <w:rsid w:val="0032308C"/>
    <w:rsid w:val="003246B5"/>
    <w:rsid w:val="0033169F"/>
    <w:rsid w:val="003414AC"/>
    <w:rsid w:val="00356185"/>
    <w:rsid w:val="00360380"/>
    <w:rsid w:val="00386CF0"/>
    <w:rsid w:val="003C1E6E"/>
    <w:rsid w:val="003C32BC"/>
    <w:rsid w:val="003F1BBF"/>
    <w:rsid w:val="004165C2"/>
    <w:rsid w:val="00450A4A"/>
    <w:rsid w:val="004666FB"/>
    <w:rsid w:val="00467B7E"/>
    <w:rsid w:val="0049419D"/>
    <w:rsid w:val="004A63BE"/>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77248"/>
    <w:rsid w:val="00782086"/>
    <w:rsid w:val="007A2F70"/>
    <w:rsid w:val="007C3334"/>
    <w:rsid w:val="007C52BB"/>
    <w:rsid w:val="007D2B98"/>
    <w:rsid w:val="00803F1C"/>
    <w:rsid w:val="0080600E"/>
    <w:rsid w:val="00817612"/>
    <w:rsid w:val="00837C45"/>
    <w:rsid w:val="0084158C"/>
    <w:rsid w:val="00853419"/>
    <w:rsid w:val="00897E12"/>
    <w:rsid w:val="008D43BA"/>
    <w:rsid w:val="008E3759"/>
    <w:rsid w:val="008F726F"/>
    <w:rsid w:val="009041DC"/>
    <w:rsid w:val="009104B4"/>
    <w:rsid w:val="00925FCD"/>
    <w:rsid w:val="0093441A"/>
    <w:rsid w:val="00954BF7"/>
    <w:rsid w:val="0096706E"/>
    <w:rsid w:val="0097788B"/>
    <w:rsid w:val="00981FBA"/>
    <w:rsid w:val="00994A4B"/>
    <w:rsid w:val="009B381B"/>
    <w:rsid w:val="009D2CBF"/>
    <w:rsid w:val="009D7611"/>
    <w:rsid w:val="009E53DE"/>
    <w:rsid w:val="00A43458"/>
    <w:rsid w:val="00A528D1"/>
    <w:rsid w:val="00A66BE5"/>
    <w:rsid w:val="00AC1A57"/>
    <w:rsid w:val="00AD37C1"/>
    <w:rsid w:val="00AD775A"/>
    <w:rsid w:val="00AE66EC"/>
    <w:rsid w:val="00AE6F91"/>
    <w:rsid w:val="00AF5571"/>
    <w:rsid w:val="00B13D22"/>
    <w:rsid w:val="00B167E9"/>
    <w:rsid w:val="00B314DB"/>
    <w:rsid w:val="00B31EBE"/>
    <w:rsid w:val="00B3718B"/>
    <w:rsid w:val="00B4632A"/>
    <w:rsid w:val="00BA276C"/>
    <w:rsid w:val="00BA6DBD"/>
    <w:rsid w:val="00BB306F"/>
    <w:rsid w:val="00BD232B"/>
    <w:rsid w:val="00BD4B89"/>
    <w:rsid w:val="00C21762"/>
    <w:rsid w:val="00C24543"/>
    <w:rsid w:val="00C256A2"/>
    <w:rsid w:val="00C3492D"/>
    <w:rsid w:val="00C55560"/>
    <w:rsid w:val="00C66B72"/>
    <w:rsid w:val="00C9567A"/>
    <w:rsid w:val="00CA292E"/>
    <w:rsid w:val="00CB2660"/>
    <w:rsid w:val="00CC5E90"/>
    <w:rsid w:val="00CD046C"/>
    <w:rsid w:val="00CE5199"/>
    <w:rsid w:val="00CE66D5"/>
    <w:rsid w:val="00D34786"/>
    <w:rsid w:val="00D40A1E"/>
    <w:rsid w:val="00D57424"/>
    <w:rsid w:val="00D712D3"/>
    <w:rsid w:val="00D71422"/>
    <w:rsid w:val="00D7145E"/>
    <w:rsid w:val="00D7558D"/>
    <w:rsid w:val="00D81D92"/>
    <w:rsid w:val="00D93446"/>
    <w:rsid w:val="00DA7B5F"/>
    <w:rsid w:val="00E334C5"/>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1E2E"/>
    <w:rsid w:val="00FC3A45"/>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97B0-423F-4EFD-93A2-784FC632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5233</Characters>
  <Application>Microsoft Office Word</Application>
  <DocSecurity>0</DocSecurity>
  <Lines>174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2015-03-03T14:31:00Z</dcterms:created>
  <dcterms:modified xsi:type="dcterms:W3CDTF">2015-03-03T14:31:00Z</dcterms:modified>
</cp:coreProperties>
</file>