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706D3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343F35">
                              <w:rPr>
                                <w:rFonts w:asciiTheme="majorHAnsi" w:hAnsiTheme="majorHAnsi" w:cs="Arial"/>
                                <w:b/>
                                <w:bCs/>
                                <w:color w:val="0D0D0D" w:themeColor="text1" w:themeTint="F2"/>
                                <w:sz w:val="36"/>
                                <w:szCs w:val="40"/>
                              </w:rPr>
                              <w:t>35</w:t>
                            </w:r>
                            <w:r>
                              <w:rPr>
                                <w:rFonts w:asciiTheme="majorHAnsi" w:hAnsiTheme="majorHAnsi" w:cs="Arial"/>
                                <w:b/>
                                <w:bCs/>
                                <w:color w:val="0D0D0D" w:themeColor="text1" w:themeTint="F2"/>
                                <w:sz w:val="36"/>
                                <w:szCs w:val="40"/>
                              </w:rPr>
                              <w:t>/16</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706D3C">
                              <w:rPr>
                                <w:rFonts w:asciiTheme="majorHAnsi" w:hAnsiTheme="majorHAnsi" w:cs="Arial"/>
                                <w:b/>
                                <w:color w:val="0D0D0D" w:themeColor="text1" w:themeTint="F2"/>
                                <w:sz w:val="36"/>
                                <w:szCs w:val="40"/>
                              </w:rPr>
                              <w:t>4480-02</w:t>
                            </w:r>
                          </w:p>
                          <w:p w:rsidR="00706D3C" w:rsidRPr="004B7EB6" w:rsidRDefault="00450A4A" w:rsidP="00706D3C">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4B7EB6" w:rsidRDefault="00706D3C" w:rsidP="004B7EB6">
                            <w:pPr>
                              <w:spacing w:line="276" w:lineRule="auto"/>
                              <w:rPr>
                                <w:rFonts w:asciiTheme="majorHAnsi" w:hAnsiTheme="majorHAnsi" w:cs="Arial"/>
                                <w:color w:val="0D0D0D" w:themeColor="text1" w:themeTint="F2"/>
                                <w:szCs w:val="22"/>
                                <w:lang w:val="es-ES_tradnl"/>
                              </w:rPr>
                            </w:pPr>
                            <w:r w:rsidRPr="00706D3C">
                              <w:rPr>
                                <w:rFonts w:asciiTheme="majorHAnsi" w:hAnsiTheme="majorHAnsi" w:cs="Arial"/>
                                <w:color w:val="0D0D0D" w:themeColor="text1" w:themeTint="F2"/>
                                <w:szCs w:val="22"/>
                                <w:lang w:val="es-ES_tradnl"/>
                              </w:rPr>
                              <w:t>CARLOS MANUEL VERAZA URTUSUÁSTEGUI</w:t>
                            </w:r>
                          </w:p>
                          <w:p w:rsidR="005B52B0" w:rsidRPr="004B7EB6" w:rsidRDefault="00706D3C"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MEXICO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706D3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343F35">
                        <w:rPr>
                          <w:rFonts w:asciiTheme="majorHAnsi" w:hAnsiTheme="majorHAnsi" w:cs="Arial"/>
                          <w:b/>
                          <w:bCs/>
                          <w:color w:val="0D0D0D" w:themeColor="text1" w:themeTint="F2"/>
                          <w:sz w:val="36"/>
                          <w:szCs w:val="40"/>
                        </w:rPr>
                        <w:t>35</w:t>
                      </w:r>
                      <w:r>
                        <w:rPr>
                          <w:rFonts w:asciiTheme="majorHAnsi" w:hAnsiTheme="majorHAnsi" w:cs="Arial"/>
                          <w:b/>
                          <w:bCs/>
                          <w:color w:val="0D0D0D" w:themeColor="text1" w:themeTint="F2"/>
                          <w:sz w:val="36"/>
                          <w:szCs w:val="40"/>
                        </w:rPr>
                        <w:t>/16</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706D3C">
                        <w:rPr>
                          <w:rFonts w:asciiTheme="majorHAnsi" w:hAnsiTheme="majorHAnsi" w:cs="Arial"/>
                          <w:b/>
                          <w:color w:val="0D0D0D" w:themeColor="text1" w:themeTint="F2"/>
                          <w:sz w:val="36"/>
                          <w:szCs w:val="40"/>
                        </w:rPr>
                        <w:t>4480-02</w:t>
                      </w:r>
                    </w:p>
                    <w:p w:rsidR="00706D3C" w:rsidRPr="004B7EB6" w:rsidRDefault="00450A4A" w:rsidP="00706D3C">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4B7EB6" w:rsidRDefault="00706D3C" w:rsidP="004B7EB6">
                      <w:pPr>
                        <w:spacing w:line="276" w:lineRule="auto"/>
                        <w:rPr>
                          <w:rFonts w:asciiTheme="majorHAnsi" w:hAnsiTheme="majorHAnsi" w:cs="Arial"/>
                          <w:color w:val="0D0D0D" w:themeColor="text1" w:themeTint="F2"/>
                          <w:szCs w:val="22"/>
                          <w:lang w:val="es-ES_tradnl"/>
                        </w:rPr>
                      </w:pPr>
                      <w:r w:rsidRPr="00706D3C">
                        <w:rPr>
                          <w:rFonts w:asciiTheme="majorHAnsi" w:hAnsiTheme="majorHAnsi" w:cs="Arial"/>
                          <w:color w:val="0D0D0D" w:themeColor="text1" w:themeTint="F2"/>
                          <w:szCs w:val="22"/>
                          <w:lang w:val="es-ES_tradnl"/>
                        </w:rPr>
                        <w:t>CARLOS MANUEL VERAZA URTUSUÁSTEGUI</w:t>
                      </w:r>
                    </w:p>
                    <w:p w:rsidR="005B52B0" w:rsidRPr="004B7EB6" w:rsidRDefault="00706D3C"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MEXICO</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694531" w:rsidRDefault="00343F35"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694531" w:rsidRDefault="00627C9F" w:rsidP="002C1641">
                            <w:pPr>
                              <w:jc w:val="right"/>
                              <w:rPr>
                                <w:rFonts w:asciiTheme="minorHAnsi" w:hAnsiTheme="minorHAnsi"/>
                                <w:color w:val="FFFFFF" w:themeColor="background1"/>
                                <w:sz w:val="22"/>
                                <w:lang w:val="pt-BR"/>
                              </w:rPr>
                            </w:pPr>
                            <w:r w:rsidRPr="00694531">
                              <w:rPr>
                                <w:rFonts w:asciiTheme="minorHAnsi" w:hAnsiTheme="minorHAnsi"/>
                                <w:color w:val="FFFFFF" w:themeColor="background1"/>
                                <w:sz w:val="22"/>
                                <w:lang w:val="pt-BR"/>
                              </w:rPr>
                              <w:t xml:space="preserve">Doc. </w:t>
                            </w:r>
                            <w:r w:rsidR="005A7ECE">
                              <w:rPr>
                                <w:rFonts w:asciiTheme="minorHAnsi" w:hAnsiTheme="minorHAnsi"/>
                                <w:color w:val="FFFFFF" w:themeColor="background1"/>
                                <w:sz w:val="22"/>
                                <w:lang w:val="pt-BR"/>
                              </w:rPr>
                              <w:t>40</w:t>
                            </w:r>
                          </w:p>
                          <w:p w:rsidR="00627C9F" w:rsidRPr="004B7EB6" w:rsidRDefault="00343F35" w:rsidP="002C1641">
                            <w:pPr>
                              <w:jc w:val="right"/>
                              <w:rPr>
                                <w:rFonts w:asciiTheme="minorHAnsi" w:hAnsiTheme="minorHAnsi"/>
                                <w:color w:val="FFFFFF" w:themeColor="background1"/>
                                <w:sz w:val="22"/>
                              </w:rPr>
                            </w:pPr>
                            <w:r>
                              <w:rPr>
                                <w:rFonts w:asciiTheme="minorHAnsi" w:hAnsiTheme="minorHAnsi"/>
                                <w:color w:val="FFFFFF" w:themeColor="background1"/>
                                <w:sz w:val="22"/>
                              </w:rPr>
                              <w:t>29</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July</w:t>
                            </w:r>
                            <w:r w:rsidR="00706D3C">
                              <w:rPr>
                                <w:rFonts w:asciiTheme="minorHAnsi" w:hAnsiTheme="minorHAnsi"/>
                                <w:color w:val="FFFFFF" w:themeColor="background1"/>
                                <w:sz w:val="22"/>
                              </w:rPr>
                              <w:t xml:space="preserve"> 2016</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706D3C">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694531" w:rsidRDefault="00343F35"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694531" w:rsidRDefault="00627C9F" w:rsidP="002C1641">
                      <w:pPr>
                        <w:jc w:val="right"/>
                        <w:rPr>
                          <w:rFonts w:asciiTheme="minorHAnsi" w:hAnsiTheme="minorHAnsi"/>
                          <w:color w:val="FFFFFF" w:themeColor="background1"/>
                          <w:sz w:val="22"/>
                          <w:lang w:val="pt-BR"/>
                        </w:rPr>
                      </w:pPr>
                      <w:r w:rsidRPr="00694531">
                        <w:rPr>
                          <w:rFonts w:asciiTheme="minorHAnsi" w:hAnsiTheme="minorHAnsi"/>
                          <w:color w:val="FFFFFF" w:themeColor="background1"/>
                          <w:sz w:val="22"/>
                          <w:lang w:val="pt-BR"/>
                        </w:rPr>
                        <w:t xml:space="preserve">Doc. </w:t>
                      </w:r>
                      <w:r w:rsidR="005A7ECE">
                        <w:rPr>
                          <w:rFonts w:asciiTheme="minorHAnsi" w:hAnsiTheme="minorHAnsi"/>
                          <w:color w:val="FFFFFF" w:themeColor="background1"/>
                          <w:sz w:val="22"/>
                          <w:lang w:val="pt-BR"/>
                        </w:rPr>
                        <w:t>40</w:t>
                      </w:r>
                    </w:p>
                    <w:p w:rsidR="00627C9F" w:rsidRPr="004B7EB6" w:rsidRDefault="00343F35" w:rsidP="002C1641">
                      <w:pPr>
                        <w:jc w:val="right"/>
                        <w:rPr>
                          <w:rFonts w:asciiTheme="minorHAnsi" w:hAnsiTheme="minorHAnsi"/>
                          <w:color w:val="FFFFFF" w:themeColor="background1"/>
                          <w:sz w:val="22"/>
                        </w:rPr>
                      </w:pPr>
                      <w:r>
                        <w:rPr>
                          <w:rFonts w:asciiTheme="minorHAnsi" w:hAnsiTheme="minorHAnsi"/>
                          <w:color w:val="FFFFFF" w:themeColor="background1"/>
                          <w:sz w:val="22"/>
                        </w:rPr>
                        <w:t>29</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July</w:t>
                      </w:r>
                      <w:r w:rsidR="00706D3C">
                        <w:rPr>
                          <w:rFonts w:asciiTheme="minorHAnsi" w:hAnsiTheme="minorHAnsi"/>
                          <w:color w:val="FFFFFF" w:themeColor="background1"/>
                          <w:sz w:val="22"/>
                        </w:rPr>
                        <w:t xml:space="preserve"> 2016</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706D3C">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w:t>
                            </w:r>
                            <w:r w:rsidR="00082511">
                              <w:rPr>
                                <w:rFonts w:asciiTheme="majorHAnsi" w:hAnsiTheme="majorHAnsi"/>
                                <w:color w:val="0D0D0D" w:themeColor="text1" w:themeTint="F2"/>
                                <w:sz w:val="18"/>
                                <w:szCs w:val="20"/>
                              </w:rPr>
                              <w:t xml:space="preserve">Inter-American </w:t>
                            </w:r>
                            <w:r w:rsidRPr="003C32BC">
                              <w:rPr>
                                <w:rFonts w:asciiTheme="majorHAnsi" w:hAnsiTheme="majorHAnsi"/>
                                <w:color w:val="0D0D0D" w:themeColor="text1" w:themeTint="F2"/>
                                <w:sz w:val="18"/>
                                <w:szCs w:val="20"/>
                              </w:rPr>
                              <w:t>Commission</w:t>
                            </w:r>
                            <w:r w:rsidR="00082511">
                              <w:rPr>
                                <w:rFonts w:asciiTheme="majorHAnsi" w:hAnsiTheme="majorHAnsi"/>
                                <w:color w:val="0D0D0D" w:themeColor="text1" w:themeTint="F2"/>
                                <w:sz w:val="18"/>
                                <w:szCs w:val="20"/>
                              </w:rPr>
                              <w:t xml:space="preserve"> on Human Rights</w:t>
                            </w:r>
                            <w:r w:rsidRPr="003C32BC">
                              <w:rPr>
                                <w:rFonts w:asciiTheme="majorHAnsi" w:hAnsiTheme="majorHAnsi"/>
                                <w:color w:val="0D0D0D" w:themeColor="text1" w:themeTint="F2"/>
                                <w:sz w:val="18"/>
                                <w:szCs w:val="20"/>
                              </w:rPr>
                              <w:t xml:space="preserve"> on</w:t>
                            </w:r>
                            <w:r w:rsidR="00343F35">
                              <w:rPr>
                                <w:rFonts w:asciiTheme="majorHAnsi" w:hAnsiTheme="majorHAnsi"/>
                                <w:color w:val="0D0D0D" w:themeColor="text1" w:themeTint="F2"/>
                                <w:sz w:val="18"/>
                                <w:szCs w:val="20"/>
                              </w:rPr>
                              <w:t xml:space="preserve"> July 29</w:t>
                            </w:r>
                            <w:r w:rsidRPr="003C32BC">
                              <w:rPr>
                                <w:rFonts w:asciiTheme="majorHAnsi" w:hAnsiTheme="majorHAnsi"/>
                                <w:color w:val="0D0D0D" w:themeColor="text1" w:themeTint="F2"/>
                                <w:sz w:val="18"/>
                                <w:szCs w:val="20"/>
                              </w:rPr>
                              <w:t>, 201</w:t>
                            </w:r>
                            <w:r w:rsidR="005A1F81">
                              <w:rPr>
                                <w:rFonts w:asciiTheme="majorHAnsi" w:hAnsiTheme="majorHAnsi"/>
                                <w:color w:val="0D0D0D" w:themeColor="text1" w:themeTint="F2"/>
                                <w:sz w:val="18"/>
                                <w:szCs w:val="20"/>
                              </w:rPr>
                              <w:t>6</w:t>
                            </w:r>
                            <w:r w:rsidR="00082511">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w:t>
                      </w:r>
                      <w:r w:rsidR="00082511">
                        <w:rPr>
                          <w:rFonts w:asciiTheme="majorHAnsi" w:hAnsiTheme="majorHAnsi"/>
                          <w:color w:val="0D0D0D" w:themeColor="text1" w:themeTint="F2"/>
                          <w:sz w:val="18"/>
                          <w:szCs w:val="20"/>
                        </w:rPr>
                        <w:t xml:space="preserve">Inter-American </w:t>
                      </w:r>
                      <w:r w:rsidRPr="003C32BC">
                        <w:rPr>
                          <w:rFonts w:asciiTheme="majorHAnsi" w:hAnsiTheme="majorHAnsi"/>
                          <w:color w:val="0D0D0D" w:themeColor="text1" w:themeTint="F2"/>
                          <w:sz w:val="18"/>
                          <w:szCs w:val="20"/>
                        </w:rPr>
                        <w:t>Commission</w:t>
                      </w:r>
                      <w:r w:rsidR="00082511">
                        <w:rPr>
                          <w:rFonts w:asciiTheme="majorHAnsi" w:hAnsiTheme="majorHAnsi"/>
                          <w:color w:val="0D0D0D" w:themeColor="text1" w:themeTint="F2"/>
                          <w:sz w:val="18"/>
                          <w:szCs w:val="20"/>
                        </w:rPr>
                        <w:t xml:space="preserve"> on Human Rights</w:t>
                      </w:r>
                      <w:r w:rsidRPr="003C32BC">
                        <w:rPr>
                          <w:rFonts w:asciiTheme="majorHAnsi" w:hAnsiTheme="majorHAnsi"/>
                          <w:color w:val="0D0D0D" w:themeColor="text1" w:themeTint="F2"/>
                          <w:sz w:val="18"/>
                          <w:szCs w:val="20"/>
                        </w:rPr>
                        <w:t xml:space="preserve"> on</w:t>
                      </w:r>
                      <w:r w:rsidR="00343F35">
                        <w:rPr>
                          <w:rFonts w:asciiTheme="majorHAnsi" w:hAnsiTheme="majorHAnsi"/>
                          <w:color w:val="0D0D0D" w:themeColor="text1" w:themeTint="F2"/>
                          <w:sz w:val="18"/>
                          <w:szCs w:val="20"/>
                        </w:rPr>
                        <w:t xml:space="preserve"> July 29</w:t>
                      </w:r>
                      <w:r w:rsidRPr="003C32BC">
                        <w:rPr>
                          <w:rFonts w:asciiTheme="majorHAnsi" w:hAnsiTheme="majorHAnsi"/>
                          <w:color w:val="0D0D0D" w:themeColor="text1" w:themeTint="F2"/>
                          <w:sz w:val="18"/>
                          <w:szCs w:val="20"/>
                        </w:rPr>
                        <w:t>, 201</w:t>
                      </w:r>
                      <w:r w:rsidR="005A1F81">
                        <w:rPr>
                          <w:rFonts w:asciiTheme="majorHAnsi" w:hAnsiTheme="majorHAnsi"/>
                          <w:color w:val="0D0D0D" w:themeColor="text1" w:themeTint="F2"/>
                          <w:sz w:val="18"/>
                          <w:szCs w:val="20"/>
                        </w:rPr>
                        <w:t>6</w:t>
                      </w:r>
                      <w:r w:rsidR="00082511">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5A1F81">
                              <w:rPr>
                                <w:rFonts w:asciiTheme="majorHAnsi" w:hAnsiTheme="majorHAnsi"/>
                                <w:color w:val="595959" w:themeColor="text1" w:themeTint="A6"/>
                                <w:sz w:val="18"/>
                              </w:rPr>
                              <w:t xml:space="preserve">IACHR, Report No. </w:t>
                            </w:r>
                            <w:r w:rsidR="00343F35">
                              <w:rPr>
                                <w:rFonts w:asciiTheme="majorHAnsi" w:hAnsiTheme="majorHAnsi"/>
                                <w:color w:val="595959" w:themeColor="text1" w:themeTint="A6"/>
                                <w:sz w:val="18"/>
                              </w:rPr>
                              <w:t>35</w:t>
                            </w:r>
                            <w:r w:rsidR="005A1F81">
                              <w:rPr>
                                <w:rFonts w:asciiTheme="majorHAnsi" w:hAnsiTheme="majorHAnsi"/>
                                <w:color w:val="595959" w:themeColor="text1" w:themeTint="A6"/>
                                <w:sz w:val="18"/>
                              </w:rPr>
                              <w:t>/16</w:t>
                            </w:r>
                            <w:r w:rsidRPr="003C32BC">
                              <w:rPr>
                                <w:rFonts w:asciiTheme="majorHAnsi" w:hAnsiTheme="majorHAnsi"/>
                                <w:color w:val="595959" w:themeColor="text1" w:themeTint="A6"/>
                                <w:sz w:val="18"/>
                              </w:rPr>
                              <w:t xml:space="preserve">, </w:t>
                            </w:r>
                            <w:r w:rsidR="005A1F81">
                              <w:rPr>
                                <w:rFonts w:asciiTheme="majorHAnsi" w:hAnsiTheme="majorHAnsi"/>
                                <w:color w:val="595959" w:themeColor="text1" w:themeTint="A6"/>
                                <w:sz w:val="18"/>
                              </w:rPr>
                              <w:t xml:space="preserve">Petition 4480-02. </w:t>
                            </w:r>
                            <w:r w:rsidRPr="005A1F81">
                              <w:rPr>
                                <w:rFonts w:asciiTheme="majorHAnsi" w:hAnsiTheme="majorHAnsi"/>
                                <w:color w:val="595959" w:themeColor="text1" w:themeTint="A6"/>
                                <w:sz w:val="18"/>
                                <w:lang w:val="pt-BR"/>
                              </w:rPr>
                              <w:t>Admi</w:t>
                            </w:r>
                            <w:r w:rsidR="009104B4" w:rsidRPr="005A1F81">
                              <w:rPr>
                                <w:rFonts w:asciiTheme="majorHAnsi" w:hAnsiTheme="majorHAnsi"/>
                                <w:color w:val="595959" w:themeColor="text1" w:themeTint="A6"/>
                                <w:sz w:val="18"/>
                                <w:lang w:val="pt-BR"/>
                              </w:rPr>
                              <w:t>s</w:t>
                            </w:r>
                            <w:r w:rsidRPr="005A1F81">
                              <w:rPr>
                                <w:rFonts w:asciiTheme="majorHAnsi" w:hAnsiTheme="majorHAnsi"/>
                                <w:color w:val="595959" w:themeColor="text1" w:themeTint="A6"/>
                                <w:sz w:val="18"/>
                                <w:lang w:val="pt-BR"/>
                              </w:rPr>
                              <w:t>sibility</w:t>
                            </w:r>
                            <w:r w:rsidR="005A1F81">
                              <w:rPr>
                                <w:rFonts w:asciiTheme="majorHAnsi" w:hAnsiTheme="majorHAnsi"/>
                                <w:color w:val="595959" w:themeColor="text1" w:themeTint="A6"/>
                                <w:sz w:val="18"/>
                                <w:lang w:val="pt-BR"/>
                              </w:rPr>
                              <w:t xml:space="preserve">. </w:t>
                            </w:r>
                            <w:r w:rsidR="005A1F81" w:rsidRPr="005A1F81">
                              <w:rPr>
                                <w:rFonts w:asciiTheme="majorHAnsi" w:hAnsiTheme="majorHAnsi"/>
                                <w:color w:val="595959" w:themeColor="text1" w:themeTint="A6"/>
                                <w:sz w:val="18"/>
                                <w:lang w:val="pt-BR"/>
                              </w:rPr>
                              <w:t>Carlos Manuel Veraza Urtusuástegui</w:t>
                            </w:r>
                            <w:r w:rsidRPr="005A1F81">
                              <w:rPr>
                                <w:rFonts w:asciiTheme="majorHAnsi" w:hAnsiTheme="majorHAnsi"/>
                                <w:color w:val="595959" w:themeColor="text1" w:themeTint="A6"/>
                                <w:sz w:val="18"/>
                                <w:lang w:val="pt-BR"/>
                              </w:rPr>
                              <w:t xml:space="preserve">. </w:t>
                            </w:r>
                            <w:r w:rsidR="005A1F81">
                              <w:rPr>
                                <w:rFonts w:asciiTheme="majorHAnsi" w:hAnsiTheme="majorHAnsi"/>
                                <w:color w:val="595959" w:themeColor="text1" w:themeTint="A6"/>
                                <w:sz w:val="18"/>
                              </w:rPr>
                              <w:t>Mexico</w:t>
                            </w:r>
                            <w:r w:rsidRPr="007607C4">
                              <w:rPr>
                                <w:rFonts w:asciiTheme="majorHAnsi" w:hAnsiTheme="majorHAnsi"/>
                                <w:color w:val="595959" w:themeColor="text1" w:themeTint="A6"/>
                                <w:sz w:val="18"/>
                              </w:rPr>
                              <w:t>.</w:t>
                            </w:r>
                            <w:r w:rsidR="00343F35">
                              <w:rPr>
                                <w:rFonts w:asciiTheme="majorHAnsi" w:hAnsiTheme="majorHAnsi"/>
                                <w:color w:val="595959" w:themeColor="text1" w:themeTint="A6"/>
                                <w:sz w:val="18"/>
                              </w:rPr>
                              <w:t>July 29, 2016</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5A1F81">
                        <w:rPr>
                          <w:rFonts w:asciiTheme="majorHAnsi" w:hAnsiTheme="majorHAnsi"/>
                          <w:color w:val="595959" w:themeColor="text1" w:themeTint="A6"/>
                          <w:sz w:val="18"/>
                        </w:rPr>
                        <w:t xml:space="preserve">IACHR, Report No. </w:t>
                      </w:r>
                      <w:r w:rsidR="00343F35">
                        <w:rPr>
                          <w:rFonts w:asciiTheme="majorHAnsi" w:hAnsiTheme="majorHAnsi"/>
                          <w:color w:val="595959" w:themeColor="text1" w:themeTint="A6"/>
                          <w:sz w:val="18"/>
                        </w:rPr>
                        <w:t>35</w:t>
                      </w:r>
                      <w:r w:rsidR="005A1F81">
                        <w:rPr>
                          <w:rFonts w:asciiTheme="majorHAnsi" w:hAnsiTheme="majorHAnsi"/>
                          <w:color w:val="595959" w:themeColor="text1" w:themeTint="A6"/>
                          <w:sz w:val="18"/>
                        </w:rPr>
                        <w:t>/16</w:t>
                      </w:r>
                      <w:r w:rsidRPr="003C32BC">
                        <w:rPr>
                          <w:rFonts w:asciiTheme="majorHAnsi" w:hAnsiTheme="majorHAnsi"/>
                          <w:color w:val="595959" w:themeColor="text1" w:themeTint="A6"/>
                          <w:sz w:val="18"/>
                        </w:rPr>
                        <w:t xml:space="preserve">, </w:t>
                      </w:r>
                      <w:r w:rsidR="005A1F81">
                        <w:rPr>
                          <w:rFonts w:asciiTheme="majorHAnsi" w:hAnsiTheme="majorHAnsi"/>
                          <w:color w:val="595959" w:themeColor="text1" w:themeTint="A6"/>
                          <w:sz w:val="18"/>
                        </w:rPr>
                        <w:t xml:space="preserve">Petition 4480-02. </w:t>
                      </w:r>
                      <w:r w:rsidRPr="005A1F81">
                        <w:rPr>
                          <w:rFonts w:asciiTheme="majorHAnsi" w:hAnsiTheme="majorHAnsi"/>
                          <w:color w:val="595959" w:themeColor="text1" w:themeTint="A6"/>
                          <w:sz w:val="18"/>
                          <w:lang w:val="pt-BR"/>
                        </w:rPr>
                        <w:t>Admi</w:t>
                      </w:r>
                      <w:r w:rsidR="009104B4" w:rsidRPr="005A1F81">
                        <w:rPr>
                          <w:rFonts w:asciiTheme="majorHAnsi" w:hAnsiTheme="majorHAnsi"/>
                          <w:color w:val="595959" w:themeColor="text1" w:themeTint="A6"/>
                          <w:sz w:val="18"/>
                          <w:lang w:val="pt-BR"/>
                        </w:rPr>
                        <w:t>s</w:t>
                      </w:r>
                      <w:r w:rsidRPr="005A1F81">
                        <w:rPr>
                          <w:rFonts w:asciiTheme="majorHAnsi" w:hAnsiTheme="majorHAnsi"/>
                          <w:color w:val="595959" w:themeColor="text1" w:themeTint="A6"/>
                          <w:sz w:val="18"/>
                          <w:lang w:val="pt-BR"/>
                        </w:rPr>
                        <w:t>sibility</w:t>
                      </w:r>
                      <w:r w:rsidR="005A1F81">
                        <w:rPr>
                          <w:rFonts w:asciiTheme="majorHAnsi" w:hAnsiTheme="majorHAnsi"/>
                          <w:color w:val="595959" w:themeColor="text1" w:themeTint="A6"/>
                          <w:sz w:val="18"/>
                          <w:lang w:val="pt-BR"/>
                        </w:rPr>
                        <w:t xml:space="preserve">. </w:t>
                      </w:r>
                      <w:r w:rsidR="005A1F81" w:rsidRPr="005A1F81">
                        <w:rPr>
                          <w:rFonts w:asciiTheme="majorHAnsi" w:hAnsiTheme="majorHAnsi"/>
                          <w:color w:val="595959" w:themeColor="text1" w:themeTint="A6"/>
                          <w:sz w:val="18"/>
                          <w:lang w:val="pt-BR"/>
                        </w:rPr>
                        <w:t>Carlos Manuel Veraza Urtusuástegui</w:t>
                      </w:r>
                      <w:r w:rsidRPr="005A1F81">
                        <w:rPr>
                          <w:rFonts w:asciiTheme="majorHAnsi" w:hAnsiTheme="majorHAnsi"/>
                          <w:color w:val="595959" w:themeColor="text1" w:themeTint="A6"/>
                          <w:sz w:val="18"/>
                          <w:lang w:val="pt-BR"/>
                        </w:rPr>
                        <w:t xml:space="preserve">. </w:t>
                      </w:r>
                      <w:r w:rsidR="005A1F81">
                        <w:rPr>
                          <w:rFonts w:asciiTheme="majorHAnsi" w:hAnsiTheme="majorHAnsi"/>
                          <w:color w:val="595959" w:themeColor="text1" w:themeTint="A6"/>
                          <w:sz w:val="18"/>
                        </w:rPr>
                        <w:t>Mexico</w:t>
                      </w:r>
                      <w:r w:rsidRPr="007607C4">
                        <w:rPr>
                          <w:rFonts w:asciiTheme="majorHAnsi" w:hAnsiTheme="majorHAnsi"/>
                          <w:color w:val="595959" w:themeColor="text1" w:themeTint="A6"/>
                          <w:sz w:val="18"/>
                        </w:rPr>
                        <w:t>.</w:t>
                      </w:r>
                      <w:r w:rsidR="00343F35">
                        <w:rPr>
                          <w:rFonts w:asciiTheme="majorHAnsi" w:hAnsiTheme="majorHAnsi"/>
                          <w:color w:val="595959" w:themeColor="text1" w:themeTint="A6"/>
                          <w:sz w:val="18"/>
                        </w:rPr>
                        <w:t>July 29, 2016</w:t>
                      </w:r>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C73045" w:rsidRPr="004D5C4A" w:rsidRDefault="00343F35" w:rsidP="00C73045">
      <w:pPr>
        <w:tabs>
          <w:tab w:val="center" w:pos="5400"/>
        </w:tabs>
        <w:suppressAutoHyphens/>
        <w:spacing w:line="276" w:lineRule="auto"/>
        <w:jc w:val="center"/>
        <w:rPr>
          <w:rFonts w:asciiTheme="majorHAnsi" w:hAnsiTheme="majorHAnsi"/>
          <w:b/>
          <w:sz w:val="18"/>
          <w:szCs w:val="18"/>
        </w:rPr>
      </w:pPr>
      <w:r>
        <w:rPr>
          <w:rFonts w:asciiTheme="majorHAnsi" w:hAnsiTheme="majorHAnsi"/>
          <w:b/>
          <w:sz w:val="18"/>
          <w:szCs w:val="18"/>
        </w:rPr>
        <w:lastRenderedPageBreak/>
        <w:t>REPORT No. 35</w:t>
      </w:r>
      <w:r w:rsidR="00C73045" w:rsidRPr="004D5C4A">
        <w:rPr>
          <w:rFonts w:asciiTheme="majorHAnsi" w:hAnsiTheme="majorHAnsi"/>
          <w:b/>
          <w:sz w:val="18"/>
          <w:szCs w:val="18"/>
        </w:rPr>
        <w:t>/16</w:t>
      </w:r>
      <w:r w:rsidR="00C73045" w:rsidRPr="004D5C4A">
        <w:rPr>
          <w:rStyle w:val="FootnoteReference"/>
          <w:rFonts w:asciiTheme="majorHAnsi" w:hAnsiTheme="majorHAnsi"/>
          <w:b/>
          <w:sz w:val="18"/>
          <w:szCs w:val="18"/>
        </w:rPr>
        <w:footnoteReference w:id="2"/>
      </w:r>
    </w:p>
    <w:p w:rsidR="00C73045" w:rsidRPr="004D5C4A" w:rsidRDefault="00C73045" w:rsidP="00C73045">
      <w:pPr>
        <w:tabs>
          <w:tab w:val="center" w:pos="5400"/>
        </w:tabs>
        <w:suppressAutoHyphens/>
        <w:spacing w:line="276" w:lineRule="auto"/>
        <w:jc w:val="center"/>
        <w:rPr>
          <w:rFonts w:asciiTheme="majorHAnsi" w:hAnsiTheme="majorHAnsi"/>
          <w:b/>
          <w:sz w:val="18"/>
          <w:szCs w:val="18"/>
        </w:rPr>
      </w:pPr>
      <w:r w:rsidRPr="004D5C4A">
        <w:rPr>
          <w:rFonts w:asciiTheme="majorHAnsi" w:hAnsiTheme="majorHAnsi"/>
          <w:b/>
          <w:sz w:val="18"/>
          <w:szCs w:val="18"/>
        </w:rPr>
        <w:t>PETITION 4480-02</w:t>
      </w:r>
    </w:p>
    <w:p w:rsidR="00C73045" w:rsidRPr="004D5C4A" w:rsidRDefault="00C73045" w:rsidP="00C73045">
      <w:pPr>
        <w:tabs>
          <w:tab w:val="center" w:pos="5400"/>
        </w:tabs>
        <w:suppressAutoHyphens/>
        <w:spacing w:line="276" w:lineRule="auto"/>
        <w:jc w:val="center"/>
        <w:rPr>
          <w:rFonts w:asciiTheme="majorHAnsi" w:hAnsiTheme="majorHAnsi"/>
          <w:sz w:val="18"/>
          <w:szCs w:val="18"/>
        </w:rPr>
      </w:pPr>
      <w:r w:rsidRPr="004D5C4A">
        <w:rPr>
          <w:rFonts w:asciiTheme="majorHAnsi" w:hAnsiTheme="majorHAnsi"/>
          <w:sz w:val="18"/>
          <w:szCs w:val="18"/>
        </w:rPr>
        <w:t>ADMISSIBILITY REPORT</w:t>
      </w:r>
    </w:p>
    <w:p w:rsidR="00C73045" w:rsidRPr="004D5C4A" w:rsidRDefault="00C73045" w:rsidP="00C73045">
      <w:pPr>
        <w:tabs>
          <w:tab w:val="center" w:pos="5400"/>
        </w:tabs>
        <w:suppressAutoHyphens/>
        <w:spacing w:line="276" w:lineRule="auto"/>
        <w:jc w:val="center"/>
        <w:rPr>
          <w:rFonts w:asciiTheme="majorHAnsi" w:hAnsiTheme="majorHAnsi"/>
          <w:sz w:val="18"/>
          <w:szCs w:val="18"/>
        </w:rPr>
      </w:pPr>
      <w:r w:rsidRPr="004D5C4A">
        <w:rPr>
          <w:rFonts w:asciiTheme="majorHAnsi" w:hAnsiTheme="majorHAnsi"/>
          <w:sz w:val="18"/>
          <w:szCs w:val="18"/>
        </w:rPr>
        <w:t>CARLOS MANUEL VERAZA URTUSUÁSTEGUI</w:t>
      </w:r>
    </w:p>
    <w:p w:rsidR="00C73045" w:rsidRPr="004D5C4A" w:rsidRDefault="00C73045" w:rsidP="00C73045">
      <w:pPr>
        <w:tabs>
          <w:tab w:val="center" w:pos="5400"/>
        </w:tabs>
        <w:suppressAutoHyphens/>
        <w:spacing w:line="276" w:lineRule="auto"/>
        <w:jc w:val="center"/>
        <w:rPr>
          <w:rFonts w:asciiTheme="majorHAnsi" w:hAnsiTheme="majorHAnsi"/>
          <w:sz w:val="18"/>
          <w:szCs w:val="18"/>
        </w:rPr>
      </w:pPr>
      <w:r w:rsidRPr="004D5C4A">
        <w:rPr>
          <w:rFonts w:asciiTheme="majorHAnsi" w:hAnsiTheme="majorHAnsi"/>
          <w:sz w:val="18"/>
          <w:szCs w:val="18"/>
        </w:rPr>
        <w:t>MEXICO</w:t>
      </w:r>
    </w:p>
    <w:p w:rsidR="00C73045" w:rsidRPr="004D5C4A" w:rsidRDefault="00343F35" w:rsidP="00C73045">
      <w:pPr>
        <w:tabs>
          <w:tab w:val="center" w:pos="5400"/>
        </w:tabs>
        <w:suppressAutoHyphens/>
        <w:spacing w:line="276" w:lineRule="auto"/>
        <w:jc w:val="center"/>
        <w:rPr>
          <w:rFonts w:asciiTheme="majorHAnsi" w:hAnsiTheme="majorHAnsi"/>
          <w:sz w:val="18"/>
          <w:szCs w:val="18"/>
        </w:rPr>
      </w:pPr>
      <w:r>
        <w:rPr>
          <w:rFonts w:asciiTheme="majorHAnsi" w:hAnsiTheme="majorHAnsi"/>
          <w:sz w:val="18"/>
          <w:szCs w:val="18"/>
        </w:rPr>
        <w:t>JULY 29, 2016</w:t>
      </w:r>
    </w:p>
    <w:p w:rsidR="00C73045" w:rsidRPr="004D5C4A" w:rsidRDefault="00C73045" w:rsidP="00C73045">
      <w:pPr>
        <w:tabs>
          <w:tab w:val="center" w:pos="4680"/>
          <w:tab w:val="left" w:pos="6511"/>
        </w:tabs>
        <w:jc w:val="both"/>
        <w:rPr>
          <w:rFonts w:asciiTheme="majorHAnsi" w:hAnsiTheme="majorHAnsi" w:cs="Calibri"/>
          <w:sz w:val="20"/>
          <w:szCs w:val="20"/>
        </w:rPr>
      </w:pPr>
    </w:p>
    <w:p w:rsidR="00C73045" w:rsidRPr="004D5C4A" w:rsidRDefault="00C73045" w:rsidP="00C73045">
      <w:pPr>
        <w:tabs>
          <w:tab w:val="center" w:pos="4680"/>
          <w:tab w:val="left" w:pos="6511"/>
        </w:tabs>
        <w:ind w:firstLine="720"/>
        <w:jc w:val="both"/>
        <w:rPr>
          <w:rFonts w:asciiTheme="majorHAnsi" w:hAnsiTheme="majorHAnsi" w:cs="Calibri"/>
          <w:sz w:val="20"/>
          <w:szCs w:val="20"/>
        </w:rPr>
      </w:pPr>
    </w:p>
    <w:p w:rsidR="00C73045" w:rsidRPr="004D5C4A" w:rsidRDefault="00C73045" w:rsidP="00C73045">
      <w:pPr>
        <w:pStyle w:val="Heading1"/>
        <w:rPr>
          <w:lang w:val="en-US"/>
        </w:rPr>
      </w:pPr>
      <w:r w:rsidRPr="004D5C4A">
        <w:rPr>
          <w:lang w:val="en-US"/>
        </w:rPr>
        <w:t>SUMMARY</w:t>
      </w:r>
    </w:p>
    <w:p w:rsidR="00C73045" w:rsidRPr="004D5C4A" w:rsidRDefault="00C73045" w:rsidP="00C73045">
      <w:pPr>
        <w:ind w:firstLine="720"/>
        <w:jc w:val="both"/>
        <w:rPr>
          <w:rFonts w:asciiTheme="majorHAnsi" w:hAnsiTheme="majorHAnsi"/>
          <w:sz w:val="20"/>
          <w:szCs w:val="20"/>
        </w:rPr>
      </w:pPr>
    </w:p>
    <w:p w:rsidR="00C73045" w:rsidRPr="004D5C4A" w:rsidRDefault="00C73045" w:rsidP="00C73045">
      <w:pPr>
        <w:pStyle w:val="ListParagraph"/>
        <w:numPr>
          <w:ilvl w:val="0"/>
          <w:numId w:val="107"/>
        </w:numPr>
        <w:ind w:left="0" w:firstLine="720"/>
        <w:jc w:val="both"/>
        <w:rPr>
          <w:sz w:val="20"/>
          <w:szCs w:val="20"/>
        </w:rPr>
      </w:pPr>
      <w:r w:rsidRPr="004D5C4A">
        <w:rPr>
          <w:sz w:val="20"/>
          <w:szCs w:val="20"/>
        </w:rPr>
        <w:t xml:space="preserve">On November 12, 2002, the Inter-American Commission on Human Rights (hereinafter “the Inter-American Commission” or “the IACHR”) received a petition filed by Mr. Carlos Manuel Veraza Urtusuástegui (hereinafter “the petitioner” or “the alleged victim”) </w:t>
      </w:r>
      <w:r w:rsidR="00694531" w:rsidRPr="004D5C4A">
        <w:rPr>
          <w:sz w:val="20"/>
          <w:szCs w:val="20"/>
        </w:rPr>
        <w:t xml:space="preserve">on his own behalf </w:t>
      </w:r>
      <w:r w:rsidRPr="004D5C4A">
        <w:rPr>
          <w:sz w:val="20"/>
          <w:szCs w:val="20"/>
        </w:rPr>
        <w:t xml:space="preserve">alleging the international responsibility of the United Mexican States (hereinafter “the State" or “Mexico”) for the violation of his rights to property and to a fair trial, fundamentally for the refusal and unwarranted delay on the part of the judicial authorities and the Head of Government of the Federal District to provide him with certain sums of money as compensation for the expropriation of a lot. </w:t>
      </w:r>
    </w:p>
    <w:p w:rsidR="00C73045" w:rsidRPr="004D5C4A" w:rsidRDefault="00C73045" w:rsidP="00C7304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Theme="majorHAnsi" w:eastAsia="Times New Roman" w:hAnsiTheme="majorHAnsi"/>
          <w:sz w:val="20"/>
          <w:szCs w:val="20"/>
          <w:bdr w:val="none" w:sz="0" w:space="0" w:color="auto"/>
        </w:rPr>
      </w:pPr>
    </w:p>
    <w:p w:rsidR="00C73045" w:rsidRPr="004D5C4A" w:rsidRDefault="00C73045" w:rsidP="00C73045">
      <w:pPr>
        <w:pStyle w:val="ListParagraph"/>
        <w:numPr>
          <w:ilvl w:val="0"/>
          <w:numId w:val="107"/>
        </w:numPr>
        <w:ind w:left="0" w:firstLine="720"/>
        <w:jc w:val="both"/>
        <w:rPr>
          <w:sz w:val="20"/>
          <w:szCs w:val="20"/>
        </w:rPr>
      </w:pPr>
      <w:r w:rsidRPr="004D5C4A">
        <w:rPr>
          <w:sz w:val="20"/>
          <w:szCs w:val="20"/>
        </w:rPr>
        <w:t>The petitioner argues that the facts alleged constitute a violation of the following rights guaranteed by the American Convention on Human Rights (hereinafter the “American Convention”): the right to a fair trial, freedom from ex post facto laws, the right to protection of honor and dignity, the right to private property, the right to judicial protection, as well as the duty of the State to respect and ensure the rights of the persons under its jurisdiction. For its part, the State argues that the petition should be found inadmissible because it does not state facts that, if true, tend to establish violations of human rights. It adduces that the petitioner seeks to have the Commission review the actions of the domestic judicial organs, sitting as a court of fourth instance. Moreover</w:t>
      </w:r>
      <w:r w:rsidR="00694531">
        <w:rPr>
          <w:sz w:val="20"/>
          <w:szCs w:val="20"/>
        </w:rPr>
        <w:t>,</w:t>
      </w:r>
      <w:r w:rsidRPr="004D5C4A">
        <w:rPr>
          <w:sz w:val="20"/>
          <w:szCs w:val="20"/>
        </w:rPr>
        <w:t xml:space="preserve"> it argues that the petitioner failed to exhaust domestic remedies, considering that a proceeding was pending when he filed the petition. </w:t>
      </w:r>
    </w:p>
    <w:p w:rsidR="00C73045" w:rsidRPr="004D5C4A" w:rsidRDefault="00C73045" w:rsidP="00C73045">
      <w:pPr>
        <w:ind w:firstLine="720"/>
        <w:jc w:val="both"/>
        <w:rPr>
          <w:rFonts w:asciiTheme="majorHAnsi" w:hAnsiTheme="majorHAnsi"/>
          <w:sz w:val="20"/>
          <w:szCs w:val="20"/>
          <w:lang w:eastAsia="es-ES"/>
        </w:rPr>
      </w:pPr>
    </w:p>
    <w:p w:rsidR="00C73045" w:rsidRPr="004D5C4A" w:rsidRDefault="00C73045" w:rsidP="00C73045">
      <w:pPr>
        <w:pStyle w:val="ListParagraph"/>
        <w:numPr>
          <w:ilvl w:val="0"/>
          <w:numId w:val="107"/>
        </w:numPr>
        <w:ind w:left="0" w:firstLine="720"/>
        <w:jc w:val="both"/>
        <w:rPr>
          <w:sz w:val="20"/>
          <w:szCs w:val="20"/>
        </w:rPr>
      </w:pPr>
      <w:r w:rsidRPr="004D5C4A">
        <w:rPr>
          <w:sz w:val="20"/>
          <w:szCs w:val="20"/>
        </w:rPr>
        <w:t xml:space="preserve">Without prejudging on the merits, after analyzing the positions of the parties and pursuant to the requirements set forth in Articles 46 and 47 of the American Convention, the Commission decides to find the case admissible for the purposes of examining the arguments in relation to the alleged violation of the rights enshrined in Articles </w:t>
      </w:r>
      <w:r w:rsidR="008E795C">
        <w:rPr>
          <w:sz w:val="20"/>
          <w:szCs w:val="20"/>
        </w:rPr>
        <w:t xml:space="preserve">7 (personal liberty), </w:t>
      </w:r>
      <w:r w:rsidRPr="004D5C4A">
        <w:rPr>
          <w:sz w:val="20"/>
          <w:szCs w:val="20"/>
        </w:rPr>
        <w:t>8 (fair trial),</w:t>
      </w:r>
      <w:r w:rsidR="003B7534">
        <w:rPr>
          <w:sz w:val="20"/>
          <w:szCs w:val="20"/>
        </w:rPr>
        <w:t xml:space="preserve"> 11 (privacy),</w:t>
      </w:r>
      <w:r w:rsidRPr="004D5C4A">
        <w:rPr>
          <w:sz w:val="20"/>
          <w:szCs w:val="20"/>
        </w:rPr>
        <w:t xml:space="preserve"> 21 (private property), and 25 (judicial protection) of the Convention in connection with the obligations established at Article 1(1) of the same instrument. It also decided to find the petition inadmissible in relation to the alleged violation of Article 11 (protection of honor and dignity) of the same instrument. The Commission also decides to notify the parties of this decision, to publish it, and to include it in its Annual Report to the General Assembly of the Organization of American States.</w:t>
      </w:r>
    </w:p>
    <w:p w:rsidR="00C73045" w:rsidRPr="004D5C4A" w:rsidRDefault="00C73045" w:rsidP="00C7304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Theme="majorHAnsi" w:eastAsia="Times New Roman" w:hAnsiTheme="majorHAnsi"/>
          <w:sz w:val="20"/>
          <w:szCs w:val="20"/>
          <w:bdr w:val="none" w:sz="0" w:space="0" w:color="auto"/>
        </w:rPr>
      </w:pPr>
      <w:r w:rsidRPr="004D5C4A">
        <w:rPr>
          <w:rFonts w:asciiTheme="majorHAnsi" w:eastAsia="Times New Roman" w:hAnsiTheme="majorHAnsi"/>
          <w:b/>
          <w:bCs/>
          <w:sz w:val="20"/>
          <w:szCs w:val="20"/>
          <w:bdr w:val="none" w:sz="0" w:space="0" w:color="auto"/>
        </w:rPr>
        <w:t> </w:t>
      </w:r>
    </w:p>
    <w:p w:rsidR="00C73045" w:rsidRPr="004D5C4A" w:rsidRDefault="00C73045" w:rsidP="00C73045">
      <w:pPr>
        <w:pStyle w:val="Heading1"/>
        <w:rPr>
          <w:bdr w:val="none" w:sz="0" w:space="0" w:color="auto"/>
          <w:lang w:val="en-US"/>
        </w:rPr>
      </w:pPr>
      <w:r w:rsidRPr="004D5C4A">
        <w:rPr>
          <w:bdr w:val="none" w:sz="0" w:space="0" w:color="auto"/>
          <w:lang w:val="en-US"/>
        </w:rPr>
        <w:t>PROCED</w:t>
      </w:r>
      <w:r w:rsidR="00694531">
        <w:rPr>
          <w:bdr w:val="none" w:sz="0" w:space="0" w:color="auto"/>
          <w:lang w:val="en-US"/>
        </w:rPr>
        <w:t>INGS</w:t>
      </w:r>
      <w:r w:rsidRPr="004D5C4A">
        <w:rPr>
          <w:bdr w:val="none" w:sz="0" w:space="0" w:color="auto"/>
          <w:lang w:val="en-US"/>
        </w:rPr>
        <w:t xml:space="preserve"> BEFORE THE COMMISSION </w:t>
      </w:r>
    </w:p>
    <w:p w:rsidR="00C73045" w:rsidRPr="004D5C4A" w:rsidRDefault="00C73045" w:rsidP="00C73045">
      <w:pPr>
        <w:ind w:firstLine="720"/>
        <w:jc w:val="both"/>
        <w:rPr>
          <w:rFonts w:asciiTheme="majorHAnsi" w:hAnsiTheme="majorHAnsi"/>
          <w:sz w:val="20"/>
          <w:szCs w:val="20"/>
        </w:rPr>
      </w:pPr>
    </w:p>
    <w:p w:rsidR="00C73045" w:rsidRPr="004D5C4A" w:rsidRDefault="00C73045" w:rsidP="00C73045">
      <w:pPr>
        <w:pStyle w:val="ListParagraph"/>
        <w:numPr>
          <w:ilvl w:val="0"/>
          <w:numId w:val="107"/>
        </w:numPr>
        <w:ind w:left="0" w:firstLine="720"/>
        <w:jc w:val="both"/>
        <w:rPr>
          <w:sz w:val="20"/>
          <w:szCs w:val="20"/>
        </w:rPr>
      </w:pPr>
      <w:r w:rsidRPr="004D5C4A">
        <w:rPr>
          <w:sz w:val="20"/>
          <w:szCs w:val="20"/>
        </w:rPr>
        <w:t xml:space="preserve">On November 12, 2002, the Commission received the petition and assigned it number 4480-02. On October 15, 2003, the IACHR forwarded the relevant parts of the petition to the State, asking that it submit its answer within two months, in keeping with Article 30(3) of the IACHR’s Rules of Procedure then in force. The State’s answer was received on February 17, 2004. That communication was duly forwarded to the petitioner. </w:t>
      </w:r>
    </w:p>
    <w:p w:rsidR="00C73045" w:rsidRPr="004D5C4A" w:rsidRDefault="00C73045" w:rsidP="00C73045">
      <w:pPr>
        <w:ind w:firstLine="720"/>
        <w:jc w:val="both"/>
        <w:rPr>
          <w:rFonts w:asciiTheme="majorHAnsi" w:hAnsiTheme="majorHAnsi"/>
          <w:sz w:val="20"/>
          <w:szCs w:val="20"/>
          <w:lang w:eastAsia="es-ES"/>
        </w:rPr>
      </w:pPr>
    </w:p>
    <w:p w:rsidR="00C73045" w:rsidRPr="004D5C4A" w:rsidRDefault="00C73045" w:rsidP="00C73045">
      <w:pPr>
        <w:pStyle w:val="ListParagraph"/>
        <w:numPr>
          <w:ilvl w:val="0"/>
          <w:numId w:val="107"/>
        </w:numPr>
        <w:ind w:left="0" w:firstLine="720"/>
        <w:jc w:val="both"/>
        <w:rPr>
          <w:sz w:val="20"/>
          <w:szCs w:val="20"/>
        </w:rPr>
      </w:pPr>
      <w:r w:rsidRPr="004D5C4A">
        <w:rPr>
          <w:sz w:val="20"/>
          <w:szCs w:val="20"/>
        </w:rPr>
        <w:t xml:space="preserve">The IACHR received additional observations from the petitioner on May 11 and 20, 2004, June 22, 2004, September 7, 2004, February 15, 2005, August 5, 2005, September 1, 2006, December 5, 2006, September 8, 2007, December 12, 2007, June 19, 2008, January 21, 2009, June 12, 2009, August 26, 2009, June 7, 2010, July 26, 2010, and January 23, 2013. The foregoing communications were duly forwarded to the State of Mexico. </w:t>
      </w:r>
    </w:p>
    <w:p w:rsidR="00C73045" w:rsidRPr="004D5C4A" w:rsidRDefault="00C73045" w:rsidP="00C73045">
      <w:pPr>
        <w:ind w:firstLine="720"/>
        <w:jc w:val="both"/>
        <w:rPr>
          <w:rFonts w:asciiTheme="majorHAnsi" w:hAnsiTheme="majorHAnsi"/>
          <w:sz w:val="20"/>
          <w:szCs w:val="20"/>
          <w:lang w:eastAsia="es-ES"/>
        </w:rPr>
      </w:pPr>
    </w:p>
    <w:p w:rsidR="00C73045" w:rsidRPr="004D5C4A" w:rsidRDefault="00C73045" w:rsidP="00C73045">
      <w:pPr>
        <w:pStyle w:val="ListParagraph"/>
        <w:numPr>
          <w:ilvl w:val="0"/>
          <w:numId w:val="107"/>
        </w:numPr>
        <w:ind w:left="0" w:firstLine="720"/>
        <w:jc w:val="both"/>
        <w:rPr>
          <w:sz w:val="20"/>
          <w:szCs w:val="20"/>
        </w:rPr>
      </w:pPr>
      <w:r w:rsidRPr="004D5C4A">
        <w:rPr>
          <w:sz w:val="20"/>
          <w:szCs w:val="20"/>
        </w:rPr>
        <w:t xml:space="preserve">The IACHR also received additional observations from the State on May 18, 2004, June 3, 2004, November 24, 2004, January 20, 2006, May 23, 2006, October 12, 2006, August 2, 2007, November 1, 2007, April 27, 2009, July 29, 2009, and July 16, 2013, all of which were duly forwarded to the petitioner. </w:t>
      </w:r>
    </w:p>
    <w:p w:rsidR="00C73045" w:rsidRPr="004D5C4A" w:rsidRDefault="00C73045" w:rsidP="00C73045">
      <w:pPr>
        <w:ind w:firstLine="720"/>
        <w:jc w:val="both"/>
        <w:rPr>
          <w:rFonts w:asciiTheme="majorHAnsi" w:hAnsiTheme="majorHAnsi"/>
          <w:sz w:val="20"/>
          <w:szCs w:val="20"/>
          <w:lang w:eastAsia="es-ES"/>
        </w:rPr>
      </w:pPr>
    </w:p>
    <w:p w:rsidR="00C73045" w:rsidRPr="004D5C4A" w:rsidRDefault="00C73045" w:rsidP="00C73045">
      <w:pPr>
        <w:pStyle w:val="Heading1"/>
        <w:rPr>
          <w:bdr w:val="none" w:sz="0" w:space="0" w:color="auto"/>
          <w:lang w:val="en-US"/>
        </w:rPr>
      </w:pPr>
      <w:r w:rsidRPr="004D5C4A">
        <w:rPr>
          <w:bdr w:val="none" w:sz="0" w:space="0" w:color="auto"/>
          <w:lang w:val="en-US"/>
        </w:rPr>
        <w:t xml:space="preserve">THE POSITIONS OF THE PARTIES </w:t>
      </w:r>
    </w:p>
    <w:p w:rsidR="00C73045" w:rsidRPr="004D5C4A" w:rsidRDefault="00C73045" w:rsidP="00C73045">
      <w:pPr>
        <w:ind w:firstLine="720"/>
        <w:jc w:val="both"/>
        <w:rPr>
          <w:rFonts w:asciiTheme="majorHAnsi" w:hAnsiTheme="majorHAnsi"/>
          <w:sz w:val="20"/>
          <w:szCs w:val="20"/>
        </w:rPr>
      </w:pPr>
    </w:p>
    <w:p w:rsidR="00C73045" w:rsidRPr="004D5C4A" w:rsidRDefault="00C73045" w:rsidP="00C73045">
      <w:pPr>
        <w:pStyle w:val="NoSpacing"/>
        <w:rPr>
          <w:lang w:val="en-US"/>
        </w:rPr>
      </w:pPr>
      <w:r w:rsidRPr="004D5C4A">
        <w:rPr>
          <w:lang w:val="en-US"/>
        </w:rPr>
        <w:t xml:space="preserve">The position of the petitioner </w:t>
      </w:r>
    </w:p>
    <w:p w:rsidR="00C73045" w:rsidRPr="004D5C4A" w:rsidRDefault="00C73045" w:rsidP="00C7304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Theme="majorHAnsi" w:eastAsia="Times New Roman" w:hAnsiTheme="majorHAnsi"/>
          <w:sz w:val="20"/>
          <w:szCs w:val="20"/>
          <w:bdr w:val="none" w:sz="0" w:space="0" w:color="auto"/>
        </w:rPr>
      </w:pPr>
    </w:p>
    <w:p w:rsidR="00C73045" w:rsidRPr="004D5C4A" w:rsidRDefault="00C73045" w:rsidP="00C73045">
      <w:pPr>
        <w:pStyle w:val="ListParagraph"/>
        <w:numPr>
          <w:ilvl w:val="0"/>
          <w:numId w:val="107"/>
        </w:numPr>
        <w:ind w:left="0" w:firstLine="720"/>
        <w:jc w:val="both"/>
        <w:rPr>
          <w:sz w:val="20"/>
          <w:szCs w:val="20"/>
        </w:rPr>
      </w:pPr>
      <w:r w:rsidRPr="004D5C4A">
        <w:rPr>
          <w:sz w:val="20"/>
          <w:szCs w:val="20"/>
        </w:rPr>
        <w:t>By way of background the petitioner indicates that on June 29, 1968, the President of the Republic issued an expropriation decree on grounds of public utility that affected the property called “Tecaxi,” situated in the southern zone of Mexico City, and owned by Mr. Ángel Veraza Villanueva (the father of the alleged victim, who is the executor of his estate</w:t>
      </w:r>
      <w:r w:rsidR="002057EB">
        <w:rPr>
          <w:sz w:val="20"/>
          <w:szCs w:val="20"/>
        </w:rPr>
        <w:t>. Hereinafter “the petitioner’s father”</w:t>
      </w:r>
      <w:r w:rsidRPr="004D5C4A">
        <w:rPr>
          <w:sz w:val="20"/>
          <w:szCs w:val="20"/>
        </w:rPr>
        <w:t>). He notes that in 1974</w:t>
      </w:r>
      <w:r w:rsidR="00D217C9">
        <w:rPr>
          <w:sz w:val="20"/>
          <w:szCs w:val="20"/>
        </w:rPr>
        <w:t>,</w:t>
      </w:r>
      <w:r w:rsidRPr="004D5C4A">
        <w:rPr>
          <w:sz w:val="20"/>
          <w:szCs w:val="20"/>
        </w:rPr>
        <w:t xml:space="preserve"> Mr. Ángel Veraza Villanueva filed a request with the Office of the Head of the Department of the Federal District (Jefatura del Departamento del Distrito Federal) to overturn the expropriation decree, since the property was not identified within the legal term of five years for the purposes of public utility for which it was expropriated, as established </w:t>
      </w:r>
      <w:r w:rsidR="00D217C9">
        <w:rPr>
          <w:sz w:val="20"/>
          <w:szCs w:val="20"/>
        </w:rPr>
        <w:t>in</w:t>
      </w:r>
      <w:r w:rsidRPr="004D5C4A">
        <w:rPr>
          <w:sz w:val="20"/>
          <w:szCs w:val="20"/>
        </w:rPr>
        <w:t xml:space="preserve"> Article 9 of the Law on Expropriation. On November 3, 1975, the Director General for Legal Matters and Government issued an opinion that revoking it was inadmissible on procedural grounds. Against that opinion, the petitioner filed a motion before the Contentious-Administrative Court of the Federal District, which on July 7, 1982 ordered the Chief of the Department for the Federal District to resolve the request made. </w:t>
      </w:r>
    </w:p>
    <w:p w:rsidR="00C73045" w:rsidRPr="004D5C4A" w:rsidRDefault="00C73045" w:rsidP="00C73045">
      <w:pPr>
        <w:pStyle w:val="Heading3"/>
        <w:ind w:left="720"/>
        <w:rPr>
          <w:sz w:val="20"/>
          <w:szCs w:val="20"/>
        </w:rPr>
      </w:pPr>
    </w:p>
    <w:p w:rsidR="00C73045" w:rsidRPr="004D5C4A" w:rsidRDefault="00C73045" w:rsidP="00C73045">
      <w:pPr>
        <w:pStyle w:val="ListParagraph"/>
        <w:numPr>
          <w:ilvl w:val="0"/>
          <w:numId w:val="107"/>
        </w:numPr>
        <w:ind w:left="0" w:firstLine="720"/>
        <w:jc w:val="both"/>
        <w:rPr>
          <w:sz w:val="20"/>
          <w:szCs w:val="20"/>
        </w:rPr>
      </w:pPr>
      <w:r w:rsidRPr="004D5C4A">
        <w:rPr>
          <w:sz w:val="20"/>
          <w:szCs w:val="20"/>
        </w:rPr>
        <w:t xml:space="preserve">In carrying out that decision, on July 28, 1987, the Director General for Legal Matters and Legislative Studies </w:t>
      </w:r>
      <w:r w:rsidR="00D217C9">
        <w:rPr>
          <w:sz w:val="20"/>
          <w:szCs w:val="20"/>
        </w:rPr>
        <w:t>decided</w:t>
      </w:r>
      <w:r w:rsidRPr="004D5C4A">
        <w:rPr>
          <w:sz w:val="20"/>
          <w:szCs w:val="20"/>
        </w:rPr>
        <w:t xml:space="preserve"> that the revocation was inadmissible </w:t>
      </w:r>
      <w:r w:rsidR="00D217C9">
        <w:rPr>
          <w:sz w:val="20"/>
          <w:szCs w:val="20"/>
        </w:rPr>
        <w:t xml:space="preserve">on </w:t>
      </w:r>
      <w:r w:rsidRPr="004D5C4A">
        <w:rPr>
          <w:sz w:val="20"/>
          <w:szCs w:val="20"/>
        </w:rPr>
        <w:t>procedural grounds, since the property affected was indeed used for the public utility purposes for which it was expropriated. The alleged victim filed a complaint appeal (</w:t>
      </w:r>
      <w:r w:rsidRPr="004D5C4A">
        <w:rPr>
          <w:i/>
          <w:iCs/>
          <w:sz w:val="20"/>
          <w:szCs w:val="20"/>
        </w:rPr>
        <w:t>recurso de queja</w:t>
      </w:r>
      <w:r w:rsidRPr="004D5C4A">
        <w:rPr>
          <w:sz w:val="20"/>
          <w:szCs w:val="20"/>
        </w:rPr>
        <w:t xml:space="preserve">) against that ruling; it was rejected on January 31, 1989. The petitioner filed an </w:t>
      </w:r>
      <w:r w:rsidRPr="004D5C4A">
        <w:rPr>
          <w:i/>
          <w:iCs/>
          <w:sz w:val="20"/>
          <w:szCs w:val="20"/>
        </w:rPr>
        <w:t>amparo</w:t>
      </w:r>
      <w:r w:rsidRPr="004D5C4A">
        <w:rPr>
          <w:sz w:val="20"/>
          <w:szCs w:val="20"/>
        </w:rPr>
        <w:t xml:space="preserve"> action against that decision before the First District Judge for Administrative Matters in the Federal District, who ruled in favor of Mr. Veraza. In carrying out that decision, on August 17, 1989, the Court for Contentious-Administrative Matters of the Federal District ordered the authority responsible to carry out the judgment of July 7, 1982. On April 6, 1990, the Chief of the Federal District once again denied the request for revocation. The petitioner filed a motion for annulment (</w:t>
      </w:r>
      <w:r w:rsidRPr="004D5C4A">
        <w:rPr>
          <w:i/>
          <w:iCs/>
          <w:sz w:val="20"/>
          <w:szCs w:val="20"/>
        </w:rPr>
        <w:t>recurso de nulidad</w:t>
      </w:r>
      <w:r w:rsidRPr="004D5C4A">
        <w:rPr>
          <w:sz w:val="20"/>
          <w:szCs w:val="20"/>
        </w:rPr>
        <w:t xml:space="preserve">) against that decision before the Court for Contentious-Administrative Matters; it was granted on February 28, 1991. The Court ordered the authority to issue a new ruling in which it gave legal consideration and weight to the evidence introduced by the </w:t>
      </w:r>
      <w:r w:rsidR="004E4DB1">
        <w:rPr>
          <w:sz w:val="20"/>
          <w:szCs w:val="20"/>
        </w:rPr>
        <w:t>petitioner.  In this new ruling</w:t>
      </w:r>
      <w:r w:rsidRPr="004D5C4A">
        <w:rPr>
          <w:sz w:val="20"/>
          <w:szCs w:val="20"/>
        </w:rPr>
        <w:t xml:space="preserve"> of August 5, 1991, restitution of the property was rejected. Th</w:t>
      </w:r>
      <w:r w:rsidR="004E4DB1">
        <w:rPr>
          <w:sz w:val="20"/>
          <w:szCs w:val="20"/>
        </w:rPr>
        <w:t>e</w:t>
      </w:r>
      <w:r w:rsidRPr="004D5C4A">
        <w:rPr>
          <w:sz w:val="20"/>
          <w:szCs w:val="20"/>
        </w:rPr>
        <w:t xml:space="preserve"> ruling was challenged by the petitioner before the Court for Contentious-Administrative Matters of the Federal District, which, by judgment of August 14, 1992, considered the action well-founded and declared “the annulment of the administrative order, for the purpose of issuing a new one declaring the restitution of the property expropriated to be procedurally admissible.” </w:t>
      </w:r>
    </w:p>
    <w:p w:rsidR="00C73045" w:rsidRPr="004D5C4A" w:rsidRDefault="00C73045" w:rsidP="00C73045">
      <w:pPr>
        <w:pStyle w:val="Heading3"/>
        <w:ind w:left="720" w:firstLine="720"/>
        <w:rPr>
          <w:sz w:val="20"/>
          <w:szCs w:val="20"/>
        </w:rPr>
      </w:pPr>
    </w:p>
    <w:p w:rsidR="00C73045" w:rsidRPr="004D5C4A" w:rsidRDefault="00C73045" w:rsidP="00C73045">
      <w:pPr>
        <w:pStyle w:val="ListParagraph"/>
        <w:numPr>
          <w:ilvl w:val="0"/>
          <w:numId w:val="107"/>
        </w:numPr>
        <w:ind w:left="0" w:firstLine="720"/>
        <w:jc w:val="both"/>
        <w:rPr>
          <w:sz w:val="20"/>
          <w:szCs w:val="20"/>
        </w:rPr>
      </w:pPr>
      <w:r w:rsidRPr="004D5C4A">
        <w:rPr>
          <w:sz w:val="20"/>
          <w:szCs w:val="20"/>
        </w:rPr>
        <w:t xml:space="preserve">According to the petitioner, given that said Court does not have the powers to enforce its decisions, once available remedies were exhausted he turned to the federal justice system for protection. Accordingly, on February 10, 1998, the petitioner brought an </w:t>
      </w:r>
      <w:r w:rsidRPr="004D5C4A">
        <w:rPr>
          <w:i/>
          <w:iCs/>
          <w:sz w:val="20"/>
          <w:szCs w:val="20"/>
        </w:rPr>
        <w:t>amparo</w:t>
      </w:r>
      <w:r w:rsidRPr="004D5C4A">
        <w:rPr>
          <w:sz w:val="20"/>
          <w:szCs w:val="20"/>
        </w:rPr>
        <w:t xml:space="preserve"> action filed as </w:t>
      </w:r>
      <w:r w:rsidRPr="004D5C4A">
        <w:rPr>
          <w:i/>
          <w:iCs/>
          <w:sz w:val="20"/>
          <w:szCs w:val="20"/>
        </w:rPr>
        <w:t>amparo</w:t>
      </w:r>
      <w:r w:rsidRPr="004D5C4A">
        <w:rPr>
          <w:sz w:val="20"/>
          <w:szCs w:val="20"/>
        </w:rPr>
        <w:t xml:space="preserve"> case 94/98, which was granted on March 31, 1998. The judgment became final on April 29, 1998, as it was not challenged by the responsible authority. </w:t>
      </w:r>
    </w:p>
    <w:p w:rsidR="00C73045" w:rsidRPr="004D5C4A" w:rsidRDefault="00C73045" w:rsidP="00C73045">
      <w:pPr>
        <w:tabs>
          <w:tab w:val="left" w:pos="0"/>
        </w:tabs>
        <w:ind w:firstLine="720"/>
        <w:jc w:val="both"/>
        <w:rPr>
          <w:rFonts w:asciiTheme="majorHAnsi" w:hAnsiTheme="majorHAnsi"/>
          <w:sz w:val="20"/>
          <w:szCs w:val="20"/>
          <w:lang w:eastAsia="es-ES"/>
        </w:rPr>
      </w:pPr>
    </w:p>
    <w:p w:rsidR="00C73045" w:rsidRPr="004D5C4A" w:rsidRDefault="00C73045" w:rsidP="00C73045">
      <w:pPr>
        <w:pStyle w:val="ListParagraph"/>
        <w:numPr>
          <w:ilvl w:val="0"/>
          <w:numId w:val="107"/>
        </w:numPr>
        <w:ind w:left="0" w:firstLine="720"/>
        <w:jc w:val="both"/>
        <w:rPr>
          <w:sz w:val="20"/>
          <w:szCs w:val="20"/>
        </w:rPr>
      </w:pPr>
      <w:r w:rsidRPr="004D5C4A">
        <w:rPr>
          <w:sz w:val="20"/>
          <w:szCs w:val="20"/>
        </w:rPr>
        <w:t>The petitioner notes that as the Department of the Federal District did not carry out the judgment, he pursued an ancillary proceeding for enforcement of a judgment. In the consideration of that motion</w:t>
      </w:r>
      <w:r w:rsidR="004E4DB1">
        <w:rPr>
          <w:sz w:val="20"/>
          <w:szCs w:val="20"/>
        </w:rPr>
        <w:t>,</w:t>
      </w:r>
      <w:r w:rsidRPr="004D5C4A">
        <w:rPr>
          <w:sz w:val="20"/>
          <w:szCs w:val="20"/>
        </w:rPr>
        <w:t xml:space="preserve"> it was reported that it was “physically and legally impossible to restore to the injured party the full enjoyment of the individual guarantee violated and reestablish the state of affairs prior to the violation that is the subject of the constitutional litigation … since the building situated in the </w:t>
      </w:r>
      <w:r w:rsidRPr="004D5C4A">
        <w:rPr>
          <w:rFonts w:cs="Arial"/>
          <w:bCs/>
          <w:sz w:val="20"/>
          <w:szCs w:val="20"/>
        </w:rPr>
        <w:t>Delegación Tlalpan, Federal District … on the lot called ‘Tecaxi,’ which was expropriated by Presidential Decree of June 29, 1968, … is at present occupied by the National Institute of Anthropology and History, as it is public domain</w:t>
      </w:r>
      <w:r w:rsidRPr="004D5C4A">
        <w:rPr>
          <w:rFonts w:eastAsia="Arial Unicode MS" w:cs="Arial"/>
          <w:bCs/>
          <w:sz w:val="20"/>
          <w:szCs w:val="20"/>
        </w:rPr>
        <w:t>.”</w:t>
      </w:r>
    </w:p>
    <w:p w:rsidR="00C73045" w:rsidRPr="004D5C4A" w:rsidRDefault="00C73045" w:rsidP="00C73045">
      <w:pPr>
        <w:pStyle w:val="Heading3"/>
        <w:tabs>
          <w:tab w:val="left" w:pos="0"/>
        </w:tabs>
        <w:ind w:firstLine="720"/>
        <w:rPr>
          <w:sz w:val="20"/>
          <w:szCs w:val="20"/>
        </w:rPr>
      </w:pPr>
    </w:p>
    <w:p w:rsidR="00C73045" w:rsidRPr="004D5C4A" w:rsidRDefault="00C73045" w:rsidP="00C73045">
      <w:pPr>
        <w:pStyle w:val="ListParagraph"/>
        <w:numPr>
          <w:ilvl w:val="0"/>
          <w:numId w:val="107"/>
        </w:numPr>
        <w:ind w:left="0" w:firstLine="720"/>
        <w:jc w:val="both"/>
        <w:rPr>
          <w:sz w:val="20"/>
          <w:szCs w:val="20"/>
        </w:rPr>
      </w:pPr>
      <w:r w:rsidRPr="004D5C4A">
        <w:rPr>
          <w:sz w:val="20"/>
          <w:szCs w:val="20"/>
        </w:rPr>
        <w:t xml:space="preserve">In view of the foregoing, on October 17, 1998, the Second Chamber of the Supreme Court of Justice of the Nation (hereinafter “the Supreme Court”) found the ancillary proceeding for enforcement of a judgment to be moot for lack of subject matter, and the petitioner filed a motion for the payment of damages or substitute performance. On March 17, 1999, the First District Judge for Administrative Matters of the Federal District ordered the Head of Government of the Federal District to pay the sum of $176,500,000 Mexican pesos (approximately US$18,233,471.07 at the time), for “compensation for damages caused to a private person as it is not possible to restore to him the use and enjoyment of the property of which he was illegally dispossessed.” </w:t>
      </w:r>
    </w:p>
    <w:p w:rsidR="00C73045" w:rsidRPr="004D5C4A" w:rsidRDefault="00C73045" w:rsidP="00C73045">
      <w:pPr>
        <w:pStyle w:val="Heading3"/>
        <w:tabs>
          <w:tab w:val="left" w:pos="0"/>
        </w:tabs>
        <w:ind w:firstLine="720"/>
        <w:rPr>
          <w:sz w:val="20"/>
          <w:szCs w:val="20"/>
        </w:rPr>
      </w:pPr>
    </w:p>
    <w:p w:rsidR="00C73045" w:rsidRPr="004D5C4A" w:rsidRDefault="00C73045" w:rsidP="00C73045">
      <w:pPr>
        <w:pStyle w:val="ListParagraph"/>
        <w:numPr>
          <w:ilvl w:val="0"/>
          <w:numId w:val="107"/>
        </w:numPr>
        <w:ind w:left="0" w:firstLine="720"/>
        <w:jc w:val="both"/>
        <w:rPr>
          <w:sz w:val="20"/>
          <w:szCs w:val="20"/>
        </w:rPr>
      </w:pPr>
      <w:r w:rsidRPr="004D5C4A">
        <w:rPr>
          <w:sz w:val="20"/>
          <w:szCs w:val="20"/>
        </w:rPr>
        <w:t xml:space="preserve">That order was affirmed on August 16, 1999, and the judge hearing the matter proceeded to require the authority responsible to comply with it. In this context, on December 13, 2000, partial payment was made of $2,788,326.10 pesos to the petitioner, which represents, according to the petitioner, less than 2% of the total amount ordered by the First District Judge for Administrative Matters. </w:t>
      </w:r>
    </w:p>
    <w:p w:rsidR="00C73045" w:rsidRPr="004D5C4A" w:rsidRDefault="00C73045" w:rsidP="00C73045">
      <w:pPr>
        <w:tabs>
          <w:tab w:val="left" w:pos="0"/>
        </w:tabs>
        <w:ind w:firstLine="720"/>
        <w:jc w:val="both"/>
        <w:rPr>
          <w:rFonts w:asciiTheme="majorHAnsi" w:hAnsiTheme="majorHAnsi"/>
          <w:sz w:val="20"/>
          <w:szCs w:val="20"/>
          <w:lang w:eastAsia="es-ES"/>
        </w:rPr>
      </w:pPr>
    </w:p>
    <w:p w:rsidR="00C73045" w:rsidRPr="004D5C4A" w:rsidRDefault="00C73045" w:rsidP="00C73045">
      <w:pPr>
        <w:pStyle w:val="ListParagraph"/>
        <w:numPr>
          <w:ilvl w:val="0"/>
          <w:numId w:val="107"/>
        </w:numPr>
        <w:ind w:left="0" w:firstLine="720"/>
        <w:jc w:val="both"/>
        <w:rPr>
          <w:sz w:val="20"/>
          <w:szCs w:val="20"/>
        </w:rPr>
      </w:pPr>
      <w:r w:rsidRPr="004D5C4A">
        <w:rPr>
          <w:sz w:val="20"/>
          <w:szCs w:val="20"/>
        </w:rPr>
        <w:t xml:space="preserve">The petitioner argues that once the foregoing payment was made, the Head of Government made continuous statements to the media characterizing the ruling of the federal judiciary as “unjust,” and declaring that in this case a fraud was committed by the private person. </w:t>
      </w:r>
    </w:p>
    <w:p w:rsidR="00C73045" w:rsidRPr="004D5C4A" w:rsidRDefault="00C73045" w:rsidP="00C73045">
      <w:pPr>
        <w:pStyle w:val="Heading3"/>
        <w:tabs>
          <w:tab w:val="left" w:pos="0"/>
        </w:tabs>
        <w:ind w:firstLine="720"/>
        <w:rPr>
          <w:sz w:val="20"/>
          <w:szCs w:val="20"/>
        </w:rPr>
      </w:pPr>
    </w:p>
    <w:p w:rsidR="00C73045" w:rsidRPr="004D5C4A" w:rsidRDefault="00C73045" w:rsidP="00C73045">
      <w:pPr>
        <w:pStyle w:val="ListParagraph"/>
        <w:numPr>
          <w:ilvl w:val="0"/>
          <w:numId w:val="107"/>
        </w:numPr>
        <w:ind w:left="0" w:firstLine="720"/>
        <w:jc w:val="both"/>
        <w:rPr>
          <w:sz w:val="20"/>
          <w:szCs w:val="20"/>
        </w:rPr>
      </w:pPr>
      <w:r w:rsidRPr="004D5C4A">
        <w:rPr>
          <w:sz w:val="20"/>
          <w:szCs w:val="20"/>
        </w:rPr>
        <w:t xml:space="preserve">The petitioner indicates that in the face of the reiterated failure of the Head of Government of the Federal District to pay the compensation, he filed </w:t>
      </w:r>
      <w:r w:rsidR="004E4DB1" w:rsidRPr="004D5C4A">
        <w:rPr>
          <w:sz w:val="20"/>
          <w:szCs w:val="20"/>
        </w:rPr>
        <w:t xml:space="preserve">on January 7, 2000 </w:t>
      </w:r>
      <w:r w:rsidRPr="004D5C4A">
        <w:rPr>
          <w:sz w:val="20"/>
          <w:szCs w:val="20"/>
        </w:rPr>
        <w:t xml:space="preserve">an ancillary claim for enforcement of judgment (case 62/2000). On March 23, 2004, the Supreme Court determined that the failure to comply with the order issued in </w:t>
      </w:r>
      <w:r w:rsidRPr="004D5C4A">
        <w:rPr>
          <w:i/>
          <w:iCs/>
          <w:sz w:val="20"/>
          <w:szCs w:val="20"/>
        </w:rPr>
        <w:t>amparo</w:t>
      </w:r>
      <w:r w:rsidRPr="004D5C4A">
        <w:rPr>
          <w:sz w:val="20"/>
          <w:szCs w:val="20"/>
        </w:rPr>
        <w:t xml:space="preserve"> proceeding 94/98 was “excusable” given that said judgment is not legally enforceable, and ordered that the record in that proceeding be remanded for the </w:t>
      </w:r>
      <w:r w:rsidRPr="004D5C4A">
        <w:rPr>
          <w:i/>
          <w:iCs/>
          <w:sz w:val="20"/>
          <w:szCs w:val="20"/>
        </w:rPr>
        <w:t>amparo</w:t>
      </w:r>
      <w:r w:rsidRPr="004D5C4A">
        <w:rPr>
          <w:sz w:val="20"/>
          <w:szCs w:val="20"/>
        </w:rPr>
        <w:t xml:space="preserve"> judge to issue a new judgment. It also ordered that a new appraisal be done of the value of the disputed property, indicating that compensation should be set based on the historical value of the property in 1975, when the authority should have decreed the restitution requested. </w:t>
      </w:r>
    </w:p>
    <w:p w:rsidR="00C73045" w:rsidRPr="004D5C4A" w:rsidRDefault="00C73045" w:rsidP="00C73045">
      <w:pPr>
        <w:jc w:val="both"/>
        <w:rPr>
          <w:sz w:val="20"/>
          <w:szCs w:val="20"/>
        </w:rPr>
      </w:pPr>
    </w:p>
    <w:p w:rsidR="00C73045" w:rsidRPr="004D5C4A" w:rsidRDefault="00C73045" w:rsidP="00C73045">
      <w:pPr>
        <w:pStyle w:val="ListParagraph"/>
        <w:numPr>
          <w:ilvl w:val="0"/>
          <w:numId w:val="107"/>
        </w:numPr>
        <w:ind w:left="0" w:firstLine="720"/>
        <w:jc w:val="both"/>
        <w:rPr>
          <w:sz w:val="20"/>
          <w:szCs w:val="20"/>
        </w:rPr>
      </w:pPr>
      <w:r w:rsidRPr="004D5C4A">
        <w:rPr>
          <w:sz w:val="20"/>
          <w:szCs w:val="20"/>
        </w:rPr>
        <w:t xml:space="preserve">On this point, the petitioner argues that the Supreme Court retroactively applied a constitutional amendment that came into force in 2001, repudiating the judgments that had previously ordered the appraisal of said property at current commercial values, and that these had already become </w:t>
      </w:r>
      <w:r w:rsidRPr="004D5C4A">
        <w:rPr>
          <w:i/>
          <w:iCs/>
          <w:sz w:val="20"/>
          <w:szCs w:val="20"/>
        </w:rPr>
        <w:t>res judicata</w:t>
      </w:r>
      <w:r w:rsidRPr="004D5C4A">
        <w:rPr>
          <w:sz w:val="20"/>
          <w:szCs w:val="20"/>
        </w:rPr>
        <w:t xml:space="preserve">. He alleges that said conduct is in violation of the principle of juridical security and non-retroactivity, as well as the right to property. </w:t>
      </w:r>
    </w:p>
    <w:p w:rsidR="00C73045" w:rsidRPr="004D5C4A" w:rsidRDefault="00C73045" w:rsidP="00C73045">
      <w:pPr>
        <w:tabs>
          <w:tab w:val="left" w:pos="0"/>
        </w:tabs>
        <w:ind w:firstLine="720"/>
        <w:jc w:val="both"/>
        <w:rPr>
          <w:rFonts w:asciiTheme="majorHAnsi" w:hAnsiTheme="majorHAnsi"/>
          <w:sz w:val="20"/>
          <w:szCs w:val="20"/>
          <w:lang w:eastAsia="es-ES"/>
        </w:rPr>
      </w:pPr>
    </w:p>
    <w:p w:rsidR="00C73045" w:rsidRPr="004D5C4A" w:rsidRDefault="00C73045" w:rsidP="00C73045">
      <w:pPr>
        <w:pStyle w:val="ListParagraph"/>
        <w:numPr>
          <w:ilvl w:val="0"/>
          <w:numId w:val="107"/>
        </w:numPr>
        <w:ind w:left="0" w:firstLine="720"/>
        <w:jc w:val="both"/>
        <w:rPr>
          <w:sz w:val="20"/>
          <w:szCs w:val="20"/>
        </w:rPr>
      </w:pPr>
      <w:r w:rsidRPr="004D5C4A">
        <w:rPr>
          <w:sz w:val="20"/>
          <w:szCs w:val="20"/>
        </w:rPr>
        <w:t xml:space="preserve">He indicates that once the appeals filed by both parties were resolved on October 17, 2005, the Supreme Court ruled that “the retrospective commercial value of the Tecaxi property … in the conditions in which it was found on November 3, 1975, converted to a new monetary unit and updated to December 19, 2000, is $43,428,863.10 pesos (approximately US$ 4,613,322.45 at the time) for damages or specific performance of the final judgment handed down in indirect </w:t>
      </w:r>
      <w:r w:rsidRPr="004D5C4A">
        <w:rPr>
          <w:i/>
          <w:iCs/>
          <w:sz w:val="20"/>
          <w:szCs w:val="20"/>
        </w:rPr>
        <w:t>amparo</w:t>
      </w:r>
      <w:r w:rsidRPr="004D5C4A">
        <w:rPr>
          <w:sz w:val="20"/>
          <w:szCs w:val="20"/>
        </w:rPr>
        <w:t xml:space="preserve"> action 94/1998.”</w:t>
      </w:r>
    </w:p>
    <w:p w:rsidR="00C73045" w:rsidRPr="004D5C4A" w:rsidRDefault="00C73045" w:rsidP="00C73045">
      <w:pPr>
        <w:pStyle w:val="Heading3"/>
        <w:tabs>
          <w:tab w:val="left" w:pos="0"/>
        </w:tabs>
        <w:ind w:firstLine="720"/>
        <w:rPr>
          <w:sz w:val="20"/>
          <w:szCs w:val="20"/>
        </w:rPr>
      </w:pPr>
      <w:r w:rsidRPr="004D5C4A">
        <w:rPr>
          <w:sz w:val="20"/>
          <w:szCs w:val="20"/>
        </w:rPr>
        <w:t xml:space="preserve"> </w:t>
      </w:r>
    </w:p>
    <w:p w:rsidR="00C73045" w:rsidRPr="004D5C4A" w:rsidRDefault="00C73045" w:rsidP="00C73045">
      <w:pPr>
        <w:pStyle w:val="ListParagraph"/>
        <w:numPr>
          <w:ilvl w:val="0"/>
          <w:numId w:val="107"/>
        </w:numPr>
        <w:tabs>
          <w:tab w:val="left" w:pos="0"/>
        </w:tabs>
        <w:ind w:left="0" w:firstLine="720"/>
        <w:jc w:val="both"/>
        <w:rPr>
          <w:sz w:val="20"/>
          <w:szCs w:val="20"/>
        </w:rPr>
      </w:pPr>
      <w:r w:rsidRPr="004D5C4A">
        <w:rPr>
          <w:sz w:val="20"/>
          <w:szCs w:val="20"/>
        </w:rPr>
        <w:t>On November 4, 2005, the First District Judge for Administrative Matters of the Federal District ordered the Head of Government of the Federal District to pay the sum of $40,640,537 pesos (approximately US$ 3,789,515.72 at the time); and on December 8, 2005, he ordered that the sum of $9,375,771.88 pesos (approximately US$894,725.86 at the time) be paid, upon updating the payment date. Finally, on December 22, 2005, once the above-noted sums were paid, and discounting the partial payment made in the year 2000, the District Judge found that the judgment had met with compliance.</w:t>
      </w:r>
    </w:p>
    <w:p w:rsidR="00C73045" w:rsidRPr="004D5C4A" w:rsidRDefault="00C73045" w:rsidP="00C73045">
      <w:pPr>
        <w:pStyle w:val="ListParagraph"/>
        <w:tabs>
          <w:tab w:val="left" w:pos="0"/>
        </w:tabs>
        <w:jc w:val="both"/>
        <w:rPr>
          <w:sz w:val="20"/>
          <w:szCs w:val="20"/>
        </w:rPr>
      </w:pPr>
    </w:p>
    <w:p w:rsidR="00C73045" w:rsidRPr="004D5C4A" w:rsidRDefault="00C73045" w:rsidP="00C73045">
      <w:pPr>
        <w:pStyle w:val="ListParagraph"/>
        <w:numPr>
          <w:ilvl w:val="0"/>
          <w:numId w:val="107"/>
        </w:numPr>
        <w:tabs>
          <w:tab w:val="left" w:pos="0"/>
        </w:tabs>
        <w:ind w:left="0" w:firstLine="720"/>
        <w:jc w:val="both"/>
        <w:rPr>
          <w:sz w:val="20"/>
          <w:szCs w:val="20"/>
        </w:rPr>
      </w:pPr>
      <w:r w:rsidRPr="004D5C4A">
        <w:rPr>
          <w:sz w:val="20"/>
          <w:szCs w:val="20"/>
        </w:rPr>
        <w:t>The petitioner argues that during the years of the proceeding, the State implemented a policy of defamation and persecution against him in the media, and through the Mexico City prosecutors’ office (</w:t>
      </w:r>
      <w:r w:rsidRPr="00A86A40">
        <w:rPr>
          <w:i/>
          <w:sz w:val="20"/>
          <w:szCs w:val="20"/>
        </w:rPr>
        <w:t>Procuraduría de Justicia del Distrito Federal</w:t>
      </w:r>
      <w:r w:rsidRPr="004D5C4A">
        <w:rPr>
          <w:sz w:val="20"/>
          <w:szCs w:val="20"/>
        </w:rPr>
        <w:t>). In this regard, he notes</w:t>
      </w:r>
      <w:r w:rsidR="00A86A40">
        <w:rPr>
          <w:sz w:val="20"/>
          <w:szCs w:val="20"/>
        </w:rPr>
        <w:t xml:space="preserve"> that public officials referred to the alleged victim in the media using pejorative terms. In addition, he alleges </w:t>
      </w:r>
      <w:r w:rsidRPr="004D5C4A">
        <w:rPr>
          <w:sz w:val="20"/>
          <w:szCs w:val="20"/>
        </w:rPr>
        <w:t>that</w:t>
      </w:r>
      <w:r w:rsidR="00A86A40">
        <w:rPr>
          <w:sz w:val="20"/>
          <w:szCs w:val="20"/>
        </w:rPr>
        <w:t>,</w:t>
      </w:r>
      <w:r w:rsidRPr="004D5C4A">
        <w:rPr>
          <w:sz w:val="20"/>
          <w:szCs w:val="20"/>
        </w:rPr>
        <w:t xml:space="preserve"> from November 2003 to October 2005</w:t>
      </w:r>
      <w:r w:rsidR="00A86A40">
        <w:rPr>
          <w:sz w:val="20"/>
          <w:szCs w:val="20"/>
        </w:rPr>
        <w:t>,</w:t>
      </w:r>
      <w:r w:rsidRPr="004D5C4A">
        <w:rPr>
          <w:sz w:val="20"/>
          <w:szCs w:val="20"/>
        </w:rPr>
        <w:t xml:space="preserve"> the Public Ministry brought five criminal actions against </w:t>
      </w:r>
      <w:r w:rsidRPr="004E4DB1">
        <w:rPr>
          <w:bCs/>
          <w:sz w:val="20"/>
          <w:szCs w:val="20"/>
        </w:rPr>
        <w:t>him</w:t>
      </w:r>
      <w:r w:rsidRPr="004D5C4A">
        <w:rPr>
          <w:sz w:val="20"/>
          <w:szCs w:val="20"/>
        </w:rPr>
        <w:t xml:space="preserve"> for the alleged offense of fraud </w:t>
      </w:r>
      <w:r w:rsidRPr="004D5C4A">
        <w:rPr>
          <w:sz w:val="20"/>
          <w:szCs w:val="20"/>
        </w:rPr>
        <w:lastRenderedPageBreak/>
        <w:t xml:space="preserve">upon the Federal District, and requesting his apprehension. That order was struck down on each occasion, yet it would have represented an onerous and unjustified procedural burden. Finally, on October 14, 2005, once again a preliminary inquiry was ordered and on January 23, 2006, the petitioner was detained by agents of the Judicial Police of the Federal District. </w:t>
      </w:r>
    </w:p>
    <w:p w:rsidR="00C73045" w:rsidRPr="004D5C4A" w:rsidRDefault="00C73045" w:rsidP="00C73045">
      <w:pPr>
        <w:tabs>
          <w:tab w:val="left" w:pos="0"/>
        </w:tabs>
        <w:jc w:val="both"/>
        <w:rPr>
          <w:sz w:val="20"/>
          <w:szCs w:val="20"/>
        </w:rPr>
      </w:pPr>
    </w:p>
    <w:p w:rsidR="00C73045" w:rsidRPr="004D5C4A" w:rsidRDefault="00C73045" w:rsidP="00C73045">
      <w:pPr>
        <w:pStyle w:val="ListParagraph"/>
        <w:numPr>
          <w:ilvl w:val="0"/>
          <w:numId w:val="107"/>
        </w:numPr>
        <w:ind w:left="0" w:firstLine="720"/>
        <w:jc w:val="both"/>
        <w:rPr>
          <w:sz w:val="20"/>
          <w:szCs w:val="20"/>
        </w:rPr>
      </w:pPr>
      <w:r w:rsidRPr="004D5C4A">
        <w:rPr>
          <w:sz w:val="20"/>
          <w:szCs w:val="20"/>
        </w:rPr>
        <w:t xml:space="preserve">He indicates that he was deprived of liberty for seven months, from January 23, 2006 to August 18, 2006, when the Fifth Collegial Court for Criminal Matters of the First Circuit ordered the arrest warrant cancelled, considering that “the evidence produced in the proceeding is insufficient to consider the </w:t>
      </w:r>
      <w:r w:rsidRPr="004D5C4A">
        <w:rPr>
          <w:i/>
          <w:iCs/>
          <w:sz w:val="20"/>
          <w:szCs w:val="20"/>
        </w:rPr>
        <w:t>corpus delicto</w:t>
      </w:r>
      <w:r w:rsidRPr="004D5C4A">
        <w:rPr>
          <w:sz w:val="20"/>
          <w:szCs w:val="20"/>
        </w:rPr>
        <w:t xml:space="preserve"> to have been shown.” With respect to this point, </w:t>
      </w:r>
      <w:r w:rsidR="00343F35">
        <w:rPr>
          <w:sz w:val="20"/>
          <w:szCs w:val="20"/>
        </w:rPr>
        <w:t xml:space="preserve">the petitioner refers to the existence of </w:t>
      </w:r>
      <w:r w:rsidRPr="004D5C4A">
        <w:rPr>
          <w:sz w:val="20"/>
          <w:szCs w:val="20"/>
        </w:rPr>
        <w:t xml:space="preserve">a context of persecution against him through improper use by the Government of the Federal District of the institution of the Public Ministry, so as to not comply with the order to pay him. The petitioner also indicates that he turned to the State Commission on Human Rights of the Federal District, which issued recommendations favorable to his complaint. </w:t>
      </w:r>
    </w:p>
    <w:p w:rsidR="00C73045" w:rsidRPr="004D5C4A" w:rsidRDefault="00C73045" w:rsidP="00C73045">
      <w:pPr>
        <w:tabs>
          <w:tab w:val="left" w:pos="0"/>
        </w:tabs>
        <w:ind w:firstLine="720"/>
        <w:jc w:val="both"/>
        <w:rPr>
          <w:rFonts w:asciiTheme="majorHAnsi" w:hAnsiTheme="majorHAnsi"/>
          <w:sz w:val="20"/>
          <w:szCs w:val="20"/>
          <w:lang w:eastAsia="es-ES"/>
        </w:rPr>
      </w:pPr>
    </w:p>
    <w:p w:rsidR="00C73045" w:rsidRPr="004D5C4A" w:rsidRDefault="00C73045" w:rsidP="00C73045">
      <w:pPr>
        <w:pStyle w:val="ListParagraph"/>
        <w:numPr>
          <w:ilvl w:val="0"/>
          <w:numId w:val="107"/>
        </w:numPr>
        <w:ind w:left="0" w:firstLine="720"/>
        <w:jc w:val="both"/>
        <w:rPr>
          <w:sz w:val="20"/>
          <w:szCs w:val="20"/>
        </w:rPr>
      </w:pPr>
      <w:r w:rsidRPr="004D5C4A">
        <w:rPr>
          <w:sz w:val="20"/>
          <w:szCs w:val="20"/>
        </w:rPr>
        <w:t xml:space="preserve">In summary, the petitioner argues that there is an unwarranted delay of more than 30 years in resolving the administrative and judicial proceedings that were begun as early as 1975 and concluded in October 2005; that once resolved they modified a judgment that was </w:t>
      </w:r>
      <w:r w:rsidRPr="004D5C4A">
        <w:rPr>
          <w:i/>
          <w:iCs/>
          <w:sz w:val="20"/>
          <w:szCs w:val="20"/>
        </w:rPr>
        <w:t>res judicata</w:t>
      </w:r>
      <w:r w:rsidRPr="004D5C4A">
        <w:rPr>
          <w:sz w:val="20"/>
          <w:szCs w:val="20"/>
        </w:rPr>
        <w:t xml:space="preserve">, violating his right to judicial protection, to private property, and to be free from ex post facto laws; that as he was unjustly deprived of liberty for seven months without having committed any offense whatsoever, and in view of the defamatory statements by the State, his rights to judicial protection and to honor and dignity were violated. </w:t>
      </w:r>
    </w:p>
    <w:p w:rsidR="00C73045" w:rsidRPr="004D5C4A" w:rsidRDefault="00C73045" w:rsidP="00C73045">
      <w:pPr>
        <w:tabs>
          <w:tab w:val="center" w:pos="4680"/>
          <w:tab w:val="left" w:pos="6511"/>
        </w:tabs>
        <w:ind w:firstLine="720"/>
        <w:jc w:val="both"/>
        <w:rPr>
          <w:rFonts w:asciiTheme="majorHAnsi" w:hAnsiTheme="majorHAnsi" w:cs="Calibri"/>
          <w:sz w:val="20"/>
          <w:szCs w:val="20"/>
        </w:rPr>
      </w:pPr>
    </w:p>
    <w:p w:rsidR="00C73045" w:rsidRPr="004D5C4A" w:rsidRDefault="00C73045" w:rsidP="00C73045">
      <w:pPr>
        <w:pStyle w:val="NoSpacing"/>
        <w:rPr>
          <w:lang w:val="en-US"/>
        </w:rPr>
      </w:pPr>
      <w:r w:rsidRPr="004D5C4A">
        <w:rPr>
          <w:lang w:val="en-US"/>
        </w:rPr>
        <w:t xml:space="preserve">The position of the State </w:t>
      </w:r>
    </w:p>
    <w:p w:rsidR="00C73045" w:rsidRPr="004D5C4A" w:rsidRDefault="00C73045" w:rsidP="00C73045">
      <w:pPr>
        <w:tabs>
          <w:tab w:val="center" w:pos="4680"/>
          <w:tab w:val="left" w:pos="6511"/>
        </w:tabs>
        <w:ind w:firstLine="720"/>
        <w:jc w:val="both"/>
        <w:rPr>
          <w:rFonts w:asciiTheme="majorHAnsi" w:hAnsiTheme="majorHAnsi" w:cs="Calibri"/>
          <w:sz w:val="20"/>
          <w:szCs w:val="20"/>
        </w:rPr>
      </w:pPr>
      <w:r w:rsidRPr="004D5C4A">
        <w:rPr>
          <w:rFonts w:asciiTheme="majorHAnsi" w:hAnsiTheme="majorHAnsi" w:cs="Calibri"/>
          <w:sz w:val="20"/>
          <w:szCs w:val="20"/>
        </w:rPr>
        <w:t xml:space="preserve"> </w:t>
      </w:r>
    </w:p>
    <w:p w:rsidR="00C73045" w:rsidRPr="004D5C4A" w:rsidRDefault="00C73045" w:rsidP="00C73045">
      <w:pPr>
        <w:pStyle w:val="ListParagraph"/>
        <w:numPr>
          <w:ilvl w:val="0"/>
          <w:numId w:val="107"/>
        </w:numPr>
        <w:ind w:left="0" w:firstLine="720"/>
        <w:jc w:val="both"/>
        <w:rPr>
          <w:sz w:val="20"/>
          <w:szCs w:val="20"/>
        </w:rPr>
      </w:pPr>
      <w:r w:rsidRPr="004D5C4A">
        <w:rPr>
          <w:sz w:val="20"/>
          <w:szCs w:val="20"/>
        </w:rPr>
        <w:t xml:space="preserve">First, the Mexican State argues that at the time when the petition was filed with the IACHR domestic remedies had not been exhausted, since several means of defense pursued by the petitioner were still pending resolution. It adds that once those remedies were exhausted, the decisions were favorable to the petitioner; accordingly there is no reason for the Commission to continue examining this matter. </w:t>
      </w:r>
    </w:p>
    <w:p w:rsidR="00C73045" w:rsidRPr="004D5C4A" w:rsidRDefault="00C73045" w:rsidP="00C73045">
      <w:pPr>
        <w:ind w:firstLine="720"/>
        <w:jc w:val="both"/>
        <w:rPr>
          <w:rFonts w:asciiTheme="majorHAnsi" w:hAnsiTheme="majorHAnsi"/>
          <w:sz w:val="20"/>
          <w:szCs w:val="20"/>
          <w:lang w:eastAsia="es-ES"/>
        </w:rPr>
      </w:pPr>
    </w:p>
    <w:p w:rsidR="00C73045" w:rsidRPr="004D5C4A" w:rsidRDefault="00C73045" w:rsidP="00C73045">
      <w:pPr>
        <w:pStyle w:val="ListParagraph"/>
        <w:numPr>
          <w:ilvl w:val="0"/>
          <w:numId w:val="107"/>
        </w:numPr>
        <w:ind w:left="0" w:firstLine="720"/>
        <w:jc w:val="both"/>
        <w:rPr>
          <w:sz w:val="20"/>
          <w:szCs w:val="20"/>
        </w:rPr>
      </w:pPr>
      <w:r w:rsidRPr="004D5C4A">
        <w:rPr>
          <w:sz w:val="20"/>
          <w:szCs w:val="20"/>
        </w:rPr>
        <w:t xml:space="preserve">With respect to the alleged violations of Articles 8 and 25 of the American Convention, it adduces that all domestic remedies that were activated on occasion of the expropriation of the Tecaxi property were reviewed by competent courts existing prior to the facts; by judges duly trained and authorized to issue the judgments referred to; by judges equally trained and authorized to review the judgments of first instance, and by judges of federal bodies different from the local ones, which confers independence and objectivity on the resolution of the matter. </w:t>
      </w:r>
    </w:p>
    <w:p w:rsidR="00C73045" w:rsidRPr="004D5C4A" w:rsidRDefault="00C73045" w:rsidP="00C73045">
      <w:pPr>
        <w:ind w:firstLine="720"/>
        <w:jc w:val="both"/>
        <w:rPr>
          <w:rFonts w:asciiTheme="majorHAnsi" w:hAnsiTheme="majorHAnsi"/>
          <w:sz w:val="20"/>
          <w:szCs w:val="20"/>
          <w:lang w:eastAsia="es-ES"/>
        </w:rPr>
      </w:pPr>
    </w:p>
    <w:p w:rsidR="00C73045" w:rsidRPr="004D5C4A" w:rsidRDefault="00C73045" w:rsidP="00C73045">
      <w:pPr>
        <w:pStyle w:val="ListParagraph"/>
        <w:numPr>
          <w:ilvl w:val="0"/>
          <w:numId w:val="107"/>
        </w:numPr>
        <w:ind w:left="0" w:firstLine="720"/>
        <w:jc w:val="both"/>
        <w:rPr>
          <w:sz w:val="20"/>
          <w:szCs w:val="20"/>
        </w:rPr>
      </w:pPr>
      <w:r w:rsidRPr="004D5C4A">
        <w:rPr>
          <w:sz w:val="20"/>
          <w:szCs w:val="20"/>
        </w:rPr>
        <w:t xml:space="preserve">It also notes that by checks </w:t>
      </w:r>
      <w:r w:rsidR="004E4DB1">
        <w:rPr>
          <w:sz w:val="20"/>
          <w:szCs w:val="20"/>
        </w:rPr>
        <w:t>dated</w:t>
      </w:r>
      <w:r w:rsidRPr="004D5C4A">
        <w:rPr>
          <w:sz w:val="20"/>
          <w:szCs w:val="20"/>
        </w:rPr>
        <w:t xml:space="preserve"> December 7 and 12, 2005, as ordered by the District Judge, the total payment was made to the alleged victim, for damages stemming from the expropriation of the Tecaxi property.</w:t>
      </w:r>
    </w:p>
    <w:p w:rsidR="00C73045" w:rsidRPr="004D5C4A" w:rsidRDefault="00C73045" w:rsidP="00C7304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sz w:val="20"/>
          <w:szCs w:val="20"/>
          <w:lang w:eastAsia="es-ES"/>
        </w:rPr>
      </w:pPr>
    </w:p>
    <w:p w:rsidR="00C73045" w:rsidRPr="004D5C4A" w:rsidRDefault="00C73045" w:rsidP="00C73045">
      <w:pPr>
        <w:pStyle w:val="ListParagraph"/>
        <w:numPr>
          <w:ilvl w:val="0"/>
          <w:numId w:val="107"/>
        </w:numPr>
        <w:ind w:left="0" w:firstLine="720"/>
        <w:jc w:val="both"/>
        <w:rPr>
          <w:sz w:val="20"/>
          <w:szCs w:val="20"/>
        </w:rPr>
      </w:pPr>
      <w:r w:rsidRPr="004D5C4A">
        <w:rPr>
          <w:sz w:val="20"/>
          <w:szCs w:val="20"/>
        </w:rPr>
        <w:t xml:space="preserve">The State further argues that there was no unwarranted delay in the processing of the matter domestically, as the time that elapsed from the filing of the remedies and their </w:t>
      </w:r>
      <w:r w:rsidR="004E4DB1">
        <w:rPr>
          <w:sz w:val="20"/>
          <w:szCs w:val="20"/>
        </w:rPr>
        <w:t xml:space="preserve">respective </w:t>
      </w:r>
      <w:r w:rsidRPr="004D5C4A">
        <w:rPr>
          <w:sz w:val="20"/>
          <w:szCs w:val="20"/>
        </w:rPr>
        <w:t>resolution</w:t>
      </w:r>
      <w:r w:rsidR="004E4DB1">
        <w:rPr>
          <w:sz w:val="20"/>
          <w:szCs w:val="20"/>
        </w:rPr>
        <w:t>s</w:t>
      </w:r>
      <w:r w:rsidRPr="004D5C4A">
        <w:rPr>
          <w:sz w:val="20"/>
          <w:szCs w:val="20"/>
        </w:rPr>
        <w:t xml:space="preserve"> ha</w:t>
      </w:r>
      <w:r w:rsidR="0077557B">
        <w:rPr>
          <w:sz w:val="20"/>
          <w:szCs w:val="20"/>
        </w:rPr>
        <w:t>ve</w:t>
      </w:r>
      <w:r w:rsidRPr="004D5C4A">
        <w:rPr>
          <w:sz w:val="20"/>
          <w:szCs w:val="20"/>
        </w:rPr>
        <w:t xml:space="preserve"> been reasonable, mindful of the workload of the courts, the activity of the petitioner, and the complexity of the matter. It adds that in the instant case there was not a single proceeding that lasted more than 30 years, but rather many motions were filed with different judicial authorities. </w:t>
      </w:r>
    </w:p>
    <w:p w:rsidR="00C73045" w:rsidRPr="004D5C4A" w:rsidRDefault="00C73045" w:rsidP="00C73045">
      <w:pPr>
        <w:pStyle w:val="ListParagraph"/>
        <w:jc w:val="both"/>
        <w:rPr>
          <w:sz w:val="20"/>
          <w:szCs w:val="20"/>
        </w:rPr>
      </w:pPr>
    </w:p>
    <w:p w:rsidR="00C73045" w:rsidRPr="004D5C4A" w:rsidRDefault="00C73045" w:rsidP="00C73045">
      <w:pPr>
        <w:pStyle w:val="ListParagraph"/>
        <w:numPr>
          <w:ilvl w:val="0"/>
          <w:numId w:val="107"/>
        </w:numPr>
        <w:ind w:left="0" w:firstLine="720"/>
        <w:jc w:val="both"/>
        <w:rPr>
          <w:sz w:val="20"/>
          <w:szCs w:val="20"/>
        </w:rPr>
      </w:pPr>
      <w:r w:rsidRPr="004D5C4A">
        <w:rPr>
          <w:sz w:val="20"/>
          <w:szCs w:val="20"/>
        </w:rPr>
        <w:t xml:space="preserve">With respect to the judgment of the Supreme Court on ancillary procedure for enforcement of judgment 62/2000, the State indicates that it was issued in a reasonable time, mindful of the complexity of the matter, as it had to do with a dispute over a claim for payment of an excessive sum from the public treasury.  It adds that the amendment to Article 107 of the Constitution – which grants the Supreme Court the power to examine when the performance of </w:t>
      </w:r>
      <w:r w:rsidRPr="004D5C4A">
        <w:rPr>
          <w:i/>
          <w:iCs/>
          <w:sz w:val="20"/>
          <w:szCs w:val="20"/>
        </w:rPr>
        <w:t>amparo</w:t>
      </w:r>
      <w:r w:rsidRPr="004D5C4A">
        <w:rPr>
          <w:sz w:val="20"/>
          <w:szCs w:val="20"/>
        </w:rPr>
        <w:t xml:space="preserve"> judgments may be excused – was not applied retroactively. It argues that said power of the Supreme Court cannot be considered to be conditioned on Article 107 of the Constitution; otherwise one would be asserting that the decisions made prior to the reform by the District Courts are binding on the Supreme Court, which is not legally possible. It argues that the Commission is not competent to review the meaning of the judgments handed down by the Supreme Court of </w:t>
      </w:r>
      <w:r w:rsidRPr="004D5C4A">
        <w:rPr>
          <w:sz w:val="20"/>
          <w:szCs w:val="20"/>
        </w:rPr>
        <w:lastRenderedPageBreak/>
        <w:t xml:space="preserve">Mexico, since the jurisdiction of international human rights law is complementary and subsidiary, but it does not review proceedings exhausted domestically. </w:t>
      </w:r>
    </w:p>
    <w:p w:rsidR="00C73045" w:rsidRPr="004D5C4A" w:rsidRDefault="00C73045" w:rsidP="00C73045">
      <w:pPr>
        <w:ind w:firstLine="720"/>
        <w:jc w:val="both"/>
        <w:rPr>
          <w:rFonts w:asciiTheme="majorHAnsi" w:hAnsiTheme="majorHAnsi"/>
          <w:sz w:val="20"/>
          <w:szCs w:val="20"/>
        </w:rPr>
      </w:pPr>
    </w:p>
    <w:p w:rsidR="00C73045" w:rsidRPr="004D5C4A" w:rsidRDefault="00C73045" w:rsidP="00C73045">
      <w:pPr>
        <w:pStyle w:val="ListParagraph"/>
        <w:numPr>
          <w:ilvl w:val="0"/>
          <w:numId w:val="107"/>
        </w:numPr>
        <w:ind w:left="0" w:firstLine="720"/>
        <w:jc w:val="both"/>
        <w:rPr>
          <w:sz w:val="20"/>
          <w:szCs w:val="20"/>
        </w:rPr>
      </w:pPr>
      <w:r w:rsidRPr="004D5C4A">
        <w:rPr>
          <w:sz w:val="20"/>
          <w:szCs w:val="20"/>
        </w:rPr>
        <w:t>As regards</w:t>
      </w:r>
      <w:r w:rsidR="002644A7">
        <w:rPr>
          <w:sz w:val="20"/>
          <w:szCs w:val="20"/>
        </w:rPr>
        <w:t xml:space="preserve"> to</w:t>
      </w:r>
      <w:r w:rsidRPr="004D5C4A">
        <w:rPr>
          <w:sz w:val="20"/>
          <w:szCs w:val="20"/>
        </w:rPr>
        <w:t xml:space="preserve"> the alleged existence of a policy to defame and persecute the petitioner, the State argues that the various proceedings unfolded in keeping with the respective rules, and that they were carried out in proper time and form, and in keeping with what is established by the laws of Mexico and the American Convention. It also notes that the Office of the Attorney General has the duty to investigate all facts brought before it for its consideration so as to determine whether a criminal offense has been committed; but a criminal offense does not constitute a violation of human rights. It adds that the Office of the Attorney General for the Federal District has determined “not to bring a criminal action" against the alleged victim for lack of evidence, hence the petition is set aside. </w:t>
      </w:r>
    </w:p>
    <w:p w:rsidR="00C73045" w:rsidRPr="004D5C4A" w:rsidRDefault="00C73045" w:rsidP="00C73045">
      <w:pPr>
        <w:ind w:firstLine="720"/>
        <w:jc w:val="both"/>
        <w:rPr>
          <w:rFonts w:asciiTheme="majorHAnsi" w:hAnsiTheme="majorHAnsi"/>
          <w:sz w:val="20"/>
          <w:szCs w:val="20"/>
        </w:rPr>
      </w:pPr>
    </w:p>
    <w:p w:rsidR="00C73045" w:rsidRPr="004D5C4A" w:rsidRDefault="00C73045" w:rsidP="00C73045">
      <w:pPr>
        <w:pStyle w:val="ListParagraph"/>
        <w:numPr>
          <w:ilvl w:val="0"/>
          <w:numId w:val="107"/>
        </w:numPr>
        <w:ind w:left="0" w:firstLine="720"/>
        <w:jc w:val="both"/>
        <w:rPr>
          <w:sz w:val="20"/>
          <w:szCs w:val="20"/>
        </w:rPr>
      </w:pPr>
      <w:r w:rsidRPr="004D5C4A">
        <w:rPr>
          <w:sz w:val="20"/>
          <w:szCs w:val="20"/>
        </w:rPr>
        <w:t xml:space="preserve">Finally, it indicates that in the event that the petitioner feels offended by alleged statements made by the Head of Government of the Federal District, he has adequate remedies for asking that the facts indicated, presumably targeting him, be investigated, and that the acts indicated, presumably against him, be punished, as appropriate. </w:t>
      </w:r>
    </w:p>
    <w:p w:rsidR="00C73045" w:rsidRPr="004D5C4A" w:rsidRDefault="00C73045" w:rsidP="00C73045">
      <w:pPr>
        <w:ind w:firstLine="720"/>
        <w:jc w:val="both"/>
        <w:rPr>
          <w:rFonts w:asciiTheme="majorHAnsi" w:hAnsiTheme="majorHAnsi"/>
          <w:sz w:val="20"/>
          <w:szCs w:val="20"/>
          <w:lang w:eastAsia="es-ES"/>
        </w:rPr>
      </w:pPr>
    </w:p>
    <w:p w:rsidR="00C73045" w:rsidRPr="004D5C4A" w:rsidRDefault="00C73045" w:rsidP="00C73045">
      <w:pPr>
        <w:pStyle w:val="ListParagraph"/>
        <w:numPr>
          <w:ilvl w:val="0"/>
          <w:numId w:val="107"/>
        </w:numPr>
        <w:ind w:left="0" w:firstLine="720"/>
        <w:jc w:val="both"/>
        <w:rPr>
          <w:sz w:val="20"/>
          <w:szCs w:val="20"/>
        </w:rPr>
      </w:pPr>
      <w:r w:rsidRPr="004D5C4A">
        <w:rPr>
          <w:sz w:val="20"/>
          <w:szCs w:val="20"/>
        </w:rPr>
        <w:t xml:space="preserve">With the foregoing, the Mexican State concludes that the filing of the petition was inadmissible, for it did not meet the requirements in the provisions that govern that inter-American system in relation to exhaustion of domestic remedies. In addition, the petition is inadmissible at this time and should be archived, </w:t>
      </w:r>
      <w:r w:rsidR="002644A7">
        <w:rPr>
          <w:sz w:val="20"/>
          <w:szCs w:val="20"/>
        </w:rPr>
        <w:t>as</w:t>
      </w:r>
      <w:r w:rsidRPr="004D5C4A">
        <w:rPr>
          <w:sz w:val="20"/>
          <w:szCs w:val="20"/>
        </w:rPr>
        <w:t xml:space="preserve"> provided for </w:t>
      </w:r>
      <w:r w:rsidR="002644A7">
        <w:rPr>
          <w:sz w:val="20"/>
          <w:szCs w:val="20"/>
        </w:rPr>
        <w:t>in</w:t>
      </w:r>
      <w:r w:rsidRPr="004D5C4A">
        <w:rPr>
          <w:sz w:val="20"/>
          <w:szCs w:val="20"/>
        </w:rPr>
        <w:t xml:space="preserve"> Article 48(b) of the Americana Convention, according to which if the grounds for the petition do not exist or subsist, the IACHR may archive it. </w:t>
      </w:r>
    </w:p>
    <w:p w:rsidR="00C73045" w:rsidRPr="004D5C4A" w:rsidRDefault="00C73045" w:rsidP="00C73045">
      <w:pPr>
        <w:ind w:firstLine="720"/>
        <w:jc w:val="both"/>
        <w:rPr>
          <w:rFonts w:asciiTheme="majorHAnsi" w:hAnsiTheme="majorHAnsi"/>
          <w:sz w:val="20"/>
          <w:szCs w:val="20"/>
          <w:lang w:eastAsia="es-ES"/>
        </w:rPr>
      </w:pPr>
    </w:p>
    <w:p w:rsidR="00C73045" w:rsidRPr="004D5C4A" w:rsidRDefault="00C73045" w:rsidP="00C73045">
      <w:pPr>
        <w:pStyle w:val="Heading1"/>
        <w:rPr>
          <w:lang w:val="en-US"/>
        </w:rPr>
      </w:pPr>
      <w:r w:rsidRPr="004D5C4A">
        <w:rPr>
          <w:lang w:val="en-US"/>
        </w:rPr>
        <w:t xml:space="preserve">ANALYSIS ON COMPETENCE AND ADMISSIBILITY </w:t>
      </w:r>
    </w:p>
    <w:p w:rsidR="00C73045" w:rsidRPr="004D5C4A" w:rsidRDefault="00C73045" w:rsidP="00C73045">
      <w:pPr>
        <w:ind w:firstLine="720"/>
        <w:jc w:val="both"/>
        <w:rPr>
          <w:rFonts w:asciiTheme="majorHAnsi" w:hAnsiTheme="majorHAnsi"/>
          <w:sz w:val="20"/>
          <w:szCs w:val="20"/>
        </w:rPr>
      </w:pPr>
    </w:p>
    <w:p w:rsidR="00C73045" w:rsidRPr="004D5C4A" w:rsidRDefault="00C73045" w:rsidP="00C73045">
      <w:pPr>
        <w:pStyle w:val="NoSpacing"/>
        <w:numPr>
          <w:ilvl w:val="0"/>
          <w:numId w:val="105"/>
        </w:numPr>
        <w:ind w:firstLine="0"/>
        <w:rPr>
          <w:lang w:val="en-US"/>
        </w:rPr>
      </w:pPr>
      <w:r w:rsidRPr="004D5C4A">
        <w:rPr>
          <w:lang w:val="en-US"/>
        </w:rPr>
        <w:t>Competence</w:t>
      </w:r>
    </w:p>
    <w:p w:rsidR="00C73045" w:rsidRPr="004D5C4A" w:rsidRDefault="00C73045" w:rsidP="00C73045">
      <w:pPr>
        <w:ind w:firstLine="720"/>
        <w:jc w:val="both"/>
        <w:rPr>
          <w:rFonts w:asciiTheme="majorHAnsi" w:hAnsiTheme="majorHAnsi"/>
          <w:sz w:val="20"/>
          <w:szCs w:val="20"/>
        </w:rPr>
      </w:pPr>
    </w:p>
    <w:p w:rsidR="00C73045" w:rsidRPr="004D5C4A" w:rsidRDefault="00C73045" w:rsidP="00C73045">
      <w:pPr>
        <w:pStyle w:val="ListParagraph"/>
        <w:numPr>
          <w:ilvl w:val="0"/>
          <w:numId w:val="107"/>
        </w:numPr>
        <w:ind w:left="0" w:firstLine="720"/>
        <w:jc w:val="both"/>
        <w:rPr>
          <w:rFonts w:cs="Calibri"/>
          <w:b/>
          <w:sz w:val="20"/>
          <w:szCs w:val="20"/>
        </w:rPr>
      </w:pPr>
      <w:r w:rsidRPr="004D5C4A">
        <w:rPr>
          <w:sz w:val="20"/>
          <w:szCs w:val="20"/>
        </w:rPr>
        <w:t xml:space="preserve">The petitioner is authorized, in principle, by Article 44 of the American Convention to file petitions with the Commission. The petition indicates that the alleged victim is a natural person with respect to whom the State of Mexico undertook to respect and guarantee the rights enshrined in the American Convention. As regards </w:t>
      </w:r>
      <w:r w:rsidR="002644A7">
        <w:rPr>
          <w:sz w:val="20"/>
          <w:szCs w:val="20"/>
        </w:rPr>
        <w:t xml:space="preserve">to </w:t>
      </w:r>
      <w:r w:rsidRPr="004D5C4A">
        <w:rPr>
          <w:sz w:val="20"/>
          <w:szCs w:val="20"/>
        </w:rPr>
        <w:t xml:space="preserve">the State, the Commission notes that Mexico has been a state party to the American Convention since March 24, 1981, the date on which it deposited its instrument of ratification. Therefore the Commission is competent </w:t>
      </w:r>
      <w:r w:rsidRPr="004D5C4A">
        <w:rPr>
          <w:i/>
          <w:sz w:val="20"/>
          <w:szCs w:val="20"/>
        </w:rPr>
        <w:t>ratione personae</w:t>
      </w:r>
      <w:r w:rsidRPr="004D5C4A">
        <w:rPr>
          <w:sz w:val="20"/>
          <w:szCs w:val="20"/>
        </w:rPr>
        <w:t xml:space="preserve"> to examine the petition. The Commission is also competent </w:t>
      </w:r>
      <w:r w:rsidRPr="004D5C4A">
        <w:rPr>
          <w:i/>
          <w:sz w:val="20"/>
          <w:szCs w:val="20"/>
        </w:rPr>
        <w:t>ratione loci</w:t>
      </w:r>
      <w:r w:rsidRPr="004D5C4A">
        <w:rPr>
          <w:sz w:val="20"/>
          <w:szCs w:val="20"/>
        </w:rPr>
        <w:t xml:space="preserve"> to take cognizance of the petition as it alleges violations of rights protected by the American Convention in the territory of Mexico, a state party to that treaty. </w:t>
      </w:r>
    </w:p>
    <w:p w:rsidR="00C73045" w:rsidRPr="004D5C4A" w:rsidRDefault="00C73045" w:rsidP="00C73045">
      <w:pPr>
        <w:pStyle w:val="ListParagraph"/>
        <w:jc w:val="both"/>
        <w:rPr>
          <w:rFonts w:cs="Calibri"/>
          <w:b/>
          <w:sz w:val="20"/>
          <w:szCs w:val="20"/>
        </w:rPr>
      </w:pPr>
    </w:p>
    <w:p w:rsidR="00C73045" w:rsidRPr="004D5C4A" w:rsidRDefault="00C73045" w:rsidP="00C73045">
      <w:pPr>
        <w:pStyle w:val="ListParagraph"/>
        <w:numPr>
          <w:ilvl w:val="0"/>
          <w:numId w:val="107"/>
        </w:numPr>
        <w:ind w:left="0" w:firstLine="720"/>
        <w:jc w:val="both"/>
        <w:rPr>
          <w:sz w:val="20"/>
          <w:szCs w:val="20"/>
        </w:rPr>
      </w:pPr>
      <w:r w:rsidRPr="004D5C4A">
        <w:rPr>
          <w:sz w:val="20"/>
          <w:szCs w:val="20"/>
        </w:rPr>
        <w:t xml:space="preserve">The Commission is competent </w:t>
      </w:r>
      <w:r w:rsidRPr="004D5C4A">
        <w:rPr>
          <w:i/>
          <w:sz w:val="20"/>
          <w:szCs w:val="20"/>
        </w:rPr>
        <w:t>ratione temporis</w:t>
      </w:r>
      <w:r w:rsidRPr="004D5C4A">
        <w:rPr>
          <w:sz w:val="20"/>
          <w:szCs w:val="20"/>
        </w:rPr>
        <w:t xml:space="preserve"> insofar as the obligations to respect and ensure the rights protected in the American Convention were already in force for the State on the date the facts alleged in the petition are said to have taken place. Finally, the Commission is competent </w:t>
      </w:r>
      <w:r w:rsidRPr="004D5C4A">
        <w:rPr>
          <w:i/>
          <w:sz w:val="20"/>
          <w:szCs w:val="20"/>
        </w:rPr>
        <w:t>ratione materiae</w:t>
      </w:r>
      <w:r w:rsidRPr="004D5C4A">
        <w:rPr>
          <w:sz w:val="20"/>
          <w:szCs w:val="20"/>
        </w:rPr>
        <w:t>, because the petition alleges possible violations of human rights protected by the American Convention.</w:t>
      </w:r>
    </w:p>
    <w:p w:rsidR="00C73045" w:rsidRPr="004D5C4A" w:rsidRDefault="00C73045" w:rsidP="00C73045">
      <w:pPr>
        <w:ind w:firstLine="720"/>
        <w:jc w:val="both"/>
        <w:rPr>
          <w:rFonts w:asciiTheme="majorHAnsi" w:hAnsiTheme="majorHAnsi"/>
          <w:sz w:val="20"/>
          <w:szCs w:val="20"/>
          <w:lang w:eastAsia="es-ES"/>
        </w:rPr>
      </w:pPr>
    </w:p>
    <w:p w:rsidR="00C73045" w:rsidRPr="004D5C4A" w:rsidRDefault="00C73045" w:rsidP="00C73045">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0"/>
        </w:tabs>
        <w:ind w:left="0" w:firstLine="720"/>
        <w:jc w:val="both"/>
        <w:rPr>
          <w:rFonts w:asciiTheme="majorHAnsi" w:hAnsiTheme="majorHAnsi"/>
          <w:b/>
          <w:sz w:val="20"/>
          <w:szCs w:val="20"/>
        </w:rPr>
      </w:pPr>
      <w:r w:rsidRPr="004D5C4A">
        <w:rPr>
          <w:rFonts w:asciiTheme="majorHAnsi" w:hAnsiTheme="majorHAnsi"/>
          <w:b/>
          <w:sz w:val="20"/>
          <w:szCs w:val="20"/>
        </w:rPr>
        <w:t xml:space="preserve">Admissibility </w:t>
      </w:r>
    </w:p>
    <w:p w:rsidR="00C73045" w:rsidRPr="004D5C4A" w:rsidRDefault="00C73045" w:rsidP="00C73045">
      <w:pPr>
        <w:ind w:firstLine="720"/>
        <w:jc w:val="both"/>
        <w:rPr>
          <w:rFonts w:asciiTheme="majorHAnsi" w:hAnsiTheme="majorHAnsi"/>
          <w:sz w:val="20"/>
          <w:szCs w:val="20"/>
        </w:rPr>
      </w:pPr>
    </w:p>
    <w:p w:rsidR="00C73045" w:rsidRPr="004D5C4A" w:rsidRDefault="00C73045" w:rsidP="00C73045">
      <w:pPr>
        <w:pStyle w:val="Subtitle"/>
        <w:rPr>
          <w:lang w:val="en-US"/>
        </w:rPr>
      </w:pPr>
      <w:r w:rsidRPr="004D5C4A">
        <w:rPr>
          <w:lang w:val="en-US"/>
        </w:rPr>
        <w:t>1.</w:t>
      </w:r>
      <w:r w:rsidRPr="004D5C4A">
        <w:rPr>
          <w:lang w:val="en-US"/>
        </w:rPr>
        <w:tab/>
        <w:t xml:space="preserve">Exhaustion of domestic remedies </w:t>
      </w:r>
    </w:p>
    <w:p w:rsidR="00C73045" w:rsidRPr="004D5C4A" w:rsidRDefault="00C73045" w:rsidP="00C73045">
      <w:pPr>
        <w:tabs>
          <w:tab w:val="center" w:pos="4680"/>
          <w:tab w:val="left" w:pos="6511"/>
        </w:tabs>
        <w:ind w:firstLine="720"/>
        <w:jc w:val="both"/>
        <w:rPr>
          <w:rFonts w:asciiTheme="majorHAnsi" w:hAnsiTheme="majorHAnsi" w:cs="Calibri"/>
          <w:b/>
          <w:sz w:val="20"/>
          <w:szCs w:val="20"/>
        </w:rPr>
      </w:pPr>
    </w:p>
    <w:p w:rsidR="00C73045" w:rsidRPr="004D5C4A" w:rsidRDefault="00C73045" w:rsidP="00C73045">
      <w:pPr>
        <w:pStyle w:val="ListParagraph"/>
        <w:numPr>
          <w:ilvl w:val="0"/>
          <w:numId w:val="107"/>
        </w:numPr>
        <w:ind w:left="0" w:firstLine="720"/>
        <w:jc w:val="both"/>
        <w:rPr>
          <w:sz w:val="20"/>
          <w:szCs w:val="20"/>
        </w:rPr>
      </w:pPr>
      <w:r w:rsidRPr="004D5C4A">
        <w:rPr>
          <w:sz w:val="20"/>
          <w:szCs w:val="20"/>
        </w:rPr>
        <w:t xml:space="preserve">Article 46(1)(a) of the American Convention requires the prior exhaustion of remedies available in the domestic jurisdiction in keeping with generally recognized principles of international law as a requirement for the admission of claims alleging violation of the American Convention.  The purpose of this requirement is to afford the domestic authorities an opportunity to take cognizance of the alleged violation of a protected right and, if appropriate, to resolve the situation before it is heard by an international mechanism. </w:t>
      </w:r>
    </w:p>
    <w:p w:rsidR="00C73045" w:rsidRPr="004D5C4A" w:rsidRDefault="00C73045" w:rsidP="00C73045">
      <w:pPr>
        <w:pStyle w:val="Heading3"/>
        <w:ind w:firstLine="720"/>
        <w:rPr>
          <w:sz w:val="20"/>
          <w:szCs w:val="20"/>
        </w:rPr>
      </w:pPr>
    </w:p>
    <w:p w:rsidR="00C73045" w:rsidRPr="004D5C4A" w:rsidRDefault="00C73045" w:rsidP="00C73045">
      <w:pPr>
        <w:pStyle w:val="ListParagraph"/>
        <w:numPr>
          <w:ilvl w:val="0"/>
          <w:numId w:val="107"/>
        </w:numPr>
        <w:ind w:left="0" w:firstLine="720"/>
        <w:jc w:val="both"/>
        <w:rPr>
          <w:rFonts w:eastAsia="MS Mincho"/>
          <w:sz w:val="20"/>
          <w:szCs w:val="20"/>
        </w:rPr>
      </w:pPr>
      <w:r w:rsidRPr="004D5C4A">
        <w:rPr>
          <w:rFonts w:eastAsia="MS Mincho"/>
          <w:sz w:val="20"/>
          <w:szCs w:val="20"/>
        </w:rPr>
        <w:t xml:space="preserve">The State alleged that when the petition was filed there were proceedings under way that were being handled effectively by the state authorities. It also affirmed that there has not been an </w:t>
      </w:r>
      <w:r w:rsidRPr="004D5C4A">
        <w:rPr>
          <w:rFonts w:eastAsia="MS Mincho"/>
          <w:sz w:val="20"/>
          <w:szCs w:val="20"/>
        </w:rPr>
        <w:lastRenderedPageBreak/>
        <w:t xml:space="preserve">unwarranted delay in those proceedings, as it is a complex matter and the authorities in charge of it have not engaged in excessive delays. In a submission filed October 12, 2006, the State acknowledged final exhaustion of domestic remedies “as the situation raised was resolved pursuant to the remedies and institutions of existing Mexican law, and with the favorable resolution for Mr. Veraza Urtusuástegui, of the situation that </w:t>
      </w:r>
      <w:r w:rsidR="006E2CB3">
        <w:rPr>
          <w:rFonts w:eastAsia="MS Mincho"/>
          <w:sz w:val="20"/>
          <w:szCs w:val="20"/>
        </w:rPr>
        <w:t xml:space="preserve">he </w:t>
      </w:r>
      <w:r w:rsidRPr="004D5C4A">
        <w:rPr>
          <w:rFonts w:eastAsia="MS Mincho"/>
          <w:sz w:val="20"/>
          <w:szCs w:val="20"/>
        </w:rPr>
        <w:t xml:space="preserve">alleged negatively impacted him.” With that, the State argues that the petition became inadmissible, as the grounds on which it was brought ceased to exist. </w:t>
      </w:r>
    </w:p>
    <w:p w:rsidR="00C73045" w:rsidRPr="004D5C4A" w:rsidRDefault="00C73045" w:rsidP="00C73045">
      <w:pPr>
        <w:pStyle w:val="Heading3"/>
        <w:ind w:firstLine="720"/>
        <w:rPr>
          <w:rFonts w:eastAsia="MS Mincho"/>
          <w:sz w:val="20"/>
          <w:szCs w:val="20"/>
        </w:rPr>
      </w:pPr>
    </w:p>
    <w:p w:rsidR="00C73045" w:rsidRDefault="00C73045" w:rsidP="00C73045">
      <w:pPr>
        <w:pStyle w:val="ListParagraph"/>
        <w:numPr>
          <w:ilvl w:val="0"/>
          <w:numId w:val="107"/>
        </w:numPr>
        <w:ind w:left="0" w:firstLine="720"/>
        <w:jc w:val="both"/>
        <w:rPr>
          <w:sz w:val="20"/>
          <w:szCs w:val="20"/>
        </w:rPr>
      </w:pPr>
      <w:r w:rsidRPr="004D5C4A">
        <w:rPr>
          <w:rFonts w:eastAsia="MS Mincho"/>
          <w:sz w:val="20"/>
          <w:szCs w:val="20"/>
        </w:rPr>
        <w:t xml:space="preserve">The Commission observes that according to the information provided by the parties, domestic judicial remedies were finally exhausted with the Supreme Court decision of October 17, 2005, by which it ruled on complaint appeal 11/2004, ordering the payment of the corresponding compensation. In this </w:t>
      </w:r>
      <w:r w:rsidRPr="004D5C4A">
        <w:rPr>
          <w:sz w:val="20"/>
          <w:szCs w:val="20"/>
        </w:rPr>
        <w:t>respect, the Commission reiterates its doctrine according to which the analysis of the requirements set out at Articles 46 and 47 of the Convention should be made in light of the situation at the time of the ruling on the admissibility or inadmissibility of the claim. It is very common, during the processing of a matter, for changes to occur in the status of exhaustion of domestic remedies. Nonetheless, the system of petitions and cases ensures that both the State and the petitioner have the full opportunity to submit information and arguments on this point.</w:t>
      </w:r>
      <w:r w:rsidRPr="004D5C4A">
        <w:rPr>
          <w:rStyle w:val="FootnoteReference"/>
          <w:sz w:val="20"/>
          <w:szCs w:val="20"/>
        </w:rPr>
        <w:footnoteReference w:id="3"/>
      </w:r>
      <w:r w:rsidRPr="004D5C4A">
        <w:rPr>
          <w:sz w:val="20"/>
          <w:szCs w:val="20"/>
        </w:rPr>
        <w:t xml:space="preserve"> </w:t>
      </w:r>
    </w:p>
    <w:p w:rsidR="00667D91" w:rsidRPr="00667D91" w:rsidRDefault="00667D91" w:rsidP="00667D91">
      <w:pPr>
        <w:pStyle w:val="ListParagraph"/>
        <w:rPr>
          <w:sz w:val="20"/>
          <w:szCs w:val="20"/>
        </w:rPr>
      </w:pPr>
    </w:p>
    <w:p w:rsidR="00667D91" w:rsidRDefault="00667D91" w:rsidP="00C73045">
      <w:pPr>
        <w:pStyle w:val="ListParagraph"/>
        <w:numPr>
          <w:ilvl w:val="0"/>
          <w:numId w:val="107"/>
        </w:numPr>
        <w:ind w:left="0" w:firstLine="720"/>
        <w:jc w:val="both"/>
        <w:rPr>
          <w:sz w:val="20"/>
          <w:szCs w:val="20"/>
        </w:rPr>
      </w:pPr>
      <w:r>
        <w:rPr>
          <w:sz w:val="20"/>
          <w:szCs w:val="20"/>
        </w:rPr>
        <w:t>With regard to the alleged arbitrary deprivation of liberty, according to the information provided</w:t>
      </w:r>
      <w:r w:rsidR="00B16E23">
        <w:rPr>
          <w:sz w:val="20"/>
          <w:szCs w:val="20"/>
        </w:rPr>
        <w:t>,</w:t>
      </w:r>
      <w:r>
        <w:rPr>
          <w:sz w:val="20"/>
          <w:szCs w:val="20"/>
        </w:rPr>
        <w:t xml:space="preserve"> </w:t>
      </w:r>
      <w:r w:rsidR="00B16E23">
        <w:rPr>
          <w:sz w:val="20"/>
          <w:szCs w:val="20"/>
        </w:rPr>
        <w:t xml:space="preserve">on August 18, 2006, the </w:t>
      </w:r>
      <w:r w:rsidR="00B16E23" w:rsidRPr="004D5C4A">
        <w:rPr>
          <w:sz w:val="20"/>
          <w:szCs w:val="20"/>
        </w:rPr>
        <w:t>Fifth Collegial Court for Criminal Matters of the First Circuit</w:t>
      </w:r>
      <w:r w:rsidR="00B16E23">
        <w:rPr>
          <w:sz w:val="20"/>
          <w:szCs w:val="20"/>
        </w:rPr>
        <w:t xml:space="preserve"> </w:t>
      </w:r>
      <w:r w:rsidR="00B16E23" w:rsidRPr="004D5C4A">
        <w:rPr>
          <w:sz w:val="20"/>
          <w:szCs w:val="20"/>
        </w:rPr>
        <w:t>ordered the arrest warrant cancelled</w:t>
      </w:r>
      <w:r w:rsidR="00B16E23">
        <w:rPr>
          <w:sz w:val="20"/>
          <w:szCs w:val="20"/>
        </w:rPr>
        <w:t>.</w:t>
      </w:r>
    </w:p>
    <w:p w:rsidR="003F2B71" w:rsidRPr="004D5C4A" w:rsidRDefault="003F2B71" w:rsidP="003F2B71">
      <w:pPr>
        <w:pStyle w:val="ListParagraph"/>
        <w:jc w:val="both"/>
        <w:rPr>
          <w:sz w:val="20"/>
          <w:szCs w:val="20"/>
        </w:rPr>
      </w:pPr>
    </w:p>
    <w:p w:rsidR="00C73045" w:rsidRPr="004D5C4A" w:rsidRDefault="00C73045" w:rsidP="00C73045">
      <w:pPr>
        <w:pStyle w:val="ListParagraph"/>
        <w:numPr>
          <w:ilvl w:val="0"/>
          <w:numId w:val="107"/>
        </w:numPr>
        <w:ind w:left="0" w:firstLine="720"/>
        <w:jc w:val="both"/>
        <w:rPr>
          <w:sz w:val="20"/>
          <w:szCs w:val="20"/>
        </w:rPr>
      </w:pPr>
      <w:r w:rsidRPr="004D5C4A">
        <w:rPr>
          <w:sz w:val="20"/>
          <w:szCs w:val="20"/>
        </w:rPr>
        <w:t xml:space="preserve">Therefore the Commission concludes that in the instant case, domestic remedies were pursued and exhausted in keeping with Article </w:t>
      </w:r>
      <w:r w:rsidRPr="004D5C4A">
        <w:rPr>
          <w:rFonts w:cs="Arial"/>
          <w:sz w:val="20"/>
          <w:szCs w:val="20"/>
        </w:rPr>
        <w:t>46(1)(a) of the American Convention.</w:t>
      </w:r>
      <w:r w:rsidRPr="004D5C4A">
        <w:rPr>
          <w:sz w:val="20"/>
          <w:szCs w:val="20"/>
        </w:rPr>
        <w:t xml:space="preserve"> </w:t>
      </w:r>
    </w:p>
    <w:p w:rsidR="00C73045" w:rsidRPr="004D5C4A" w:rsidRDefault="00C73045" w:rsidP="00C73045">
      <w:pPr>
        <w:tabs>
          <w:tab w:val="center" w:pos="4680"/>
          <w:tab w:val="left" w:pos="6511"/>
        </w:tabs>
        <w:ind w:firstLine="720"/>
        <w:jc w:val="both"/>
        <w:rPr>
          <w:rFonts w:asciiTheme="majorHAnsi" w:hAnsiTheme="majorHAnsi" w:cs="Calibri"/>
          <w:sz w:val="20"/>
          <w:szCs w:val="20"/>
        </w:rPr>
      </w:pPr>
    </w:p>
    <w:p w:rsidR="00C73045" w:rsidRPr="004D5C4A" w:rsidRDefault="00C73045" w:rsidP="00C73045">
      <w:pPr>
        <w:pStyle w:val="Subtitle"/>
        <w:rPr>
          <w:lang w:val="en-US"/>
        </w:rPr>
      </w:pPr>
      <w:r w:rsidRPr="004D5C4A">
        <w:rPr>
          <w:lang w:val="en-US"/>
        </w:rPr>
        <w:t>2.</w:t>
      </w:r>
      <w:r w:rsidRPr="004D5C4A">
        <w:rPr>
          <w:lang w:val="en-US"/>
        </w:rPr>
        <w:tab/>
      </w:r>
      <w:r w:rsidR="006E2CB3">
        <w:rPr>
          <w:lang w:val="en-US"/>
        </w:rPr>
        <w:t>Timeliness of the petition</w:t>
      </w:r>
      <w:r w:rsidRPr="004D5C4A">
        <w:rPr>
          <w:lang w:val="en-US"/>
        </w:rPr>
        <w:t xml:space="preserve"> </w:t>
      </w:r>
    </w:p>
    <w:p w:rsidR="00C73045" w:rsidRPr="004D5C4A" w:rsidRDefault="00C73045" w:rsidP="00C73045">
      <w:pPr>
        <w:rPr>
          <w:sz w:val="20"/>
          <w:szCs w:val="20"/>
        </w:rPr>
      </w:pPr>
    </w:p>
    <w:p w:rsidR="00C73045" w:rsidRPr="004D5C4A" w:rsidRDefault="00C73045" w:rsidP="00C73045">
      <w:pPr>
        <w:pStyle w:val="ListParagraph"/>
        <w:numPr>
          <w:ilvl w:val="0"/>
          <w:numId w:val="107"/>
        </w:numPr>
        <w:ind w:left="0" w:firstLine="720"/>
        <w:jc w:val="both"/>
        <w:rPr>
          <w:sz w:val="20"/>
          <w:szCs w:val="20"/>
        </w:rPr>
      </w:pPr>
      <w:r w:rsidRPr="004D5C4A">
        <w:rPr>
          <w:sz w:val="20"/>
          <w:szCs w:val="20"/>
        </w:rPr>
        <w:t xml:space="preserve">Article 46(1)(b) of the American Convention establishes that for a petition to be admissible by the Commission, it must be filed within six months of the date on which the alleged victim has been notified of the final decision. </w:t>
      </w:r>
    </w:p>
    <w:p w:rsidR="00C73045" w:rsidRPr="004D5C4A" w:rsidRDefault="00C73045" w:rsidP="00C73045">
      <w:pPr>
        <w:pStyle w:val="Heading3"/>
        <w:spacing w:before="0"/>
        <w:ind w:firstLine="720"/>
        <w:rPr>
          <w:color w:val="FF0000"/>
          <w:sz w:val="20"/>
          <w:szCs w:val="20"/>
        </w:rPr>
      </w:pPr>
    </w:p>
    <w:p w:rsidR="00C73045" w:rsidRPr="004D5C4A" w:rsidRDefault="00C73045" w:rsidP="00C73045">
      <w:pPr>
        <w:pStyle w:val="ListParagraph"/>
        <w:numPr>
          <w:ilvl w:val="0"/>
          <w:numId w:val="107"/>
        </w:numPr>
        <w:ind w:left="0" w:firstLine="720"/>
        <w:jc w:val="both"/>
        <w:rPr>
          <w:sz w:val="20"/>
          <w:szCs w:val="20"/>
        </w:rPr>
      </w:pPr>
      <w:r w:rsidRPr="004D5C4A">
        <w:rPr>
          <w:sz w:val="20"/>
          <w:szCs w:val="20"/>
        </w:rPr>
        <w:t xml:space="preserve">The petition before the IACHR was filed on November 12, 2002, and domestic remedies were exhausted on October </w:t>
      </w:r>
      <w:r w:rsidRPr="004D5C4A">
        <w:rPr>
          <w:rFonts w:eastAsia="MS Mincho"/>
          <w:sz w:val="20"/>
          <w:szCs w:val="20"/>
        </w:rPr>
        <w:t>17, 2005,</w:t>
      </w:r>
      <w:r w:rsidR="00806309">
        <w:rPr>
          <w:rFonts w:eastAsia="MS Mincho"/>
          <w:sz w:val="20"/>
          <w:szCs w:val="20"/>
        </w:rPr>
        <w:t xml:space="preserve"> and </w:t>
      </w:r>
      <w:r w:rsidR="00806309">
        <w:rPr>
          <w:sz w:val="20"/>
          <w:szCs w:val="20"/>
        </w:rPr>
        <w:t>August 18, 2006</w:t>
      </w:r>
      <w:r w:rsidRPr="004D5C4A">
        <w:rPr>
          <w:sz w:val="20"/>
          <w:szCs w:val="20"/>
        </w:rPr>
        <w:t>. Therefore, the exhaustion of domestic remedies occurred while the case was being examined for admissibility. In these circumstances, complying with the requirement of filing the petition within a reasonable time is intrinsically tied to the exhaustion of domestic remedies and, therefore, it should be considered to have been met.</w:t>
      </w:r>
      <w:r w:rsidRPr="004D5C4A">
        <w:rPr>
          <w:rStyle w:val="FootnoteReference"/>
          <w:sz w:val="20"/>
          <w:szCs w:val="20"/>
        </w:rPr>
        <w:footnoteReference w:id="4"/>
      </w:r>
    </w:p>
    <w:p w:rsidR="00C73045" w:rsidRPr="004D5C4A" w:rsidRDefault="00C73045" w:rsidP="00C73045">
      <w:pPr>
        <w:ind w:firstLine="720"/>
        <w:jc w:val="both"/>
        <w:rPr>
          <w:rFonts w:asciiTheme="majorHAnsi" w:hAnsiTheme="majorHAnsi"/>
          <w:sz w:val="20"/>
          <w:szCs w:val="20"/>
          <w:lang w:eastAsia="es-ES"/>
        </w:rPr>
      </w:pPr>
    </w:p>
    <w:p w:rsidR="00C73045" w:rsidRPr="004D5C4A" w:rsidRDefault="00C73045" w:rsidP="00C73045">
      <w:pPr>
        <w:pStyle w:val="Subtitle"/>
        <w:rPr>
          <w:lang w:val="en-US"/>
        </w:rPr>
      </w:pPr>
      <w:r w:rsidRPr="004D5C4A">
        <w:rPr>
          <w:lang w:val="en-US"/>
        </w:rPr>
        <w:t>3.</w:t>
      </w:r>
      <w:r w:rsidRPr="004D5C4A">
        <w:rPr>
          <w:lang w:val="en-US"/>
        </w:rPr>
        <w:tab/>
        <w:t xml:space="preserve">Duplication of procedures and international </w:t>
      </w:r>
      <w:r w:rsidRPr="004D5C4A">
        <w:rPr>
          <w:i/>
          <w:iCs/>
          <w:lang w:val="en-US"/>
        </w:rPr>
        <w:t>res judicata</w:t>
      </w:r>
    </w:p>
    <w:p w:rsidR="00C73045" w:rsidRPr="004D5C4A" w:rsidRDefault="00C73045" w:rsidP="00C73045">
      <w:pPr>
        <w:ind w:firstLine="720"/>
        <w:jc w:val="both"/>
        <w:rPr>
          <w:rFonts w:asciiTheme="majorHAnsi" w:hAnsiTheme="majorHAnsi"/>
          <w:sz w:val="20"/>
          <w:szCs w:val="20"/>
        </w:rPr>
      </w:pPr>
    </w:p>
    <w:p w:rsidR="00C73045" w:rsidRPr="004D5C4A" w:rsidRDefault="00C73045" w:rsidP="00C73045">
      <w:pPr>
        <w:pStyle w:val="ListParagraph"/>
        <w:numPr>
          <w:ilvl w:val="0"/>
          <w:numId w:val="107"/>
        </w:numPr>
        <w:ind w:left="0" w:firstLine="720"/>
        <w:jc w:val="both"/>
        <w:rPr>
          <w:sz w:val="20"/>
          <w:szCs w:val="20"/>
        </w:rPr>
      </w:pPr>
      <w:r w:rsidRPr="004D5C4A">
        <w:rPr>
          <w:sz w:val="20"/>
          <w:szCs w:val="20"/>
        </w:rPr>
        <w:t>It does not appear from the record that the subject matter of the petition is pending before any other procedure for international settlement or that it reproduces a petition already examined by this or any other international body. Therefore, the grounds of inadmissibility established at Articles 46(1)(c) and 47(d) of the Convention do not apply.</w:t>
      </w:r>
    </w:p>
    <w:p w:rsidR="00C73045" w:rsidRPr="004D5C4A" w:rsidRDefault="00C73045" w:rsidP="00C73045">
      <w:pPr>
        <w:ind w:firstLine="720"/>
        <w:jc w:val="both"/>
        <w:rPr>
          <w:rFonts w:asciiTheme="majorHAnsi" w:hAnsiTheme="majorHAnsi"/>
          <w:sz w:val="20"/>
          <w:szCs w:val="20"/>
        </w:rPr>
      </w:pPr>
    </w:p>
    <w:p w:rsidR="00C73045" w:rsidRPr="004D5C4A" w:rsidRDefault="00C73045" w:rsidP="00C73045">
      <w:pPr>
        <w:pStyle w:val="Subtitle"/>
        <w:rPr>
          <w:lang w:val="en-US"/>
        </w:rPr>
      </w:pPr>
      <w:r w:rsidRPr="004D5C4A">
        <w:rPr>
          <w:lang w:val="en-US"/>
        </w:rPr>
        <w:t>4.</w:t>
      </w:r>
      <w:r w:rsidRPr="004D5C4A">
        <w:rPr>
          <w:lang w:val="en-US"/>
        </w:rPr>
        <w:tab/>
        <w:t xml:space="preserve">Colorable claim </w:t>
      </w:r>
    </w:p>
    <w:p w:rsidR="00C73045" w:rsidRPr="004D5C4A" w:rsidRDefault="00C73045" w:rsidP="00C73045">
      <w:pPr>
        <w:ind w:firstLine="720"/>
        <w:jc w:val="both"/>
        <w:rPr>
          <w:rFonts w:asciiTheme="majorHAnsi" w:hAnsiTheme="majorHAnsi"/>
          <w:sz w:val="20"/>
          <w:szCs w:val="20"/>
        </w:rPr>
      </w:pPr>
    </w:p>
    <w:p w:rsidR="00C73045" w:rsidRPr="004D5C4A" w:rsidRDefault="00C73045" w:rsidP="00C73045">
      <w:pPr>
        <w:pStyle w:val="ListParagraph"/>
        <w:numPr>
          <w:ilvl w:val="0"/>
          <w:numId w:val="107"/>
        </w:numPr>
        <w:ind w:left="0" w:firstLine="720"/>
        <w:jc w:val="both"/>
        <w:rPr>
          <w:sz w:val="20"/>
          <w:szCs w:val="20"/>
        </w:rPr>
      </w:pPr>
      <w:r w:rsidRPr="004D5C4A">
        <w:rPr>
          <w:sz w:val="20"/>
          <w:szCs w:val="20"/>
        </w:rPr>
        <w:t xml:space="preserve">For purposes of admissibility, the Commission must decide whether the facts alleged, if true, tend to establish a violation of rights, as stipulated in Article 47(b) of the American Convention, or whether the petition is "manifestly groundless" or "obviously out of order," as per Article 47(c). The criterion for analyzing admissibility is different from that used to analyze the merits of a petition, given that the </w:t>
      </w:r>
      <w:r w:rsidRPr="004D5C4A">
        <w:rPr>
          <w:sz w:val="20"/>
          <w:szCs w:val="20"/>
        </w:rPr>
        <w:lastRenderedPageBreak/>
        <w:t xml:space="preserve">Commission performs only a </w:t>
      </w:r>
      <w:r w:rsidRPr="004D5C4A">
        <w:rPr>
          <w:i/>
          <w:sz w:val="20"/>
          <w:szCs w:val="20"/>
        </w:rPr>
        <w:t>prima facie</w:t>
      </w:r>
      <w:r w:rsidRPr="004D5C4A">
        <w:rPr>
          <w:sz w:val="20"/>
          <w:szCs w:val="20"/>
        </w:rPr>
        <w:t xml:space="preserve"> analysis to determine whether the petition establish</w:t>
      </w:r>
      <w:r w:rsidR="006E2CB3">
        <w:rPr>
          <w:sz w:val="20"/>
          <w:szCs w:val="20"/>
        </w:rPr>
        <w:t>es</w:t>
      </w:r>
      <w:r w:rsidRPr="004D5C4A">
        <w:rPr>
          <w:sz w:val="20"/>
          <w:szCs w:val="20"/>
        </w:rPr>
        <w:t xml:space="preserve"> the apparent or possible violation of a right guaranteed by the American Convention. It is a summary analysis that does not entail prejudging or issuing a preliminary opinion on the merits. </w:t>
      </w:r>
    </w:p>
    <w:p w:rsidR="00C73045" w:rsidRPr="004D5C4A" w:rsidRDefault="00C73045" w:rsidP="00C73045">
      <w:pPr>
        <w:pStyle w:val="ListParagraph"/>
        <w:ind w:left="0" w:firstLine="720"/>
        <w:jc w:val="both"/>
        <w:rPr>
          <w:rFonts w:asciiTheme="majorHAnsi" w:eastAsia="Arial Unicode MS" w:hAnsiTheme="majorHAnsi" w:cs="Times New Roman"/>
          <w:color w:val="auto"/>
          <w:sz w:val="20"/>
          <w:szCs w:val="20"/>
          <w:lang w:eastAsia="en-US"/>
        </w:rPr>
      </w:pPr>
    </w:p>
    <w:p w:rsidR="00C73045" w:rsidRPr="004D5C4A" w:rsidRDefault="00C73045" w:rsidP="00C73045">
      <w:pPr>
        <w:pStyle w:val="ListParagraph"/>
        <w:numPr>
          <w:ilvl w:val="0"/>
          <w:numId w:val="107"/>
        </w:numPr>
        <w:ind w:left="0" w:firstLine="720"/>
        <w:jc w:val="both"/>
        <w:rPr>
          <w:rFonts w:eastAsia="Arial Unicode MS"/>
          <w:sz w:val="20"/>
          <w:szCs w:val="20"/>
        </w:rPr>
      </w:pPr>
      <w:r w:rsidRPr="004D5C4A">
        <w:rPr>
          <w:rFonts w:eastAsia="Arial Unicode MS"/>
          <w:sz w:val="20"/>
          <w:szCs w:val="20"/>
        </w:rPr>
        <w:t xml:space="preserve">In addition, neither the American Convention nor the IACHR’s Rules of Procedure require that the petitioner identify the specific rights allegedly violated by the State in the matter submitted to the Commission. It is up to the Commission, based on the case-law of the system, to determine in its reports on admissibility which provision of the relevant inter-American instruments is applicable, and in respect of which a violation could be established if the facts alleged are proven by sufficient evidence. </w:t>
      </w:r>
    </w:p>
    <w:p w:rsidR="00C73045" w:rsidRPr="004D5C4A" w:rsidRDefault="00C73045" w:rsidP="00C73045">
      <w:pPr>
        <w:ind w:firstLine="720"/>
        <w:jc w:val="both"/>
        <w:rPr>
          <w:rFonts w:asciiTheme="majorHAnsi" w:hAnsiTheme="majorHAnsi"/>
          <w:sz w:val="20"/>
          <w:szCs w:val="20"/>
        </w:rPr>
      </w:pPr>
    </w:p>
    <w:p w:rsidR="00C73045" w:rsidRPr="004D5C4A" w:rsidRDefault="00C73045" w:rsidP="00C73045">
      <w:pPr>
        <w:pStyle w:val="ListParagraph"/>
        <w:numPr>
          <w:ilvl w:val="0"/>
          <w:numId w:val="107"/>
        </w:numPr>
        <w:ind w:left="0" w:firstLine="720"/>
        <w:jc w:val="both"/>
        <w:rPr>
          <w:sz w:val="20"/>
          <w:szCs w:val="20"/>
        </w:rPr>
      </w:pPr>
      <w:r w:rsidRPr="004D5C4A">
        <w:rPr>
          <w:sz w:val="20"/>
          <w:szCs w:val="20"/>
        </w:rPr>
        <w:t>In the instant matter the State argues that the facts that are the subject matter of the petition not only do not tend to establish a violation of the rights enshrined in the American Convention, but in addition</w:t>
      </w:r>
      <w:r w:rsidR="006E2CB3">
        <w:rPr>
          <w:sz w:val="20"/>
          <w:szCs w:val="20"/>
        </w:rPr>
        <w:t>,</w:t>
      </w:r>
      <w:r w:rsidRPr="004D5C4A">
        <w:rPr>
          <w:sz w:val="20"/>
          <w:szCs w:val="20"/>
        </w:rPr>
        <w:t xml:space="preserve"> that all the judicial proceedings were resolved favorably for the petitioner. It adds that the petition should be found inadmissible insofar as the IACHR is not authorized to review domestic judicial decisions handed down based on considerations of legality and justice. The petitioner argues that the Mexican authorities delayed the administrative and judicial procedures over 35 years, from 1974, when the administrative review procedure was begun, to October 2005, when the last order was issued by the Supreme Court ordering payment of the respective compensation. </w:t>
      </w:r>
      <w:r w:rsidR="006E2CB3">
        <w:rPr>
          <w:sz w:val="20"/>
          <w:szCs w:val="20"/>
        </w:rPr>
        <w:t>The petitioner</w:t>
      </w:r>
      <w:r w:rsidRPr="004D5C4A">
        <w:rPr>
          <w:sz w:val="20"/>
          <w:szCs w:val="20"/>
        </w:rPr>
        <w:t xml:space="preserve"> further adduces that the Supreme Court’s decision gave retroactive application to a constitutional amendment, in violation of the right to property and the principles of </w:t>
      </w:r>
      <w:r w:rsidRPr="004D5C4A">
        <w:rPr>
          <w:i/>
          <w:iCs/>
          <w:sz w:val="20"/>
          <w:szCs w:val="20"/>
        </w:rPr>
        <w:t>res judicata</w:t>
      </w:r>
      <w:r w:rsidRPr="004D5C4A">
        <w:rPr>
          <w:sz w:val="20"/>
          <w:szCs w:val="20"/>
        </w:rPr>
        <w:t xml:space="preserve"> and the freedom from ex post facto laws. In addition, as the result of said retroactive interpretation, the amount of the compensation paid the petitioner would have been significantly less than the property’s real value. </w:t>
      </w:r>
      <w:r w:rsidR="00C00C7F">
        <w:rPr>
          <w:sz w:val="20"/>
          <w:szCs w:val="20"/>
        </w:rPr>
        <w:t xml:space="preserve">He also alleges that he </w:t>
      </w:r>
      <w:r w:rsidR="00C00C7F" w:rsidRPr="004D5C4A">
        <w:rPr>
          <w:sz w:val="20"/>
          <w:szCs w:val="20"/>
        </w:rPr>
        <w:t>was unjustly deprived of liberty for seven months without having committed any offense whatsoever, and in view of the defamatory statements by the State, his rights to judicial protection and to honor and dignity were violated</w:t>
      </w:r>
      <w:r w:rsidR="00C00C7F">
        <w:rPr>
          <w:sz w:val="20"/>
          <w:szCs w:val="20"/>
        </w:rPr>
        <w:t>.</w:t>
      </w:r>
    </w:p>
    <w:p w:rsidR="00C73045" w:rsidRPr="004D5C4A" w:rsidRDefault="00C73045" w:rsidP="00C73045">
      <w:pPr>
        <w:ind w:firstLine="720"/>
        <w:rPr>
          <w:sz w:val="20"/>
          <w:szCs w:val="20"/>
          <w:lang w:eastAsia="es-ES"/>
        </w:rPr>
      </w:pPr>
    </w:p>
    <w:p w:rsidR="00C73045" w:rsidRPr="004D5C4A" w:rsidRDefault="00C73045" w:rsidP="00C73045">
      <w:pPr>
        <w:pStyle w:val="ListParagraph"/>
        <w:numPr>
          <w:ilvl w:val="0"/>
          <w:numId w:val="107"/>
        </w:numPr>
        <w:ind w:left="0" w:firstLine="720"/>
        <w:jc w:val="both"/>
        <w:rPr>
          <w:sz w:val="20"/>
          <w:szCs w:val="20"/>
        </w:rPr>
      </w:pPr>
      <w:r w:rsidRPr="004D5C4A">
        <w:rPr>
          <w:sz w:val="20"/>
          <w:szCs w:val="20"/>
        </w:rPr>
        <w:t>With respect to the argument put forward by the State, the IACHR reiterates what is established in its case-law affirming that it is not competent to review the judgments handed down by domestic courts acting within the scope of their authority and applying due process and judicial guarantees. The Commission cannot act as a court of appeals to review the alleged errors of law or fact that may have been made by the domestic courts. Nonetheless, within the bounds of its mandate to guarantee the observance of the rights enshrined in the American Convention, the Commission is competent to find a petition admissible and to rule on the merits when it refers to a domestic court judgment handed down in violation of due process or in violation of any other right guaranteed by the American Convention.</w:t>
      </w:r>
      <w:r w:rsidRPr="004D5C4A">
        <w:rPr>
          <w:rFonts w:eastAsia="Trebuchet MS"/>
          <w:sz w:val="20"/>
          <w:szCs w:val="20"/>
          <w:vertAlign w:val="superscript"/>
        </w:rPr>
        <w:footnoteReference w:id="5"/>
      </w:r>
      <w:r w:rsidRPr="004D5C4A">
        <w:rPr>
          <w:sz w:val="20"/>
          <w:szCs w:val="20"/>
        </w:rPr>
        <w:t xml:space="preserve"> </w:t>
      </w:r>
    </w:p>
    <w:p w:rsidR="00C73045" w:rsidRPr="004D5C4A" w:rsidRDefault="00C73045" w:rsidP="00C7304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firstLine="720"/>
        <w:jc w:val="both"/>
        <w:outlineLvl w:val="1"/>
        <w:rPr>
          <w:rFonts w:asciiTheme="majorHAnsi" w:eastAsia="Times New Roman" w:hAnsiTheme="majorHAnsi" w:cs="Arial"/>
          <w:bCs/>
          <w:iCs/>
          <w:sz w:val="20"/>
          <w:szCs w:val="20"/>
          <w:bdr w:val="none" w:sz="0" w:space="0" w:color="auto"/>
        </w:rPr>
      </w:pPr>
    </w:p>
    <w:p w:rsidR="00C73045" w:rsidRPr="004D5C4A" w:rsidRDefault="00C73045" w:rsidP="00C73045">
      <w:pPr>
        <w:pStyle w:val="ListParagraph"/>
        <w:numPr>
          <w:ilvl w:val="0"/>
          <w:numId w:val="107"/>
        </w:numPr>
        <w:ind w:left="0" w:firstLine="720"/>
        <w:jc w:val="both"/>
        <w:rPr>
          <w:sz w:val="20"/>
          <w:szCs w:val="20"/>
        </w:rPr>
      </w:pPr>
      <w:r w:rsidRPr="004D5C4A">
        <w:rPr>
          <w:sz w:val="20"/>
          <w:szCs w:val="20"/>
        </w:rPr>
        <w:t>According to this doctrine, the Commission observes that on admitting this petition it does not seek to supplant the jurisdiction of the domestic judicial authorities to examine errors of fact and law that may have been made by domestic courts. The Commission will only determine in the merits phase whether the decisions made and acts carried out by the Mexican courts and authorities were handed down within the bounds of due process guarantees and in violation of the rights protected by the American Convention.</w:t>
      </w:r>
      <w:r w:rsidRPr="004D5C4A">
        <w:rPr>
          <w:rFonts w:eastAsia="Trebuchet MS"/>
          <w:sz w:val="20"/>
          <w:szCs w:val="20"/>
          <w:vertAlign w:val="superscript"/>
        </w:rPr>
        <w:footnoteReference w:id="6"/>
      </w:r>
      <w:r w:rsidRPr="004D5C4A">
        <w:rPr>
          <w:sz w:val="20"/>
          <w:szCs w:val="20"/>
        </w:rPr>
        <w:t xml:space="preserve"> In addition, the Commission will analyze whether the State complied with the duty to guarantee judicial protection for the alleged victim in relation to compliance with judgments which, according to the petitioner, were favorable to him.</w:t>
      </w:r>
    </w:p>
    <w:p w:rsidR="00C73045" w:rsidRPr="004D5C4A" w:rsidRDefault="00C73045" w:rsidP="00C73045">
      <w:pPr>
        <w:ind w:firstLine="720"/>
        <w:jc w:val="both"/>
        <w:rPr>
          <w:rFonts w:asciiTheme="majorHAnsi" w:hAnsiTheme="majorHAnsi"/>
          <w:sz w:val="20"/>
          <w:szCs w:val="20"/>
          <w:lang w:eastAsia="es-ES"/>
        </w:rPr>
      </w:pPr>
    </w:p>
    <w:p w:rsidR="00C73045" w:rsidRPr="004D5C4A" w:rsidRDefault="00C73045" w:rsidP="00C73045">
      <w:pPr>
        <w:pStyle w:val="ListParagraph"/>
        <w:numPr>
          <w:ilvl w:val="0"/>
          <w:numId w:val="107"/>
        </w:numPr>
        <w:ind w:left="0" w:firstLine="720"/>
        <w:jc w:val="both"/>
        <w:rPr>
          <w:sz w:val="20"/>
          <w:szCs w:val="20"/>
        </w:rPr>
      </w:pPr>
      <w:r w:rsidRPr="004D5C4A">
        <w:rPr>
          <w:sz w:val="20"/>
          <w:szCs w:val="20"/>
        </w:rPr>
        <w:t xml:space="preserve">Based on the foregoing considerations, the IACHR concludes that the facts alleged, if proven, tend to establish possible violations of the rights guaranteed at Articles </w:t>
      </w:r>
      <w:r w:rsidR="00803172">
        <w:rPr>
          <w:sz w:val="20"/>
          <w:szCs w:val="20"/>
        </w:rPr>
        <w:t xml:space="preserve">7, </w:t>
      </w:r>
      <w:r w:rsidRPr="004D5C4A">
        <w:rPr>
          <w:sz w:val="20"/>
          <w:szCs w:val="20"/>
        </w:rPr>
        <w:t xml:space="preserve">8, </w:t>
      </w:r>
      <w:r w:rsidR="00803172">
        <w:rPr>
          <w:sz w:val="20"/>
          <w:szCs w:val="20"/>
        </w:rPr>
        <w:t xml:space="preserve">11, </w:t>
      </w:r>
      <w:r w:rsidRPr="004D5C4A">
        <w:rPr>
          <w:sz w:val="20"/>
          <w:szCs w:val="20"/>
        </w:rPr>
        <w:t xml:space="preserve">21, and 25 of the American Convention, in conjunction with Article 1(1) of the same instrument, to the detriment of the alleged victim. </w:t>
      </w:r>
    </w:p>
    <w:p w:rsidR="00C73045" w:rsidRPr="004D5C4A" w:rsidRDefault="00C73045" w:rsidP="00C73045">
      <w:pPr>
        <w:ind w:firstLine="720"/>
        <w:jc w:val="both"/>
        <w:rPr>
          <w:rFonts w:asciiTheme="majorHAnsi" w:hAnsiTheme="majorHAnsi"/>
          <w:sz w:val="20"/>
          <w:szCs w:val="20"/>
          <w:lang w:eastAsia="es-ES"/>
        </w:rPr>
      </w:pPr>
    </w:p>
    <w:p w:rsidR="009107C7" w:rsidRPr="004D5C4A" w:rsidRDefault="009107C7" w:rsidP="00C73045">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rPr>
      </w:pPr>
    </w:p>
    <w:p w:rsidR="00C73045" w:rsidRPr="004D5C4A" w:rsidRDefault="00C73045" w:rsidP="00C73045">
      <w:pPr>
        <w:ind w:firstLine="720"/>
        <w:jc w:val="both"/>
        <w:rPr>
          <w:rFonts w:asciiTheme="majorHAnsi" w:hAnsiTheme="majorHAnsi"/>
          <w:b/>
          <w:bCs/>
          <w:sz w:val="20"/>
          <w:szCs w:val="20"/>
        </w:rPr>
      </w:pPr>
      <w:r w:rsidRPr="004D5C4A">
        <w:rPr>
          <w:rFonts w:asciiTheme="majorHAnsi" w:hAnsiTheme="majorHAnsi"/>
          <w:b/>
          <w:bCs/>
          <w:sz w:val="20"/>
          <w:szCs w:val="20"/>
        </w:rPr>
        <w:t>V.</w:t>
      </w:r>
      <w:r w:rsidRPr="004D5C4A">
        <w:rPr>
          <w:rFonts w:asciiTheme="majorHAnsi" w:hAnsiTheme="majorHAnsi"/>
          <w:b/>
          <w:bCs/>
          <w:sz w:val="20"/>
          <w:szCs w:val="20"/>
        </w:rPr>
        <w:tab/>
        <w:t>CONCLUSIONS</w:t>
      </w:r>
    </w:p>
    <w:p w:rsidR="00C73045" w:rsidRPr="004D5C4A" w:rsidRDefault="00C73045" w:rsidP="00C73045">
      <w:pPr>
        <w:ind w:firstLine="720"/>
        <w:jc w:val="both"/>
        <w:rPr>
          <w:rFonts w:asciiTheme="majorHAnsi" w:hAnsiTheme="majorHAnsi"/>
          <w:sz w:val="20"/>
          <w:szCs w:val="20"/>
        </w:rPr>
      </w:pPr>
    </w:p>
    <w:p w:rsidR="00C73045" w:rsidRPr="004D5C4A" w:rsidRDefault="00C73045" w:rsidP="00C73045">
      <w:pPr>
        <w:pStyle w:val="ListParagraph"/>
        <w:numPr>
          <w:ilvl w:val="0"/>
          <w:numId w:val="107"/>
        </w:numPr>
        <w:ind w:left="0" w:firstLine="720"/>
        <w:jc w:val="both"/>
        <w:rPr>
          <w:sz w:val="20"/>
          <w:szCs w:val="20"/>
        </w:rPr>
      </w:pPr>
      <w:r w:rsidRPr="004D5C4A">
        <w:rPr>
          <w:sz w:val="20"/>
          <w:szCs w:val="20"/>
        </w:rPr>
        <w:t xml:space="preserve">Based on the foregoing considerations of fact and law, the Inter-American Commission concludes that this petition meets the admissibility requirements set out at Articles 46 and 47 of the American Convention and, without prejudging on the merits, </w:t>
      </w:r>
    </w:p>
    <w:p w:rsidR="00C73045" w:rsidRPr="004D5C4A" w:rsidRDefault="00C73045" w:rsidP="00C73045">
      <w:pPr>
        <w:ind w:firstLine="720"/>
        <w:jc w:val="both"/>
        <w:rPr>
          <w:rFonts w:asciiTheme="majorHAnsi" w:hAnsiTheme="majorHAnsi"/>
          <w:sz w:val="20"/>
          <w:szCs w:val="20"/>
        </w:rPr>
      </w:pPr>
    </w:p>
    <w:p w:rsidR="00C73045" w:rsidRPr="004D5C4A" w:rsidRDefault="00C73045" w:rsidP="00C73045">
      <w:pPr>
        <w:rPr>
          <w:rFonts w:asciiTheme="majorHAnsi" w:hAnsiTheme="majorHAnsi"/>
          <w:b/>
          <w:bCs/>
          <w:sz w:val="20"/>
          <w:szCs w:val="20"/>
        </w:rPr>
      </w:pPr>
    </w:p>
    <w:p w:rsidR="00C73045" w:rsidRPr="004D5C4A" w:rsidRDefault="00C73045" w:rsidP="00C73045">
      <w:pPr>
        <w:ind w:firstLine="720"/>
        <w:jc w:val="center"/>
        <w:rPr>
          <w:rFonts w:asciiTheme="majorHAnsi" w:hAnsiTheme="majorHAnsi"/>
          <w:b/>
          <w:bCs/>
          <w:sz w:val="20"/>
          <w:szCs w:val="20"/>
        </w:rPr>
      </w:pPr>
      <w:r w:rsidRPr="004D5C4A">
        <w:rPr>
          <w:rFonts w:asciiTheme="majorHAnsi" w:hAnsiTheme="majorHAnsi"/>
          <w:b/>
          <w:bCs/>
          <w:sz w:val="20"/>
          <w:szCs w:val="20"/>
        </w:rPr>
        <w:t>THE INTER-AMERICAN COMMISSION ON HUMAN RIGHTS</w:t>
      </w:r>
    </w:p>
    <w:p w:rsidR="00C73045" w:rsidRPr="004D5C4A" w:rsidRDefault="00C73045" w:rsidP="00C73045">
      <w:pPr>
        <w:ind w:firstLine="720"/>
        <w:jc w:val="center"/>
        <w:rPr>
          <w:rFonts w:asciiTheme="majorHAnsi" w:hAnsiTheme="majorHAnsi"/>
          <w:sz w:val="20"/>
          <w:szCs w:val="20"/>
        </w:rPr>
      </w:pPr>
    </w:p>
    <w:p w:rsidR="00C73045" w:rsidRPr="004D5C4A" w:rsidRDefault="00C73045" w:rsidP="00C73045">
      <w:pPr>
        <w:jc w:val="both"/>
        <w:rPr>
          <w:rFonts w:asciiTheme="majorHAnsi" w:hAnsiTheme="majorHAnsi"/>
          <w:b/>
          <w:bCs/>
          <w:sz w:val="20"/>
          <w:szCs w:val="20"/>
        </w:rPr>
      </w:pPr>
      <w:r w:rsidRPr="004D5C4A">
        <w:rPr>
          <w:rFonts w:asciiTheme="majorHAnsi" w:hAnsiTheme="majorHAnsi"/>
          <w:b/>
          <w:bCs/>
          <w:sz w:val="20"/>
          <w:szCs w:val="20"/>
        </w:rPr>
        <w:t>DECIDES:</w:t>
      </w:r>
    </w:p>
    <w:p w:rsidR="00C73045" w:rsidRPr="004D5C4A" w:rsidRDefault="00C73045" w:rsidP="00C73045">
      <w:pPr>
        <w:ind w:firstLine="720"/>
        <w:jc w:val="both"/>
        <w:rPr>
          <w:rFonts w:asciiTheme="majorHAnsi" w:hAnsiTheme="majorHAnsi"/>
          <w:sz w:val="20"/>
          <w:szCs w:val="20"/>
        </w:rPr>
      </w:pPr>
    </w:p>
    <w:p w:rsidR="00C73045" w:rsidRPr="004D5C4A" w:rsidRDefault="00C73045" w:rsidP="00C73045">
      <w:pPr>
        <w:ind w:firstLine="720"/>
        <w:jc w:val="both"/>
        <w:rPr>
          <w:rFonts w:asciiTheme="majorHAnsi" w:hAnsiTheme="majorHAnsi"/>
          <w:sz w:val="20"/>
          <w:szCs w:val="20"/>
        </w:rPr>
      </w:pPr>
      <w:r w:rsidRPr="004D5C4A">
        <w:rPr>
          <w:rFonts w:asciiTheme="majorHAnsi" w:hAnsiTheme="majorHAnsi"/>
          <w:sz w:val="20"/>
          <w:szCs w:val="20"/>
        </w:rPr>
        <w:t>1.</w:t>
      </w:r>
      <w:r w:rsidRPr="004D5C4A">
        <w:rPr>
          <w:rFonts w:asciiTheme="majorHAnsi" w:hAnsiTheme="majorHAnsi"/>
          <w:sz w:val="20"/>
          <w:szCs w:val="20"/>
        </w:rPr>
        <w:tab/>
        <w:t xml:space="preserve">To find this petition admissible in relation to Articles </w:t>
      </w:r>
      <w:r w:rsidR="00803172">
        <w:rPr>
          <w:rFonts w:asciiTheme="majorHAnsi" w:hAnsiTheme="majorHAnsi"/>
          <w:sz w:val="20"/>
          <w:szCs w:val="20"/>
        </w:rPr>
        <w:t xml:space="preserve">7, </w:t>
      </w:r>
      <w:r w:rsidRPr="004D5C4A">
        <w:rPr>
          <w:rFonts w:asciiTheme="majorHAnsi" w:hAnsiTheme="majorHAnsi"/>
          <w:sz w:val="20"/>
          <w:szCs w:val="20"/>
        </w:rPr>
        <w:t xml:space="preserve">8, </w:t>
      </w:r>
      <w:r w:rsidR="00803172">
        <w:rPr>
          <w:rFonts w:asciiTheme="majorHAnsi" w:hAnsiTheme="majorHAnsi"/>
          <w:sz w:val="20"/>
          <w:szCs w:val="20"/>
        </w:rPr>
        <w:t xml:space="preserve">11, </w:t>
      </w:r>
      <w:r w:rsidRPr="004D5C4A">
        <w:rPr>
          <w:rFonts w:asciiTheme="majorHAnsi" w:hAnsiTheme="majorHAnsi"/>
          <w:sz w:val="20"/>
          <w:szCs w:val="20"/>
        </w:rPr>
        <w:t xml:space="preserve">21, and 25 of the American Convention, in connection with the obligations established at Article 1(1) of the same instrument; </w:t>
      </w:r>
    </w:p>
    <w:p w:rsidR="00C73045" w:rsidRPr="004D5C4A" w:rsidRDefault="00C73045" w:rsidP="00803172">
      <w:pPr>
        <w:jc w:val="both"/>
        <w:rPr>
          <w:rFonts w:asciiTheme="majorHAnsi" w:hAnsiTheme="majorHAnsi"/>
          <w:sz w:val="20"/>
          <w:szCs w:val="20"/>
        </w:rPr>
      </w:pPr>
    </w:p>
    <w:p w:rsidR="00C73045" w:rsidRPr="004D5C4A" w:rsidRDefault="00803172" w:rsidP="00C73045">
      <w:pPr>
        <w:ind w:firstLine="720"/>
        <w:jc w:val="both"/>
        <w:rPr>
          <w:rFonts w:asciiTheme="majorHAnsi" w:hAnsiTheme="majorHAnsi"/>
          <w:sz w:val="20"/>
          <w:szCs w:val="20"/>
        </w:rPr>
      </w:pPr>
      <w:r>
        <w:rPr>
          <w:rFonts w:asciiTheme="majorHAnsi" w:hAnsiTheme="majorHAnsi"/>
          <w:sz w:val="20"/>
          <w:szCs w:val="20"/>
        </w:rPr>
        <w:t>2</w:t>
      </w:r>
      <w:r w:rsidR="00C73045" w:rsidRPr="004D5C4A">
        <w:rPr>
          <w:rFonts w:asciiTheme="majorHAnsi" w:hAnsiTheme="majorHAnsi"/>
          <w:sz w:val="20"/>
          <w:szCs w:val="20"/>
        </w:rPr>
        <w:t>.</w:t>
      </w:r>
      <w:r w:rsidR="00C73045" w:rsidRPr="004D5C4A">
        <w:rPr>
          <w:rFonts w:asciiTheme="majorHAnsi" w:hAnsiTheme="majorHAnsi"/>
          <w:sz w:val="20"/>
          <w:szCs w:val="20"/>
        </w:rPr>
        <w:tab/>
        <w:t>To notify the parties of this decision;</w:t>
      </w:r>
    </w:p>
    <w:p w:rsidR="00C73045" w:rsidRPr="004D5C4A" w:rsidRDefault="00C73045" w:rsidP="00C73045">
      <w:pPr>
        <w:ind w:firstLine="720"/>
        <w:jc w:val="both"/>
        <w:rPr>
          <w:rFonts w:asciiTheme="majorHAnsi" w:hAnsiTheme="majorHAnsi"/>
          <w:sz w:val="20"/>
          <w:szCs w:val="20"/>
        </w:rPr>
      </w:pPr>
    </w:p>
    <w:p w:rsidR="00C73045" w:rsidRPr="004D5C4A" w:rsidRDefault="00803172" w:rsidP="00C73045">
      <w:pPr>
        <w:ind w:firstLine="720"/>
        <w:jc w:val="both"/>
        <w:rPr>
          <w:rFonts w:asciiTheme="majorHAnsi" w:hAnsiTheme="majorHAnsi"/>
          <w:sz w:val="20"/>
          <w:szCs w:val="20"/>
        </w:rPr>
      </w:pPr>
      <w:r>
        <w:rPr>
          <w:rFonts w:asciiTheme="majorHAnsi" w:hAnsiTheme="majorHAnsi"/>
          <w:sz w:val="20"/>
          <w:szCs w:val="20"/>
        </w:rPr>
        <w:t>3</w:t>
      </w:r>
      <w:r w:rsidR="00C73045" w:rsidRPr="004D5C4A">
        <w:rPr>
          <w:rFonts w:asciiTheme="majorHAnsi" w:hAnsiTheme="majorHAnsi"/>
          <w:sz w:val="20"/>
          <w:szCs w:val="20"/>
        </w:rPr>
        <w:t>.</w:t>
      </w:r>
      <w:r w:rsidR="00C73045" w:rsidRPr="004D5C4A">
        <w:rPr>
          <w:rFonts w:asciiTheme="majorHAnsi" w:hAnsiTheme="majorHAnsi"/>
          <w:sz w:val="20"/>
          <w:szCs w:val="20"/>
        </w:rPr>
        <w:tab/>
        <w:t xml:space="preserve">To proceed with the analysis on the merits; and </w:t>
      </w:r>
    </w:p>
    <w:p w:rsidR="00C73045" w:rsidRPr="004D5C4A" w:rsidRDefault="00C73045" w:rsidP="00C73045">
      <w:pPr>
        <w:ind w:firstLine="720"/>
        <w:jc w:val="both"/>
        <w:rPr>
          <w:rFonts w:asciiTheme="majorHAnsi" w:hAnsiTheme="majorHAnsi"/>
          <w:sz w:val="20"/>
          <w:szCs w:val="20"/>
        </w:rPr>
      </w:pPr>
    </w:p>
    <w:p w:rsidR="00C73045" w:rsidRPr="004D5C4A" w:rsidRDefault="00803172" w:rsidP="00C73045">
      <w:pPr>
        <w:ind w:firstLine="720"/>
        <w:jc w:val="both"/>
        <w:rPr>
          <w:rFonts w:asciiTheme="majorHAnsi" w:hAnsiTheme="majorHAnsi"/>
          <w:sz w:val="20"/>
          <w:szCs w:val="20"/>
        </w:rPr>
      </w:pPr>
      <w:r>
        <w:rPr>
          <w:rFonts w:asciiTheme="majorHAnsi" w:hAnsiTheme="majorHAnsi"/>
          <w:sz w:val="20"/>
          <w:szCs w:val="20"/>
        </w:rPr>
        <w:t>4</w:t>
      </w:r>
      <w:r w:rsidR="00C73045" w:rsidRPr="004D5C4A">
        <w:rPr>
          <w:rFonts w:asciiTheme="majorHAnsi" w:hAnsiTheme="majorHAnsi"/>
          <w:sz w:val="20"/>
          <w:szCs w:val="20"/>
        </w:rPr>
        <w:t>.</w:t>
      </w:r>
      <w:r w:rsidR="00C73045" w:rsidRPr="004D5C4A">
        <w:rPr>
          <w:rFonts w:asciiTheme="majorHAnsi" w:hAnsiTheme="majorHAnsi"/>
          <w:sz w:val="20"/>
          <w:szCs w:val="20"/>
        </w:rPr>
        <w:tab/>
        <w:t xml:space="preserve">To publish this decision and include it in its Annual Report to the General Assembly of the Organization of American States. </w:t>
      </w:r>
    </w:p>
    <w:p w:rsidR="00C73045" w:rsidRPr="004D5C4A" w:rsidRDefault="00C73045" w:rsidP="00C73045">
      <w:pPr>
        <w:tabs>
          <w:tab w:val="center" w:pos="5400"/>
        </w:tabs>
        <w:suppressAutoHyphens/>
        <w:jc w:val="center"/>
        <w:rPr>
          <w:rFonts w:asciiTheme="majorHAnsi" w:hAnsiTheme="majorHAnsi"/>
          <w:sz w:val="20"/>
          <w:szCs w:val="20"/>
        </w:rPr>
      </w:pPr>
    </w:p>
    <w:p w:rsidR="00082511" w:rsidRPr="00365F2F" w:rsidRDefault="00082511" w:rsidP="00082511">
      <w:pPr>
        <w:suppressAutoHyphens/>
        <w:ind w:firstLine="720"/>
        <w:jc w:val="both"/>
        <w:rPr>
          <w:rFonts w:ascii="Cambria" w:hAnsi="Cambria"/>
          <w:spacing w:val="-2"/>
          <w:sz w:val="20"/>
        </w:rPr>
      </w:pPr>
      <w:r>
        <w:rPr>
          <w:rFonts w:ascii="Cambria" w:hAnsi="Cambria"/>
          <w:spacing w:val="-2"/>
          <w:sz w:val="20"/>
        </w:rPr>
        <w:t>Approved by the Inter-American Commissio on Human Rights</w:t>
      </w:r>
      <w:r w:rsidRPr="00365F2F">
        <w:rPr>
          <w:rFonts w:ascii="Cambria" w:hAnsi="Cambria"/>
          <w:spacing w:val="-2"/>
          <w:sz w:val="20"/>
        </w:rPr>
        <w:t xml:space="preserve"> on the </w:t>
      </w:r>
      <w:r>
        <w:rPr>
          <w:rFonts w:ascii="Cambria" w:hAnsi="Cambria"/>
          <w:spacing w:val="-2"/>
          <w:sz w:val="20"/>
        </w:rPr>
        <w:t>29th</w:t>
      </w:r>
      <w:r w:rsidRPr="00365F2F">
        <w:rPr>
          <w:rFonts w:ascii="Cambria" w:hAnsi="Cambria"/>
          <w:spacing w:val="-2"/>
          <w:sz w:val="20"/>
        </w:rPr>
        <w:t xml:space="preserve"> day of the month of </w:t>
      </w:r>
      <w:r>
        <w:rPr>
          <w:rFonts w:ascii="Cambria" w:hAnsi="Cambria"/>
          <w:spacing w:val="-2"/>
          <w:sz w:val="20"/>
        </w:rPr>
        <w:t>July</w:t>
      </w:r>
      <w:r w:rsidRPr="00365F2F">
        <w:rPr>
          <w:rFonts w:ascii="Cambria" w:hAnsi="Cambria"/>
          <w:spacing w:val="-2"/>
          <w:sz w:val="20"/>
        </w:rPr>
        <w:t>, 201</w:t>
      </w:r>
      <w:r>
        <w:rPr>
          <w:rFonts w:ascii="Cambria" w:hAnsi="Cambria"/>
          <w:spacing w:val="-2"/>
          <w:sz w:val="20"/>
        </w:rPr>
        <w:t>6</w:t>
      </w:r>
      <w:r w:rsidRPr="00365F2F">
        <w:rPr>
          <w:rFonts w:ascii="Cambria" w:hAnsi="Cambria"/>
          <w:spacing w:val="-2"/>
          <w:sz w:val="20"/>
        </w:rPr>
        <w:t xml:space="preserve">. (Signed):  </w:t>
      </w:r>
      <w:r>
        <w:rPr>
          <w:rFonts w:ascii="Cambria" w:hAnsi="Cambria" w:cs="Arial"/>
          <w:noProof/>
          <w:spacing w:val="-2"/>
          <w:sz w:val="20"/>
        </w:rPr>
        <w:t xml:space="preserve">James L. Cavallaro, </w:t>
      </w:r>
      <w:r w:rsidRPr="00365F2F">
        <w:rPr>
          <w:rFonts w:ascii="Cambria" w:hAnsi="Cambria"/>
          <w:sz w:val="20"/>
        </w:rPr>
        <w:t>President;</w:t>
      </w:r>
      <w:r>
        <w:rPr>
          <w:rFonts w:ascii="Cambria" w:hAnsi="Cambria"/>
          <w:sz w:val="20"/>
        </w:rPr>
        <w:t xml:space="preserve"> </w:t>
      </w:r>
      <w:r w:rsidRPr="0032569A">
        <w:rPr>
          <w:rFonts w:ascii="Cambria" w:hAnsi="Cambria" w:cs="Arial"/>
          <w:noProof/>
          <w:spacing w:val="-2"/>
          <w:sz w:val="20"/>
        </w:rPr>
        <w:t>Fran</w:t>
      </w:r>
      <w:r>
        <w:rPr>
          <w:rFonts w:ascii="Cambria" w:hAnsi="Cambria" w:cs="Arial"/>
          <w:noProof/>
          <w:spacing w:val="-2"/>
          <w:sz w:val="20"/>
        </w:rPr>
        <w:t>cisco José Eguiguren</w:t>
      </w:r>
      <w:r w:rsidRPr="00365F2F">
        <w:rPr>
          <w:rFonts w:ascii="Cambria" w:hAnsi="Cambria"/>
          <w:spacing w:val="-2"/>
          <w:sz w:val="20"/>
        </w:rPr>
        <w:t>, First Vice President</w:t>
      </w:r>
      <w:r>
        <w:rPr>
          <w:rFonts w:ascii="Cambria" w:hAnsi="Cambria"/>
          <w:spacing w:val="-2"/>
          <w:sz w:val="20"/>
        </w:rPr>
        <w:t>;</w:t>
      </w:r>
      <w:r w:rsidRPr="00365F2F">
        <w:rPr>
          <w:rFonts w:ascii="Cambria" w:hAnsi="Cambria" w:cs="Arial"/>
          <w:noProof/>
          <w:spacing w:val="-2"/>
          <w:sz w:val="20"/>
        </w:rPr>
        <w:t xml:space="preserve"> </w:t>
      </w:r>
      <w:r>
        <w:rPr>
          <w:rFonts w:ascii="Cambria" w:hAnsi="Cambria" w:cs="Arial"/>
          <w:noProof/>
          <w:spacing w:val="-2"/>
          <w:sz w:val="20"/>
        </w:rPr>
        <w:t>Margarette May Macaulay, Second Vice President;</w:t>
      </w:r>
      <w:r>
        <w:rPr>
          <w:rFonts w:ascii="Cambria" w:hAnsi="Cambria"/>
          <w:sz w:val="20"/>
        </w:rPr>
        <w:t xml:space="preserve"> </w:t>
      </w:r>
      <w:r>
        <w:rPr>
          <w:rFonts w:ascii="Cambria" w:hAnsi="Cambria" w:cs="Arial"/>
          <w:noProof/>
          <w:spacing w:val="-2"/>
          <w:sz w:val="20"/>
        </w:rPr>
        <w:t xml:space="preserve">Paulo Vannuchi,  and </w:t>
      </w:r>
      <w:r w:rsidRPr="0032569A">
        <w:rPr>
          <w:rFonts w:ascii="Cambria" w:hAnsi="Cambria" w:cs="Arial"/>
          <w:noProof/>
          <w:spacing w:val="-2"/>
          <w:sz w:val="20"/>
        </w:rPr>
        <w:t>Esmeralda</w:t>
      </w:r>
      <w:r>
        <w:rPr>
          <w:rFonts w:ascii="Cambria" w:hAnsi="Cambria" w:cs="Arial"/>
          <w:noProof/>
          <w:spacing w:val="-2"/>
          <w:sz w:val="20"/>
        </w:rPr>
        <w:t xml:space="preserve"> E. Arosemena Bernal de Troitiño,  </w:t>
      </w:r>
      <w:r w:rsidRPr="00365F2F">
        <w:rPr>
          <w:rFonts w:ascii="Cambria" w:hAnsi="Cambria"/>
          <w:spacing w:val="-2"/>
          <w:sz w:val="20"/>
        </w:rPr>
        <w:t>Commissioners.</w:t>
      </w:r>
    </w:p>
    <w:p w:rsidR="00706D3C" w:rsidRPr="00694531" w:rsidRDefault="00706D3C" w:rsidP="00C73045">
      <w:pPr>
        <w:tabs>
          <w:tab w:val="center" w:pos="5400"/>
        </w:tabs>
        <w:suppressAutoHyphens/>
        <w:spacing w:line="276" w:lineRule="auto"/>
        <w:jc w:val="center"/>
        <w:rPr>
          <w:rFonts w:asciiTheme="majorHAnsi" w:hAnsiTheme="majorHAnsi"/>
          <w:sz w:val="20"/>
          <w:szCs w:val="20"/>
        </w:rPr>
      </w:pPr>
    </w:p>
    <w:sectPr w:rsidR="00706D3C" w:rsidRPr="00694531"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C3A" w:rsidRDefault="00540C3A" w:rsidP="00036A8A">
      <w:r>
        <w:separator/>
      </w:r>
    </w:p>
  </w:endnote>
  <w:endnote w:type="continuationSeparator" w:id="0">
    <w:p w:rsidR="00540C3A" w:rsidRDefault="00540C3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317" w:rsidRDefault="005D23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5D2317">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4B07" w:rsidRDefault="006F5CB9">
        <w:pPr>
          <w:pStyle w:val="Footer"/>
          <w:jc w:val="center"/>
        </w:pPr>
        <w:r>
          <w:fldChar w:fldCharType="begin"/>
        </w:r>
        <w:r>
          <w:instrText xml:space="preserve"> PAGE   \* MERGEFORMAT </w:instrText>
        </w:r>
        <w:r>
          <w:fldChar w:fldCharType="separate"/>
        </w:r>
        <w:r>
          <w:rPr>
            <w:noProof/>
          </w:rPr>
          <w:t>1</w:t>
        </w:r>
        <w:r>
          <w:fldChar w:fldCharType="end"/>
        </w:r>
      </w:p>
    </w:sdtContent>
  </w:sdt>
  <w:p w:rsidR="00764B07" w:rsidRDefault="00540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C3A" w:rsidRPr="00036A8A" w:rsidRDefault="00540C3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540C3A" w:rsidRPr="00036A8A" w:rsidRDefault="00540C3A" w:rsidP="00036A8A">
      <w:pPr>
        <w:rPr>
          <w:rFonts w:asciiTheme="majorHAnsi" w:hAnsiTheme="majorHAnsi"/>
          <w:sz w:val="16"/>
          <w:szCs w:val="16"/>
        </w:rPr>
      </w:pPr>
      <w:r w:rsidRPr="00036A8A">
        <w:rPr>
          <w:rFonts w:asciiTheme="majorHAnsi" w:hAnsiTheme="majorHAnsi"/>
          <w:sz w:val="16"/>
          <w:szCs w:val="16"/>
        </w:rPr>
        <w:separator/>
      </w:r>
    </w:p>
    <w:p w:rsidR="00540C3A" w:rsidRPr="00036A8A" w:rsidRDefault="00540C3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540C3A" w:rsidRPr="0093441A" w:rsidRDefault="00540C3A"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C73045" w:rsidRPr="00E634A3" w:rsidRDefault="00C73045" w:rsidP="00C73045">
      <w:pPr>
        <w:pStyle w:val="FootnoteText"/>
        <w:spacing w:before="120"/>
        <w:ind w:firstLine="720"/>
        <w:jc w:val="both"/>
      </w:pPr>
      <w:r w:rsidRPr="00E634A3">
        <w:rPr>
          <w:rStyle w:val="FootnoteReference"/>
        </w:rPr>
        <w:footnoteRef/>
      </w:r>
      <w:r w:rsidRPr="00E634A3">
        <w:t xml:space="preserve"> </w:t>
      </w:r>
      <w:r>
        <w:rPr>
          <w:rFonts w:ascii="Cambria" w:hAnsi="Cambria"/>
          <w:color w:val="auto"/>
          <w:sz w:val="16"/>
          <w:szCs w:val="16"/>
        </w:rPr>
        <w:t xml:space="preserve">In keeping with Article </w:t>
      </w:r>
      <w:r w:rsidRPr="00E634A3">
        <w:rPr>
          <w:rFonts w:ascii="Cambria" w:hAnsi="Cambria" w:cs="Arial"/>
          <w:color w:val="auto"/>
          <w:sz w:val="16"/>
          <w:szCs w:val="16"/>
        </w:rPr>
        <w:t>17</w:t>
      </w:r>
      <w:r>
        <w:rPr>
          <w:rFonts w:ascii="Cambria" w:hAnsi="Cambria" w:cs="Arial"/>
          <w:color w:val="auto"/>
          <w:sz w:val="16"/>
          <w:szCs w:val="16"/>
        </w:rPr>
        <w:t>(2)(</w:t>
      </w:r>
      <w:r w:rsidRPr="00E634A3">
        <w:rPr>
          <w:rFonts w:ascii="Cambria" w:hAnsi="Cambria" w:cs="Arial"/>
          <w:color w:val="auto"/>
          <w:sz w:val="16"/>
          <w:szCs w:val="16"/>
        </w:rPr>
        <w:t>a</w:t>
      </w:r>
      <w:r>
        <w:rPr>
          <w:rFonts w:ascii="Cambria" w:hAnsi="Cambria" w:cs="Arial"/>
          <w:color w:val="auto"/>
          <w:sz w:val="16"/>
          <w:szCs w:val="16"/>
        </w:rPr>
        <w:t>)</w:t>
      </w:r>
      <w:r w:rsidRPr="00E634A3">
        <w:rPr>
          <w:rFonts w:ascii="Cambria" w:hAnsi="Cambria" w:cs="Arial"/>
          <w:color w:val="auto"/>
          <w:sz w:val="16"/>
          <w:szCs w:val="16"/>
        </w:rPr>
        <w:t xml:space="preserve"> </w:t>
      </w:r>
      <w:r>
        <w:rPr>
          <w:rFonts w:ascii="Cambria" w:hAnsi="Cambria" w:cs="Arial"/>
          <w:color w:val="auto"/>
          <w:sz w:val="16"/>
          <w:szCs w:val="16"/>
        </w:rPr>
        <w:t xml:space="preserve">of the Commission’s Rules of Procedure, Commissioner </w:t>
      </w:r>
      <w:r w:rsidRPr="00E634A3">
        <w:rPr>
          <w:rFonts w:ascii="Cambria" w:hAnsi="Cambria" w:cs="Arial"/>
          <w:bCs/>
          <w:color w:val="auto"/>
          <w:sz w:val="16"/>
          <w:szCs w:val="16"/>
        </w:rPr>
        <w:t>José de Jesús Orozco Henríquez</w:t>
      </w:r>
      <w:r w:rsidRPr="00E634A3">
        <w:rPr>
          <w:rFonts w:ascii="Cambria" w:hAnsi="Cambria" w:cs="Arial"/>
          <w:color w:val="auto"/>
          <w:sz w:val="16"/>
          <w:szCs w:val="16"/>
        </w:rPr>
        <w:t xml:space="preserve">, </w:t>
      </w:r>
      <w:r>
        <w:rPr>
          <w:rFonts w:ascii="Cambria" w:hAnsi="Cambria" w:cs="Arial"/>
          <w:color w:val="auto"/>
          <w:sz w:val="16"/>
          <w:szCs w:val="16"/>
        </w:rPr>
        <w:t xml:space="preserve">of Mexican nationality, did not participate in the debate or decision in this matter. </w:t>
      </w:r>
    </w:p>
  </w:footnote>
  <w:footnote w:id="3">
    <w:p w:rsidR="00C73045" w:rsidRPr="00E634A3" w:rsidRDefault="00C73045" w:rsidP="00C73045">
      <w:pPr>
        <w:pStyle w:val="FootnoteText"/>
        <w:spacing w:before="120"/>
        <w:ind w:firstLine="720"/>
        <w:jc w:val="both"/>
        <w:rPr>
          <w:rFonts w:asciiTheme="majorHAnsi" w:hAnsiTheme="majorHAnsi"/>
          <w:sz w:val="16"/>
          <w:szCs w:val="16"/>
        </w:rPr>
      </w:pPr>
      <w:r w:rsidRPr="00E634A3">
        <w:rPr>
          <w:rStyle w:val="FootnoteReference"/>
          <w:rFonts w:asciiTheme="majorHAnsi" w:hAnsiTheme="majorHAnsi"/>
          <w:sz w:val="16"/>
          <w:szCs w:val="16"/>
        </w:rPr>
        <w:footnoteRef/>
      </w:r>
      <w:r w:rsidRPr="00E634A3">
        <w:rPr>
          <w:rFonts w:asciiTheme="majorHAnsi" w:hAnsiTheme="majorHAnsi"/>
          <w:sz w:val="16"/>
          <w:szCs w:val="16"/>
        </w:rPr>
        <w:t xml:space="preserve"> </w:t>
      </w:r>
      <w:r>
        <w:rPr>
          <w:rFonts w:asciiTheme="majorHAnsi" w:hAnsiTheme="majorHAnsi"/>
          <w:sz w:val="16"/>
          <w:szCs w:val="16"/>
        </w:rPr>
        <w:t>IACHR</w:t>
      </w:r>
      <w:r w:rsidRPr="00E634A3">
        <w:rPr>
          <w:rFonts w:asciiTheme="majorHAnsi" w:hAnsiTheme="majorHAnsi"/>
          <w:sz w:val="16"/>
          <w:szCs w:val="16"/>
        </w:rPr>
        <w:t xml:space="preserve">, </w:t>
      </w:r>
      <w:r>
        <w:rPr>
          <w:rFonts w:asciiTheme="majorHAnsi" w:hAnsiTheme="majorHAnsi"/>
          <w:sz w:val="16"/>
          <w:szCs w:val="16"/>
        </w:rPr>
        <w:t>Report No. 15/15, Petitio</w:t>
      </w:r>
      <w:r w:rsidRPr="00E634A3">
        <w:rPr>
          <w:rFonts w:asciiTheme="majorHAnsi" w:hAnsiTheme="majorHAnsi"/>
          <w:sz w:val="16"/>
          <w:szCs w:val="16"/>
        </w:rPr>
        <w:t>n 374-04. Admis</w:t>
      </w:r>
      <w:r>
        <w:rPr>
          <w:rFonts w:asciiTheme="majorHAnsi" w:hAnsiTheme="majorHAnsi"/>
          <w:sz w:val="16"/>
          <w:szCs w:val="16"/>
        </w:rPr>
        <w:t>sibility</w:t>
      </w:r>
      <w:r w:rsidRPr="00E634A3">
        <w:rPr>
          <w:rFonts w:asciiTheme="majorHAnsi" w:hAnsiTheme="majorHAnsi"/>
          <w:sz w:val="16"/>
          <w:szCs w:val="16"/>
        </w:rPr>
        <w:t xml:space="preserve">. </w:t>
      </w:r>
      <w:r w:rsidRPr="00EB6D8F">
        <w:rPr>
          <w:rFonts w:asciiTheme="majorHAnsi" w:hAnsiTheme="majorHAnsi"/>
          <w:sz w:val="16"/>
          <w:szCs w:val="16"/>
        </w:rPr>
        <w:t>Members of the Trade Union of Workers of the National Federation of Coffee Growers of Colombia</w:t>
      </w:r>
      <w:r w:rsidRPr="00E634A3">
        <w:rPr>
          <w:rFonts w:asciiTheme="majorHAnsi" w:hAnsiTheme="majorHAnsi"/>
          <w:sz w:val="16"/>
          <w:szCs w:val="16"/>
        </w:rPr>
        <w:t xml:space="preserve">. </w:t>
      </w:r>
      <w:r>
        <w:rPr>
          <w:rFonts w:asciiTheme="majorHAnsi" w:hAnsiTheme="majorHAnsi"/>
          <w:sz w:val="16"/>
          <w:szCs w:val="16"/>
        </w:rPr>
        <w:t xml:space="preserve">March </w:t>
      </w:r>
      <w:r w:rsidRPr="00E634A3">
        <w:rPr>
          <w:rFonts w:asciiTheme="majorHAnsi" w:hAnsiTheme="majorHAnsi"/>
          <w:sz w:val="16"/>
          <w:szCs w:val="16"/>
        </w:rPr>
        <w:t>24</w:t>
      </w:r>
      <w:r>
        <w:rPr>
          <w:rFonts w:asciiTheme="majorHAnsi" w:hAnsiTheme="majorHAnsi"/>
          <w:sz w:val="16"/>
          <w:szCs w:val="16"/>
        </w:rPr>
        <w:t>,</w:t>
      </w:r>
      <w:r w:rsidRPr="00E634A3">
        <w:rPr>
          <w:rFonts w:asciiTheme="majorHAnsi" w:hAnsiTheme="majorHAnsi"/>
          <w:sz w:val="16"/>
          <w:szCs w:val="16"/>
        </w:rPr>
        <w:t xml:space="preserve"> </w:t>
      </w:r>
      <w:r>
        <w:rPr>
          <w:rFonts w:asciiTheme="majorHAnsi" w:hAnsiTheme="majorHAnsi"/>
          <w:sz w:val="16"/>
          <w:szCs w:val="16"/>
        </w:rPr>
        <w:t>2015, para</w:t>
      </w:r>
      <w:r w:rsidRPr="00E634A3">
        <w:rPr>
          <w:rFonts w:asciiTheme="majorHAnsi" w:hAnsiTheme="majorHAnsi"/>
          <w:sz w:val="16"/>
          <w:szCs w:val="16"/>
        </w:rPr>
        <w:t>. 39.</w:t>
      </w:r>
    </w:p>
  </w:footnote>
  <w:footnote w:id="4">
    <w:p w:rsidR="00C73045" w:rsidRPr="00E634A3" w:rsidRDefault="00C73045" w:rsidP="00C73045">
      <w:pPr>
        <w:pStyle w:val="FootnoteText"/>
        <w:spacing w:before="120"/>
        <w:ind w:firstLine="720"/>
        <w:jc w:val="both"/>
        <w:rPr>
          <w:rFonts w:asciiTheme="majorHAnsi" w:hAnsiTheme="majorHAnsi"/>
          <w:sz w:val="16"/>
          <w:szCs w:val="16"/>
        </w:rPr>
      </w:pPr>
      <w:r w:rsidRPr="00E634A3">
        <w:rPr>
          <w:rStyle w:val="FootnoteReference"/>
          <w:rFonts w:asciiTheme="majorHAnsi" w:hAnsiTheme="majorHAnsi"/>
          <w:sz w:val="16"/>
          <w:szCs w:val="16"/>
        </w:rPr>
        <w:footnoteRef/>
      </w:r>
      <w:r w:rsidRPr="00E634A3">
        <w:rPr>
          <w:rFonts w:asciiTheme="majorHAnsi" w:hAnsiTheme="majorHAnsi"/>
          <w:sz w:val="16"/>
          <w:szCs w:val="16"/>
        </w:rPr>
        <w:t xml:space="preserve"> </w:t>
      </w:r>
      <w:r>
        <w:rPr>
          <w:rFonts w:asciiTheme="majorHAnsi" w:hAnsiTheme="majorHAnsi"/>
          <w:sz w:val="16"/>
          <w:szCs w:val="16"/>
        </w:rPr>
        <w:t>IACHR</w:t>
      </w:r>
      <w:r w:rsidRPr="00E634A3">
        <w:rPr>
          <w:rFonts w:asciiTheme="majorHAnsi" w:hAnsiTheme="majorHAnsi"/>
          <w:sz w:val="16"/>
          <w:szCs w:val="16"/>
        </w:rPr>
        <w:t xml:space="preserve">, </w:t>
      </w:r>
      <w:r>
        <w:rPr>
          <w:rFonts w:asciiTheme="majorHAnsi" w:hAnsiTheme="majorHAnsi"/>
          <w:sz w:val="16"/>
          <w:szCs w:val="16"/>
        </w:rPr>
        <w:t>Report No. 46/15, Petition</w:t>
      </w:r>
      <w:r w:rsidRPr="00E634A3">
        <w:rPr>
          <w:rFonts w:asciiTheme="majorHAnsi" w:hAnsiTheme="majorHAnsi"/>
          <w:sz w:val="16"/>
          <w:szCs w:val="16"/>
        </w:rPr>
        <w:t xml:space="preserve"> 315-01. Cristina Britez Arce. Argentina. </w:t>
      </w:r>
      <w:r>
        <w:rPr>
          <w:rFonts w:asciiTheme="majorHAnsi" w:hAnsiTheme="majorHAnsi"/>
          <w:sz w:val="16"/>
          <w:szCs w:val="16"/>
        </w:rPr>
        <w:t xml:space="preserve">July </w:t>
      </w:r>
      <w:r w:rsidRPr="00E634A3">
        <w:rPr>
          <w:rFonts w:asciiTheme="majorHAnsi" w:hAnsiTheme="majorHAnsi"/>
          <w:sz w:val="16"/>
          <w:szCs w:val="16"/>
        </w:rPr>
        <w:t>28</w:t>
      </w:r>
      <w:r>
        <w:rPr>
          <w:rFonts w:asciiTheme="majorHAnsi" w:hAnsiTheme="majorHAnsi"/>
          <w:sz w:val="16"/>
          <w:szCs w:val="16"/>
        </w:rPr>
        <w:t>,</w:t>
      </w:r>
      <w:r w:rsidRPr="00E634A3">
        <w:rPr>
          <w:rFonts w:asciiTheme="majorHAnsi" w:hAnsiTheme="majorHAnsi"/>
          <w:sz w:val="16"/>
          <w:szCs w:val="16"/>
        </w:rPr>
        <w:t xml:space="preserve"> </w:t>
      </w:r>
      <w:r>
        <w:rPr>
          <w:rFonts w:asciiTheme="majorHAnsi" w:hAnsiTheme="majorHAnsi"/>
          <w:sz w:val="16"/>
          <w:szCs w:val="16"/>
        </w:rPr>
        <w:t>2015, para</w:t>
      </w:r>
      <w:r w:rsidRPr="00E634A3">
        <w:rPr>
          <w:rFonts w:asciiTheme="majorHAnsi" w:hAnsiTheme="majorHAnsi"/>
          <w:sz w:val="16"/>
          <w:szCs w:val="16"/>
        </w:rPr>
        <w:t>. 47.</w:t>
      </w:r>
    </w:p>
  </w:footnote>
  <w:footnote w:id="5">
    <w:p w:rsidR="00C73045" w:rsidRPr="00E634A3" w:rsidRDefault="00C73045" w:rsidP="00C73045">
      <w:pPr>
        <w:pStyle w:val="FootnoteText"/>
        <w:spacing w:before="120"/>
        <w:ind w:firstLine="720"/>
        <w:jc w:val="both"/>
        <w:rPr>
          <w:rFonts w:ascii="Cambria" w:hAnsi="Cambria" w:cs="Times New Roman"/>
          <w:sz w:val="16"/>
          <w:szCs w:val="16"/>
        </w:rPr>
      </w:pPr>
      <w:r w:rsidRPr="00E634A3">
        <w:rPr>
          <w:rStyle w:val="FootnoteReference"/>
          <w:rFonts w:ascii="Cambria" w:hAnsi="Cambria"/>
          <w:sz w:val="16"/>
          <w:szCs w:val="16"/>
        </w:rPr>
        <w:footnoteRef/>
      </w:r>
      <w:r w:rsidRPr="00E634A3">
        <w:rPr>
          <w:rFonts w:ascii="Cambria" w:hAnsi="Cambria" w:cs="Times New Roman"/>
          <w:sz w:val="16"/>
          <w:szCs w:val="16"/>
        </w:rPr>
        <w:t xml:space="preserve"> </w:t>
      </w:r>
      <w:r>
        <w:rPr>
          <w:rFonts w:ascii="Cambria" w:hAnsi="Cambria" w:cs="Times New Roman"/>
          <w:sz w:val="16"/>
          <w:szCs w:val="16"/>
        </w:rPr>
        <w:t>See IACHR</w:t>
      </w:r>
      <w:r w:rsidRPr="00E634A3">
        <w:rPr>
          <w:rFonts w:ascii="Cambria" w:hAnsi="Cambria" w:cs="Times New Roman"/>
          <w:sz w:val="16"/>
          <w:szCs w:val="16"/>
        </w:rPr>
        <w:t xml:space="preserve">, </w:t>
      </w:r>
      <w:r>
        <w:rPr>
          <w:rFonts w:ascii="Cambria" w:hAnsi="Cambria" w:cs="Times New Roman"/>
          <w:sz w:val="16"/>
          <w:szCs w:val="16"/>
        </w:rPr>
        <w:t>Report No. 18/15, Petitions 929-04, 1082-07 and</w:t>
      </w:r>
      <w:r w:rsidRPr="00E634A3">
        <w:rPr>
          <w:rFonts w:ascii="Cambria" w:hAnsi="Cambria" w:cs="Times New Roman"/>
          <w:sz w:val="16"/>
          <w:szCs w:val="16"/>
        </w:rPr>
        <w:t xml:space="preserve"> 1187-07. Admis</w:t>
      </w:r>
      <w:r>
        <w:rPr>
          <w:rFonts w:ascii="Cambria" w:hAnsi="Cambria" w:cs="Times New Roman"/>
          <w:sz w:val="16"/>
          <w:szCs w:val="16"/>
        </w:rPr>
        <w:t>s</w:t>
      </w:r>
      <w:r w:rsidRPr="00E634A3">
        <w:rPr>
          <w:rFonts w:ascii="Cambria" w:hAnsi="Cambria" w:cs="Times New Roman"/>
          <w:sz w:val="16"/>
          <w:szCs w:val="16"/>
        </w:rPr>
        <w:t>ibili</w:t>
      </w:r>
      <w:r>
        <w:rPr>
          <w:rFonts w:ascii="Cambria" w:hAnsi="Cambria" w:cs="Times New Roman"/>
          <w:sz w:val="16"/>
          <w:szCs w:val="16"/>
        </w:rPr>
        <w:t>ty</w:t>
      </w:r>
      <w:r w:rsidRPr="00E634A3">
        <w:rPr>
          <w:rFonts w:ascii="Cambria" w:hAnsi="Cambria" w:cs="Times New Roman"/>
          <w:sz w:val="16"/>
          <w:szCs w:val="16"/>
        </w:rPr>
        <w:t xml:space="preserve">. </w:t>
      </w:r>
      <w:r>
        <w:rPr>
          <w:rFonts w:ascii="Cambria" w:hAnsi="Cambria" w:cs="Times New Roman"/>
          <w:i/>
          <w:sz w:val="16"/>
          <w:szCs w:val="16"/>
        </w:rPr>
        <w:t xml:space="preserve">José Antonio Arrona Salazar and Family, Luz Claudia Irozaqui Félix and </w:t>
      </w:r>
      <w:r w:rsidRPr="00E634A3">
        <w:rPr>
          <w:rFonts w:ascii="Cambria" w:hAnsi="Cambria" w:cs="Times New Roman"/>
          <w:i/>
          <w:sz w:val="16"/>
          <w:szCs w:val="16"/>
        </w:rPr>
        <w:t>Joel Gutiérrez Ezquivel</w:t>
      </w:r>
      <w:r>
        <w:rPr>
          <w:rFonts w:ascii="Cambria" w:hAnsi="Cambria" w:cs="Times New Roman"/>
          <w:sz w:val="16"/>
          <w:szCs w:val="16"/>
        </w:rPr>
        <w:t>, Me</w:t>
      </w:r>
      <w:r w:rsidRPr="00E634A3">
        <w:rPr>
          <w:rFonts w:ascii="Cambria" w:hAnsi="Cambria" w:cs="Times New Roman"/>
          <w:sz w:val="16"/>
          <w:szCs w:val="16"/>
        </w:rPr>
        <w:t xml:space="preserve">xico, </w:t>
      </w:r>
      <w:r>
        <w:rPr>
          <w:rFonts w:ascii="Cambria" w:hAnsi="Cambria" w:cs="Times New Roman"/>
          <w:sz w:val="16"/>
          <w:szCs w:val="16"/>
        </w:rPr>
        <w:t xml:space="preserve">March </w:t>
      </w:r>
      <w:r w:rsidRPr="00E634A3">
        <w:rPr>
          <w:rFonts w:ascii="Cambria" w:hAnsi="Cambria" w:cs="Times New Roman"/>
          <w:sz w:val="16"/>
          <w:szCs w:val="16"/>
        </w:rPr>
        <w:t>24</w:t>
      </w:r>
      <w:r>
        <w:rPr>
          <w:rFonts w:ascii="Cambria" w:hAnsi="Cambria" w:cs="Times New Roman"/>
          <w:sz w:val="16"/>
          <w:szCs w:val="16"/>
        </w:rPr>
        <w:t>,</w:t>
      </w:r>
      <w:r w:rsidRPr="00E634A3">
        <w:rPr>
          <w:rFonts w:ascii="Cambria" w:hAnsi="Cambria" w:cs="Times New Roman"/>
          <w:sz w:val="16"/>
          <w:szCs w:val="16"/>
        </w:rPr>
        <w:t xml:space="preserve"> 2015</w:t>
      </w:r>
      <w:r>
        <w:rPr>
          <w:rFonts w:ascii="Cambria" w:hAnsi="Cambria" w:cs="Times New Roman"/>
          <w:sz w:val="16"/>
          <w:szCs w:val="16"/>
        </w:rPr>
        <w:t>, para</w:t>
      </w:r>
      <w:r w:rsidRPr="00E634A3">
        <w:rPr>
          <w:rFonts w:ascii="Cambria" w:hAnsi="Cambria" w:cs="Times New Roman"/>
          <w:sz w:val="16"/>
          <w:szCs w:val="16"/>
        </w:rPr>
        <w:t xml:space="preserve">. 48; </w:t>
      </w:r>
      <w:r>
        <w:rPr>
          <w:rFonts w:ascii="Cambria" w:hAnsi="Cambria" w:cs="Times New Roman"/>
          <w:sz w:val="16"/>
          <w:szCs w:val="16"/>
        </w:rPr>
        <w:t>Report No. 42/08,  Petitio</w:t>
      </w:r>
      <w:r w:rsidRPr="00E634A3">
        <w:rPr>
          <w:rFonts w:ascii="Cambria" w:hAnsi="Cambria" w:cs="Times New Roman"/>
          <w:sz w:val="16"/>
          <w:szCs w:val="16"/>
        </w:rPr>
        <w:t>n 1271-04, Admis</w:t>
      </w:r>
      <w:r>
        <w:rPr>
          <w:rFonts w:ascii="Cambria" w:hAnsi="Cambria" w:cs="Times New Roman"/>
          <w:sz w:val="16"/>
          <w:szCs w:val="16"/>
        </w:rPr>
        <w:t>s</w:t>
      </w:r>
      <w:r w:rsidRPr="00E634A3">
        <w:rPr>
          <w:rFonts w:ascii="Cambria" w:hAnsi="Cambria" w:cs="Times New Roman"/>
          <w:sz w:val="16"/>
          <w:szCs w:val="16"/>
        </w:rPr>
        <w:t>ibili</w:t>
      </w:r>
      <w:r>
        <w:rPr>
          <w:rFonts w:ascii="Cambria" w:hAnsi="Cambria" w:cs="Times New Roman"/>
          <w:sz w:val="16"/>
          <w:szCs w:val="16"/>
        </w:rPr>
        <w:t>ty</w:t>
      </w:r>
      <w:r w:rsidRPr="00E634A3">
        <w:rPr>
          <w:rFonts w:ascii="Cambria" w:hAnsi="Cambria" w:cs="Times New Roman"/>
          <w:sz w:val="16"/>
          <w:szCs w:val="16"/>
        </w:rPr>
        <w:t xml:space="preserve">, </w:t>
      </w:r>
      <w:r w:rsidRPr="00E634A3">
        <w:rPr>
          <w:rFonts w:ascii="Cambria" w:hAnsi="Cambria" w:cs="Times New Roman"/>
          <w:i/>
          <w:sz w:val="16"/>
          <w:szCs w:val="16"/>
        </w:rPr>
        <w:t xml:space="preserve">Karen Atala </w:t>
      </w:r>
      <w:r>
        <w:rPr>
          <w:rFonts w:ascii="Cambria" w:hAnsi="Cambria" w:cs="Times New Roman"/>
          <w:i/>
          <w:sz w:val="16"/>
          <w:szCs w:val="16"/>
        </w:rPr>
        <w:t>and daughters</w:t>
      </w:r>
      <w:r w:rsidRPr="00E634A3">
        <w:rPr>
          <w:rFonts w:ascii="Cambria" w:hAnsi="Cambria" w:cs="Times New Roman"/>
          <w:sz w:val="16"/>
          <w:szCs w:val="16"/>
        </w:rPr>
        <w:t xml:space="preserve">, Chile, </w:t>
      </w:r>
      <w:r>
        <w:rPr>
          <w:rFonts w:ascii="Cambria" w:hAnsi="Cambria" w:cs="Times New Roman"/>
          <w:sz w:val="16"/>
          <w:szCs w:val="16"/>
        </w:rPr>
        <w:t xml:space="preserve">July </w:t>
      </w:r>
      <w:r w:rsidRPr="00E634A3">
        <w:rPr>
          <w:rFonts w:ascii="Cambria" w:hAnsi="Cambria" w:cs="Times New Roman"/>
          <w:sz w:val="16"/>
          <w:szCs w:val="16"/>
        </w:rPr>
        <w:t>23</w:t>
      </w:r>
      <w:r>
        <w:rPr>
          <w:rFonts w:ascii="Cambria" w:hAnsi="Cambria" w:cs="Times New Roman"/>
          <w:sz w:val="16"/>
          <w:szCs w:val="16"/>
        </w:rPr>
        <w:t>,</w:t>
      </w:r>
      <w:r w:rsidRPr="00E634A3">
        <w:rPr>
          <w:rFonts w:ascii="Cambria" w:hAnsi="Cambria" w:cs="Times New Roman"/>
          <w:sz w:val="16"/>
          <w:szCs w:val="16"/>
        </w:rPr>
        <w:t xml:space="preserve"> </w:t>
      </w:r>
      <w:r>
        <w:rPr>
          <w:rFonts w:ascii="Cambria" w:hAnsi="Cambria" w:cs="Times New Roman"/>
          <w:sz w:val="16"/>
          <w:szCs w:val="16"/>
        </w:rPr>
        <w:t>2008, para</w:t>
      </w:r>
      <w:r w:rsidRPr="00E634A3">
        <w:rPr>
          <w:rFonts w:ascii="Cambria" w:hAnsi="Cambria" w:cs="Times New Roman"/>
          <w:sz w:val="16"/>
          <w:szCs w:val="16"/>
        </w:rPr>
        <w:t>. 59.</w:t>
      </w:r>
    </w:p>
  </w:footnote>
  <w:footnote w:id="6">
    <w:p w:rsidR="00C73045" w:rsidRPr="00E634A3" w:rsidRDefault="00C73045" w:rsidP="00C73045">
      <w:pPr>
        <w:pStyle w:val="FootnoteText"/>
        <w:spacing w:before="120"/>
        <w:ind w:firstLine="720"/>
        <w:jc w:val="both"/>
        <w:rPr>
          <w:rFonts w:ascii="Cambria" w:hAnsi="Cambria" w:cs="Times New Roman"/>
          <w:sz w:val="16"/>
          <w:szCs w:val="16"/>
        </w:rPr>
      </w:pPr>
      <w:r w:rsidRPr="00E634A3">
        <w:rPr>
          <w:rStyle w:val="FootnoteReference"/>
          <w:rFonts w:ascii="Cambria" w:hAnsi="Cambria"/>
          <w:sz w:val="16"/>
          <w:szCs w:val="16"/>
        </w:rPr>
        <w:footnoteRef/>
      </w:r>
      <w:r w:rsidRPr="00E634A3">
        <w:rPr>
          <w:rFonts w:ascii="Cambria" w:hAnsi="Cambria" w:cs="Times New Roman"/>
          <w:sz w:val="16"/>
          <w:szCs w:val="16"/>
        </w:rPr>
        <w:t xml:space="preserve"> </w:t>
      </w:r>
      <w:r>
        <w:rPr>
          <w:rFonts w:ascii="Cambria" w:hAnsi="Cambria" w:cs="Times New Roman"/>
          <w:sz w:val="16"/>
          <w:szCs w:val="16"/>
        </w:rPr>
        <w:t>See IACHR</w:t>
      </w:r>
      <w:r w:rsidRPr="00E634A3">
        <w:rPr>
          <w:rFonts w:ascii="Cambria" w:hAnsi="Cambria" w:cs="Times New Roman"/>
          <w:sz w:val="16"/>
          <w:szCs w:val="16"/>
        </w:rPr>
        <w:t xml:space="preserve">, </w:t>
      </w:r>
      <w:r>
        <w:rPr>
          <w:rFonts w:ascii="Cambria" w:hAnsi="Cambria" w:cs="Times New Roman"/>
          <w:sz w:val="16"/>
          <w:szCs w:val="16"/>
        </w:rPr>
        <w:t>Report No. 18/15, Petitions 929-04, 1082-07 and</w:t>
      </w:r>
      <w:r w:rsidRPr="00E634A3">
        <w:rPr>
          <w:rFonts w:ascii="Cambria" w:hAnsi="Cambria" w:cs="Times New Roman"/>
          <w:sz w:val="16"/>
          <w:szCs w:val="16"/>
        </w:rPr>
        <w:t xml:space="preserve"> 1187-07. Admis</w:t>
      </w:r>
      <w:r>
        <w:rPr>
          <w:rFonts w:ascii="Cambria" w:hAnsi="Cambria" w:cs="Times New Roman"/>
          <w:sz w:val="16"/>
          <w:szCs w:val="16"/>
        </w:rPr>
        <w:t>sibility</w:t>
      </w:r>
      <w:r w:rsidRPr="00E634A3">
        <w:rPr>
          <w:rFonts w:ascii="Cambria" w:hAnsi="Cambria" w:cs="Times New Roman"/>
          <w:sz w:val="16"/>
          <w:szCs w:val="16"/>
        </w:rPr>
        <w:t xml:space="preserve">. </w:t>
      </w:r>
      <w:r>
        <w:rPr>
          <w:rFonts w:ascii="Cambria" w:hAnsi="Cambria" w:cs="Times New Roman"/>
          <w:i/>
          <w:sz w:val="16"/>
          <w:szCs w:val="16"/>
        </w:rPr>
        <w:t>José Antonio Arrona Salazar and Family</w:t>
      </w:r>
      <w:r w:rsidRPr="00E634A3">
        <w:rPr>
          <w:rFonts w:ascii="Cambria" w:hAnsi="Cambria" w:cs="Times New Roman"/>
          <w:i/>
          <w:sz w:val="16"/>
          <w:szCs w:val="16"/>
        </w:rPr>
        <w:t>, Luz Claudia Irozaq</w:t>
      </w:r>
      <w:r>
        <w:rPr>
          <w:rFonts w:ascii="Cambria" w:hAnsi="Cambria" w:cs="Times New Roman"/>
          <w:i/>
          <w:sz w:val="16"/>
          <w:szCs w:val="16"/>
        </w:rPr>
        <w:t>ui Félix and</w:t>
      </w:r>
      <w:r w:rsidRPr="00E634A3">
        <w:rPr>
          <w:rFonts w:ascii="Cambria" w:hAnsi="Cambria" w:cs="Times New Roman"/>
          <w:i/>
          <w:sz w:val="16"/>
          <w:szCs w:val="16"/>
        </w:rPr>
        <w:t xml:space="preserve"> Joel Gutiérrez Ezquivel</w:t>
      </w:r>
      <w:r>
        <w:rPr>
          <w:rFonts w:ascii="Cambria" w:hAnsi="Cambria" w:cs="Times New Roman"/>
          <w:sz w:val="16"/>
          <w:szCs w:val="16"/>
        </w:rPr>
        <w:t>, Me</w:t>
      </w:r>
      <w:r w:rsidRPr="00E634A3">
        <w:rPr>
          <w:rFonts w:ascii="Cambria" w:hAnsi="Cambria" w:cs="Times New Roman"/>
          <w:sz w:val="16"/>
          <w:szCs w:val="16"/>
        </w:rPr>
        <w:t xml:space="preserve">xico, </w:t>
      </w:r>
      <w:r>
        <w:rPr>
          <w:rFonts w:ascii="Cambria" w:hAnsi="Cambria" w:cs="Times New Roman"/>
          <w:sz w:val="16"/>
          <w:szCs w:val="16"/>
        </w:rPr>
        <w:t xml:space="preserve">March </w:t>
      </w:r>
      <w:r w:rsidRPr="00E634A3">
        <w:rPr>
          <w:rFonts w:ascii="Cambria" w:hAnsi="Cambria" w:cs="Times New Roman"/>
          <w:sz w:val="16"/>
          <w:szCs w:val="16"/>
        </w:rPr>
        <w:t>24</w:t>
      </w:r>
      <w:r>
        <w:rPr>
          <w:rFonts w:ascii="Cambria" w:hAnsi="Cambria" w:cs="Times New Roman"/>
          <w:sz w:val="16"/>
          <w:szCs w:val="16"/>
        </w:rPr>
        <w:t>,</w:t>
      </w:r>
      <w:r w:rsidRPr="00E634A3">
        <w:rPr>
          <w:rFonts w:ascii="Cambria" w:hAnsi="Cambria" w:cs="Times New Roman"/>
          <w:sz w:val="16"/>
          <w:szCs w:val="16"/>
        </w:rPr>
        <w:t xml:space="preserve"> </w:t>
      </w:r>
      <w:r>
        <w:rPr>
          <w:rFonts w:ascii="Cambria" w:hAnsi="Cambria" w:cs="Times New Roman"/>
          <w:sz w:val="16"/>
          <w:szCs w:val="16"/>
        </w:rPr>
        <w:t>2015, para</w:t>
      </w:r>
      <w:r w:rsidRPr="00E634A3">
        <w:rPr>
          <w:rFonts w:ascii="Cambria" w:hAnsi="Cambria" w:cs="Times New Roman"/>
          <w:sz w:val="16"/>
          <w:szCs w:val="16"/>
        </w:rPr>
        <w:t xml:space="preserve">. 49; </w:t>
      </w:r>
      <w:r>
        <w:rPr>
          <w:rFonts w:ascii="Cambria" w:hAnsi="Cambria" w:cs="Times New Roman"/>
          <w:sz w:val="16"/>
          <w:szCs w:val="16"/>
        </w:rPr>
        <w:t>Report No. 42/08,  Petition 1271-04, Admissibility</w:t>
      </w:r>
      <w:r w:rsidRPr="00E634A3">
        <w:rPr>
          <w:rFonts w:ascii="Cambria" w:hAnsi="Cambria" w:cs="Times New Roman"/>
          <w:sz w:val="16"/>
          <w:szCs w:val="16"/>
        </w:rPr>
        <w:t xml:space="preserve">, </w:t>
      </w:r>
      <w:r w:rsidRPr="00E634A3">
        <w:rPr>
          <w:rFonts w:ascii="Cambria" w:hAnsi="Cambria" w:cs="Times New Roman"/>
          <w:i/>
          <w:sz w:val="16"/>
          <w:szCs w:val="16"/>
        </w:rPr>
        <w:t xml:space="preserve">Karen Atala </w:t>
      </w:r>
      <w:r>
        <w:rPr>
          <w:rFonts w:ascii="Cambria" w:hAnsi="Cambria" w:cs="Times New Roman"/>
          <w:i/>
          <w:sz w:val="16"/>
          <w:szCs w:val="16"/>
        </w:rPr>
        <w:t>and daughters</w:t>
      </w:r>
      <w:r w:rsidRPr="00E634A3">
        <w:rPr>
          <w:rFonts w:ascii="Cambria" w:hAnsi="Cambria" w:cs="Times New Roman"/>
          <w:sz w:val="16"/>
          <w:szCs w:val="16"/>
        </w:rPr>
        <w:t xml:space="preserve">, </w:t>
      </w:r>
      <w:r>
        <w:rPr>
          <w:rFonts w:ascii="Cambria" w:hAnsi="Cambria" w:cs="Times New Roman"/>
          <w:sz w:val="16"/>
          <w:szCs w:val="16"/>
        </w:rPr>
        <w:t>Chile, July 23, 2008, para</w:t>
      </w:r>
      <w:r w:rsidRPr="00E634A3">
        <w:rPr>
          <w:rFonts w:ascii="Cambria" w:hAnsi="Cambria" w:cs="Times New Roman"/>
          <w:sz w:val="16"/>
          <w:szCs w:val="16"/>
        </w:rPr>
        <w:t>. 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540C3A"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317" w:rsidRDefault="005D23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9FF86930"/>
    <w:lvl w:ilvl="0" w:tplc="C40A67D6">
      <w:start w:val="2"/>
      <w:numFmt w:val="upperLetter"/>
      <w:lvlText w:val="%1."/>
      <w:lvlJc w:val="left"/>
      <w:pPr>
        <w:tabs>
          <w:tab w:val="num" w:pos="1440"/>
        </w:tabs>
        <w:ind w:left="1440" w:hanging="720"/>
      </w:pPr>
      <w:rPr>
        <w:rFonts w:hint="default"/>
      </w:rPr>
    </w:lvl>
    <w:lvl w:ilvl="1" w:tplc="BF2C9D0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93637"/>
    <w:multiLevelType w:val="hybridMultilevel"/>
    <w:tmpl w:val="DBACFE70"/>
    <w:lvl w:ilvl="0" w:tplc="D68093FE">
      <w:start w:val="1"/>
      <w:numFmt w:val="upperLetter"/>
      <w:pStyle w:val="NoSpac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3364C9"/>
    <w:multiLevelType w:val="hybridMultilevel"/>
    <w:tmpl w:val="7DCE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834209EA"/>
    <w:lvl w:ilvl="0" w:tplc="DB9A2834">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7"/>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6"/>
  </w:num>
  <w:num w:numId="99">
    <w:abstractNumId w:val="38"/>
  </w:num>
  <w:num w:numId="100">
    <w:abstractNumId w:val="3"/>
  </w:num>
  <w:num w:numId="101">
    <w:abstractNumId w:val="26"/>
  </w:num>
  <w:num w:numId="102">
    <w:abstractNumId w:val="49"/>
  </w:num>
  <w:num w:numId="103">
    <w:abstractNumId w:val="5"/>
  </w:num>
  <w:num w:numId="104">
    <w:abstractNumId w:val="31"/>
  </w:num>
  <w:num w:numId="105">
    <w:abstractNumId w:val="31"/>
    <w:lvlOverride w:ilvl="0">
      <w:startOverride w:val="1"/>
    </w:lvlOverride>
  </w:num>
  <w:num w:numId="106">
    <w:abstractNumId w:val="11"/>
  </w:num>
  <w:num w:numId="107">
    <w:abstractNumId w:val="4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82511"/>
    <w:rsid w:val="00092F32"/>
    <w:rsid w:val="0009344A"/>
    <w:rsid w:val="000A575F"/>
    <w:rsid w:val="000D10DB"/>
    <w:rsid w:val="0013104F"/>
    <w:rsid w:val="00137EBA"/>
    <w:rsid w:val="00145EDC"/>
    <w:rsid w:val="00167A34"/>
    <w:rsid w:val="0018037F"/>
    <w:rsid w:val="001A5F27"/>
    <w:rsid w:val="001A7870"/>
    <w:rsid w:val="001B743D"/>
    <w:rsid w:val="001C1B41"/>
    <w:rsid w:val="002057EB"/>
    <w:rsid w:val="00210E0E"/>
    <w:rsid w:val="00247403"/>
    <w:rsid w:val="00247542"/>
    <w:rsid w:val="00257893"/>
    <w:rsid w:val="002644A7"/>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42A1A"/>
    <w:rsid w:val="00343F35"/>
    <w:rsid w:val="00356185"/>
    <w:rsid w:val="00360380"/>
    <w:rsid w:val="00386CF0"/>
    <w:rsid w:val="003B7534"/>
    <w:rsid w:val="003C32BC"/>
    <w:rsid w:val="003F1BBF"/>
    <w:rsid w:val="003F2B71"/>
    <w:rsid w:val="004165C2"/>
    <w:rsid w:val="00450A4A"/>
    <w:rsid w:val="004666FB"/>
    <w:rsid w:val="00467B7E"/>
    <w:rsid w:val="00480599"/>
    <w:rsid w:val="0049419D"/>
    <w:rsid w:val="004B2762"/>
    <w:rsid w:val="004B7EB6"/>
    <w:rsid w:val="004C4B62"/>
    <w:rsid w:val="004D2734"/>
    <w:rsid w:val="004D6025"/>
    <w:rsid w:val="004D72BC"/>
    <w:rsid w:val="004E4DB1"/>
    <w:rsid w:val="00501399"/>
    <w:rsid w:val="005015E3"/>
    <w:rsid w:val="00507BC4"/>
    <w:rsid w:val="005128E4"/>
    <w:rsid w:val="00525560"/>
    <w:rsid w:val="005357A6"/>
    <w:rsid w:val="00540C3A"/>
    <w:rsid w:val="00544C49"/>
    <w:rsid w:val="0057402A"/>
    <w:rsid w:val="005771D0"/>
    <w:rsid w:val="0059191A"/>
    <w:rsid w:val="005921FF"/>
    <w:rsid w:val="005A1F81"/>
    <w:rsid w:val="005A6D0E"/>
    <w:rsid w:val="005A7ECE"/>
    <w:rsid w:val="005B222D"/>
    <w:rsid w:val="005B52B0"/>
    <w:rsid w:val="005B6806"/>
    <w:rsid w:val="005C00F9"/>
    <w:rsid w:val="005C4225"/>
    <w:rsid w:val="005D2317"/>
    <w:rsid w:val="005F0F33"/>
    <w:rsid w:val="00600DEB"/>
    <w:rsid w:val="00613027"/>
    <w:rsid w:val="00627C9F"/>
    <w:rsid w:val="006311DA"/>
    <w:rsid w:val="006311E9"/>
    <w:rsid w:val="00632354"/>
    <w:rsid w:val="00642810"/>
    <w:rsid w:val="00652333"/>
    <w:rsid w:val="00667D91"/>
    <w:rsid w:val="0068009E"/>
    <w:rsid w:val="00694531"/>
    <w:rsid w:val="006A17D2"/>
    <w:rsid w:val="006A73E6"/>
    <w:rsid w:val="006B2D5C"/>
    <w:rsid w:val="006C4EB1"/>
    <w:rsid w:val="006E0166"/>
    <w:rsid w:val="006E2CB3"/>
    <w:rsid w:val="006E7B34"/>
    <w:rsid w:val="006F5CB9"/>
    <w:rsid w:val="00701B24"/>
    <w:rsid w:val="00706D3C"/>
    <w:rsid w:val="00737BF2"/>
    <w:rsid w:val="00745899"/>
    <w:rsid w:val="007607C4"/>
    <w:rsid w:val="0076643F"/>
    <w:rsid w:val="0077557B"/>
    <w:rsid w:val="007A2F70"/>
    <w:rsid w:val="007C3334"/>
    <w:rsid w:val="007C52BB"/>
    <w:rsid w:val="007D2B98"/>
    <w:rsid w:val="00803172"/>
    <w:rsid w:val="00803F1C"/>
    <w:rsid w:val="0080600E"/>
    <w:rsid w:val="00806309"/>
    <w:rsid w:val="00817612"/>
    <w:rsid w:val="00837C45"/>
    <w:rsid w:val="00853419"/>
    <w:rsid w:val="00897B64"/>
    <w:rsid w:val="00897E12"/>
    <w:rsid w:val="008D43BA"/>
    <w:rsid w:val="008E3759"/>
    <w:rsid w:val="008E795C"/>
    <w:rsid w:val="009041DC"/>
    <w:rsid w:val="009104B4"/>
    <w:rsid w:val="009107C7"/>
    <w:rsid w:val="00925FCD"/>
    <w:rsid w:val="0093441A"/>
    <w:rsid w:val="00954BF7"/>
    <w:rsid w:val="0096706E"/>
    <w:rsid w:val="00980153"/>
    <w:rsid w:val="00981FBA"/>
    <w:rsid w:val="009B381B"/>
    <w:rsid w:val="009D7611"/>
    <w:rsid w:val="009E53DE"/>
    <w:rsid w:val="00A43458"/>
    <w:rsid w:val="00A528D1"/>
    <w:rsid w:val="00A66BE5"/>
    <w:rsid w:val="00A86A40"/>
    <w:rsid w:val="00AD37C1"/>
    <w:rsid w:val="00AE66EC"/>
    <w:rsid w:val="00AE6F91"/>
    <w:rsid w:val="00AF5571"/>
    <w:rsid w:val="00B14436"/>
    <w:rsid w:val="00B167E9"/>
    <w:rsid w:val="00B16E23"/>
    <w:rsid w:val="00B314DB"/>
    <w:rsid w:val="00B31EBE"/>
    <w:rsid w:val="00B3718B"/>
    <w:rsid w:val="00B4632A"/>
    <w:rsid w:val="00BA276C"/>
    <w:rsid w:val="00BB306F"/>
    <w:rsid w:val="00BD232B"/>
    <w:rsid w:val="00BD4B89"/>
    <w:rsid w:val="00C00C7F"/>
    <w:rsid w:val="00C21762"/>
    <w:rsid w:val="00C24543"/>
    <w:rsid w:val="00C256A2"/>
    <w:rsid w:val="00C3492D"/>
    <w:rsid w:val="00C55560"/>
    <w:rsid w:val="00C66B72"/>
    <w:rsid w:val="00C73045"/>
    <w:rsid w:val="00C9567A"/>
    <w:rsid w:val="00CB2660"/>
    <w:rsid w:val="00CC5E90"/>
    <w:rsid w:val="00CD046C"/>
    <w:rsid w:val="00CE5199"/>
    <w:rsid w:val="00CE66D5"/>
    <w:rsid w:val="00D217C9"/>
    <w:rsid w:val="00D315F0"/>
    <w:rsid w:val="00D34786"/>
    <w:rsid w:val="00D40A1E"/>
    <w:rsid w:val="00D524C3"/>
    <w:rsid w:val="00D712D3"/>
    <w:rsid w:val="00D71422"/>
    <w:rsid w:val="00D7145E"/>
    <w:rsid w:val="00D7558D"/>
    <w:rsid w:val="00D808BF"/>
    <w:rsid w:val="00D81D92"/>
    <w:rsid w:val="00D93446"/>
    <w:rsid w:val="00DA7B5F"/>
    <w:rsid w:val="00E43157"/>
    <w:rsid w:val="00E533FF"/>
    <w:rsid w:val="00E709B3"/>
    <w:rsid w:val="00E8789F"/>
    <w:rsid w:val="00E97B71"/>
    <w:rsid w:val="00EB454D"/>
    <w:rsid w:val="00EE3522"/>
    <w:rsid w:val="00EF619B"/>
    <w:rsid w:val="00F00B55"/>
    <w:rsid w:val="00F1380F"/>
    <w:rsid w:val="00F14F0E"/>
    <w:rsid w:val="00F23138"/>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96"/>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iPriority w:val="9"/>
    <w:semiHidden/>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 w:type="paragraph" w:styleId="Subtitle">
    <w:name w:val="Subtitle"/>
    <w:basedOn w:val="Heading1"/>
    <w:next w:val="Normal"/>
    <w:link w:val="SubtitleChar"/>
    <w:uiPriority w:val="11"/>
    <w:qFormat/>
    <w:rsid w:val="005A1F81"/>
    <w:pPr>
      <w:numPr>
        <w:numId w:val="0"/>
      </w:numPr>
      <w:ind w:left="360" w:firstLine="360"/>
    </w:pPr>
  </w:style>
  <w:style w:type="character" w:customStyle="1" w:styleId="SubtitleChar">
    <w:name w:val="Subtitle Char"/>
    <w:basedOn w:val="DefaultParagraphFont"/>
    <w:link w:val="Subtitle"/>
    <w:uiPriority w:val="11"/>
    <w:rsid w:val="005A1F81"/>
    <w:rPr>
      <w:rFonts w:asciiTheme="majorHAnsi" w:eastAsiaTheme="majorEastAsia" w:hAnsiTheme="majorHAnsi" w:cstheme="maj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96"/>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iPriority w:val="9"/>
    <w:semiHidden/>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 w:type="paragraph" w:styleId="Subtitle">
    <w:name w:val="Subtitle"/>
    <w:basedOn w:val="Heading1"/>
    <w:next w:val="Normal"/>
    <w:link w:val="SubtitleChar"/>
    <w:uiPriority w:val="11"/>
    <w:qFormat/>
    <w:rsid w:val="005A1F81"/>
    <w:pPr>
      <w:numPr>
        <w:numId w:val="0"/>
      </w:numPr>
      <w:ind w:left="360" w:firstLine="360"/>
    </w:pPr>
  </w:style>
  <w:style w:type="character" w:customStyle="1" w:styleId="SubtitleChar">
    <w:name w:val="Subtitle Char"/>
    <w:basedOn w:val="DefaultParagraphFont"/>
    <w:link w:val="Subtitle"/>
    <w:uiPriority w:val="11"/>
    <w:rsid w:val="005A1F81"/>
    <w:rPr>
      <w:rFonts w:asciiTheme="majorHAnsi" w:eastAsiaTheme="majorEastAsia" w:hAnsiTheme="majorHAnsi" w:cstheme="maj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34F66-ED02-4A3B-8544-5BFCD546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4674</Words>
  <Characters>24449</Characters>
  <Application>Microsoft Office Word</Application>
  <DocSecurity>0</DocSecurity>
  <Lines>444</Lines>
  <Paragraphs>123</Paragraphs>
  <ScaleCrop>false</ScaleCrop>
  <Company/>
  <LinksUpToDate>false</LinksUpToDate>
  <CharactersWithSpaces>29000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Repot No. 35/16</dc:title>
  <dc:creator/>
  <cp:lastModifiedBy/>
  <cp:revision>1</cp:revision>
  <dcterms:created xsi:type="dcterms:W3CDTF">2016-09-28T13:34:00Z</dcterms:created>
  <dcterms:modified xsi:type="dcterms:W3CDTF">2016-09-28T13:34:00Z</dcterms:modified>
</cp:coreProperties>
</file>