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DD" w:rsidRPr="003C32BC" w:rsidRDefault="00172ADD" w:rsidP="00172ADD">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089323A" wp14:editId="3A58AB52">
                <wp:simplePos x="0" y="0"/>
                <wp:positionH relativeFrom="column">
                  <wp:posOffset>-415925</wp:posOffset>
                </wp:positionH>
                <wp:positionV relativeFrom="paragraph">
                  <wp:posOffset>-356870</wp:posOffset>
                </wp:positionV>
                <wp:extent cx="1409700" cy="8977630"/>
                <wp:effectExtent l="0" t="0" r="0" b="0"/>
                <wp:wrapNone/>
                <wp:docPr id="2" name="Rectangle 2"/>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25400" cap="flat" cmpd="sng" algn="ctr">
                          <a:noFill/>
                          <a:prstDash val="solid"/>
                        </a:ln>
                        <a:effectLst/>
                      </wps:spPr>
                      <wps:txbx>
                        <w:txbxContent>
                          <w:p w:rsidR="00172ADD" w:rsidRDefault="00172ADD" w:rsidP="00172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9323A" id="Rectangle 2" o:spid="_x0000_s1026" style="position:absolute;left:0;text-align:left;margin-left:-32.75pt;margin-top:-28.1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" fillcolor="#67ae3c" stroked="f" strokeweight="2pt">
                <v:textbox>
                  <w:txbxContent>
                    <w:p w:rsidR="00172ADD" w:rsidRDefault="00172ADD" w:rsidP="00172ADD">
                      <w:pPr>
                        <w:jc w:val="center"/>
                      </w:pPr>
                    </w:p>
                  </w:txbxContent>
                </v:textbox>
              </v:rect>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76B130DE" wp14:editId="06ACAAD0">
                <wp:simplePos x="0" y="0"/>
                <wp:positionH relativeFrom="column">
                  <wp:posOffset>1143000</wp:posOffset>
                </wp:positionH>
                <wp:positionV relativeFrom="paragraph">
                  <wp:posOffset>-371475</wp:posOffset>
                </wp:positionV>
                <wp:extent cx="4486275" cy="752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txbx>
                        <w:txbxContent>
                          <w:p w:rsidR="00172ADD" w:rsidRDefault="00172ADD" w:rsidP="00172ADD">
                            <w:r>
                              <w:rPr>
                                <w:noProof/>
                              </w:rPr>
                              <w:drawing>
                                <wp:inline distT="0" distB="0" distL="0" distR="0" wp14:anchorId="5E94AA20" wp14:editId="084F7D46">
                                  <wp:extent cx="2522763" cy="485775"/>
                                  <wp:effectExtent l="0" t="0" r="0" b="0"/>
                                  <wp:docPr id="20" name="Picture 20"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30DE" id="_x0000_t202" coordsize="21600,21600" o:spt="202" path="m,l,21600r21600,l21600,xe">
                <v:stroke joinstyle="miter"/>
                <v:path gradientshapeok="t" o:connecttype="rect"/>
              </v:shapetype>
              <v:shape id="Text Box 3" o:spid="_x0000_s1027" type="#_x0000_t202" style="position:absolute;left:0;text-align:left;margin-left:90pt;margin-top:-29.25pt;width:353.2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" filled="f" stroked="f" strokeweight=".5pt">
                <v:textbox>
                  <w:txbxContent>
                    <w:p w:rsidR="00172ADD" w:rsidRDefault="00172ADD" w:rsidP="00172ADD">
                      <w:r>
                        <w:rPr>
                          <w:noProof/>
                        </w:rPr>
                        <w:drawing>
                          <wp:inline distT="0" distB="0" distL="0" distR="0" wp14:anchorId="5E94AA20" wp14:editId="084F7D46">
                            <wp:extent cx="2522763" cy="485775"/>
                            <wp:effectExtent l="0" t="0" r="0" b="0"/>
                            <wp:docPr id="20" name="Picture 20"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172ADD" w:rsidRPr="003C32BC" w:rsidRDefault="00172ADD" w:rsidP="00172ADD">
      <w:pPr>
        <w:tabs>
          <w:tab w:val="center" w:pos="5400"/>
        </w:tabs>
        <w:suppressAutoHyphens/>
        <w:jc w:val="both"/>
        <w:rPr>
          <w:rFonts w:asciiTheme="majorHAnsi" w:hAnsiTheme="majorHAnsi"/>
          <w:sz w:val="22"/>
          <w:szCs w:val="22"/>
          <w:lang w:val="es-ES"/>
        </w:rPr>
      </w:pPr>
    </w:p>
    <w:p w:rsidR="00172ADD" w:rsidRPr="003C32BC" w:rsidRDefault="00172ADD" w:rsidP="00172ADD">
      <w:pPr>
        <w:tabs>
          <w:tab w:val="center" w:pos="5400"/>
        </w:tabs>
        <w:suppressAutoHyphens/>
        <w:jc w:val="both"/>
        <w:rPr>
          <w:rFonts w:asciiTheme="majorHAnsi" w:hAnsiTheme="majorHAnsi"/>
          <w:sz w:val="22"/>
          <w:szCs w:val="22"/>
          <w:lang w:val="es-ES"/>
        </w:rPr>
      </w:pPr>
    </w:p>
    <w:p w:rsidR="00172ADD" w:rsidRPr="003C32BC" w:rsidRDefault="00172ADD" w:rsidP="00172ADD">
      <w:pPr>
        <w:tabs>
          <w:tab w:val="center" w:pos="5400"/>
        </w:tabs>
        <w:suppressAutoHyphens/>
        <w:rPr>
          <w:rFonts w:asciiTheme="majorHAnsi" w:hAnsiTheme="majorHAnsi"/>
          <w:sz w:val="22"/>
          <w:szCs w:val="22"/>
          <w:lang w:val="es-ES_tradnl"/>
        </w:rPr>
      </w:pPr>
    </w:p>
    <w:p w:rsidR="00172ADD" w:rsidRPr="003C32BC" w:rsidRDefault="00172ADD" w:rsidP="00172ADD">
      <w:pPr>
        <w:tabs>
          <w:tab w:val="center" w:pos="5400"/>
        </w:tabs>
        <w:suppressAutoHyphens/>
        <w:rPr>
          <w:rFonts w:asciiTheme="majorHAnsi" w:hAnsiTheme="majorHAnsi"/>
          <w:sz w:val="22"/>
          <w:szCs w:val="22"/>
          <w:lang w:val="es-ES_tradnl"/>
        </w:rPr>
      </w:pPr>
    </w:p>
    <w:p w:rsidR="00172ADD" w:rsidRPr="003C32BC" w:rsidRDefault="00172ADD" w:rsidP="00172ADD">
      <w:pPr>
        <w:tabs>
          <w:tab w:val="center" w:pos="5400"/>
        </w:tabs>
        <w:suppressAutoHyphens/>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2921B246" wp14:editId="0CC0F090">
                <wp:simplePos x="0" y="0"/>
                <wp:positionH relativeFrom="column">
                  <wp:posOffset>1209675</wp:posOffset>
                </wp:positionH>
                <wp:positionV relativeFrom="paragraph">
                  <wp:posOffset>79375</wp:posOffset>
                </wp:positionV>
                <wp:extent cx="4333875" cy="235077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txbx>
                        <w:txbxContent>
                          <w:p w:rsidR="00172ADD" w:rsidRPr="004B7EB6" w:rsidRDefault="00172ADD" w:rsidP="00172AD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27CE4">
                              <w:rPr>
                                <w:rFonts w:asciiTheme="majorHAnsi" w:hAnsiTheme="majorHAnsi" w:cs="Arial"/>
                                <w:b/>
                                <w:bCs/>
                                <w:color w:val="0D0D0D" w:themeColor="text1" w:themeTint="F2"/>
                                <w:sz w:val="36"/>
                                <w:szCs w:val="40"/>
                              </w:rPr>
                              <w:t>188</w:t>
                            </w:r>
                            <w:r>
                              <w:rPr>
                                <w:rFonts w:asciiTheme="majorHAnsi" w:hAnsiTheme="majorHAnsi" w:cs="Arial"/>
                                <w:b/>
                                <w:bCs/>
                                <w:color w:val="0D0D0D" w:themeColor="text1" w:themeTint="F2"/>
                                <w:sz w:val="36"/>
                                <w:szCs w:val="40"/>
                              </w:rPr>
                              <w:t>/18</w:t>
                            </w:r>
                          </w:p>
                          <w:p w:rsidR="00172ADD" w:rsidRPr="004B7EB6" w:rsidRDefault="00172ADD" w:rsidP="00172ADD">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894-08</w:t>
                            </w:r>
                          </w:p>
                          <w:p w:rsidR="00172ADD" w:rsidRPr="004B7EB6" w:rsidRDefault="00172ADD" w:rsidP="00172AD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Pr="00E95FC8">
                              <w:rPr>
                                <w:rFonts w:asciiTheme="majorHAnsi" w:hAnsiTheme="majorHAnsi" w:cs="Arial"/>
                                <w:color w:val="0D0D0D" w:themeColor="text1" w:themeTint="F2"/>
                                <w:szCs w:val="22"/>
                              </w:rPr>
                              <w:t>ON ADMISSIBILITY</w:t>
                            </w:r>
                            <w:r w:rsidRPr="004B7EB6">
                              <w:rPr>
                                <w:rFonts w:asciiTheme="majorHAnsi" w:hAnsiTheme="majorHAnsi" w:cs="Arial"/>
                                <w:color w:val="0D0D0D" w:themeColor="text1" w:themeTint="F2"/>
                                <w:szCs w:val="22"/>
                              </w:rPr>
                              <w:t xml:space="preserve"> </w:t>
                            </w:r>
                          </w:p>
                          <w:p w:rsidR="00172ADD" w:rsidRPr="004B7EB6" w:rsidRDefault="00172ADD" w:rsidP="00172ADD">
                            <w:pPr>
                              <w:spacing w:line="276" w:lineRule="auto"/>
                              <w:rPr>
                                <w:rFonts w:asciiTheme="majorHAnsi" w:hAnsiTheme="majorHAnsi" w:cs="Arial"/>
                                <w:color w:val="0D0D0D" w:themeColor="text1" w:themeTint="F2"/>
                                <w:szCs w:val="22"/>
                              </w:rPr>
                            </w:pPr>
                          </w:p>
                          <w:p w:rsidR="00172ADD" w:rsidRPr="004B7EB6" w:rsidRDefault="00172ADD" w:rsidP="00172AD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EDUARDO GIMENEZ COLMENAREZ</w:t>
                            </w:r>
                          </w:p>
                          <w:p w:rsidR="00172ADD" w:rsidRPr="004B7EB6" w:rsidRDefault="00172ADD" w:rsidP="00172ADD">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1B246" id="Text Box 6" o:spid="_x0000_s1028" type="#_x0000_t202" style="position:absolute;left:0;text-align:left;margin-left:95.25pt;margin-top:6.25pt;width:341.25pt;height:18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" filled="f" stroked="f" strokeweight=".5pt">
                <v:textbox>
                  <w:txbxContent>
                    <w:p w:rsidR="00172ADD" w:rsidRPr="004B7EB6" w:rsidRDefault="00172ADD" w:rsidP="00172AD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B27CE4">
                        <w:rPr>
                          <w:rFonts w:asciiTheme="majorHAnsi" w:hAnsiTheme="majorHAnsi" w:cs="Arial"/>
                          <w:b/>
                          <w:bCs/>
                          <w:color w:val="0D0D0D" w:themeColor="text1" w:themeTint="F2"/>
                          <w:sz w:val="36"/>
                          <w:szCs w:val="40"/>
                        </w:rPr>
                        <w:t>188</w:t>
                      </w:r>
                      <w:r>
                        <w:rPr>
                          <w:rFonts w:asciiTheme="majorHAnsi" w:hAnsiTheme="majorHAnsi" w:cs="Arial"/>
                          <w:b/>
                          <w:bCs/>
                          <w:color w:val="0D0D0D" w:themeColor="text1" w:themeTint="F2"/>
                          <w:sz w:val="36"/>
                          <w:szCs w:val="40"/>
                        </w:rPr>
                        <w:t>/18</w:t>
                      </w:r>
                    </w:p>
                    <w:p w:rsidR="00172ADD" w:rsidRPr="004B7EB6" w:rsidRDefault="00172ADD" w:rsidP="00172ADD">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894-08</w:t>
                      </w:r>
                    </w:p>
                    <w:p w:rsidR="00172ADD" w:rsidRPr="004B7EB6" w:rsidRDefault="00172ADD" w:rsidP="00172AD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Pr="00E95FC8">
                        <w:rPr>
                          <w:rFonts w:asciiTheme="majorHAnsi" w:hAnsiTheme="majorHAnsi" w:cs="Arial"/>
                          <w:color w:val="0D0D0D" w:themeColor="text1" w:themeTint="F2"/>
                          <w:szCs w:val="22"/>
                        </w:rPr>
                        <w:t>ON ADMISSIBILITY</w:t>
                      </w:r>
                      <w:r w:rsidRPr="004B7EB6">
                        <w:rPr>
                          <w:rFonts w:asciiTheme="majorHAnsi" w:hAnsiTheme="majorHAnsi" w:cs="Arial"/>
                          <w:color w:val="0D0D0D" w:themeColor="text1" w:themeTint="F2"/>
                          <w:szCs w:val="22"/>
                        </w:rPr>
                        <w:t xml:space="preserve"> </w:t>
                      </w:r>
                    </w:p>
                    <w:p w:rsidR="00172ADD" w:rsidRPr="004B7EB6" w:rsidRDefault="00172ADD" w:rsidP="00172ADD">
                      <w:pPr>
                        <w:spacing w:line="276" w:lineRule="auto"/>
                        <w:rPr>
                          <w:rFonts w:asciiTheme="majorHAnsi" w:hAnsiTheme="majorHAnsi" w:cs="Arial"/>
                          <w:color w:val="0D0D0D" w:themeColor="text1" w:themeTint="F2"/>
                          <w:szCs w:val="22"/>
                        </w:rPr>
                      </w:pPr>
                    </w:p>
                    <w:p w:rsidR="00172ADD" w:rsidRPr="004B7EB6" w:rsidRDefault="00172ADD" w:rsidP="00172AD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EDUARDO GIMENEZ COLMENAREZ</w:t>
                      </w:r>
                    </w:p>
                    <w:p w:rsidR="00172ADD" w:rsidRPr="004B7EB6" w:rsidRDefault="00172ADD" w:rsidP="00172ADD">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VENEZUELA</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60D98294" wp14:editId="13733F6F">
                <wp:simplePos x="0" y="0"/>
                <wp:positionH relativeFrom="column">
                  <wp:posOffset>-371475</wp:posOffset>
                </wp:positionH>
                <wp:positionV relativeFrom="paragraph">
                  <wp:posOffset>127000</wp:posOffset>
                </wp:positionV>
                <wp:extent cx="1334135" cy="137731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txbx>
                        <w:txbxContent>
                          <w:p w:rsidR="00172ADD" w:rsidRPr="004B7EB6" w:rsidRDefault="00172ADD" w:rsidP="00172ADD">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172ADD" w:rsidRPr="00B27CE4" w:rsidRDefault="00172ADD" w:rsidP="00172ADD">
                            <w:pPr>
                              <w:jc w:val="right"/>
                              <w:rPr>
                                <w:rFonts w:asciiTheme="minorHAnsi" w:hAnsiTheme="minorHAnsi"/>
                                <w:color w:val="FFFFFF" w:themeColor="background1"/>
                                <w:sz w:val="22"/>
                              </w:rPr>
                            </w:pPr>
                            <w:r w:rsidRPr="00B27CE4">
                              <w:rPr>
                                <w:rFonts w:asciiTheme="minorHAnsi" w:hAnsiTheme="minorHAnsi"/>
                                <w:color w:val="FFFFFF" w:themeColor="background1"/>
                                <w:sz w:val="22"/>
                              </w:rPr>
                              <w:t xml:space="preserve">Doc. </w:t>
                            </w:r>
                            <w:r w:rsidR="00B27CE4">
                              <w:rPr>
                                <w:rFonts w:asciiTheme="minorHAnsi" w:hAnsiTheme="minorHAnsi"/>
                                <w:color w:val="FFFFFF" w:themeColor="background1"/>
                                <w:sz w:val="22"/>
                              </w:rPr>
                              <w:t>213</w:t>
                            </w:r>
                          </w:p>
                          <w:p w:rsidR="00172ADD" w:rsidRPr="004B7EB6" w:rsidRDefault="00B27CE4" w:rsidP="00172ADD">
                            <w:pPr>
                              <w:jc w:val="right"/>
                              <w:rPr>
                                <w:rFonts w:asciiTheme="minorHAnsi" w:hAnsiTheme="minorHAnsi"/>
                                <w:color w:val="FFFFFF" w:themeColor="background1"/>
                                <w:sz w:val="22"/>
                              </w:rPr>
                            </w:pPr>
                            <w:r>
                              <w:rPr>
                                <w:rFonts w:asciiTheme="minorHAnsi" w:hAnsiTheme="minorHAnsi"/>
                                <w:color w:val="FFFFFF" w:themeColor="background1"/>
                                <w:sz w:val="22"/>
                              </w:rPr>
                              <w:t>27 December</w:t>
                            </w:r>
                            <w:r w:rsidR="00172ADD">
                              <w:rPr>
                                <w:rFonts w:asciiTheme="minorHAnsi" w:hAnsiTheme="minorHAnsi"/>
                                <w:color w:val="FFFFFF" w:themeColor="background1"/>
                                <w:sz w:val="22"/>
                              </w:rPr>
                              <w:t xml:space="preserve"> 2018</w:t>
                            </w:r>
                          </w:p>
                          <w:p w:rsidR="00172ADD" w:rsidRPr="004B7EB6" w:rsidRDefault="00172ADD" w:rsidP="00172ADD">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98294" id="Text Box 13" o:spid="_x0000_s1029" type="#_x0000_t202" style="position:absolute;left:0;text-align:left;margin-left:-29.25pt;margin-top:10pt;width:105.05pt;height:10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" filled="f" stroked="f" strokeweight=".5pt">
                <v:textbox>
                  <w:txbxContent>
                    <w:p w:rsidR="00172ADD" w:rsidRPr="004B7EB6" w:rsidRDefault="00172ADD" w:rsidP="00172ADD">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172ADD" w:rsidRPr="00B27CE4" w:rsidRDefault="00172ADD" w:rsidP="00172ADD">
                      <w:pPr>
                        <w:jc w:val="right"/>
                        <w:rPr>
                          <w:rFonts w:asciiTheme="minorHAnsi" w:hAnsiTheme="minorHAnsi"/>
                          <w:color w:val="FFFFFF" w:themeColor="background1"/>
                          <w:sz w:val="22"/>
                        </w:rPr>
                      </w:pPr>
                      <w:r w:rsidRPr="00B27CE4">
                        <w:rPr>
                          <w:rFonts w:asciiTheme="minorHAnsi" w:hAnsiTheme="minorHAnsi"/>
                          <w:color w:val="FFFFFF" w:themeColor="background1"/>
                          <w:sz w:val="22"/>
                        </w:rPr>
                        <w:t xml:space="preserve">Doc. </w:t>
                      </w:r>
                      <w:r w:rsidR="00B27CE4">
                        <w:rPr>
                          <w:rFonts w:asciiTheme="minorHAnsi" w:hAnsiTheme="minorHAnsi"/>
                          <w:color w:val="FFFFFF" w:themeColor="background1"/>
                          <w:sz w:val="22"/>
                        </w:rPr>
                        <w:t>213</w:t>
                      </w:r>
                    </w:p>
                    <w:p w:rsidR="00172ADD" w:rsidRPr="004B7EB6" w:rsidRDefault="00B27CE4" w:rsidP="00172ADD">
                      <w:pPr>
                        <w:jc w:val="right"/>
                        <w:rPr>
                          <w:rFonts w:asciiTheme="minorHAnsi" w:hAnsiTheme="minorHAnsi"/>
                          <w:color w:val="FFFFFF" w:themeColor="background1"/>
                          <w:sz w:val="22"/>
                        </w:rPr>
                      </w:pPr>
                      <w:r>
                        <w:rPr>
                          <w:rFonts w:asciiTheme="minorHAnsi" w:hAnsiTheme="minorHAnsi"/>
                          <w:color w:val="FFFFFF" w:themeColor="background1"/>
                          <w:sz w:val="22"/>
                        </w:rPr>
                        <w:t>27 December</w:t>
                      </w:r>
                      <w:r w:rsidR="00172ADD">
                        <w:rPr>
                          <w:rFonts w:asciiTheme="minorHAnsi" w:hAnsiTheme="minorHAnsi"/>
                          <w:color w:val="FFFFFF" w:themeColor="background1"/>
                          <w:sz w:val="22"/>
                        </w:rPr>
                        <w:t xml:space="preserve"> 2018</w:t>
                      </w:r>
                    </w:p>
                    <w:p w:rsidR="00172ADD" w:rsidRPr="004B7EB6" w:rsidRDefault="00172ADD" w:rsidP="00172ADD">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cs="Arial"/>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22"/>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7554CBB" wp14:editId="2E6D7FBF">
                <wp:simplePos x="0" y="0"/>
                <wp:positionH relativeFrom="column">
                  <wp:posOffset>1209675</wp:posOffset>
                </wp:positionH>
                <wp:positionV relativeFrom="paragraph">
                  <wp:posOffset>71120</wp:posOffset>
                </wp:positionV>
                <wp:extent cx="4595495" cy="695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txbx>
                        <w:txbxContent>
                          <w:p w:rsidR="00172ADD" w:rsidRPr="003C32BC" w:rsidRDefault="00172ADD" w:rsidP="00172ADD">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Pr>
                                <w:rFonts w:asciiTheme="majorHAnsi" w:hAnsiTheme="majorHAnsi"/>
                                <w:color w:val="0D0D0D" w:themeColor="text1" w:themeTint="F2"/>
                                <w:sz w:val="18"/>
                                <w:szCs w:val="22"/>
                              </w:rPr>
                              <w:t xml:space="preserve">on </w:t>
                            </w:r>
                            <w:r w:rsidR="00B27CE4">
                              <w:rPr>
                                <w:rFonts w:asciiTheme="majorHAnsi" w:hAnsiTheme="majorHAnsi"/>
                                <w:color w:val="0D0D0D" w:themeColor="text1" w:themeTint="F2"/>
                                <w:sz w:val="18"/>
                                <w:szCs w:val="22"/>
                              </w:rPr>
                              <w:t>December 27</w:t>
                            </w:r>
                            <w:r>
                              <w:rPr>
                                <w:rFonts w:asciiTheme="majorHAnsi" w:hAnsiTheme="majorHAnsi"/>
                                <w:color w:val="0D0D0D" w:themeColor="text1" w:themeTint="F2"/>
                                <w:sz w:val="18"/>
                                <w:szCs w:val="22"/>
                              </w:rPr>
                              <w:t>, 2018</w:t>
                            </w:r>
                            <w:r w:rsidR="00850331">
                              <w:rPr>
                                <w:rFonts w:asciiTheme="majorHAnsi" w:hAnsiTheme="majorHAnsi"/>
                                <w:color w:val="0D0D0D" w:themeColor="text1" w:themeTint="F2"/>
                                <w:sz w:val="18"/>
                                <w:szCs w:val="22"/>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4CBB" id="Text Box 14" o:spid="_x0000_s1030" type="#_x0000_t202" style="position:absolute;left:0;text-align:left;margin-left:95.25pt;margin-top:5.6pt;width:361.8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" filled="f" stroked="f" strokeweight=".5pt">
                <v:textbox>
                  <w:txbxContent>
                    <w:p w:rsidR="00172ADD" w:rsidRPr="003C32BC" w:rsidRDefault="00172ADD" w:rsidP="00172ADD">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Pr>
                          <w:rFonts w:asciiTheme="majorHAnsi" w:hAnsiTheme="majorHAnsi"/>
                          <w:color w:val="0D0D0D" w:themeColor="text1" w:themeTint="F2"/>
                          <w:sz w:val="18"/>
                          <w:szCs w:val="22"/>
                        </w:rPr>
                        <w:t xml:space="preserve">on </w:t>
                      </w:r>
                      <w:r w:rsidR="00B27CE4">
                        <w:rPr>
                          <w:rFonts w:asciiTheme="majorHAnsi" w:hAnsiTheme="majorHAnsi"/>
                          <w:color w:val="0D0D0D" w:themeColor="text1" w:themeTint="F2"/>
                          <w:sz w:val="18"/>
                          <w:szCs w:val="22"/>
                        </w:rPr>
                        <w:t>December 27</w:t>
                      </w:r>
                      <w:r>
                        <w:rPr>
                          <w:rFonts w:asciiTheme="majorHAnsi" w:hAnsiTheme="majorHAnsi"/>
                          <w:color w:val="0D0D0D" w:themeColor="text1" w:themeTint="F2"/>
                          <w:sz w:val="18"/>
                          <w:szCs w:val="22"/>
                        </w:rPr>
                        <w:t>, 2018</w:t>
                      </w:r>
                      <w:r w:rsidR="00850331">
                        <w:rPr>
                          <w:rFonts w:asciiTheme="majorHAnsi" w:hAnsiTheme="majorHAnsi"/>
                          <w:color w:val="0D0D0D" w:themeColor="text1" w:themeTint="F2"/>
                          <w:sz w:val="18"/>
                          <w:szCs w:val="22"/>
                        </w:rPr>
                        <w:t>.</w:t>
                      </w:r>
                      <w:bookmarkStart w:id="1" w:name="_GoBack"/>
                      <w:bookmarkEnd w:id="1"/>
                    </w:p>
                  </w:txbxContent>
                </v:textbox>
              </v:shape>
            </w:pict>
          </mc:Fallback>
        </mc:AlternateContent>
      </w: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9984" behindDoc="0" locked="0" layoutInCell="1" allowOverlap="1" wp14:anchorId="39CA85BF" wp14:editId="2979D58B">
                <wp:simplePos x="0" y="0"/>
                <wp:positionH relativeFrom="column">
                  <wp:posOffset>1209675</wp:posOffset>
                </wp:positionH>
                <wp:positionV relativeFrom="paragraph">
                  <wp:posOffset>92075</wp:posOffset>
                </wp:positionV>
                <wp:extent cx="4824095" cy="609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txbx>
                        <w:txbxContent>
                          <w:p w:rsidR="00172ADD" w:rsidRPr="003C32BC" w:rsidRDefault="00172ADD" w:rsidP="00172ADD">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w:t>
                            </w:r>
                            <w:r>
                              <w:rPr>
                                <w:rFonts w:asciiTheme="majorHAnsi" w:hAnsiTheme="majorHAnsi"/>
                                <w:color w:val="595959" w:themeColor="text1" w:themeTint="A6"/>
                                <w:sz w:val="18"/>
                              </w:rPr>
                              <w:t xml:space="preserve">o. </w:t>
                            </w:r>
                            <w:r w:rsidR="00B27CE4">
                              <w:rPr>
                                <w:rFonts w:asciiTheme="majorHAnsi" w:hAnsiTheme="majorHAnsi"/>
                                <w:color w:val="595959" w:themeColor="text1" w:themeTint="A6"/>
                                <w:sz w:val="18"/>
                              </w:rPr>
                              <w:t>188/18.</w:t>
                            </w:r>
                            <w:r>
                              <w:rPr>
                                <w:rFonts w:asciiTheme="majorHAnsi" w:hAnsiTheme="majorHAnsi"/>
                                <w:color w:val="595959" w:themeColor="text1" w:themeTint="A6"/>
                                <w:sz w:val="18"/>
                              </w:rPr>
                              <w:t xml:space="preserve"> </w:t>
                            </w:r>
                            <w:r w:rsidRPr="00B27CE4">
                              <w:rPr>
                                <w:rFonts w:asciiTheme="majorHAnsi" w:hAnsiTheme="majorHAnsi"/>
                                <w:color w:val="595959" w:themeColor="text1" w:themeTint="A6"/>
                                <w:sz w:val="18"/>
                                <w:lang w:val="pt-BR"/>
                              </w:rPr>
                              <w:t xml:space="preserve">Petition 894-08. </w:t>
                            </w:r>
                            <w:r w:rsidR="00B27CE4" w:rsidRPr="00B27CE4">
                              <w:rPr>
                                <w:rFonts w:asciiTheme="majorHAnsi" w:hAnsiTheme="majorHAnsi"/>
                                <w:color w:val="595959" w:themeColor="text1" w:themeTint="A6"/>
                                <w:sz w:val="18"/>
                                <w:lang w:val="pt-BR"/>
                              </w:rPr>
                              <w:t>A</w:t>
                            </w:r>
                            <w:r w:rsidRPr="00B27CE4">
                              <w:rPr>
                                <w:rFonts w:asciiTheme="majorHAnsi" w:hAnsiTheme="majorHAnsi"/>
                                <w:color w:val="595959" w:themeColor="text1" w:themeTint="A6"/>
                                <w:sz w:val="18"/>
                                <w:lang w:val="pt-BR"/>
                              </w:rPr>
                              <w:t xml:space="preserve">dmissibility. Carlos Eduardo Giménez Colmenárez. </w:t>
                            </w:r>
                            <w:r w:rsidRPr="00D87DD4">
                              <w:rPr>
                                <w:rFonts w:asciiTheme="majorHAnsi" w:hAnsiTheme="majorHAnsi"/>
                                <w:color w:val="595959" w:themeColor="text1" w:themeTint="A6"/>
                                <w:sz w:val="18"/>
                                <w:lang w:val="es-NI"/>
                              </w:rPr>
                              <w:t xml:space="preserve">Venezuela. </w:t>
                            </w:r>
                            <w:r w:rsidR="00B27CE4">
                              <w:rPr>
                                <w:rFonts w:asciiTheme="majorHAnsi" w:hAnsiTheme="majorHAnsi"/>
                                <w:color w:val="595959" w:themeColor="text1" w:themeTint="A6"/>
                                <w:sz w:val="18"/>
                              </w:rPr>
                              <w:t>December 27,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85BF" id="Text Box 17" o:spid="_x0000_s1031" type="#_x0000_t202" style="position:absolute;left:0;text-align:left;margin-left:95.25pt;margin-top:7.25pt;width:379.8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" filled="f" stroked="f" strokeweight=".5pt">
                <v:textbox>
                  <w:txbxContent>
                    <w:p w:rsidR="00172ADD" w:rsidRPr="003C32BC" w:rsidRDefault="00172ADD" w:rsidP="00172ADD">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w:t>
                      </w:r>
                      <w:r>
                        <w:rPr>
                          <w:rFonts w:asciiTheme="majorHAnsi" w:hAnsiTheme="majorHAnsi"/>
                          <w:color w:val="595959" w:themeColor="text1" w:themeTint="A6"/>
                          <w:sz w:val="18"/>
                        </w:rPr>
                        <w:t xml:space="preserve">o. </w:t>
                      </w:r>
                      <w:r w:rsidR="00B27CE4">
                        <w:rPr>
                          <w:rFonts w:asciiTheme="majorHAnsi" w:hAnsiTheme="majorHAnsi"/>
                          <w:color w:val="595959" w:themeColor="text1" w:themeTint="A6"/>
                          <w:sz w:val="18"/>
                        </w:rPr>
                        <w:t>188/18.</w:t>
                      </w:r>
                      <w:r>
                        <w:rPr>
                          <w:rFonts w:asciiTheme="majorHAnsi" w:hAnsiTheme="majorHAnsi"/>
                          <w:color w:val="595959" w:themeColor="text1" w:themeTint="A6"/>
                          <w:sz w:val="18"/>
                        </w:rPr>
                        <w:t xml:space="preserve"> </w:t>
                      </w:r>
                      <w:r w:rsidRPr="00B27CE4">
                        <w:rPr>
                          <w:rFonts w:asciiTheme="majorHAnsi" w:hAnsiTheme="majorHAnsi"/>
                          <w:color w:val="595959" w:themeColor="text1" w:themeTint="A6"/>
                          <w:sz w:val="18"/>
                          <w:lang w:val="pt-BR"/>
                        </w:rPr>
                        <w:t xml:space="preserve">Petition 894-08. </w:t>
                      </w:r>
                      <w:r w:rsidR="00B27CE4" w:rsidRPr="00B27CE4">
                        <w:rPr>
                          <w:rFonts w:asciiTheme="majorHAnsi" w:hAnsiTheme="majorHAnsi"/>
                          <w:color w:val="595959" w:themeColor="text1" w:themeTint="A6"/>
                          <w:sz w:val="18"/>
                          <w:lang w:val="pt-BR"/>
                        </w:rPr>
                        <w:t>A</w:t>
                      </w:r>
                      <w:r w:rsidRPr="00B27CE4">
                        <w:rPr>
                          <w:rFonts w:asciiTheme="majorHAnsi" w:hAnsiTheme="majorHAnsi"/>
                          <w:color w:val="595959" w:themeColor="text1" w:themeTint="A6"/>
                          <w:sz w:val="18"/>
                          <w:lang w:val="pt-BR"/>
                        </w:rPr>
                        <w:t xml:space="preserve">dmissibility. Carlos Eduardo Giménez Colmenárez. </w:t>
                      </w:r>
                      <w:r w:rsidRPr="00D87DD4">
                        <w:rPr>
                          <w:rFonts w:asciiTheme="majorHAnsi" w:hAnsiTheme="majorHAnsi"/>
                          <w:color w:val="595959" w:themeColor="text1" w:themeTint="A6"/>
                          <w:sz w:val="18"/>
                          <w:lang w:val="es-NI"/>
                        </w:rPr>
                        <w:t xml:space="preserve">Venezuela. </w:t>
                      </w:r>
                      <w:r w:rsidR="00B27CE4">
                        <w:rPr>
                          <w:rFonts w:asciiTheme="majorHAnsi" w:hAnsiTheme="majorHAnsi"/>
                          <w:color w:val="595959" w:themeColor="text1" w:themeTint="A6"/>
                          <w:sz w:val="18"/>
                        </w:rPr>
                        <w:t>December 27, 2018</w:t>
                      </w:r>
                      <w:r w:rsidRPr="007607C4">
                        <w:rPr>
                          <w:rFonts w:asciiTheme="majorHAnsi" w:hAnsiTheme="majorHAnsi"/>
                          <w:color w:val="595959" w:themeColor="text1" w:themeTint="A6"/>
                          <w:sz w:val="18"/>
                        </w:rPr>
                        <w:t>.</w:t>
                      </w:r>
                    </w:p>
                  </w:txbxContent>
                </v:textbox>
              </v:shape>
            </w:pict>
          </mc:Fallback>
        </mc:AlternateContent>
      </w: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lang w:val="es-ES_tradnl"/>
        </w:rPr>
      </w:pPr>
    </w:p>
    <w:p w:rsidR="00172ADD" w:rsidRPr="003C32BC" w:rsidRDefault="00172ADD" w:rsidP="00172ADD">
      <w:pPr>
        <w:tabs>
          <w:tab w:val="center" w:pos="5400"/>
        </w:tabs>
        <w:suppressAutoHyphens/>
        <w:jc w:val="center"/>
        <w:rPr>
          <w:rFonts w:asciiTheme="majorHAnsi" w:hAnsiTheme="majorHAnsi"/>
          <w:sz w:val="18"/>
          <w:szCs w:val="22"/>
        </w:rPr>
      </w:pPr>
    </w:p>
    <w:p w:rsidR="00172ADD" w:rsidRPr="003C32BC" w:rsidRDefault="00172ADD" w:rsidP="00172ADD">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92032" behindDoc="0" locked="0" layoutInCell="1" allowOverlap="1" wp14:anchorId="4201F137" wp14:editId="5F8F9BE7">
                <wp:simplePos x="0" y="0"/>
                <wp:positionH relativeFrom="column">
                  <wp:posOffset>-298895</wp:posOffset>
                </wp:positionH>
                <wp:positionV relativeFrom="paragraph">
                  <wp:posOffset>859155</wp:posOffset>
                </wp:positionV>
                <wp:extent cx="1181100" cy="3327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rsidR="00172ADD" w:rsidRPr="004B7EB6" w:rsidRDefault="00172ADD" w:rsidP="00172ADD">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1F137" id="Text Box 18" o:spid="_x0000_s1032" type="#_x0000_t202" style="position:absolute;left:0;text-align:left;margin-left:-23.55pt;margin-top:67.65pt;width:93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" filled="f" stroked="f" strokeweight=".5pt">
                <v:textbox>
                  <w:txbxContent>
                    <w:p w:rsidR="00172ADD" w:rsidRPr="004B7EB6" w:rsidRDefault="00172ADD" w:rsidP="00172ADD">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91008" behindDoc="0" locked="0" layoutInCell="1" allowOverlap="1" wp14:anchorId="235CCD5A" wp14:editId="3A3EC6C5">
                <wp:simplePos x="0" y="0"/>
                <wp:positionH relativeFrom="column">
                  <wp:posOffset>1208215</wp:posOffset>
                </wp:positionH>
                <wp:positionV relativeFrom="paragraph">
                  <wp:posOffset>722630</wp:posOffset>
                </wp:positionV>
                <wp:extent cx="2085975" cy="4857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ysClr val="window" lastClr="FFFFFF"/>
                        </a:solidFill>
                        <a:ln w="6350">
                          <a:noFill/>
                        </a:ln>
                        <a:effectLst/>
                      </wps:spPr>
                      <wps:txbx>
                        <w:txbxContent>
                          <w:p w:rsidR="00172ADD" w:rsidRDefault="00172ADD" w:rsidP="00172ADD">
                            <w:r>
                              <w:rPr>
                                <w:noProof/>
                              </w:rPr>
                              <w:drawing>
                                <wp:inline distT="0" distB="0" distL="0" distR="0" wp14:anchorId="1D587091" wp14:editId="64E32EA2">
                                  <wp:extent cx="1123950" cy="378416"/>
                                  <wp:effectExtent l="0" t="0" r="0" b="3175"/>
                                  <wp:docPr id="21" name="Picture 21"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CCD5A" id="Text Box 19" o:spid="_x0000_s1033" type="#_x0000_t202" style="position:absolute;left:0;text-align:left;margin-left:95.15pt;margin-top:56.9pt;width:164.2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" fillcolor="window" stroked="f" strokeweight=".5pt">
                <v:textbox>
                  <w:txbxContent>
                    <w:p w:rsidR="00172ADD" w:rsidRDefault="00172ADD" w:rsidP="00172ADD">
                      <w:r>
                        <w:rPr>
                          <w:noProof/>
                        </w:rPr>
                        <w:drawing>
                          <wp:inline distT="0" distB="0" distL="0" distR="0" wp14:anchorId="1D587091" wp14:editId="64E32EA2">
                            <wp:extent cx="1123950" cy="378416"/>
                            <wp:effectExtent l="0" t="0" r="0" b="3175"/>
                            <wp:docPr id="21" name="Picture 21"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172ADD" w:rsidRDefault="00172ADD" w:rsidP="004A6A54">
      <w:pPr>
        <w:spacing w:after="240"/>
        <w:ind w:firstLine="720"/>
        <w:jc w:val="both"/>
        <w:rPr>
          <w:rFonts w:asciiTheme="majorHAnsi" w:hAnsiTheme="majorHAnsi"/>
          <w:b/>
          <w:bCs/>
          <w:sz w:val="19"/>
          <w:szCs w:val="19"/>
          <w:lang w:val="es-ES"/>
        </w:rPr>
      </w:pPr>
    </w:p>
    <w:p w:rsidR="00172ADD" w:rsidRDefault="00172ADD">
      <w:pPr>
        <w:rPr>
          <w:rFonts w:asciiTheme="majorHAnsi" w:hAnsiTheme="majorHAnsi"/>
          <w:b/>
          <w:bCs/>
          <w:sz w:val="19"/>
          <w:szCs w:val="19"/>
          <w:lang w:val="es-ES"/>
        </w:rPr>
      </w:pPr>
      <w:r>
        <w:rPr>
          <w:rFonts w:asciiTheme="majorHAnsi" w:hAnsiTheme="majorHAnsi"/>
          <w:b/>
          <w:bCs/>
          <w:sz w:val="19"/>
          <w:szCs w:val="19"/>
          <w:lang w:val="es-ES"/>
        </w:rPr>
        <w:br w:type="page"/>
      </w:r>
    </w:p>
    <w:p w:rsidR="009D781A" w:rsidRPr="009D781A" w:rsidRDefault="009D781A" w:rsidP="009D781A">
      <w:pPr>
        <w:spacing w:after="240"/>
        <w:jc w:val="both"/>
        <w:rPr>
          <w:rFonts w:asciiTheme="majorHAnsi" w:hAnsiTheme="majorHAnsi"/>
          <w:b/>
          <w:bCs/>
          <w:sz w:val="19"/>
          <w:szCs w:val="19"/>
          <w:lang w:val="es-ES"/>
        </w:rPr>
      </w:pPr>
    </w:p>
    <w:p w:rsidR="009D781A" w:rsidRPr="009D781A" w:rsidRDefault="009D781A" w:rsidP="009D781A">
      <w:pPr>
        <w:spacing w:after="240"/>
        <w:ind w:firstLine="720"/>
        <w:jc w:val="both"/>
        <w:rPr>
          <w:rFonts w:asciiTheme="majorHAnsi" w:hAnsiTheme="majorHAnsi"/>
          <w:b/>
          <w:bCs/>
          <w:sz w:val="20"/>
          <w:szCs w:val="20"/>
        </w:rPr>
      </w:pPr>
      <w:r w:rsidRPr="009D781A">
        <w:rPr>
          <w:rFonts w:asciiTheme="majorHAnsi" w:hAnsiTheme="majorHAnsi"/>
          <w:b/>
          <w:bCs/>
          <w:sz w:val="20"/>
          <w:szCs w:val="20"/>
        </w:rPr>
        <w:t>I.</w:t>
      </w:r>
      <w:r w:rsidRPr="009D781A">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9D781A" w:rsidRPr="009C4AFC" w:rsidTr="00844D95">
        <w:tc>
          <w:tcPr>
            <w:tcW w:w="3690" w:type="dxa"/>
            <w:tcBorders>
              <w:top w:val="single" w:sz="4" w:space="0" w:color="auto"/>
              <w:bottom w:val="single" w:sz="6" w:space="0" w:color="auto"/>
            </w:tcBorders>
            <w:shd w:val="clear" w:color="auto" w:fill="67AE3C"/>
            <w:vAlign w:val="center"/>
          </w:tcPr>
          <w:p w:rsidR="009D781A" w:rsidRPr="009D781A" w:rsidRDefault="009D781A" w:rsidP="00844D95">
            <w:pPr>
              <w:jc w:val="center"/>
              <w:rPr>
                <w:rFonts w:ascii="Cambria" w:hAnsi="Cambria"/>
                <w:b/>
                <w:bCs/>
                <w:color w:val="FFFFFF" w:themeColor="background1"/>
                <w:sz w:val="20"/>
                <w:szCs w:val="20"/>
              </w:rPr>
            </w:pPr>
            <w:r w:rsidRPr="009D781A">
              <w:rPr>
                <w:rFonts w:ascii="Cambria" w:hAnsi="Cambria"/>
                <w:b/>
                <w:bCs/>
                <w:color w:val="FFFFFF" w:themeColor="background1"/>
                <w:sz w:val="20"/>
                <w:szCs w:val="20"/>
              </w:rPr>
              <w:t>Petitioner</w:t>
            </w:r>
            <w:r>
              <w:rPr>
                <w:rFonts w:ascii="Cambria" w:hAnsi="Cambria"/>
                <w:b/>
                <w:bCs/>
                <w:color w:val="FFFFFF" w:themeColor="background1"/>
                <w:sz w:val="20"/>
                <w:szCs w:val="20"/>
              </w:rPr>
              <w:t>s</w:t>
            </w:r>
            <w:r w:rsidRPr="009D781A">
              <w:rPr>
                <w:rFonts w:ascii="Cambria" w:hAnsi="Cambria"/>
                <w:b/>
                <w:bCs/>
                <w:color w:val="FFFFFF" w:themeColor="background1"/>
                <w:sz w:val="20"/>
                <w:szCs w:val="20"/>
              </w:rPr>
              <w:t>:</w:t>
            </w:r>
          </w:p>
        </w:tc>
        <w:tc>
          <w:tcPr>
            <w:tcW w:w="5670" w:type="dxa"/>
            <w:vAlign w:val="center"/>
          </w:tcPr>
          <w:p w:rsidR="009D781A" w:rsidRPr="002631B8" w:rsidRDefault="009D781A" w:rsidP="00163113">
            <w:pPr>
              <w:jc w:val="both"/>
              <w:rPr>
                <w:rFonts w:ascii="Cambria" w:hAnsi="Cambria"/>
                <w:bCs/>
                <w:sz w:val="20"/>
                <w:szCs w:val="20"/>
                <w:lang w:val="pt-BR"/>
              </w:rPr>
            </w:pPr>
            <w:r w:rsidRPr="002631B8">
              <w:rPr>
                <w:rFonts w:ascii="Cambria" w:hAnsi="Cambria"/>
                <w:bCs/>
                <w:sz w:val="20"/>
                <w:szCs w:val="20"/>
                <w:lang w:val="pt-BR"/>
              </w:rPr>
              <w:t>Carlos Eduardo Giménez Colmenárez, Gerin Páez Martínez and Fernando Berrocal Soto</w:t>
            </w:r>
          </w:p>
        </w:tc>
      </w:tr>
      <w:tr w:rsidR="009D781A" w:rsidRPr="009D781A" w:rsidTr="00844D95">
        <w:tc>
          <w:tcPr>
            <w:tcW w:w="3690" w:type="dxa"/>
            <w:tcBorders>
              <w:top w:val="single" w:sz="6" w:space="0" w:color="auto"/>
              <w:bottom w:val="single" w:sz="6" w:space="0" w:color="auto"/>
            </w:tcBorders>
            <w:shd w:val="clear" w:color="auto" w:fill="67AE3C"/>
            <w:vAlign w:val="center"/>
          </w:tcPr>
          <w:p w:rsidR="009D781A" w:rsidRPr="009D781A" w:rsidRDefault="00B73775" w:rsidP="00844D9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1338295730"/>
                <w:placeholder>
                  <w:docPart w:val="C3BE5028B3004D0BAE4647F08E210A8E"/>
                </w:placeholder>
                <w:dropDownList>
                  <w:listItem w:value="Choose an item."/>
                  <w:listItem w:displayText="Alleged victim" w:value="Alleged victim"/>
                  <w:listItem w:displayText="Alleged victims" w:value="Alleged victims"/>
                </w:dropDownList>
              </w:sdtPr>
              <w:sdtEndPr/>
              <w:sdtContent>
                <w:r w:rsidR="009D781A" w:rsidRPr="009D781A">
                  <w:rPr>
                    <w:rFonts w:ascii="Cambria" w:hAnsi="Cambria"/>
                    <w:b/>
                    <w:bCs/>
                    <w:color w:val="FFFFFF" w:themeColor="background1"/>
                    <w:sz w:val="20"/>
                    <w:szCs w:val="20"/>
                  </w:rPr>
                  <w:t>Alleged victim</w:t>
                </w:r>
              </w:sdtContent>
            </w:sdt>
            <w:r w:rsidR="009D781A" w:rsidRPr="009D781A">
              <w:rPr>
                <w:rFonts w:ascii="Cambria" w:hAnsi="Cambria"/>
                <w:b/>
                <w:bCs/>
                <w:color w:val="FFFFFF" w:themeColor="background1"/>
                <w:sz w:val="20"/>
                <w:szCs w:val="20"/>
              </w:rPr>
              <w:t>:</w:t>
            </w:r>
          </w:p>
        </w:tc>
        <w:tc>
          <w:tcPr>
            <w:tcW w:w="5670" w:type="dxa"/>
            <w:vAlign w:val="center"/>
          </w:tcPr>
          <w:p w:rsidR="009D781A" w:rsidRPr="009D781A" w:rsidRDefault="009D781A" w:rsidP="00844D95">
            <w:pPr>
              <w:jc w:val="both"/>
              <w:rPr>
                <w:rFonts w:ascii="Cambria" w:hAnsi="Cambria"/>
                <w:bCs/>
                <w:sz w:val="20"/>
                <w:szCs w:val="20"/>
              </w:rPr>
            </w:pPr>
            <w:r>
              <w:rPr>
                <w:rFonts w:ascii="Cambria" w:hAnsi="Cambria"/>
                <w:bCs/>
                <w:sz w:val="20"/>
                <w:szCs w:val="20"/>
              </w:rPr>
              <w:t>Carlos Eduardo Giménez Colmenárez</w:t>
            </w:r>
          </w:p>
        </w:tc>
      </w:tr>
      <w:tr w:rsidR="009D781A" w:rsidRPr="009D781A" w:rsidTr="00844D95">
        <w:tc>
          <w:tcPr>
            <w:tcW w:w="3690" w:type="dxa"/>
            <w:tcBorders>
              <w:top w:val="single" w:sz="6" w:space="0" w:color="auto"/>
              <w:bottom w:val="single" w:sz="6" w:space="0" w:color="auto"/>
            </w:tcBorders>
            <w:shd w:val="clear" w:color="auto" w:fill="67AE3C"/>
            <w:vAlign w:val="center"/>
          </w:tcPr>
          <w:p w:rsidR="009D781A" w:rsidRPr="009D781A" w:rsidRDefault="009D781A" w:rsidP="00844D95">
            <w:pPr>
              <w:jc w:val="center"/>
              <w:rPr>
                <w:rFonts w:ascii="Cambria" w:hAnsi="Cambria"/>
                <w:b/>
                <w:bCs/>
                <w:color w:val="FFFFFF" w:themeColor="background1"/>
                <w:sz w:val="20"/>
                <w:szCs w:val="20"/>
              </w:rPr>
            </w:pPr>
            <w:r w:rsidRPr="009D781A">
              <w:rPr>
                <w:rFonts w:ascii="Cambria" w:hAnsi="Cambria"/>
                <w:b/>
                <w:bCs/>
                <w:color w:val="FFFFFF" w:themeColor="background1"/>
                <w:sz w:val="20"/>
                <w:szCs w:val="20"/>
              </w:rPr>
              <w:t>Respondent State:</w:t>
            </w:r>
          </w:p>
        </w:tc>
        <w:tc>
          <w:tcPr>
            <w:tcW w:w="5670" w:type="dxa"/>
            <w:vAlign w:val="center"/>
          </w:tcPr>
          <w:p w:rsidR="009D781A" w:rsidRPr="009D781A" w:rsidRDefault="009D781A" w:rsidP="00844D95">
            <w:pPr>
              <w:jc w:val="both"/>
              <w:rPr>
                <w:rFonts w:ascii="Cambria" w:hAnsi="Cambria"/>
                <w:bCs/>
                <w:sz w:val="20"/>
                <w:szCs w:val="20"/>
              </w:rPr>
            </w:pPr>
            <w:r>
              <w:rPr>
                <w:rFonts w:ascii="Cambria" w:hAnsi="Cambria"/>
                <w:bCs/>
                <w:sz w:val="20"/>
                <w:szCs w:val="20"/>
              </w:rPr>
              <w:t>Venezuela</w:t>
            </w:r>
          </w:p>
        </w:tc>
      </w:tr>
      <w:tr w:rsidR="009D781A" w:rsidRPr="009D781A" w:rsidTr="00844D95">
        <w:tc>
          <w:tcPr>
            <w:tcW w:w="3690" w:type="dxa"/>
            <w:tcBorders>
              <w:top w:val="single" w:sz="6" w:space="0" w:color="auto"/>
              <w:bottom w:val="single" w:sz="6" w:space="0" w:color="auto"/>
            </w:tcBorders>
            <w:shd w:val="clear" w:color="auto" w:fill="67AE3C"/>
            <w:vAlign w:val="center"/>
          </w:tcPr>
          <w:p w:rsidR="009D781A" w:rsidRPr="009D781A" w:rsidRDefault="009D781A" w:rsidP="00844D95">
            <w:pPr>
              <w:jc w:val="center"/>
              <w:rPr>
                <w:rFonts w:ascii="Cambria" w:hAnsi="Cambria"/>
                <w:b/>
                <w:bCs/>
                <w:color w:val="FFFFFF" w:themeColor="background1"/>
                <w:sz w:val="20"/>
                <w:szCs w:val="20"/>
              </w:rPr>
            </w:pPr>
            <w:r w:rsidRPr="009D781A">
              <w:rPr>
                <w:rFonts w:ascii="Cambria" w:hAnsi="Cambria"/>
                <w:b/>
                <w:bCs/>
                <w:color w:val="FFFFFF" w:themeColor="background1"/>
                <w:sz w:val="20"/>
                <w:szCs w:val="20"/>
              </w:rPr>
              <w:t>Rights invoked:</w:t>
            </w:r>
          </w:p>
        </w:tc>
        <w:tc>
          <w:tcPr>
            <w:tcW w:w="5670" w:type="dxa"/>
            <w:vAlign w:val="center"/>
          </w:tcPr>
          <w:p w:rsidR="009D781A" w:rsidRPr="009D781A" w:rsidRDefault="009D781A" w:rsidP="00E95FC8">
            <w:pPr>
              <w:jc w:val="both"/>
              <w:rPr>
                <w:rFonts w:ascii="Cambria" w:hAnsi="Cambria"/>
                <w:bCs/>
                <w:sz w:val="20"/>
                <w:szCs w:val="20"/>
              </w:rPr>
            </w:pPr>
            <w:r>
              <w:rPr>
                <w:rFonts w:ascii="Cambria" w:hAnsi="Cambria"/>
                <w:bCs/>
                <w:sz w:val="20"/>
                <w:szCs w:val="20"/>
              </w:rPr>
              <w:t>Articles 5</w:t>
            </w:r>
            <w:r w:rsidRPr="009D781A">
              <w:rPr>
                <w:rFonts w:ascii="Cambria" w:hAnsi="Cambria"/>
                <w:bCs/>
                <w:sz w:val="20"/>
                <w:szCs w:val="20"/>
              </w:rPr>
              <w:t xml:space="preserve"> (</w:t>
            </w:r>
            <w:r>
              <w:rPr>
                <w:rFonts w:ascii="Cambria" w:hAnsi="Cambria"/>
                <w:bCs/>
                <w:sz w:val="20"/>
                <w:szCs w:val="20"/>
              </w:rPr>
              <w:t>humane treatment</w:t>
            </w:r>
            <w:r w:rsidRPr="009D781A">
              <w:rPr>
                <w:rFonts w:ascii="Cambria" w:hAnsi="Cambria"/>
                <w:bCs/>
                <w:sz w:val="20"/>
                <w:szCs w:val="20"/>
              </w:rPr>
              <w:t>), 8 (fair trial)</w:t>
            </w:r>
            <w:r>
              <w:rPr>
                <w:rFonts w:ascii="Cambria" w:hAnsi="Cambria"/>
                <w:bCs/>
                <w:sz w:val="20"/>
                <w:szCs w:val="20"/>
              </w:rPr>
              <w:t xml:space="preserve">, 11 (privacy), 14 (reply), 17 (family), 23 (right to participate in government), 24 (equal protection) </w:t>
            </w:r>
            <w:r w:rsidRPr="009D781A">
              <w:rPr>
                <w:rFonts w:ascii="Cambria" w:hAnsi="Cambria"/>
                <w:bCs/>
                <w:sz w:val="20"/>
                <w:szCs w:val="20"/>
              </w:rPr>
              <w:t>and 25 (judicial protection) of the American Convention on Human Rights,</w:t>
            </w:r>
            <w:r w:rsidRPr="009D781A">
              <w:rPr>
                <w:rFonts w:ascii="Cambria" w:hAnsi="Cambria"/>
                <w:bCs/>
                <w:sz w:val="20"/>
                <w:szCs w:val="20"/>
                <w:vertAlign w:val="superscript"/>
              </w:rPr>
              <w:footnoteReference w:id="2"/>
            </w:r>
            <w:r w:rsidRPr="009D781A">
              <w:rPr>
                <w:rFonts w:ascii="Cambria" w:hAnsi="Cambria"/>
                <w:bCs/>
                <w:sz w:val="20"/>
                <w:szCs w:val="20"/>
              </w:rPr>
              <w:t xml:space="preserve"> </w:t>
            </w:r>
            <w:r>
              <w:rPr>
                <w:rFonts w:ascii="Cambria" w:hAnsi="Cambria"/>
                <w:bCs/>
                <w:sz w:val="20"/>
                <w:szCs w:val="20"/>
              </w:rPr>
              <w:t>and other international treaties.</w:t>
            </w:r>
            <w:r w:rsidR="0096117B">
              <w:rPr>
                <w:rStyle w:val="FootnoteReference"/>
                <w:rFonts w:ascii="Cambria" w:hAnsi="Cambria"/>
                <w:bCs/>
                <w:sz w:val="20"/>
                <w:szCs w:val="20"/>
              </w:rPr>
              <w:footnoteReference w:id="3"/>
            </w:r>
          </w:p>
        </w:tc>
      </w:tr>
    </w:tbl>
    <w:p w:rsidR="009D781A" w:rsidRPr="009D781A" w:rsidRDefault="009D781A" w:rsidP="009D781A">
      <w:pPr>
        <w:spacing w:after="240"/>
        <w:ind w:left="720"/>
        <w:jc w:val="both"/>
        <w:rPr>
          <w:rFonts w:asciiTheme="majorHAnsi" w:hAnsiTheme="majorHAnsi"/>
          <w:b/>
          <w:bCs/>
          <w:sz w:val="19"/>
          <w:szCs w:val="19"/>
        </w:rPr>
      </w:pPr>
    </w:p>
    <w:p w:rsidR="0096117B" w:rsidRPr="009D781A" w:rsidRDefault="0096117B" w:rsidP="0096117B">
      <w:pPr>
        <w:spacing w:before="240" w:after="240"/>
        <w:ind w:firstLine="720"/>
        <w:jc w:val="both"/>
        <w:rPr>
          <w:rFonts w:asciiTheme="majorHAnsi" w:hAnsiTheme="majorHAnsi"/>
          <w:b/>
          <w:bCs/>
          <w:sz w:val="20"/>
          <w:szCs w:val="20"/>
        </w:rPr>
      </w:pPr>
      <w:r w:rsidRPr="009D781A">
        <w:rPr>
          <w:rFonts w:asciiTheme="majorHAnsi" w:hAnsiTheme="majorHAnsi"/>
          <w:b/>
          <w:bCs/>
          <w:sz w:val="20"/>
          <w:szCs w:val="20"/>
        </w:rPr>
        <w:t>II.</w:t>
      </w:r>
      <w:r w:rsidRPr="009D781A">
        <w:rPr>
          <w:rFonts w:asciiTheme="majorHAnsi" w:hAnsiTheme="majorHAnsi"/>
          <w:b/>
          <w:bCs/>
          <w:sz w:val="20"/>
          <w:szCs w:val="20"/>
        </w:rPr>
        <w:tab/>
        <w:t>PROCEEDINGS BEFORE THE IACHR</w:t>
      </w:r>
      <w:r w:rsidRPr="009D781A">
        <w:rPr>
          <w:rFonts w:ascii="Cambria" w:hAnsi="Cambria"/>
          <w:b/>
          <w:sz w:val="20"/>
          <w:szCs w:val="20"/>
          <w:vertAlign w:val="superscript"/>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96117B" w:rsidRPr="009D781A" w:rsidTr="00844D95">
        <w:tc>
          <w:tcPr>
            <w:tcW w:w="3690" w:type="dxa"/>
            <w:tcBorders>
              <w:top w:val="single" w:sz="6" w:space="0" w:color="auto"/>
              <w:bottom w:val="single" w:sz="6" w:space="0" w:color="auto"/>
            </w:tcBorders>
            <w:shd w:val="clear" w:color="auto" w:fill="67AE3C"/>
            <w:vAlign w:val="center"/>
          </w:tcPr>
          <w:p w:rsidR="0096117B" w:rsidRPr="009D781A" w:rsidRDefault="0096117B" w:rsidP="00844D95">
            <w:pPr>
              <w:jc w:val="center"/>
              <w:rPr>
                <w:rFonts w:ascii="Cambria" w:hAnsi="Cambria"/>
                <w:b/>
                <w:bCs/>
                <w:color w:val="FFFFFF" w:themeColor="background1"/>
                <w:sz w:val="20"/>
                <w:szCs w:val="20"/>
              </w:rPr>
            </w:pPr>
            <w:r w:rsidRPr="009D781A">
              <w:rPr>
                <w:rFonts w:ascii="Cambria" w:hAnsi="Cambria"/>
                <w:b/>
                <w:bCs/>
                <w:color w:val="FFFFFF" w:themeColor="background1"/>
                <w:sz w:val="20"/>
                <w:szCs w:val="20"/>
              </w:rPr>
              <w:t>Filing of the petition:</w:t>
            </w:r>
          </w:p>
        </w:tc>
        <w:tc>
          <w:tcPr>
            <w:tcW w:w="5670" w:type="dxa"/>
            <w:vAlign w:val="center"/>
          </w:tcPr>
          <w:p w:rsidR="0096117B" w:rsidRPr="009D781A" w:rsidRDefault="0096117B" w:rsidP="00844D95">
            <w:pPr>
              <w:jc w:val="both"/>
              <w:rPr>
                <w:rFonts w:ascii="Cambria" w:hAnsi="Cambria"/>
                <w:bCs/>
                <w:sz w:val="20"/>
                <w:szCs w:val="20"/>
              </w:rPr>
            </w:pPr>
            <w:r>
              <w:rPr>
                <w:rFonts w:ascii="Cambria" w:hAnsi="Cambria"/>
                <w:bCs/>
                <w:sz w:val="20"/>
                <w:szCs w:val="20"/>
              </w:rPr>
              <w:t>August 1, 2008</w:t>
            </w:r>
          </w:p>
        </w:tc>
      </w:tr>
      <w:tr w:rsidR="0096117B" w:rsidRPr="009D781A" w:rsidTr="00844D95">
        <w:tc>
          <w:tcPr>
            <w:tcW w:w="3690" w:type="dxa"/>
            <w:tcBorders>
              <w:top w:val="single" w:sz="6" w:space="0" w:color="auto"/>
              <w:bottom w:val="single" w:sz="6" w:space="0" w:color="auto"/>
            </w:tcBorders>
            <w:shd w:val="clear" w:color="auto" w:fill="67AE3C"/>
            <w:vAlign w:val="center"/>
          </w:tcPr>
          <w:p w:rsidR="0096117B" w:rsidRPr="009D781A" w:rsidRDefault="0096117B" w:rsidP="00844D95">
            <w:pPr>
              <w:jc w:val="center"/>
              <w:rPr>
                <w:rFonts w:ascii="Cambria" w:hAnsi="Cambria"/>
                <w:b/>
                <w:color w:val="FFFFFF" w:themeColor="background1"/>
                <w:sz w:val="20"/>
                <w:szCs w:val="20"/>
              </w:rPr>
            </w:pPr>
            <w:r w:rsidRPr="009D781A">
              <w:rPr>
                <w:rFonts w:ascii="Cambria" w:hAnsi="Cambria"/>
                <w:b/>
                <w:color w:val="FFFFFF" w:themeColor="background1"/>
                <w:sz w:val="20"/>
                <w:szCs w:val="20"/>
              </w:rPr>
              <w:t>Additional information received at the stage of initial review:</w:t>
            </w:r>
          </w:p>
        </w:tc>
        <w:tc>
          <w:tcPr>
            <w:tcW w:w="5670" w:type="dxa"/>
            <w:vAlign w:val="center"/>
          </w:tcPr>
          <w:p w:rsidR="0096117B" w:rsidRPr="009D781A" w:rsidRDefault="0096117B" w:rsidP="00844D95">
            <w:pPr>
              <w:jc w:val="both"/>
              <w:rPr>
                <w:rFonts w:ascii="Cambria" w:hAnsi="Cambria"/>
                <w:b/>
                <w:bCs/>
                <w:color w:val="FFFFFF" w:themeColor="background1"/>
                <w:sz w:val="20"/>
                <w:szCs w:val="20"/>
              </w:rPr>
            </w:pPr>
            <w:r>
              <w:rPr>
                <w:rFonts w:ascii="Cambria" w:hAnsi="Cambria"/>
                <w:bCs/>
                <w:sz w:val="20"/>
                <w:szCs w:val="20"/>
              </w:rPr>
              <w:t xml:space="preserve">August 8 and September 15, 2008; May 21 and 31, 2010; June 3 and 23 and July 20, </w:t>
            </w:r>
            <w:r w:rsidRPr="0096117B">
              <w:rPr>
                <w:rFonts w:asciiTheme="majorHAnsi" w:hAnsiTheme="majorHAnsi"/>
                <w:bCs/>
                <w:sz w:val="19"/>
                <w:szCs w:val="19"/>
              </w:rPr>
              <w:t>2010</w:t>
            </w:r>
            <w:r w:rsidRPr="00740819">
              <w:rPr>
                <w:rStyle w:val="FootnoteReference"/>
                <w:rFonts w:asciiTheme="majorHAnsi" w:hAnsiTheme="majorHAnsi"/>
                <w:bCs/>
                <w:sz w:val="19"/>
                <w:szCs w:val="19"/>
                <w:lang w:val="es-ES"/>
              </w:rPr>
              <w:footnoteReference w:id="5"/>
            </w:r>
          </w:p>
        </w:tc>
      </w:tr>
      <w:tr w:rsidR="0096117B" w:rsidRPr="009D781A" w:rsidTr="00844D95">
        <w:tc>
          <w:tcPr>
            <w:tcW w:w="3690" w:type="dxa"/>
            <w:tcBorders>
              <w:top w:val="single" w:sz="6" w:space="0" w:color="auto"/>
              <w:bottom w:val="single" w:sz="6" w:space="0" w:color="auto"/>
            </w:tcBorders>
            <w:shd w:val="clear" w:color="auto" w:fill="67AE3C"/>
            <w:vAlign w:val="center"/>
          </w:tcPr>
          <w:p w:rsidR="0096117B" w:rsidRPr="009D781A" w:rsidRDefault="0096117B" w:rsidP="00844D95">
            <w:pPr>
              <w:jc w:val="center"/>
              <w:rPr>
                <w:rFonts w:ascii="Cambria" w:hAnsi="Cambria"/>
                <w:b/>
                <w:bCs/>
                <w:color w:val="FFFFFF" w:themeColor="background1"/>
                <w:sz w:val="20"/>
                <w:szCs w:val="20"/>
              </w:rPr>
            </w:pPr>
            <w:r w:rsidRPr="009D781A">
              <w:rPr>
                <w:rFonts w:ascii="Cambria" w:hAnsi="Cambria"/>
                <w:b/>
                <w:color w:val="FFFFFF" w:themeColor="background1"/>
                <w:sz w:val="20"/>
                <w:szCs w:val="20"/>
              </w:rPr>
              <w:t>Notification of the petition to the State:</w:t>
            </w:r>
          </w:p>
        </w:tc>
        <w:tc>
          <w:tcPr>
            <w:tcW w:w="5670" w:type="dxa"/>
            <w:vAlign w:val="center"/>
          </w:tcPr>
          <w:p w:rsidR="0096117B" w:rsidRPr="009D781A" w:rsidRDefault="0096117B" w:rsidP="00844D95">
            <w:pPr>
              <w:jc w:val="both"/>
              <w:rPr>
                <w:rFonts w:ascii="Cambria" w:hAnsi="Cambria"/>
                <w:bCs/>
                <w:sz w:val="20"/>
                <w:szCs w:val="20"/>
              </w:rPr>
            </w:pPr>
            <w:r>
              <w:rPr>
                <w:rFonts w:ascii="Cambria" w:hAnsi="Cambria"/>
                <w:bCs/>
                <w:sz w:val="20"/>
                <w:szCs w:val="20"/>
              </w:rPr>
              <w:t>July 15, 2014</w:t>
            </w:r>
          </w:p>
        </w:tc>
      </w:tr>
      <w:tr w:rsidR="0096117B" w:rsidRPr="009D781A" w:rsidTr="00844D95">
        <w:trPr>
          <w:trHeight w:val="264"/>
        </w:trPr>
        <w:tc>
          <w:tcPr>
            <w:tcW w:w="3690" w:type="dxa"/>
            <w:tcBorders>
              <w:top w:val="single" w:sz="6" w:space="0" w:color="auto"/>
              <w:bottom w:val="single" w:sz="6" w:space="0" w:color="auto"/>
            </w:tcBorders>
            <w:shd w:val="clear" w:color="auto" w:fill="67AE3C"/>
            <w:vAlign w:val="center"/>
          </w:tcPr>
          <w:p w:rsidR="0096117B" w:rsidRPr="009D781A" w:rsidRDefault="0096117B" w:rsidP="00844D95">
            <w:pPr>
              <w:jc w:val="center"/>
              <w:rPr>
                <w:rFonts w:ascii="Cambria" w:hAnsi="Cambria"/>
                <w:b/>
                <w:bCs/>
                <w:color w:val="FFFFFF" w:themeColor="background1"/>
                <w:sz w:val="20"/>
                <w:szCs w:val="20"/>
              </w:rPr>
            </w:pPr>
            <w:r w:rsidRPr="009D781A">
              <w:rPr>
                <w:rFonts w:ascii="Cambria" w:hAnsi="Cambria"/>
                <w:b/>
                <w:color w:val="FFFFFF" w:themeColor="background1"/>
                <w:sz w:val="20"/>
                <w:szCs w:val="20"/>
              </w:rPr>
              <w:t>State’s first response:</w:t>
            </w:r>
          </w:p>
        </w:tc>
        <w:tc>
          <w:tcPr>
            <w:tcW w:w="5670" w:type="dxa"/>
            <w:vAlign w:val="center"/>
          </w:tcPr>
          <w:p w:rsidR="0096117B" w:rsidRPr="009D781A" w:rsidRDefault="0096117B" w:rsidP="00844D95">
            <w:pPr>
              <w:jc w:val="both"/>
              <w:rPr>
                <w:rFonts w:ascii="Cambria" w:hAnsi="Cambria"/>
                <w:bCs/>
                <w:sz w:val="20"/>
                <w:szCs w:val="20"/>
              </w:rPr>
            </w:pPr>
            <w:r>
              <w:rPr>
                <w:rFonts w:ascii="Cambria" w:hAnsi="Cambria"/>
                <w:bCs/>
                <w:sz w:val="20"/>
                <w:szCs w:val="20"/>
              </w:rPr>
              <w:t>July 31, 2017</w:t>
            </w:r>
          </w:p>
        </w:tc>
      </w:tr>
    </w:tbl>
    <w:p w:rsidR="0096117B" w:rsidRPr="009D781A" w:rsidRDefault="0096117B" w:rsidP="0096117B">
      <w:pPr>
        <w:spacing w:before="240" w:after="240"/>
        <w:ind w:firstLine="720"/>
        <w:jc w:val="both"/>
        <w:rPr>
          <w:rFonts w:asciiTheme="majorHAnsi" w:hAnsiTheme="majorHAnsi"/>
          <w:b/>
          <w:bCs/>
          <w:sz w:val="20"/>
          <w:szCs w:val="20"/>
        </w:rPr>
      </w:pPr>
      <w:r w:rsidRPr="009D781A">
        <w:rPr>
          <w:rFonts w:asciiTheme="majorHAnsi" w:hAnsiTheme="majorHAnsi"/>
          <w:b/>
          <w:bCs/>
          <w:sz w:val="20"/>
          <w:szCs w:val="20"/>
        </w:rPr>
        <w:t xml:space="preserve">III. </w:t>
      </w:r>
      <w:r w:rsidRPr="009D781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96117B" w:rsidRPr="009D781A" w:rsidTr="00844D95">
        <w:trPr>
          <w:cantSplit/>
        </w:trPr>
        <w:tc>
          <w:tcPr>
            <w:tcW w:w="3690" w:type="dxa"/>
            <w:tcBorders>
              <w:top w:val="single" w:sz="4" w:space="0" w:color="auto"/>
              <w:bottom w:val="single" w:sz="6" w:space="0" w:color="auto"/>
            </w:tcBorders>
            <w:shd w:val="clear" w:color="auto" w:fill="67AE3C"/>
            <w:vAlign w:val="center"/>
          </w:tcPr>
          <w:p w:rsidR="0096117B" w:rsidRPr="009D781A" w:rsidRDefault="0096117B" w:rsidP="00844D95">
            <w:pPr>
              <w:jc w:val="center"/>
              <w:rPr>
                <w:rFonts w:ascii="Cambria" w:hAnsi="Cambria"/>
                <w:b/>
                <w:bCs/>
                <w:i/>
                <w:color w:val="FFFFFF" w:themeColor="background1"/>
                <w:sz w:val="20"/>
                <w:szCs w:val="20"/>
              </w:rPr>
            </w:pPr>
            <w:r w:rsidRPr="009D781A">
              <w:rPr>
                <w:rFonts w:ascii="Cambria" w:hAnsi="Cambria"/>
                <w:b/>
                <w:bCs/>
                <w:color w:val="FFFFFF" w:themeColor="background1"/>
                <w:sz w:val="20"/>
                <w:szCs w:val="20"/>
              </w:rPr>
              <w:t>Competence</w:t>
            </w:r>
            <w:r w:rsidRPr="009D781A">
              <w:rPr>
                <w:rFonts w:ascii="Cambria" w:hAnsi="Cambria"/>
                <w:b/>
                <w:bCs/>
                <w:i/>
                <w:color w:val="FFFFFF" w:themeColor="background1"/>
                <w:sz w:val="20"/>
                <w:szCs w:val="20"/>
              </w:rPr>
              <w:t xml:space="preserve"> Ratione personae:</w:t>
            </w:r>
          </w:p>
        </w:tc>
        <w:tc>
          <w:tcPr>
            <w:tcW w:w="5670" w:type="dxa"/>
            <w:vAlign w:val="center"/>
          </w:tcPr>
          <w:p w:rsidR="0096117B" w:rsidRPr="009D781A" w:rsidRDefault="0096117B" w:rsidP="00844D95">
            <w:pPr>
              <w:rPr>
                <w:rFonts w:asciiTheme="majorHAnsi" w:hAnsiTheme="majorHAnsi"/>
                <w:bCs/>
                <w:sz w:val="20"/>
                <w:szCs w:val="20"/>
              </w:rPr>
            </w:pPr>
            <w:r w:rsidRPr="009D781A">
              <w:rPr>
                <w:rFonts w:asciiTheme="majorHAnsi" w:hAnsiTheme="majorHAnsi"/>
                <w:bCs/>
                <w:sz w:val="20"/>
                <w:szCs w:val="20"/>
              </w:rPr>
              <w:t>Yes</w:t>
            </w:r>
          </w:p>
        </w:tc>
      </w:tr>
      <w:tr w:rsidR="0096117B" w:rsidRPr="009D781A" w:rsidTr="00844D95">
        <w:trPr>
          <w:cantSplit/>
        </w:trPr>
        <w:tc>
          <w:tcPr>
            <w:tcW w:w="3690" w:type="dxa"/>
            <w:tcBorders>
              <w:top w:val="single" w:sz="6" w:space="0" w:color="auto"/>
              <w:bottom w:val="single" w:sz="6" w:space="0" w:color="auto"/>
            </w:tcBorders>
            <w:shd w:val="clear" w:color="auto" w:fill="67AE3C"/>
            <w:vAlign w:val="center"/>
          </w:tcPr>
          <w:p w:rsidR="0096117B" w:rsidRPr="009D781A" w:rsidRDefault="0096117B" w:rsidP="00844D95">
            <w:pPr>
              <w:jc w:val="center"/>
              <w:rPr>
                <w:rFonts w:ascii="Cambria" w:hAnsi="Cambria"/>
                <w:b/>
                <w:bCs/>
                <w:color w:val="FFFFFF" w:themeColor="background1"/>
                <w:sz w:val="20"/>
                <w:szCs w:val="20"/>
              </w:rPr>
            </w:pPr>
            <w:r w:rsidRPr="009D781A">
              <w:rPr>
                <w:rFonts w:ascii="Cambria" w:hAnsi="Cambria"/>
                <w:b/>
                <w:bCs/>
                <w:color w:val="FFFFFF" w:themeColor="background1"/>
                <w:sz w:val="20"/>
                <w:szCs w:val="20"/>
              </w:rPr>
              <w:t>Competence</w:t>
            </w:r>
            <w:r w:rsidRPr="009D781A">
              <w:rPr>
                <w:rFonts w:ascii="Cambria" w:hAnsi="Cambria"/>
                <w:b/>
                <w:bCs/>
                <w:i/>
                <w:color w:val="FFFFFF" w:themeColor="background1"/>
                <w:sz w:val="20"/>
                <w:szCs w:val="20"/>
              </w:rPr>
              <w:t xml:space="preserve"> Ratione loci</w:t>
            </w:r>
            <w:r w:rsidRPr="009D781A">
              <w:rPr>
                <w:rFonts w:ascii="Cambria" w:hAnsi="Cambria"/>
                <w:b/>
                <w:bCs/>
                <w:color w:val="FFFFFF" w:themeColor="background1"/>
                <w:sz w:val="20"/>
                <w:szCs w:val="20"/>
              </w:rPr>
              <w:t>:</w:t>
            </w:r>
          </w:p>
        </w:tc>
        <w:tc>
          <w:tcPr>
            <w:tcW w:w="5670" w:type="dxa"/>
            <w:vAlign w:val="center"/>
          </w:tcPr>
          <w:p w:rsidR="0096117B" w:rsidRPr="009D781A" w:rsidRDefault="0096117B" w:rsidP="00844D95">
            <w:pPr>
              <w:rPr>
                <w:rFonts w:asciiTheme="majorHAnsi" w:hAnsiTheme="majorHAnsi"/>
                <w:bCs/>
                <w:sz w:val="20"/>
                <w:szCs w:val="20"/>
              </w:rPr>
            </w:pPr>
            <w:r w:rsidRPr="009D781A">
              <w:rPr>
                <w:rFonts w:asciiTheme="majorHAnsi" w:hAnsiTheme="majorHAnsi"/>
                <w:bCs/>
                <w:sz w:val="20"/>
                <w:szCs w:val="20"/>
              </w:rPr>
              <w:t>Yes</w:t>
            </w:r>
          </w:p>
        </w:tc>
      </w:tr>
      <w:tr w:rsidR="0096117B" w:rsidRPr="009D781A" w:rsidTr="00844D95">
        <w:trPr>
          <w:cantSplit/>
        </w:trPr>
        <w:tc>
          <w:tcPr>
            <w:tcW w:w="3690" w:type="dxa"/>
            <w:tcBorders>
              <w:top w:val="single" w:sz="6" w:space="0" w:color="auto"/>
              <w:bottom w:val="single" w:sz="6" w:space="0" w:color="auto"/>
            </w:tcBorders>
            <w:shd w:val="clear" w:color="auto" w:fill="67AE3C"/>
            <w:vAlign w:val="center"/>
          </w:tcPr>
          <w:p w:rsidR="0096117B" w:rsidRPr="009D781A" w:rsidRDefault="0096117B" w:rsidP="00844D95">
            <w:pPr>
              <w:jc w:val="center"/>
              <w:rPr>
                <w:rFonts w:ascii="Cambria" w:hAnsi="Cambria"/>
                <w:b/>
                <w:bCs/>
                <w:color w:val="FFFFFF" w:themeColor="background1"/>
                <w:sz w:val="20"/>
                <w:szCs w:val="20"/>
              </w:rPr>
            </w:pPr>
            <w:r w:rsidRPr="009D781A">
              <w:rPr>
                <w:rFonts w:ascii="Cambria" w:hAnsi="Cambria"/>
                <w:b/>
                <w:bCs/>
                <w:color w:val="FFFFFF" w:themeColor="background1"/>
                <w:sz w:val="20"/>
                <w:szCs w:val="20"/>
              </w:rPr>
              <w:t>Competence</w:t>
            </w:r>
            <w:r w:rsidRPr="009D781A">
              <w:rPr>
                <w:rFonts w:ascii="Cambria" w:hAnsi="Cambria"/>
                <w:b/>
                <w:bCs/>
                <w:i/>
                <w:color w:val="FFFFFF" w:themeColor="background1"/>
                <w:sz w:val="20"/>
                <w:szCs w:val="20"/>
              </w:rPr>
              <w:t xml:space="preserve"> Ratione temporis</w:t>
            </w:r>
            <w:r w:rsidRPr="009D781A">
              <w:rPr>
                <w:rFonts w:ascii="Cambria" w:hAnsi="Cambria"/>
                <w:b/>
                <w:bCs/>
                <w:color w:val="FFFFFF" w:themeColor="background1"/>
                <w:sz w:val="20"/>
                <w:szCs w:val="20"/>
              </w:rPr>
              <w:t>:</w:t>
            </w:r>
          </w:p>
        </w:tc>
        <w:tc>
          <w:tcPr>
            <w:tcW w:w="5670" w:type="dxa"/>
            <w:vAlign w:val="center"/>
          </w:tcPr>
          <w:p w:rsidR="0096117B" w:rsidRPr="009D781A" w:rsidRDefault="0096117B" w:rsidP="00357A17">
            <w:pPr>
              <w:rPr>
                <w:rFonts w:asciiTheme="majorHAnsi" w:hAnsiTheme="majorHAnsi"/>
                <w:bCs/>
                <w:sz w:val="20"/>
                <w:szCs w:val="20"/>
              </w:rPr>
            </w:pPr>
            <w:r w:rsidRPr="009D781A">
              <w:rPr>
                <w:rFonts w:asciiTheme="majorHAnsi" w:hAnsiTheme="majorHAnsi"/>
                <w:bCs/>
                <w:sz w:val="20"/>
                <w:szCs w:val="20"/>
              </w:rPr>
              <w:t>Yes</w:t>
            </w:r>
            <w:r>
              <w:rPr>
                <w:rFonts w:asciiTheme="majorHAnsi" w:hAnsiTheme="majorHAnsi"/>
                <w:bCs/>
                <w:sz w:val="20"/>
                <w:szCs w:val="20"/>
              </w:rPr>
              <w:t xml:space="preserve">, the American Convention (from August 9, 1977, deposit of ratification instrument, through September 10, 2013, date on which the </w:t>
            </w:r>
            <w:r w:rsidR="00872DEE">
              <w:rPr>
                <w:rFonts w:asciiTheme="majorHAnsi" w:hAnsiTheme="majorHAnsi"/>
                <w:bCs/>
                <w:sz w:val="20"/>
                <w:szCs w:val="20"/>
              </w:rPr>
              <w:t>denunciation</w:t>
            </w:r>
            <w:r w:rsidR="00357A17">
              <w:rPr>
                <w:rFonts w:asciiTheme="majorHAnsi" w:hAnsiTheme="majorHAnsi"/>
                <w:bCs/>
                <w:sz w:val="20"/>
                <w:szCs w:val="20"/>
              </w:rPr>
              <w:t xml:space="preserve"> </w:t>
            </w:r>
            <w:r>
              <w:rPr>
                <w:rFonts w:asciiTheme="majorHAnsi" w:hAnsiTheme="majorHAnsi"/>
                <w:bCs/>
                <w:sz w:val="20"/>
                <w:szCs w:val="20"/>
              </w:rPr>
              <w:t>went into effect)</w:t>
            </w:r>
          </w:p>
        </w:tc>
      </w:tr>
      <w:tr w:rsidR="0096117B" w:rsidRPr="009D781A" w:rsidTr="00844D95">
        <w:trPr>
          <w:cantSplit/>
        </w:trPr>
        <w:tc>
          <w:tcPr>
            <w:tcW w:w="3690" w:type="dxa"/>
            <w:tcBorders>
              <w:top w:val="single" w:sz="6" w:space="0" w:color="auto"/>
              <w:bottom w:val="single" w:sz="6" w:space="0" w:color="auto"/>
            </w:tcBorders>
            <w:shd w:val="clear" w:color="auto" w:fill="67AE3C"/>
            <w:vAlign w:val="center"/>
          </w:tcPr>
          <w:p w:rsidR="0096117B" w:rsidRPr="009D781A" w:rsidRDefault="0096117B" w:rsidP="00844D95">
            <w:pPr>
              <w:jc w:val="center"/>
              <w:rPr>
                <w:rFonts w:ascii="Cambria" w:hAnsi="Cambria"/>
                <w:b/>
                <w:bCs/>
                <w:color w:val="FFFFFF" w:themeColor="background1"/>
                <w:sz w:val="20"/>
                <w:szCs w:val="20"/>
              </w:rPr>
            </w:pPr>
            <w:r w:rsidRPr="009D781A">
              <w:rPr>
                <w:rFonts w:ascii="Cambria" w:hAnsi="Cambria"/>
                <w:b/>
                <w:bCs/>
                <w:color w:val="FFFFFF" w:themeColor="background1"/>
                <w:sz w:val="20"/>
                <w:szCs w:val="20"/>
              </w:rPr>
              <w:t>Competence</w:t>
            </w:r>
            <w:r w:rsidRPr="009D781A">
              <w:rPr>
                <w:rFonts w:ascii="Cambria" w:hAnsi="Cambria"/>
                <w:b/>
                <w:bCs/>
                <w:i/>
                <w:color w:val="FFFFFF" w:themeColor="background1"/>
                <w:sz w:val="20"/>
                <w:szCs w:val="20"/>
              </w:rPr>
              <w:t xml:space="preserve"> Ratione materiae</w:t>
            </w:r>
            <w:r w:rsidRPr="009D781A">
              <w:rPr>
                <w:rFonts w:ascii="Cambria" w:hAnsi="Cambria"/>
                <w:b/>
                <w:bCs/>
                <w:color w:val="FFFFFF" w:themeColor="background1"/>
                <w:sz w:val="20"/>
                <w:szCs w:val="20"/>
              </w:rPr>
              <w:t>:</w:t>
            </w:r>
          </w:p>
        </w:tc>
        <w:tc>
          <w:tcPr>
            <w:tcW w:w="5670" w:type="dxa"/>
            <w:vAlign w:val="center"/>
          </w:tcPr>
          <w:p w:rsidR="0096117B" w:rsidRPr="009D781A" w:rsidRDefault="0096117B" w:rsidP="00844D95">
            <w:pPr>
              <w:jc w:val="both"/>
              <w:rPr>
                <w:rFonts w:ascii="Cambria" w:hAnsi="Cambria"/>
                <w:bCs/>
                <w:sz w:val="20"/>
                <w:szCs w:val="20"/>
              </w:rPr>
            </w:pPr>
            <w:r>
              <w:rPr>
                <w:rFonts w:asciiTheme="majorHAnsi" w:hAnsiTheme="majorHAnsi"/>
                <w:bCs/>
                <w:sz w:val="20"/>
                <w:szCs w:val="20"/>
              </w:rPr>
              <w:t>Yes</w:t>
            </w:r>
          </w:p>
        </w:tc>
      </w:tr>
    </w:tbl>
    <w:p w:rsidR="0096117B" w:rsidRPr="009D781A" w:rsidRDefault="0096117B" w:rsidP="0096117B">
      <w:pPr>
        <w:spacing w:before="240" w:after="240"/>
        <w:ind w:firstLine="720"/>
        <w:jc w:val="both"/>
        <w:rPr>
          <w:rFonts w:asciiTheme="majorHAnsi" w:hAnsiTheme="majorHAnsi"/>
          <w:b/>
          <w:bCs/>
          <w:sz w:val="20"/>
          <w:szCs w:val="20"/>
        </w:rPr>
      </w:pPr>
      <w:r w:rsidRPr="009D781A">
        <w:rPr>
          <w:rFonts w:asciiTheme="majorHAnsi" w:hAnsiTheme="majorHAnsi"/>
          <w:b/>
          <w:bCs/>
          <w:sz w:val="20"/>
          <w:szCs w:val="20"/>
        </w:rPr>
        <w:t xml:space="preserve">IV. </w:t>
      </w:r>
      <w:r w:rsidRPr="009D781A">
        <w:rPr>
          <w:rFonts w:asciiTheme="majorHAnsi" w:hAnsiTheme="majorHAnsi"/>
          <w:b/>
          <w:bCs/>
          <w:sz w:val="20"/>
          <w:szCs w:val="20"/>
        </w:rPr>
        <w:tab/>
        <w:t xml:space="preserve">DUPLICATION OF PROCEDURES AND INTERNATIONAL </w:t>
      </w:r>
      <w:r w:rsidRPr="009D781A">
        <w:rPr>
          <w:rFonts w:asciiTheme="majorHAnsi" w:hAnsiTheme="majorHAnsi"/>
          <w:b/>
          <w:bCs/>
          <w:i/>
          <w:sz w:val="20"/>
          <w:szCs w:val="20"/>
        </w:rPr>
        <w:t>RES JUDICATA</w:t>
      </w:r>
      <w:r w:rsidRPr="009D781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96117B" w:rsidRPr="009D781A" w:rsidTr="00844D95">
        <w:trPr>
          <w:cantSplit/>
        </w:trPr>
        <w:tc>
          <w:tcPr>
            <w:tcW w:w="3690" w:type="dxa"/>
            <w:tcBorders>
              <w:top w:val="single" w:sz="4" w:space="0" w:color="auto"/>
              <w:bottom w:val="single" w:sz="6" w:space="0" w:color="auto"/>
            </w:tcBorders>
            <w:shd w:val="clear" w:color="auto" w:fill="67AE3C"/>
            <w:vAlign w:val="center"/>
          </w:tcPr>
          <w:p w:rsidR="0096117B" w:rsidRPr="009D781A" w:rsidRDefault="0096117B" w:rsidP="00844D95">
            <w:pPr>
              <w:jc w:val="center"/>
              <w:rPr>
                <w:rFonts w:ascii="Cambria" w:hAnsi="Cambria"/>
                <w:b/>
                <w:bCs/>
                <w:color w:val="FFFFFF" w:themeColor="background1"/>
                <w:sz w:val="20"/>
                <w:szCs w:val="20"/>
              </w:rPr>
            </w:pPr>
            <w:r w:rsidRPr="009D781A">
              <w:rPr>
                <w:rFonts w:ascii="Cambria" w:hAnsi="Cambria"/>
                <w:b/>
                <w:bCs/>
                <w:color w:val="FFFFFF" w:themeColor="background1"/>
                <w:sz w:val="20"/>
                <w:szCs w:val="20"/>
              </w:rPr>
              <w:t xml:space="preserve">Duplication of procedures and International </w:t>
            </w:r>
            <w:r w:rsidRPr="009D781A">
              <w:rPr>
                <w:rFonts w:ascii="Cambria" w:hAnsi="Cambria"/>
                <w:b/>
                <w:bCs/>
                <w:i/>
                <w:color w:val="FFFFFF" w:themeColor="background1"/>
                <w:sz w:val="20"/>
                <w:szCs w:val="20"/>
              </w:rPr>
              <w:t>res judicata</w:t>
            </w:r>
            <w:r w:rsidRPr="009D781A">
              <w:rPr>
                <w:rFonts w:ascii="Cambria" w:hAnsi="Cambria"/>
                <w:b/>
                <w:bCs/>
                <w:color w:val="FFFFFF" w:themeColor="background1"/>
                <w:sz w:val="20"/>
                <w:szCs w:val="20"/>
              </w:rPr>
              <w:t>:</w:t>
            </w:r>
          </w:p>
        </w:tc>
        <w:tc>
          <w:tcPr>
            <w:tcW w:w="5670" w:type="dxa"/>
            <w:vAlign w:val="center"/>
          </w:tcPr>
          <w:p w:rsidR="0096117B" w:rsidRPr="009D781A" w:rsidRDefault="0096117B" w:rsidP="00844D95">
            <w:pPr>
              <w:jc w:val="both"/>
              <w:rPr>
                <w:rFonts w:ascii="Cambria" w:hAnsi="Cambria"/>
                <w:bCs/>
                <w:sz w:val="20"/>
                <w:szCs w:val="20"/>
              </w:rPr>
            </w:pPr>
            <w:r w:rsidRPr="009D781A">
              <w:rPr>
                <w:rFonts w:ascii="Cambria" w:hAnsi="Cambria"/>
                <w:bCs/>
                <w:sz w:val="20"/>
                <w:szCs w:val="20"/>
              </w:rPr>
              <w:t>No</w:t>
            </w:r>
          </w:p>
        </w:tc>
      </w:tr>
      <w:tr w:rsidR="0096117B" w:rsidRPr="009D781A" w:rsidTr="00844D95">
        <w:trPr>
          <w:cantSplit/>
        </w:trPr>
        <w:tc>
          <w:tcPr>
            <w:tcW w:w="3690" w:type="dxa"/>
            <w:tcBorders>
              <w:top w:val="single" w:sz="6" w:space="0" w:color="auto"/>
              <w:bottom w:val="single" w:sz="6" w:space="0" w:color="auto"/>
            </w:tcBorders>
            <w:shd w:val="clear" w:color="auto" w:fill="67AE3C"/>
            <w:vAlign w:val="center"/>
          </w:tcPr>
          <w:p w:rsidR="0096117B" w:rsidRPr="009D781A" w:rsidRDefault="0096117B" w:rsidP="00844D95">
            <w:pPr>
              <w:jc w:val="center"/>
              <w:rPr>
                <w:rFonts w:ascii="Cambria" w:hAnsi="Cambria"/>
                <w:b/>
                <w:bCs/>
                <w:i/>
                <w:color w:val="FFFFFF" w:themeColor="background1"/>
                <w:sz w:val="20"/>
                <w:szCs w:val="20"/>
              </w:rPr>
            </w:pPr>
            <w:r w:rsidRPr="009D781A">
              <w:rPr>
                <w:rFonts w:ascii="Cambria" w:hAnsi="Cambria"/>
                <w:b/>
                <w:bCs/>
                <w:color w:val="FFFFFF" w:themeColor="background1"/>
                <w:sz w:val="20"/>
                <w:szCs w:val="20"/>
              </w:rPr>
              <w:t>Rights declared admissible</w:t>
            </w:r>
          </w:p>
        </w:tc>
        <w:tc>
          <w:tcPr>
            <w:tcW w:w="5670" w:type="dxa"/>
            <w:vAlign w:val="center"/>
          </w:tcPr>
          <w:p w:rsidR="0096117B" w:rsidRPr="009D781A" w:rsidRDefault="00817F28" w:rsidP="00357A17">
            <w:pPr>
              <w:jc w:val="both"/>
              <w:rPr>
                <w:rFonts w:ascii="Cambria" w:hAnsi="Cambria"/>
                <w:bCs/>
                <w:sz w:val="20"/>
                <w:szCs w:val="20"/>
              </w:rPr>
            </w:pPr>
            <w:r w:rsidRPr="00817F28">
              <w:rPr>
                <w:rFonts w:ascii="Cambria" w:hAnsi="Cambria"/>
                <w:bCs/>
                <w:sz w:val="20"/>
                <w:szCs w:val="20"/>
              </w:rPr>
              <w:t>Articles 8 (fair trial), 23 (right to participate in government</w:t>
            </w:r>
            <w:r>
              <w:rPr>
                <w:rFonts w:ascii="Cambria" w:hAnsi="Cambria"/>
                <w:bCs/>
                <w:sz w:val="20"/>
                <w:szCs w:val="20"/>
              </w:rPr>
              <w:t>)</w:t>
            </w:r>
            <w:r w:rsidRPr="00817F28">
              <w:rPr>
                <w:rFonts w:ascii="Cambria" w:hAnsi="Cambria"/>
                <w:bCs/>
                <w:sz w:val="20"/>
                <w:szCs w:val="20"/>
              </w:rPr>
              <w:t xml:space="preserve"> and 25 (judicial protection) of the American Convention</w:t>
            </w:r>
          </w:p>
        </w:tc>
      </w:tr>
      <w:tr w:rsidR="0096117B" w:rsidRPr="009D781A" w:rsidTr="00844D95">
        <w:trPr>
          <w:cantSplit/>
        </w:trPr>
        <w:tc>
          <w:tcPr>
            <w:tcW w:w="3690" w:type="dxa"/>
            <w:tcBorders>
              <w:top w:val="single" w:sz="6" w:space="0" w:color="auto"/>
              <w:bottom w:val="single" w:sz="6" w:space="0" w:color="auto"/>
            </w:tcBorders>
            <w:shd w:val="clear" w:color="auto" w:fill="67AE3C"/>
            <w:vAlign w:val="center"/>
          </w:tcPr>
          <w:p w:rsidR="0096117B" w:rsidRPr="009D781A" w:rsidRDefault="0096117B" w:rsidP="00844D95">
            <w:pPr>
              <w:jc w:val="center"/>
              <w:rPr>
                <w:rFonts w:ascii="Cambria" w:hAnsi="Cambria"/>
                <w:b/>
                <w:bCs/>
                <w:color w:val="FFFFFF" w:themeColor="background1"/>
                <w:sz w:val="20"/>
                <w:szCs w:val="20"/>
              </w:rPr>
            </w:pPr>
            <w:r w:rsidRPr="009D781A">
              <w:rPr>
                <w:rFonts w:ascii="Cambria" w:hAnsi="Cambria"/>
                <w:b/>
                <w:bCs/>
                <w:color w:val="FFFFFF" w:themeColor="background1"/>
                <w:sz w:val="20"/>
                <w:szCs w:val="20"/>
              </w:rPr>
              <w:t>Exhaustion of domestic remedies or applicability of an exception to the rule:</w:t>
            </w:r>
          </w:p>
        </w:tc>
        <w:tc>
          <w:tcPr>
            <w:tcW w:w="5670" w:type="dxa"/>
            <w:vAlign w:val="center"/>
          </w:tcPr>
          <w:p w:rsidR="0096117B" w:rsidRPr="009D781A" w:rsidRDefault="0096117B" w:rsidP="00844D95">
            <w:pPr>
              <w:rPr>
                <w:rFonts w:ascii="Cambria" w:hAnsi="Cambria"/>
                <w:bCs/>
                <w:sz w:val="20"/>
                <w:szCs w:val="20"/>
              </w:rPr>
            </w:pPr>
            <w:r w:rsidRPr="00357A17">
              <w:rPr>
                <w:rFonts w:ascii="Cambria" w:hAnsi="Cambria"/>
                <w:bCs/>
                <w:sz w:val="20"/>
                <w:szCs w:val="20"/>
              </w:rPr>
              <w:t>Yes</w:t>
            </w:r>
            <w:r w:rsidR="00381D95" w:rsidRPr="00357A17">
              <w:rPr>
                <w:rFonts w:ascii="Cambria" w:hAnsi="Cambria"/>
                <w:bCs/>
                <w:sz w:val="20"/>
                <w:szCs w:val="20"/>
              </w:rPr>
              <w:t>, under the terms of Section VI</w:t>
            </w:r>
          </w:p>
        </w:tc>
      </w:tr>
      <w:tr w:rsidR="0096117B" w:rsidRPr="009D781A" w:rsidTr="00844D95">
        <w:trPr>
          <w:cantSplit/>
        </w:trPr>
        <w:tc>
          <w:tcPr>
            <w:tcW w:w="3690" w:type="dxa"/>
            <w:tcBorders>
              <w:top w:val="single" w:sz="6" w:space="0" w:color="auto"/>
              <w:bottom w:val="single" w:sz="6" w:space="0" w:color="auto"/>
            </w:tcBorders>
            <w:shd w:val="clear" w:color="auto" w:fill="67AE3C"/>
            <w:vAlign w:val="center"/>
          </w:tcPr>
          <w:p w:rsidR="0096117B" w:rsidRPr="009D781A" w:rsidRDefault="0096117B" w:rsidP="00844D95">
            <w:pPr>
              <w:jc w:val="center"/>
              <w:rPr>
                <w:rFonts w:ascii="Cambria" w:hAnsi="Cambria"/>
                <w:b/>
                <w:bCs/>
                <w:color w:val="FFFFFF" w:themeColor="background1"/>
                <w:sz w:val="20"/>
                <w:szCs w:val="20"/>
              </w:rPr>
            </w:pPr>
            <w:r w:rsidRPr="009D781A">
              <w:rPr>
                <w:rFonts w:ascii="Cambria" w:hAnsi="Cambria"/>
                <w:b/>
                <w:bCs/>
                <w:color w:val="FFFFFF" w:themeColor="background1"/>
                <w:sz w:val="20"/>
                <w:szCs w:val="20"/>
              </w:rPr>
              <w:t>Timeliness of the petition:</w:t>
            </w:r>
          </w:p>
        </w:tc>
        <w:tc>
          <w:tcPr>
            <w:tcW w:w="5670" w:type="dxa"/>
            <w:vAlign w:val="center"/>
          </w:tcPr>
          <w:p w:rsidR="0096117B" w:rsidRPr="009D781A" w:rsidRDefault="0096117B" w:rsidP="00844D95">
            <w:pPr>
              <w:rPr>
                <w:bCs/>
                <w:sz w:val="20"/>
                <w:szCs w:val="20"/>
              </w:rPr>
            </w:pPr>
            <w:r>
              <w:rPr>
                <w:rFonts w:asciiTheme="majorHAnsi" w:hAnsiTheme="majorHAnsi"/>
                <w:bCs/>
                <w:sz w:val="20"/>
                <w:szCs w:val="20"/>
              </w:rPr>
              <w:t xml:space="preserve">Yes, </w:t>
            </w:r>
            <w:r w:rsidR="00381D95">
              <w:rPr>
                <w:rFonts w:asciiTheme="majorHAnsi" w:hAnsiTheme="majorHAnsi"/>
                <w:bCs/>
                <w:sz w:val="20"/>
                <w:szCs w:val="20"/>
              </w:rPr>
              <w:t>under the terms of Section VI</w:t>
            </w:r>
          </w:p>
        </w:tc>
      </w:tr>
    </w:tbl>
    <w:p w:rsidR="003239B8" w:rsidRPr="00172ADD" w:rsidRDefault="00223A29" w:rsidP="003239B8">
      <w:pPr>
        <w:spacing w:before="240" w:after="240"/>
        <w:ind w:firstLine="720"/>
        <w:jc w:val="both"/>
        <w:rPr>
          <w:rFonts w:asciiTheme="majorHAnsi" w:hAnsiTheme="majorHAnsi"/>
          <w:b/>
          <w:sz w:val="20"/>
          <w:szCs w:val="20"/>
        </w:rPr>
      </w:pPr>
      <w:r w:rsidRPr="00172ADD">
        <w:rPr>
          <w:rFonts w:asciiTheme="majorHAnsi" w:hAnsiTheme="majorHAnsi"/>
          <w:b/>
          <w:sz w:val="20"/>
          <w:szCs w:val="20"/>
        </w:rPr>
        <w:t xml:space="preserve">V. </w:t>
      </w:r>
      <w:r w:rsidRPr="00172ADD">
        <w:rPr>
          <w:rFonts w:asciiTheme="majorHAnsi" w:hAnsiTheme="majorHAnsi"/>
          <w:b/>
          <w:sz w:val="20"/>
          <w:szCs w:val="20"/>
        </w:rPr>
        <w:tab/>
      </w:r>
      <w:r w:rsidR="00172ADD">
        <w:rPr>
          <w:rFonts w:asciiTheme="majorHAnsi" w:hAnsiTheme="majorHAnsi"/>
          <w:b/>
          <w:sz w:val="20"/>
          <w:szCs w:val="20"/>
        </w:rPr>
        <w:t>ALLEGED FACTS</w:t>
      </w:r>
      <w:r w:rsidR="003239B8" w:rsidRPr="00172ADD">
        <w:rPr>
          <w:rFonts w:asciiTheme="majorHAnsi" w:hAnsiTheme="majorHAnsi"/>
          <w:b/>
          <w:sz w:val="20"/>
          <w:szCs w:val="20"/>
        </w:rPr>
        <w:t xml:space="preserve"> </w:t>
      </w:r>
    </w:p>
    <w:p w:rsidR="00412FED" w:rsidRPr="00DB7889" w:rsidRDefault="00172ADD" w:rsidP="00DB78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B7889">
        <w:rPr>
          <w:rFonts w:ascii="Cambria" w:hAnsi="Cambria"/>
          <w:sz w:val="20"/>
          <w:szCs w:val="20"/>
        </w:rPr>
        <w:t xml:space="preserve">The petitioners state that the alleged victim was the Governor of Yaracuy State in Venezuela. They indicate that in 2006 the Attorney General of Venezuela ordered the opening of an investigation into </w:t>
      </w:r>
      <w:r w:rsidRPr="00DB7889">
        <w:rPr>
          <w:rFonts w:ascii="Cambria" w:hAnsi="Cambria"/>
          <w:sz w:val="20"/>
          <w:szCs w:val="20"/>
        </w:rPr>
        <w:lastRenderedPageBreak/>
        <w:t>alleged criminal acts committed in the handling of social programs within a government entity called FUNDESOY, under the supervision of the state Governor. On June 10, 2008, the Supreme Court granted a request for a preliminary hearing</w:t>
      </w:r>
      <w:r w:rsidR="009458BA">
        <w:rPr>
          <w:rFonts w:ascii="Cambria" w:hAnsi="Cambria"/>
          <w:sz w:val="20"/>
          <w:szCs w:val="20"/>
        </w:rPr>
        <w:t xml:space="preserve"> </w:t>
      </w:r>
      <w:r w:rsidR="00E47643">
        <w:rPr>
          <w:rFonts w:ascii="Cambria" w:hAnsi="Cambria"/>
          <w:sz w:val="20"/>
          <w:szCs w:val="20"/>
        </w:rPr>
        <w:t>to show cause</w:t>
      </w:r>
      <w:r w:rsidRPr="00DB7889">
        <w:rPr>
          <w:rFonts w:ascii="Cambria" w:hAnsi="Cambria"/>
          <w:sz w:val="20"/>
          <w:szCs w:val="20"/>
        </w:rPr>
        <w:t xml:space="preserve"> filed by the Attorney General against the alleged victim, and ordered </w:t>
      </w:r>
      <w:r w:rsidR="009458BA">
        <w:rPr>
          <w:rFonts w:ascii="Cambria" w:hAnsi="Cambria"/>
          <w:sz w:val="20"/>
          <w:szCs w:val="20"/>
        </w:rPr>
        <w:t>his</w:t>
      </w:r>
      <w:r w:rsidR="009458BA" w:rsidRPr="00DB7889">
        <w:rPr>
          <w:rFonts w:ascii="Cambria" w:hAnsi="Cambria"/>
          <w:sz w:val="20"/>
          <w:szCs w:val="20"/>
        </w:rPr>
        <w:t xml:space="preserve"> </w:t>
      </w:r>
      <w:r w:rsidRPr="00DB7889">
        <w:rPr>
          <w:rFonts w:ascii="Cambria" w:hAnsi="Cambria"/>
          <w:sz w:val="20"/>
          <w:szCs w:val="20"/>
        </w:rPr>
        <w:t>suspen</w:t>
      </w:r>
      <w:r w:rsidR="009458BA">
        <w:rPr>
          <w:rFonts w:ascii="Cambria" w:hAnsi="Cambria"/>
          <w:sz w:val="20"/>
          <w:szCs w:val="20"/>
        </w:rPr>
        <w:t>sion</w:t>
      </w:r>
      <w:r w:rsidRPr="00DB7889">
        <w:rPr>
          <w:rFonts w:ascii="Cambria" w:hAnsi="Cambria"/>
          <w:sz w:val="20"/>
          <w:szCs w:val="20"/>
        </w:rPr>
        <w:t xml:space="preserve"> and disqualifi</w:t>
      </w:r>
      <w:r w:rsidR="009458BA">
        <w:rPr>
          <w:rFonts w:ascii="Cambria" w:hAnsi="Cambria"/>
          <w:sz w:val="20"/>
          <w:szCs w:val="20"/>
        </w:rPr>
        <w:t>cation</w:t>
      </w:r>
      <w:r w:rsidRPr="00DB7889">
        <w:rPr>
          <w:rFonts w:ascii="Cambria" w:hAnsi="Cambria"/>
          <w:sz w:val="20"/>
          <w:szCs w:val="20"/>
        </w:rPr>
        <w:t xml:space="preserve"> from serving in any public position during the proceedings.</w:t>
      </w:r>
      <w:r w:rsidR="00DD05F5" w:rsidRPr="00DB7889">
        <w:rPr>
          <w:rFonts w:ascii="Cambria" w:hAnsi="Cambria"/>
          <w:sz w:val="20"/>
          <w:szCs w:val="20"/>
        </w:rPr>
        <w:t xml:space="preserve"> </w:t>
      </w:r>
      <w:r w:rsidR="005041FE" w:rsidRPr="00DB7889">
        <w:rPr>
          <w:rFonts w:ascii="Cambria" w:hAnsi="Cambria"/>
          <w:sz w:val="20"/>
          <w:szCs w:val="20"/>
        </w:rPr>
        <w:t xml:space="preserve">The petitioners allege that during the course of the investigation and in the legal proceedings, the State violated the rights to due process, to legal counsel, to legal assistance from trusted defense attorneys, </w:t>
      </w:r>
      <w:r w:rsidR="0090374D" w:rsidRPr="00DB7889">
        <w:rPr>
          <w:rFonts w:ascii="Cambria" w:hAnsi="Cambria"/>
          <w:sz w:val="20"/>
          <w:szCs w:val="20"/>
        </w:rPr>
        <w:t>the right to petition and</w:t>
      </w:r>
      <w:r w:rsidR="005041FE" w:rsidRPr="00DB7889">
        <w:rPr>
          <w:rFonts w:ascii="Cambria" w:hAnsi="Cambria"/>
          <w:sz w:val="20"/>
          <w:szCs w:val="20"/>
        </w:rPr>
        <w:t xml:space="preserve"> to equal protection, and the principles for the evaluation of evidence and </w:t>
      </w:r>
      <w:r w:rsidR="00710799">
        <w:rPr>
          <w:rFonts w:ascii="Cambria" w:hAnsi="Cambria"/>
          <w:sz w:val="20"/>
          <w:szCs w:val="20"/>
        </w:rPr>
        <w:t xml:space="preserve">of </w:t>
      </w:r>
      <w:r w:rsidR="009458BA">
        <w:rPr>
          <w:rFonts w:ascii="Cambria" w:hAnsi="Cambria"/>
          <w:sz w:val="20"/>
          <w:szCs w:val="20"/>
        </w:rPr>
        <w:t>contradiction</w:t>
      </w:r>
      <w:r w:rsidR="005041FE" w:rsidRPr="00DB7889">
        <w:rPr>
          <w:rFonts w:ascii="Cambria" w:hAnsi="Cambria"/>
          <w:sz w:val="20"/>
          <w:szCs w:val="20"/>
        </w:rPr>
        <w:t>, as</w:t>
      </w:r>
      <w:r w:rsidR="0090374D" w:rsidRPr="00DB7889">
        <w:rPr>
          <w:rFonts w:ascii="Cambria" w:hAnsi="Cambria"/>
          <w:sz w:val="20"/>
          <w:szCs w:val="20"/>
        </w:rPr>
        <w:t xml:space="preserve"> well as the presumption of innocence and the political rights of the alleged victim. They argue that there is no legal framework regulating </w:t>
      </w:r>
      <w:r w:rsidR="00CB27B2" w:rsidRPr="00DB7889">
        <w:rPr>
          <w:rFonts w:ascii="Cambria" w:hAnsi="Cambria"/>
          <w:sz w:val="20"/>
          <w:szCs w:val="20"/>
        </w:rPr>
        <w:t>pre</w:t>
      </w:r>
      <w:r w:rsidR="00CB27B2">
        <w:rPr>
          <w:rFonts w:ascii="Cambria" w:hAnsi="Cambria"/>
          <w:sz w:val="20"/>
          <w:szCs w:val="20"/>
        </w:rPr>
        <w:t>trial</w:t>
      </w:r>
      <w:r w:rsidR="00CB27B2" w:rsidRPr="00DB7889">
        <w:rPr>
          <w:rFonts w:ascii="Cambria" w:hAnsi="Cambria"/>
          <w:sz w:val="20"/>
          <w:szCs w:val="20"/>
        </w:rPr>
        <w:t xml:space="preserve"> </w:t>
      </w:r>
      <w:r w:rsidR="0090374D" w:rsidRPr="00DB7889">
        <w:rPr>
          <w:rFonts w:ascii="Cambria" w:hAnsi="Cambria"/>
          <w:sz w:val="20"/>
          <w:szCs w:val="20"/>
        </w:rPr>
        <w:t>hearings</w:t>
      </w:r>
      <w:r w:rsidR="00CB27B2">
        <w:rPr>
          <w:rFonts w:ascii="Cambria" w:hAnsi="Cambria"/>
          <w:sz w:val="20"/>
          <w:szCs w:val="20"/>
        </w:rPr>
        <w:t xml:space="preserve"> to show cause</w:t>
      </w:r>
      <w:r w:rsidR="0090374D" w:rsidRPr="00DB7889">
        <w:rPr>
          <w:rFonts w:ascii="Cambria" w:hAnsi="Cambria"/>
          <w:sz w:val="20"/>
          <w:szCs w:val="20"/>
        </w:rPr>
        <w:t>, and they claim that in the aforementioned events, the proceedings began as a result of reported irregularities at FUNDASOY, but over the course of the investigation, they deviated from that purpose and concluded with a preliminary finding of cause against the Governor of Yaracuy State, while ignoring the fact that FUNDASOY is a functionally autonomous administrative entity.  They argue that during the two years of the investigation and prior to the preliminary hearing, the alleged victim was not summoned to appear or even informed of the investigation, and that there are no proceedings at all against the staff or contractors working at FUNDASOY.</w:t>
      </w:r>
    </w:p>
    <w:p w:rsidR="001229BB" w:rsidRDefault="0090374D" w:rsidP="00103B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334A">
        <w:rPr>
          <w:rFonts w:ascii="Cambria" w:hAnsi="Cambria"/>
          <w:sz w:val="20"/>
          <w:szCs w:val="20"/>
        </w:rPr>
        <w:t>The petitioners indicate that on March 27, 2008, the Attorney General of Venezuela</w:t>
      </w:r>
      <w:r w:rsidR="00386A39" w:rsidRPr="00EA334A">
        <w:rPr>
          <w:rFonts w:ascii="Cambria" w:hAnsi="Cambria"/>
          <w:sz w:val="20"/>
          <w:szCs w:val="20"/>
        </w:rPr>
        <w:t xml:space="preserve"> asked the full Supreme Court (hereinafter “the full Court”</w:t>
      </w:r>
      <w:r w:rsidR="00F51FF5">
        <w:rPr>
          <w:rFonts w:ascii="Cambria" w:hAnsi="Cambria"/>
          <w:sz w:val="20"/>
          <w:szCs w:val="20"/>
        </w:rPr>
        <w:t xml:space="preserve"> or “the Court”</w:t>
      </w:r>
      <w:r w:rsidR="00386A39" w:rsidRPr="00EA334A">
        <w:rPr>
          <w:rFonts w:ascii="Cambria" w:hAnsi="Cambria"/>
          <w:sz w:val="20"/>
          <w:szCs w:val="20"/>
        </w:rPr>
        <w:t>) to find that there was cause to pursue a criminal trial against the alleged victim through the ordinary courts for the crimes of criminal embezzlement, circumventing bidding procedures, and collusion with contractors. On April 30, 2008</w:t>
      </w:r>
      <w:r w:rsidR="00F51FF5">
        <w:rPr>
          <w:rFonts w:ascii="Cambria" w:hAnsi="Cambria"/>
          <w:sz w:val="20"/>
          <w:szCs w:val="20"/>
        </w:rPr>
        <w:t>,</w:t>
      </w:r>
      <w:r w:rsidR="00386A39" w:rsidRPr="00EA334A">
        <w:rPr>
          <w:rFonts w:ascii="Cambria" w:hAnsi="Cambria"/>
          <w:sz w:val="20"/>
          <w:szCs w:val="20"/>
        </w:rPr>
        <w:t xml:space="preserve"> the full Court </w:t>
      </w:r>
      <w:r w:rsidR="008A1D49" w:rsidRPr="00EA334A">
        <w:rPr>
          <w:rFonts w:ascii="Cambria" w:hAnsi="Cambria"/>
          <w:sz w:val="20"/>
          <w:szCs w:val="20"/>
        </w:rPr>
        <w:t xml:space="preserve">upheld the request and summoned the parties to a public hearing on May 20, 2008. On May 6, 2008, the alleged victim filed an </w:t>
      </w:r>
      <w:r w:rsidR="00B901A8" w:rsidRPr="00EA334A">
        <w:rPr>
          <w:rFonts w:ascii="Cambria" w:hAnsi="Cambria"/>
          <w:i/>
          <w:sz w:val="20"/>
          <w:szCs w:val="20"/>
        </w:rPr>
        <w:t>a</w:t>
      </w:r>
      <w:r w:rsidR="008A1D49" w:rsidRPr="00EA334A">
        <w:rPr>
          <w:rFonts w:ascii="Cambria" w:hAnsi="Cambria"/>
          <w:i/>
          <w:sz w:val="20"/>
          <w:szCs w:val="20"/>
        </w:rPr>
        <w:t xml:space="preserve">mparo </w:t>
      </w:r>
      <w:r w:rsidR="008A1D49" w:rsidRPr="00EA334A">
        <w:rPr>
          <w:rFonts w:ascii="Cambria" w:hAnsi="Cambria"/>
          <w:sz w:val="20"/>
          <w:szCs w:val="20"/>
        </w:rPr>
        <w:t>brief asking for the suspension of the preliminary hearing. The petitioners have not indicated the outcome of that request</w:t>
      </w:r>
      <w:r w:rsidR="001229BB">
        <w:rPr>
          <w:rFonts w:ascii="Cambria" w:hAnsi="Cambria"/>
          <w:sz w:val="20"/>
          <w:szCs w:val="20"/>
        </w:rPr>
        <w:t>.</w:t>
      </w:r>
      <w:r w:rsidR="008A1D49" w:rsidRPr="00EA334A">
        <w:rPr>
          <w:rFonts w:ascii="Cambria" w:hAnsi="Cambria"/>
          <w:sz w:val="20"/>
          <w:szCs w:val="20"/>
        </w:rPr>
        <w:t xml:space="preserve"> </w:t>
      </w:r>
      <w:r w:rsidR="001229BB">
        <w:rPr>
          <w:rFonts w:ascii="Cambria" w:hAnsi="Cambria"/>
          <w:sz w:val="20"/>
          <w:szCs w:val="20"/>
        </w:rPr>
        <w:t>T</w:t>
      </w:r>
      <w:r w:rsidR="008A1D49" w:rsidRPr="00EA334A">
        <w:rPr>
          <w:rFonts w:ascii="Cambria" w:hAnsi="Cambria"/>
          <w:sz w:val="20"/>
          <w:szCs w:val="20"/>
        </w:rPr>
        <w:t>hey indicate that at the start of the May 20, 2008 hearing, the alleged victim requested a postponement of the hearing because his defense attorney had not been officially assigned to his case and had not had access to the case file. They indicate that the private defense attorneys were only officially assigned to the case on M</w:t>
      </w:r>
      <w:r w:rsidR="00103BB5" w:rsidRPr="00EA334A">
        <w:rPr>
          <w:rFonts w:ascii="Cambria" w:hAnsi="Cambria"/>
          <w:sz w:val="20"/>
          <w:szCs w:val="20"/>
        </w:rPr>
        <w:t>ay 21, and</w:t>
      </w:r>
      <w:r w:rsidR="008A1D49" w:rsidRPr="00EA334A">
        <w:rPr>
          <w:rFonts w:ascii="Cambria" w:hAnsi="Cambria"/>
          <w:sz w:val="20"/>
          <w:szCs w:val="20"/>
        </w:rPr>
        <w:t xml:space="preserve"> were not given access to the complete file until May 23.</w:t>
      </w:r>
      <w:r w:rsidR="007141AF" w:rsidRPr="00EA334A">
        <w:rPr>
          <w:rFonts w:ascii="Cambria" w:hAnsi="Cambria"/>
          <w:sz w:val="20"/>
          <w:szCs w:val="20"/>
        </w:rPr>
        <w:t xml:space="preserve"> </w:t>
      </w:r>
      <w:r w:rsidR="008A1D49" w:rsidRPr="00EA334A">
        <w:rPr>
          <w:rFonts w:ascii="Cambria" w:hAnsi="Cambria"/>
          <w:sz w:val="20"/>
          <w:szCs w:val="20"/>
        </w:rPr>
        <w:t>The Court set the hearing for May 27, 2008 and specified in the order that if the alleged victim or his defense attorneys</w:t>
      </w:r>
      <w:r w:rsidR="00F325C2" w:rsidRPr="00EA334A">
        <w:rPr>
          <w:rFonts w:ascii="Cambria" w:hAnsi="Cambria"/>
          <w:sz w:val="20"/>
          <w:szCs w:val="20"/>
        </w:rPr>
        <w:t xml:space="preserve"> failed to appear the hearing would still go</w:t>
      </w:r>
      <w:r w:rsidR="008A1D49" w:rsidRPr="00EA334A">
        <w:rPr>
          <w:rFonts w:ascii="Cambria" w:hAnsi="Cambria"/>
          <w:sz w:val="20"/>
          <w:szCs w:val="20"/>
        </w:rPr>
        <w:t xml:space="preserve"> forward. The alleged victim thus filed a request for reversal of the court’s own decision and asked that the hearing be postponed until there was a ruling on the </w:t>
      </w:r>
      <w:r w:rsidR="00B901A8" w:rsidRPr="00EA334A">
        <w:rPr>
          <w:rFonts w:ascii="Cambria" w:hAnsi="Cambria"/>
          <w:i/>
          <w:sz w:val="20"/>
          <w:szCs w:val="20"/>
        </w:rPr>
        <w:t>a</w:t>
      </w:r>
      <w:r w:rsidR="008A1D49" w:rsidRPr="00EA334A">
        <w:rPr>
          <w:rFonts w:ascii="Cambria" w:hAnsi="Cambria"/>
          <w:i/>
          <w:sz w:val="20"/>
          <w:szCs w:val="20"/>
        </w:rPr>
        <w:t>mparo</w:t>
      </w:r>
      <w:r w:rsidR="008A1D49" w:rsidRPr="00EA334A">
        <w:rPr>
          <w:rFonts w:ascii="Cambria" w:hAnsi="Cambria"/>
          <w:sz w:val="20"/>
          <w:szCs w:val="20"/>
        </w:rPr>
        <w:t xml:space="preserve"> motion. </w:t>
      </w:r>
      <w:r w:rsidR="00103BB5" w:rsidRPr="00EA334A">
        <w:rPr>
          <w:rFonts w:ascii="Cambria" w:hAnsi="Cambria"/>
          <w:sz w:val="20"/>
          <w:szCs w:val="20"/>
        </w:rPr>
        <w:t>On May 23, 2008, the Court rejected the request for reversal of its own decision indicating that this could only be used within criminal proceedings, and that for the time being, there was no criminal proceed</w:t>
      </w:r>
      <w:r w:rsidR="001229BB">
        <w:rPr>
          <w:rFonts w:ascii="Cambria" w:hAnsi="Cambria"/>
          <w:sz w:val="20"/>
          <w:szCs w:val="20"/>
        </w:rPr>
        <w:t>ing against the alleged victim.</w:t>
      </w:r>
    </w:p>
    <w:p w:rsidR="00A43B9C" w:rsidRPr="001229BB" w:rsidRDefault="00103BB5" w:rsidP="00E30A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229BB">
        <w:rPr>
          <w:rFonts w:ascii="Cambria" w:hAnsi="Cambria"/>
          <w:sz w:val="20"/>
          <w:szCs w:val="20"/>
        </w:rPr>
        <w:t xml:space="preserve">On May 27, 2008, attorneys for the alleged victim asked for a postponement of the hearing a second time, as they were technically prevented from appearing due to the short time frame in which they were allowed to prepare their defense, and because the </w:t>
      </w:r>
      <w:r w:rsidR="00B901A8" w:rsidRPr="001229BB">
        <w:rPr>
          <w:rFonts w:ascii="Cambria" w:hAnsi="Cambria"/>
          <w:i/>
          <w:sz w:val="20"/>
          <w:szCs w:val="20"/>
        </w:rPr>
        <w:t>a</w:t>
      </w:r>
      <w:r w:rsidRPr="001229BB">
        <w:rPr>
          <w:rFonts w:ascii="Cambria" w:hAnsi="Cambria"/>
          <w:i/>
          <w:sz w:val="20"/>
          <w:szCs w:val="20"/>
        </w:rPr>
        <w:t xml:space="preserve">mparo </w:t>
      </w:r>
      <w:r w:rsidRPr="001229BB">
        <w:rPr>
          <w:rFonts w:ascii="Cambria" w:hAnsi="Cambria"/>
          <w:sz w:val="20"/>
          <w:szCs w:val="20"/>
        </w:rPr>
        <w:t>motion was still pending.</w:t>
      </w:r>
      <w:r w:rsidR="005D64A4" w:rsidRPr="001229BB">
        <w:rPr>
          <w:rFonts w:ascii="Cambria" w:hAnsi="Cambria"/>
          <w:sz w:val="20"/>
          <w:szCs w:val="20"/>
        </w:rPr>
        <w:t xml:space="preserve"> </w:t>
      </w:r>
      <w:r w:rsidR="00D01FC5" w:rsidRPr="001229BB">
        <w:rPr>
          <w:rFonts w:ascii="Cambria" w:hAnsi="Cambria"/>
          <w:sz w:val="20"/>
          <w:szCs w:val="20"/>
        </w:rPr>
        <w:t>The petitioners state</w:t>
      </w:r>
      <w:r w:rsidR="00F325C2" w:rsidRPr="001229BB">
        <w:rPr>
          <w:rFonts w:ascii="Cambria" w:hAnsi="Cambria"/>
          <w:sz w:val="20"/>
          <w:szCs w:val="20"/>
        </w:rPr>
        <w:t xml:space="preserve"> that the response from the Court was to interpret the request as “abandonment of technical defense”</w:t>
      </w:r>
      <w:r w:rsidR="00A043A8">
        <w:rPr>
          <w:rFonts w:ascii="Cambria" w:hAnsi="Cambria"/>
          <w:sz w:val="20"/>
          <w:szCs w:val="20"/>
        </w:rPr>
        <w:t xml:space="preserve">. They indicate that </w:t>
      </w:r>
      <w:r w:rsidR="00F325C2" w:rsidRPr="001229BB">
        <w:rPr>
          <w:rFonts w:ascii="Cambria" w:hAnsi="Cambria"/>
          <w:sz w:val="20"/>
          <w:szCs w:val="20"/>
        </w:rPr>
        <w:t xml:space="preserve">the hearing </w:t>
      </w:r>
      <w:r w:rsidR="00A043A8">
        <w:rPr>
          <w:rFonts w:ascii="Cambria" w:hAnsi="Cambria"/>
          <w:sz w:val="20"/>
          <w:szCs w:val="20"/>
        </w:rPr>
        <w:t xml:space="preserve">was held </w:t>
      </w:r>
      <w:r w:rsidR="00F325C2" w:rsidRPr="001229BB">
        <w:rPr>
          <w:rFonts w:ascii="Cambria" w:hAnsi="Cambria"/>
          <w:sz w:val="20"/>
          <w:szCs w:val="20"/>
        </w:rPr>
        <w:t xml:space="preserve">in the absence of the defendant, and </w:t>
      </w:r>
      <w:r w:rsidR="00A043A8">
        <w:rPr>
          <w:rFonts w:ascii="Cambria" w:hAnsi="Cambria"/>
          <w:sz w:val="20"/>
          <w:szCs w:val="20"/>
        </w:rPr>
        <w:t xml:space="preserve">that a </w:t>
      </w:r>
      <w:r w:rsidR="00F325C2" w:rsidRPr="001229BB">
        <w:rPr>
          <w:rFonts w:ascii="Cambria" w:hAnsi="Cambria"/>
          <w:sz w:val="20"/>
          <w:szCs w:val="20"/>
        </w:rPr>
        <w:t>court-appointed attorney</w:t>
      </w:r>
      <w:r w:rsidR="00A043A8">
        <w:rPr>
          <w:rFonts w:ascii="Cambria" w:hAnsi="Cambria"/>
          <w:sz w:val="20"/>
          <w:szCs w:val="20"/>
        </w:rPr>
        <w:t xml:space="preserve"> was designated</w:t>
      </w:r>
      <w:r w:rsidR="00F325C2" w:rsidRPr="001229BB">
        <w:rPr>
          <w:rFonts w:ascii="Cambria" w:hAnsi="Cambria"/>
          <w:sz w:val="20"/>
          <w:szCs w:val="20"/>
        </w:rPr>
        <w:t>. They indicate that this occurred against the will of the alleged victim and in violation of his right to be represented by attorneys trusted by him</w:t>
      </w:r>
      <w:r w:rsidR="00A043A8">
        <w:rPr>
          <w:rFonts w:ascii="Cambria" w:hAnsi="Cambria"/>
          <w:sz w:val="20"/>
          <w:szCs w:val="20"/>
        </w:rPr>
        <w:t>, and, as a consequence, of the right to due process</w:t>
      </w:r>
      <w:r w:rsidR="00F325C2" w:rsidRPr="001229BB">
        <w:rPr>
          <w:rFonts w:ascii="Cambria" w:hAnsi="Cambria"/>
          <w:sz w:val="20"/>
          <w:szCs w:val="20"/>
        </w:rPr>
        <w:t xml:space="preserve">. On May 30, 2008 the alleged victim filed a brief in which he requested a reversal of the appointment of </w:t>
      </w:r>
      <w:r w:rsidR="000A070D">
        <w:rPr>
          <w:rFonts w:ascii="Cambria" w:hAnsi="Cambria"/>
          <w:sz w:val="20"/>
          <w:szCs w:val="20"/>
        </w:rPr>
        <w:t>the</w:t>
      </w:r>
      <w:r w:rsidR="00F325C2" w:rsidRPr="001229BB">
        <w:rPr>
          <w:rFonts w:ascii="Cambria" w:hAnsi="Cambria"/>
          <w:sz w:val="20"/>
          <w:szCs w:val="20"/>
        </w:rPr>
        <w:t xml:space="preserve"> public defender. </w:t>
      </w:r>
      <w:r w:rsidR="00E30AED" w:rsidRPr="001229BB">
        <w:rPr>
          <w:rFonts w:ascii="Cambria" w:hAnsi="Cambria"/>
          <w:sz w:val="20"/>
          <w:szCs w:val="20"/>
        </w:rPr>
        <w:t>That same day he requested</w:t>
      </w:r>
      <w:r w:rsidR="00F325C2" w:rsidRPr="001229BB">
        <w:rPr>
          <w:rFonts w:ascii="Cambria" w:hAnsi="Cambria"/>
          <w:sz w:val="20"/>
          <w:szCs w:val="20"/>
        </w:rPr>
        <w:t xml:space="preserve"> complete </w:t>
      </w:r>
      <w:r w:rsidR="00E30AED" w:rsidRPr="001229BB">
        <w:rPr>
          <w:rFonts w:ascii="Cambria" w:hAnsi="Cambria"/>
          <w:sz w:val="20"/>
          <w:szCs w:val="20"/>
        </w:rPr>
        <w:t>nullity</w:t>
      </w:r>
      <w:r w:rsidR="00F325C2" w:rsidRPr="001229BB">
        <w:rPr>
          <w:rFonts w:ascii="Cambria" w:hAnsi="Cambria"/>
          <w:sz w:val="20"/>
          <w:szCs w:val="20"/>
        </w:rPr>
        <w:t xml:space="preserve"> of the order issued on May 27, 2008 (scheduling of the hearing and determination that it should be held </w:t>
      </w:r>
      <w:r w:rsidR="00F325C2" w:rsidRPr="001229BB">
        <w:rPr>
          <w:rFonts w:ascii="Cambria" w:hAnsi="Cambria"/>
          <w:i/>
          <w:sz w:val="20"/>
          <w:szCs w:val="20"/>
        </w:rPr>
        <w:t>in absentia</w:t>
      </w:r>
      <w:r w:rsidR="00F325C2" w:rsidRPr="001229BB">
        <w:rPr>
          <w:rFonts w:ascii="Cambria" w:hAnsi="Cambria"/>
          <w:sz w:val="20"/>
          <w:szCs w:val="20"/>
        </w:rPr>
        <w:t xml:space="preserve">, if necessary), </w:t>
      </w:r>
      <w:r w:rsidR="00E30AED" w:rsidRPr="001229BB">
        <w:rPr>
          <w:rFonts w:ascii="Cambria" w:hAnsi="Cambria"/>
          <w:sz w:val="20"/>
          <w:szCs w:val="20"/>
        </w:rPr>
        <w:t xml:space="preserve">alleging violations of rights including due process and the right to legal counsel, the right to rebuttal and to intervene, and </w:t>
      </w:r>
      <w:r w:rsidR="000A070D">
        <w:rPr>
          <w:rFonts w:ascii="Cambria" w:hAnsi="Cambria"/>
          <w:sz w:val="20"/>
          <w:szCs w:val="20"/>
        </w:rPr>
        <w:t xml:space="preserve">the right </w:t>
      </w:r>
      <w:r w:rsidR="00E30AED" w:rsidRPr="001229BB">
        <w:rPr>
          <w:rFonts w:ascii="Cambria" w:hAnsi="Cambria"/>
          <w:sz w:val="20"/>
          <w:szCs w:val="20"/>
        </w:rPr>
        <w:t xml:space="preserve">not to be judged </w:t>
      </w:r>
      <w:r w:rsidR="00E30AED" w:rsidRPr="001229BB">
        <w:rPr>
          <w:rFonts w:ascii="Cambria" w:hAnsi="Cambria"/>
          <w:i/>
          <w:sz w:val="20"/>
          <w:szCs w:val="20"/>
        </w:rPr>
        <w:t>in absentia</w:t>
      </w:r>
      <w:r w:rsidR="00E30AED" w:rsidRPr="001229BB">
        <w:rPr>
          <w:rFonts w:ascii="Cambria" w:hAnsi="Cambria"/>
          <w:sz w:val="20"/>
          <w:szCs w:val="20"/>
        </w:rPr>
        <w:t>.</w:t>
      </w:r>
    </w:p>
    <w:p w:rsidR="00ED1404" w:rsidRPr="00E47643" w:rsidRDefault="00E30AED" w:rsidP="00E476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7643">
        <w:rPr>
          <w:rFonts w:ascii="Cambria" w:hAnsi="Cambria"/>
          <w:sz w:val="20"/>
          <w:szCs w:val="20"/>
        </w:rPr>
        <w:t>On June 10, 2008, the Court decided—based on the hearing held</w:t>
      </w:r>
      <w:r w:rsidRPr="00A56B94">
        <w:rPr>
          <w:rFonts w:ascii="Cambria" w:hAnsi="Cambria"/>
          <w:sz w:val="20"/>
          <w:szCs w:val="20"/>
        </w:rPr>
        <w:t xml:space="preserve"> May 27—to grant the motion for a </w:t>
      </w:r>
      <w:r w:rsidR="00E47643" w:rsidRPr="00E47643">
        <w:rPr>
          <w:rFonts w:ascii="Cambria" w:hAnsi="Cambria"/>
          <w:sz w:val="20"/>
          <w:szCs w:val="20"/>
        </w:rPr>
        <w:t xml:space="preserve">preliminary </w:t>
      </w:r>
      <w:r w:rsidRPr="00E47643">
        <w:rPr>
          <w:rFonts w:ascii="Cambria" w:hAnsi="Cambria"/>
          <w:sz w:val="20"/>
          <w:szCs w:val="20"/>
        </w:rPr>
        <w:t>hearing to show cause, declare</w:t>
      </w:r>
      <w:r w:rsidR="00E47643" w:rsidRPr="00E47643">
        <w:rPr>
          <w:rFonts w:ascii="Cambria" w:hAnsi="Cambria"/>
          <w:sz w:val="20"/>
          <w:szCs w:val="20"/>
        </w:rPr>
        <w:t>d</w:t>
      </w:r>
      <w:r w:rsidRPr="00E47643">
        <w:rPr>
          <w:rFonts w:ascii="Cambria" w:hAnsi="Cambria"/>
          <w:sz w:val="20"/>
          <w:szCs w:val="20"/>
        </w:rPr>
        <w:t xml:space="preserve"> that Mr. Giménez was legally suspended and disqualified from holding any public position during the trial, and to dismiss the motion to nullify. On June 19, 2008, the Attorney General sought clarification before the competent court for the prosecution of high ranking government officials, and regarding the effect of a waiver of the privilege of a pretrial hearing to show cause by the alleged victim. On June 25, of that same year, the alleged victim also requested a clarification of the decision on the consequences and scope of the suspension of the Governor from his duties, and whether as a result of the declaration of disqualification he was prohibited from holding any government position</w:t>
      </w:r>
      <w:r w:rsidR="00176FC6" w:rsidRPr="00E47643">
        <w:rPr>
          <w:rFonts w:ascii="Cambria" w:hAnsi="Cambria"/>
          <w:sz w:val="20"/>
          <w:szCs w:val="20"/>
        </w:rPr>
        <w:t xml:space="preserve">, alleging that the presumption of innocence had been violated since he was removed from his post without </w:t>
      </w:r>
      <w:r w:rsidR="00176FC6" w:rsidRPr="00E47643">
        <w:rPr>
          <w:rFonts w:ascii="Cambria" w:hAnsi="Cambria"/>
          <w:sz w:val="20"/>
          <w:szCs w:val="20"/>
        </w:rPr>
        <w:lastRenderedPageBreak/>
        <w:t>having been convicted.</w:t>
      </w:r>
      <w:r w:rsidR="00E47643" w:rsidRPr="00E47643">
        <w:rPr>
          <w:rFonts w:ascii="Cambria" w:hAnsi="Cambria"/>
          <w:sz w:val="20"/>
          <w:szCs w:val="20"/>
        </w:rPr>
        <w:t xml:space="preserve"> </w:t>
      </w:r>
      <w:r w:rsidR="00176FC6" w:rsidRPr="00E47643">
        <w:rPr>
          <w:rFonts w:ascii="Cambria" w:hAnsi="Cambria"/>
          <w:sz w:val="20"/>
          <w:szCs w:val="20"/>
        </w:rPr>
        <w:t>On July 22, 2008 the Supreme Court</w:t>
      </w:r>
      <w:r w:rsidR="00215765" w:rsidRPr="00E47643">
        <w:rPr>
          <w:rFonts w:ascii="Cambria" w:hAnsi="Cambria"/>
          <w:sz w:val="20"/>
          <w:szCs w:val="20"/>
        </w:rPr>
        <w:t xml:space="preserve"> said it did not have competence</w:t>
      </w:r>
      <w:r w:rsidR="00176FC6" w:rsidRPr="00E47643">
        <w:rPr>
          <w:rFonts w:ascii="Cambria" w:hAnsi="Cambria"/>
          <w:sz w:val="20"/>
          <w:szCs w:val="20"/>
        </w:rPr>
        <w:t xml:space="preserve"> to resolve the conflict of rules in order to determine the competent court for prosecution of high ranking government officials, and declined the jurisdiction </w:t>
      </w:r>
      <w:r w:rsidR="0025727D">
        <w:rPr>
          <w:rFonts w:ascii="Cambria" w:hAnsi="Cambria"/>
          <w:sz w:val="20"/>
          <w:szCs w:val="20"/>
        </w:rPr>
        <w:t>to</w:t>
      </w:r>
      <w:r w:rsidR="0025727D" w:rsidRPr="00E47643">
        <w:rPr>
          <w:rFonts w:ascii="Cambria" w:hAnsi="Cambria"/>
          <w:sz w:val="20"/>
          <w:szCs w:val="20"/>
        </w:rPr>
        <w:t xml:space="preserve"> </w:t>
      </w:r>
      <w:r w:rsidR="00176FC6" w:rsidRPr="00E47643">
        <w:rPr>
          <w:rFonts w:ascii="Cambria" w:hAnsi="Cambria"/>
          <w:sz w:val="20"/>
          <w:szCs w:val="20"/>
        </w:rPr>
        <w:t xml:space="preserve">the Constitutional Court. It also found the Attorney General’s request regarding a waiver of the prerogative of a pretrial hearing to be inadmissible. As for the acts violating the fundamental rights of the alleged victim </w:t>
      </w:r>
      <w:r w:rsidR="00055926">
        <w:rPr>
          <w:rFonts w:ascii="Cambria" w:hAnsi="Cambria"/>
          <w:sz w:val="20"/>
          <w:szCs w:val="20"/>
        </w:rPr>
        <w:t>in the process of the</w:t>
      </w:r>
      <w:r w:rsidR="00176FC6" w:rsidRPr="00E47643">
        <w:rPr>
          <w:rFonts w:ascii="Cambria" w:hAnsi="Cambria"/>
          <w:sz w:val="20"/>
          <w:szCs w:val="20"/>
        </w:rPr>
        <w:t xml:space="preserve"> pretrial hearing to show cause, and </w:t>
      </w:r>
      <w:r w:rsidR="00215765" w:rsidRPr="00E47643">
        <w:rPr>
          <w:rFonts w:ascii="Cambria" w:hAnsi="Cambria"/>
          <w:sz w:val="20"/>
          <w:szCs w:val="20"/>
        </w:rPr>
        <w:t>regarding</w:t>
      </w:r>
      <w:r w:rsidR="00176FC6" w:rsidRPr="00E47643">
        <w:rPr>
          <w:rFonts w:ascii="Cambria" w:hAnsi="Cambria"/>
          <w:sz w:val="20"/>
          <w:szCs w:val="20"/>
        </w:rPr>
        <w:t xml:space="preserve"> the consequences of the disqualification, the Constitutional Court said that it lacked competence to review such violations and stated that all requests to this end were inadmissible. </w:t>
      </w:r>
      <w:r w:rsidR="00215765" w:rsidRPr="00E47643">
        <w:rPr>
          <w:rFonts w:ascii="Cambria" w:hAnsi="Cambria"/>
          <w:sz w:val="20"/>
          <w:szCs w:val="20"/>
        </w:rPr>
        <w:t xml:space="preserve">The Court mentioned that there </w:t>
      </w:r>
      <w:r w:rsidR="00055926">
        <w:rPr>
          <w:rFonts w:ascii="Cambria" w:hAnsi="Cambria"/>
          <w:sz w:val="20"/>
          <w:szCs w:val="20"/>
        </w:rPr>
        <w:t>were</w:t>
      </w:r>
      <w:r w:rsidR="00055926" w:rsidRPr="00E47643">
        <w:rPr>
          <w:rFonts w:ascii="Cambria" w:hAnsi="Cambria"/>
          <w:sz w:val="20"/>
          <w:szCs w:val="20"/>
        </w:rPr>
        <w:t xml:space="preserve"> </w:t>
      </w:r>
      <w:r w:rsidR="00215765" w:rsidRPr="00E47643">
        <w:rPr>
          <w:rFonts w:ascii="Cambria" w:hAnsi="Cambria"/>
          <w:sz w:val="20"/>
          <w:szCs w:val="20"/>
        </w:rPr>
        <w:t>other remedies and challenges available to the petitioners to accomplish their purposes, but did not identify them.</w:t>
      </w:r>
    </w:p>
    <w:p w:rsidR="001172B5" w:rsidRPr="00A56B94" w:rsidRDefault="00215765" w:rsidP="00A56B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6B94">
        <w:rPr>
          <w:rFonts w:ascii="Cambria" w:hAnsi="Cambria"/>
          <w:sz w:val="20"/>
          <w:szCs w:val="20"/>
        </w:rPr>
        <w:t>The petitioners indicate that on August 8, 2008, the alleged victim accepted, in a filing before the Regional Elector</w:t>
      </w:r>
      <w:r w:rsidR="008B309B" w:rsidRPr="00A56B94">
        <w:rPr>
          <w:rFonts w:ascii="Cambria" w:hAnsi="Cambria"/>
          <w:sz w:val="20"/>
          <w:szCs w:val="20"/>
        </w:rPr>
        <w:t xml:space="preserve">al Board, his nomination </w:t>
      </w:r>
      <w:r w:rsidRPr="00A56B94">
        <w:rPr>
          <w:rFonts w:ascii="Cambria" w:hAnsi="Cambria"/>
          <w:sz w:val="20"/>
          <w:szCs w:val="20"/>
        </w:rPr>
        <w:t>for the position of Governor in elections to be held November 23, 2008. However, in a decision issued August 11, 2008, the National Electoral Board instructed the Regional Electoral Board of Yaracuy State to find th</w:t>
      </w:r>
      <w:r w:rsidR="008B309B" w:rsidRPr="00A56B94">
        <w:rPr>
          <w:rFonts w:ascii="Cambria" w:hAnsi="Cambria"/>
          <w:sz w:val="20"/>
          <w:szCs w:val="20"/>
        </w:rPr>
        <w:t>at the application for nomination</w:t>
      </w:r>
      <w:r w:rsidRPr="00A56B94">
        <w:rPr>
          <w:rFonts w:ascii="Cambria" w:hAnsi="Cambria"/>
          <w:sz w:val="20"/>
          <w:szCs w:val="20"/>
        </w:rPr>
        <w:t xml:space="preserve"> had not been filed, because of the suspension ordered in the preliminary hearing by the Supreme Court. On August 13, 2008, the Regional Board </w:t>
      </w:r>
      <w:r w:rsidR="008B309B" w:rsidRPr="00A56B94">
        <w:rPr>
          <w:rFonts w:ascii="Cambria" w:hAnsi="Cambria"/>
          <w:sz w:val="20"/>
          <w:szCs w:val="20"/>
        </w:rPr>
        <w:t xml:space="preserve">found that the alleged victim’s registration as a candidate had not been filed because there was no record of the remaining collections required by law. On August 20, 2008, the alleged victim filed a brief before the National Board alleging that the decisions of August 11 and 13 violated his rights and were based on a decision that was not final because the request for clarification had not been answered. He requested reconsideration of the decision finding that he had not registered as a candidate. On August 22, 2008, the National Board found that the challenge to the decision by the Regional Board was admissible, and ordered the parties </w:t>
      </w:r>
      <w:r w:rsidR="00A9288E" w:rsidRPr="00A56B94">
        <w:rPr>
          <w:rFonts w:ascii="Cambria" w:hAnsi="Cambria"/>
          <w:sz w:val="20"/>
          <w:szCs w:val="20"/>
        </w:rPr>
        <w:t>to present their arguments and relevant evidence.</w:t>
      </w:r>
      <w:r w:rsidR="002E25E2" w:rsidRPr="00A56B94">
        <w:rPr>
          <w:rFonts w:ascii="Cambria" w:hAnsi="Cambria"/>
          <w:sz w:val="20"/>
          <w:szCs w:val="20"/>
        </w:rPr>
        <w:t xml:space="preserve"> </w:t>
      </w:r>
      <w:r w:rsidR="00A56B94" w:rsidRPr="00A56B94">
        <w:rPr>
          <w:rFonts w:ascii="Cambria" w:hAnsi="Cambria"/>
          <w:sz w:val="20"/>
          <w:szCs w:val="20"/>
        </w:rPr>
        <w:t xml:space="preserve">On September 4, 2008, </w:t>
      </w:r>
      <w:r w:rsidR="00A56B94">
        <w:rPr>
          <w:rFonts w:ascii="Cambria" w:hAnsi="Cambria"/>
          <w:sz w:val="20"/>
          <w:szCs w:val="20"/>
        </w:rPr>
        <w:t xml:space="preserve">the alleged victim requested </w:t>
      </w:r>
      <w:r w:rsidR="00A56B94" w:rsidRPr="00A56B94">
        <w:rPr>
          <w:rFonts w:ascii="Cambria" w:hAnsi="Cambria"/>
          <w:sz w:val="20"/>
          <w:szCs w:val="20"/>
        </w:rPr>
        <w:t>a response to the reconsideration appeal. There is no knowledge of the resolution status of said resource.</w:t>
      </w:r>
    </w:p>
    <w:p w:rsidR="00800784" w:rsidRPr="00A9288E" w:rsidRDefault="00A56B94" w:rsidP="00A56B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6B94">
        <w:rPr>
          <w:rFonts w:ascii="Cambria" w:hAnsi="Cambria"/>
          <w:sz w:val="20"/>
          <w:szCs w:val="20"/>
        </w:rPr>
        <w:t>According to the information provided by the petitioners, the Office of the Prosecutor has not yet filed a criminal act</w:t>
      </w:r>
      <w:r>
        <w:rPr>
          <w:rFonts w:ascii="Cambria" w:hAnsi="Cambria"/>
          <w:sz w:val="20"/>
          <w:szCs w:val="20"/>
        </w:rPr>
        <w:t>ion against the alleged victim</w:t>
      </w:r>
      <w:r w:rsidR="00A9288E" w:rsidRPr="00A9288E">
        <w:rPr>
          <w:rFonts w:ascii="Cambria" w:hAnsi="Cambria"/>
          <w:sz w:val="20"/>
          <w:szCs w:val="20"/>
        </w:rPr>
        <w:t xml:space="preserve">, who is </w:t>
      </w:r>
      <w:r w:rsidR="00D451BB">
        <w:rPr>
          <w:rFonts w:ascii="Cambria" w:hAnsi="Cambria"/>
          <w:sz w:val="20"/>
          <w:szCs w:val="20"/>
        </w:rPr>
        <w:t>presently in Costa Rica</w:t>
      </w:r>
      <w:r w:rsidR="00A9288E" w:rsidRPr="00A9288E">
        <w:rPr>
          <w:rFonts w:ascii="Cambria" w:hAnsi="Cambria"/>
          <w:sz w:val="20"/>
          <w:szCs w:val="20"/>
        </w:rPr>
        <w:t>.</w:t>
      </w:r>
    </w:p>
    <w:p w:rsidR="00A9288E" w:rsidRPr="00A9288E" w:rsidRDefault="00A9288E" w:rsidP="00E12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9288E">
        <w:rPr>
          <w:rFonts w:ascii="Cambria" w:hAnsi="Cambria"/>
          <w:sz w:val="20"/>
          <w:szCs w:val="20"/>
        </w:rPr>
        <w:t xml:space="preserve">The State, in turn, alleges that the petition does not meet the requirements set forth in Article 46.1 of the American Convention, because the alleged victim’s trial is still underway, and has not even been able to start because the alleged victim is a fugitive of justice. </w:t>
      </w:r>
      <w:r>
        <w:rPr>
          <w:rFonts w:ascii="Cambria" w:hAnsi="Cambria"/>
          <w:sz w:val="20"/>
          <w:szCs w:val="20"/>
        </w:rPr>
        <w:t xml:space="preserve">The State further indicates that the pretrial hearing to show cause is not itself a criminal trial but a procedural prerogative. </w:t>
      </w:r>
      <w:r w:rsidR="008C2259">
        <w:rPr>
          <w:rFonts w:ascii="Cambria" w:hAnsi="Cambria"/>
          <w:sz w:val="20"/>
          <w:szCs w:val="20"/>
        </w:rPr>
        <w:t xml:space="preserve">Accordingly, </w:t>
      </w:r>
      <w:r>
        <w:rPr>
          <w:rFonts w:ascii="Cambria" w:hAnsi="Cambria"/>
          <w:sz w:val="20"/>
          <w:szCs w:val="20"/>
        </w:rPr>
        <w:t xml:space="preserve">it is apparent that </w:t>
      </w:r>
      <w:r w:rsidR="0033399D">
        <w:rPr>
          <w:rFonts w:ascii="Cambria" w:hAnsi="Cambria"/>
          <w:sz w:val="20"/>
          <w:szCs w:val="20"/>
        </w:rPr>
        <w:t xml:space="preserve">the </w:t>
      </w:r>
      <w:r>
        <w:rPr>
          <w:rFonts w:ascii="Cambria" w:hAnsi="Cambria"/>
          <w:sz w:val="20"/>
          <w:szCs w:val="20"/>
        </w:rPr>
        <w:t xml:space="preserve">domestic legal remedies have not been exhausted due to the alleged victim’s behavior. It argues that it has not known the whereabouts of the alleged victim since March 13, 2008, when he failed to appear in court. For this reason and since the Constitution forbids </w:t>
      </w:r>
      <w:r w:rsidRPr="00D01FC5">
        <w:rPr>
          <w:rFonts w:ascii="Cambria" w:hAnsi="Cambria"/>
          <w:i/>
          <w:sz w:val="20"/>
          <w:szCs w:val="20"/>
        </w:rPr>
        <w:t>in absentia</w:t>
      </w:r>
      <w:r>
        <w:rPr>
          <w:rFonts w:ascii="Cambria" w:hAnsi="Cambria"/>
          <w:sz w:val="20"/>
          <w:szCs w:val="20"/>
        </w:rPr>
        <w:t xml:space="preserve"> trials, an order for his arrest was issued in order to bring him to trial</w:t>
      </w:r>
      <w:r w:rsidR="008C2259">
        <w:rPr>
          <w:rFonts w:ascii="Cambria" w:hAnsi="Cambria"/>
          <w:sz w:val="20"/>
          <w:szCs w:val="20"/>
        </w:rPr>
        <w:t>.</w:t>
      </w:r>
      <w:r w:rsidR="00872DEE">
        <w:rPr>
          <w:rFonts w:ascii="Cambria" w:hAnsi="Cambria"/>
          <w:sz w:val="20"/>
          <w:szCs w:val="20"/>
        </w:rPr>
        <w:t xml:space="preserve"> </w:t>
      </w:r>
      <w:r w:rsidR="008C2259">
        <w:rPr>
          <w:rFonts w:ascii="Cambria" w:hAnsi="Cambria"/>
          <w:sz w:val="20"/>
          <w:szCs w:val="20"/>
        </w:rPr>
        <w:t>F</w:t>
      </w:r>
      <w:r>
        <w:rPr>
          <w:rFonts w:ascii="Cambria" w:hAnsi="Cambria"/>
          <w:sz w:val="20"/>
          <w:szCs w:val="20"/>
        </w:rPr>
        <w:t>rom records</w:t>
      </w:r>
      <w:r w:rsidR="008C2259">
        <w:rPr>
          <w:rFonts w:ascii="Cambria" w:hAnsi="Cambria"/>
          <w:sz w:val="20"/>
          <w:szCs w:val="20"/>
        </w:rPr>
        <w:t>,</w:t>
      </w:r>
      <w:r>
        <w:rPr>
          <w:rFonts w:ascii="Cambria" w:hAnsi="Cambria"/>
          <w:sz w:val="20"/>
          <w:szCs w:val="20"/>
        </w:rPr>
        <w:t xml:space="preserve"> it appears that </w:t>
      </w:r>
      <w:r w:rsidR="008C2259">
        <w:rPr>
          <w:rFonts w:ascii="Cambria" w:hAnsi="Cambria"/>
          <w:sz w:val="20"/>
          <w:szCs w:val="20"/>
        </w:rPr>
        <w:t xml:space="preserve">the alleged victim </w:t>
      </w:r>
      <w:r>
        <w:rPr>
          <w:rFonts w:ascii="Cambria" w:hAnsi="Cambria"/>
          <w:sz w:val="20"/>
          <w:szCs w:val="20"/>
        </w:rPr>
        <w:t>left the country on November 13, 2008.</w:t>
      </w:r>
    </w:p>
    <w:p w:rsidR="00823528" w:rsidRPr="00807C69" w:rsidRDefault="007D5CA3" w:rsidP="00807C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D5CA3">
        <w:rPr>
          <w:rFonts w:ascii="Cambria" w:hAnsi="Cambria"/>
          <w:sz w:val="20"/>
          <w:szCs w:val="20"/>
        </w:rPr>
        <w:t xml:space="preserve">The State indicates that even assuming that there had been any harm to the rights of the alleged victim, these could still be protected by the decision in the criminal trial, and through the various ordinary and special legal remedies which could ultimately be filed. </w:t>
      </w:r>
      <w:r>
        <w:rPr>
          <w:rFonts w:ascii="Cambria" w:hAnsi="Cambria"/>
          <w:sz w:val="20"/>
          <w:szCs w:val="20"/>
        </w:rPr>
        <w:t>The State argues that in order to exhaust domestic remedies, first it must com</w:t>
      </w:r>
      <w:r w:rsidR="00807C69">
        <w:rPr>
          <w:rFonts w:ascii="Cambria" w:hAnsi="Cambria"/>
          <w:sz w:val="20"/>
          <w:szCs w:val="20"/>
        </w:rPr>
        <w:t>plete the criminal trial of</w:t>
      </w:r>
      <w:r>
        <w:rPr>
          <w:rFonts w:ascii="Cambria" w:hAnsi="Cambria"/>
          <w:sz w:val="20"/>
          <w:szCs w:val="20"/>
        </w:rPr>
        <w:t xml:space="preserve"> the alleged victim, which has not been possible due to his own conduct. Secondly, he should have made use of ordinary judicial remedies to appeal </w:t>
      </w:r>
      <w:r w:rsidR="00E86BDB">
        <w:rPr>
          <w:rFonts w:ascii="Cambria" w:hAnsi="Cambria"/>
          <w:sz w:val="20"/>
          <w:szCs w:val="20"/>
        </w:rPr>
        <w:t xml:space="preserve">the </w:t>
      </w:r>
      <w:r>
        <w:rPr>
          <w:rFonts w:ascii="Cambria" w:hAnsi="Cambria"/>
          <w:sz w:val="20"/>
          <w:szCs w:val="20"/>
        </w:rPr>
        <w:t xml:space="preserve">future judgment, as contemplated in Articles 451 and following ones in the Organic Code of Criminal Procedure, as well as the criminal cassation remedy provided for in Articles 459 and following articles of the Code. The State says that the petitioners filed a request for review of the decision that authorized the start of the trial, and that the Constitutional Court found it inadmissible on August 14, 2008 because his attorneys had not met the legal requirements to represent him. </w:t>
      </w:r>
      <w:r w:rsidR="00807C69">
        <w:rPr>
          <w:rFonts w:ascii="Cambria" w:hAnsi="Cambria"/>
          <w:sz w:val="20"/>
          <w:szCs w:val="20"/>
        </w:rPr>
        <w:t>They indicated that there is nothing preventing the alleged victim from trying again to remedy the technical flaw in his motion. Finally, the State points out that the Inter-American Court of Human Rights has already heard and reached a decision on a very similar case</w:t>
      </w:r>
      <w:r w:rsidR="00F872A6">
        <w:rPr>
          <w:rStyle w:val="FootnoteReference"/>
          <w:rFonts w:ascii="Cambria" w:hAnsi="Cambria"/>
          <w:sz w:val="20"/>
          <w:szCs w:val="20"/>
          <w:lang w:val="es-ES"/>
        </w:rPr>
        <w:footnoteReference w:id="6"/>
      </w:r>
      <w:r w:rsidR="00807C69">
        <w:rPr>
          <w:rFonts w:ascii="Cambria" w:hAnsi="Cambria"/>
          <w:sz w:val="20"/>
          <w:szCs w:val="20"/>
        </w:rPr>
        <w:t xml:space="preserve"> in which it expressly stated that domestic remedies had not been exhausted.</w:t>
      </w:r>
    </w:p>
    <w:p w:rsidR="003239B8" w:rsidRPr="00AD2089" w:rsidRDefault="003239B8" w:rsidP="003239B8">
      <w:pPr>
        <w:spacing w:before="240" w:after="240"/>
        <w:ind w:firstLine="720"/>
        <w:jc w:val="both"/>
        <w:rPr>
          <w:rFonts w:ascii="Cambria" w:hAnsi="Cambria"/>
          <w:sz w:val="20"/>
          <w:szCs w:val="20"/>
        </w:rPr>
      </w:pPr>
      <w:r w:rsidRPr="00AD2089">
        <w:rPr>
          <w:rFonts w:asciiTheme="majorHAnsi" w:eastAsia="Cambria" w:hAnsiTheme="majorHAnsi" w:cs="Cambria"/>
          <w:b/>
          <w:bCs/>
          <w:color w:val="000000"/>
          <w:sz w:val="20"/>
          <w:szCs w:val="20"/>
          <w:u w:color="000000"/>
          <w:lang w:eastAsia="es-ES"/>
        </w:rPr>
        <w:lastRenderedPageBreak/>
        <w:t>VI.</w:t>
      </w:r>
      <w:r w:rsidRPr="00AD2089">
        <w:rPr>
          <w:rFonts w:asciiTheme="majorHAnsi" w:eastAsia="Cambria" w:hAnsiTheme="majorHAnsi" w:cs="Cambria"/>
          <w:b/>
          <w:bCs/>
          <w:color w:val="000000"/>
          <w:sz w:val="20"/>
          <w:szCs w:val="20"/>
          <w:u w:color="000000"/>
          <w:lang w:eastAsia="es-ES"/>
        </w:rPr>
        <w:tab/>
      </w:r>
      <w:r w:rsidR="00AD2089" w:rsidRPr="00AD2089">
        <w:rPr>
          <w:rFonts w:asciiTheme="majorHAnsi" w:hAnsiTheme="majorHAnsi"/>
          <w:b/>
          <w:bCs/>
          <w:sz w:val="20"/>
          <w:szCs w:val="20"/>
        </w:rPr>
        <w:t>EXHAUSTION OF DOMESTIC REMEDIES AND TIMELINESS OF PETITION</w:t>
      </w:r>
      <w:r w:rsidR="00C21FEF" w:rsidRPr="00AD2089">
        <w:rPr>
          <w:rFonts w:asciiTheme="majorHAnsi" w:eastAsia="Cambria" w:hAnsiTheme="majorHAnsi" w:cs="Cambria"/>
          <w:b/>
          <w:bCs/>
          <w:color w:val="000000"/>
          <w:sz w:val="20"/>
          <w:szCs w:val="20"/>
          <w:u w:color="000000"/>
          <w:lang w:eastAsia="es-ES"/>
        </w:rPr>
        <w:t xml:space="preserve"> </w:t>
      </w:r>
    </w:p>
    <w:p w:rsidR="00D56354" w:rsidRPr="00463EDD" w:rsidRDefault="00381D95" w:rsidP="00381D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81D95">
        <w:rPr>
          <w:rFonts w:ascii="Cambria" w:hAnsi="Cambria"/>
          <w:sz w:val="20"/>
          <w:szCs w:val="20"/>
        </w:rPr>
        <w:t xml:space="preserve">The petitioners allege that on May 6, 2008, the alleged victim filed an </w:t>
      </w:r>
      <w:r w:rsidR="00B537CB">
        <w:rPr>
          <w:rFonts w:ascii="Cambria" w:hAnsi="Cambria"/>
          <w:i/>
          <w:sz w:val="20"/>
          <w:szCs w:val="20"/>
        </w:rPr>
        <w:t>amparo</w:t>
      </w:r>
      <w:r w:rsidRPr="00381D95">
        <w:rPr>
          <w:rFonts w:ascii="Cambria" w:hAnsi="Cambria"/>
          <w:sz w:val="20"/>
          <w:szCs w:val="20"/>
        </w:rPr>
        <w:t xml:space="preserve"> before the Constitutional Chamber of the Supreme Court. They indicate that on May 27, 2008, the pretrial hearing</w:t>
      </w:r>
      <w:r w:rsidR="00B537CB">
        <w:rPr>
          <w:rFonts w:ascii="Cambria" w:hAnsi="Cambria"/>
          <w:sz w:val="20"/>
          <w:szCs w:val="20"/>
        </w:rPr>
        <w:t xml:space="preserve"> to show cause</w:t>
      </w:r>
      <w:r w:rsidRPr="00381D95">
        <w:rPr>
          <w:rFonts w:ascii="Cambria" w:hAnsi="Cambria"/>
          <w:sz w:val="20"/>
          <w:szCs w:val="20"/>
        </w:rPr>
        <w:t xml:space="preserve"> was held in the absence of the alleged victim and its defenders, since the Court concluded </w:t>
      </w:r>
      <w:r w:rsidR="00B537CB" w:rsidRPr="00381D95">
        <w:rPr>
          <w:rFonts w:ascii="Cambria" w:hAnsi="Cambria"/>
          <w:sz w:val="20"/>
          <w:szCs w:val="20"/>
        </w:rPr>
        <w:t>an</w:t>
      </w:r>
      <w:r w:rsidRPr="00381D95">
        <w:rPr>
          <w:rFonts w:ascii="Cambria" w:hAnsi="Cambria"/>
          <w:sz w:val="20"/>
          <w:szCs w:val="20"/>
        </w:rPr>
        <w:t xml:space="preserve"> </w:t>
      </w:r>
      <w:r w:rsidR="00B537CB">
        <w:rPr>
          <w:rFonts w:ascii="Cambria" w:hAnsi="Cambria"/>
          <w:sz w:val="20"/>
          <w:szCs w:val="20"/>
        </w:rPr>
        <w:t>abandonment</w:t>
      </w:r>
      <w:r w:rsidRPr="00381D95">
        <w:rPr>
          <w:rFonts w:ascii="Cambria" w:hAnsi="Cambria"/>
          <w:sz w:val="20"/>
          <w:szCs w:val="20"/>
        </w:rPr>
        <w:t xml:space="preserve"> of technical defense and sworn in a public defender. They indicate that on May 30, the alleged victim filed a brief in which </w:t>
      </w:r>
      <w:r w:rsidR="00B537CB">
        <w:rPr>
          <w:rFonts w:ascii="Cambria" w:hAnsi="Cambria"/>
          <w:sz w:val="20"/>
          <w:szCs w:val="20"/>
        </w:rPr>
        <w:t>he requested a reversal of such appointment</w:t>
      </w:r>
      <w:r w:rsidRPr="00381D95">
        <w:rPr>
          <w:rFonts w:ascii="Cambria" w:hAnsi="Cambria"/>
          <w:sz w:val="20"/>
          <w:szCs w:val="20"/>
        </w:rPr>
        <w:t xml:space="preserve">. On the same day, </w:t>
      </w:r>
      <w:r w:rsidR="007C0760">
        <w:rPr>
          <w:rFonts w:ascii="Cambria" w:hAnsi="Cambria"/>
          <w:sz w:val="20"/>
          <w:szCs w:val="20"/>
        </w:rPr>
        <w:t xml:space="preserve">he requested </w:t>
      </w:r>
      <w:r w:rsidRPr="00381D95">
        <w:rPr>
          <w:rFonts w:ascii="Cambria" w:hAnsi="Cambria"/>
          <w:sz w:val="20"/>
          <w:szCs w:val="20"/>
        </w:rPr>
        <w:t xml:space="preserve">the </w:t>
      </w:r>
      <w:r w:rsidR="00B537CB">
        <w:rPr>
          <w:rFonts w:ascii="Cambria" w:hAnsi="Cambria"/>
          <w:sz w:val="20"/>
          <w:szCs w:val="20"/>
        </w:rPr>
        <w:t>complete</w:t>
      </w:r>
      <w:r w:rsidRPr="00381D95">
        <w:rPr>
          <w:rFonts w:ascii="Cambria" w:hAnsi="Cambria"/>
          <w:sz w:val="20"/>
          <w:szCs w:val="20"/>
        </w:rPr>
        <w:t xml:space="preserve"> nullity of the </w:t>
      </w:r>
      <w:r w:rsidR="00B537CB">
        <w:rPr>
          <w:rFonts w:ascii="Cambria" w:hAnsi="Cambria"/>
          <w:sz w:val="20"/>
          <w:szCs w:val="20"/>
        </w:rPr>
        <w:t xml:space="preserve">order </w:t>
      </w:r>
      <w:r w:rsidRPr="00381D95">
        <w:rPr>
          <w:rFonts w:ascii="Cambria" w:hAnsi="Cambria"/>
          <w:sz w:val="20"/>
          <w:szCs w:val="20"/>
        </w:rPr>
        <w:t xml:space="preserve">of May 27. However, on June 10, 2008, the </w:t>
      </w:r>
      <w:r w:rsidR="00B537CB">
        <w:rPr>
          <w:rFonts w:ascii="Cambria" w:hAnsi="Cambria"/>
          <w:sz w:val="20"/>
          <w:szCs w:val="20"/>
        </w:rPr>
        <w:t>Court</w:t>
      </w:r>
      <w:r w:rsidRPr="00381D95">
        <w:rPr>
          <w:rFonts w:ascii="Cambria" w:hAnsi="Cambria"/>
          <w:sz w:val="20"/>
          <w:szCs w:val="20"/>
        </w:rPr>
        <w:t xml:space="preserve"> rejected the request for nullity filed by the alleged victim</w:t>
      </w:r>
      <w:r w:rsidR="007C0760">
        <w:rPr>
          <w:rFonts w:ascii="Cambria" w:hAnsi="Cambria"/>
          <w:sz w:val="20"/>
          <w:szCs w:val="20"/>
        </w:rPr>
        <w:t>,</w:t>
      </w:r>
      <w:r w:rsidR="00B537CB">
        <w:rPr>
          <w:rFonts w:ascii="Cambria" w:hAnsi="Cambria"/>
          <w:sz w:val="20"/>
          <w:szCs w:val="20"/>
        </w:rPr>
        <w:t xml:space="preserve"> granted the motion for a preliminary hearing to show cause </w:t>
      </w:r>
      <w:r w:rsidRPr="00381D95">
        <w:rPr>
          <w:rFonts w:ascii="Cambria" w:hAnsi="Cambria"/>
          <w:sz w:val="20"/>
          <w:szCs w:val="20"/>
        </w:rPr>
        <w:t xml:space="preserve">filed by the General Prosecutor of the Republic and stated that </w:t>
      </w:r>
      <w:r w:rsidR="002C0BE5">
        <w:rPr>
          <w:rFonts w:ascii="Cambria" w:hAnsi="Cambria"/>
          <w:sz w:val="20"/>
          <w:szCs w:val="20"/>
        </w:rPr>
        <w:t>the alleged victim</w:t>
      </w:r>
      <w:r w:rsidR="00B537CB">
        <w:rPr>
          <w:rFonts w:ascii="Cambria" w:hAnsi="Cambria"/>
          <w:sz w:val="20"/>
          <w:szCs w:val="20"/>
        </w:rPr>
        <w:t xml:space="preserve"> shall</w:t>
      </w:r>
      <w:r w:rsidRPr="00381D95">
        <w:rPr>
          <w:rFonts w:ascii="Cambria" w:hAnsi="Cambria"/>
          <w:sz w:val="20"/>
          <w:szCs w:val="20"/>
        </w:rPr>
        <w:t xml:space="preserve"> be suspended and disqualified from exercising any public office during the process. On July 22, 2008, the Supreme Court published its decision on the clarification appeals filed by the Attorney General and the alleged victim. The Court noted that it did not have jurisdiction to hear the violations of fundamental rights </w:t>
      </w:r>
      <w:r w:rsidR="00B537CB">
        <w:rPr>
          <w:rFonts w:ascii="Cambria" w:hAnsi="Cambria"/>
          <w:sz w:val="20"/>
          <w:szCs w:val="20"/>
        </w:rPr>
        <w:t>purportedly</w:t>
      </w:r>
      <w:r w:rsidRPr="00381D95">
        <w:rPr>
          <w:rFonts w:ascii="Cambria" w:hAnsi="Cambria"/>
          <w:sz w:val="20"/>
          <w:szCs w:val="20"/>
        </w:rPr>
        <w:t xml:space="preserve"> suffered by the alleged victim </w:t>
      </w:r>
      <w:r w:rsidRPr="00B5240F">
        <w:rPr>
          <w:rFonts w:ascii="Cambria" w:hAnsi="Cambria"/>
          <w:sz w:val="20"/>
          <w:szCs w:val="20"/>
        </w:rPr>
        <w:t xml:space="preserve">in the </w:t>
      </w:r>
      <w:r w:rsidR="00B5240F" w:rsidRPr="00B5240F">
        <w:rPr>
          <w:rFonts w:ascii="Cambria" w:hAnsi="Cambria"/>
          <w:sz w:val="20"/>
          <w:szCs w:val="20"/>
        </w:rPr>
        <w:t>course</w:t>
      </w:r>
      <w:r w:rsidRPr="00B5240F">
        <w:rPr>
          <w:rFonts w:ascii="Cambria" w:hAnsi="Cambria"/>
          <w:sz w:val="20"/>
          <w:szCs w:val="20"/>
        </w:rPr>
        <w:t xml:space="preserve"> of the pre-trial proceedings and declared his requests inadmissible</w:t>
      </w:r>
      <w:r w:rsidRPr="00381D95">
        <w:rPr>
          <w:rFonts w:ascii="Cambria" w:hAnsi="Cambria"/>
          <w:sz w:val="20"/>
          <w:szCs w:val="20"/>
        </w:rPr>
        <w:t xml:space="preserve">. On August 11, 2008, the National Electoral Board denied </w:t>
      </w:r>
      <w:r w:rsidR="00AF1C37">
        <w:rPr>
          <w:rFonts w:ascii="Cambria" w:hAnsi="Cambria"/>
          <w:sz w:val="20"/>
          <w:szCs w:val="20"/>
        </w:rPr>
        <w:t>his</w:t>
      </w:r>
      <w:r w:rsidRPr="00381D95">
        <w:rPr>
          <w:rFonts w:ascii="Cambria" w:hAnsi="Cambria"/>
          <w:sz w:val="20"/>
          <w:szCs w:val="20"/>
        </w:rPr>
        <w:t xml:space="preserve"> registration for the post of Governor, by</w:t>
      </w:r>
      <w:r w:rsidR="001A1204">
        <w:rPr>
          <w:rFonts w:ascii="Cambria" w:hAnsi="Cambria"/>
          <w:sz w:val="20"/>
          <w:szCs w:val="20"/>
        </w:rPr>
        <w:t xml:space="preserve"> virtue of the suspension order</w:t>
      </w:r>
      <w:r w:rsidR="00B537CB">
        <w:rPr>
          <w:rFonts w:ascii="Cambria" w:hAnsi="Cambria"/>
          <w:sz w:val="20"/>
          <w:szCs w:val="20"/>
        </w:rPr>
        <w:t xml:space="preserve"> pronounced </w:t>
      </w:r>
      <w:r w:rsidR="001A1204">
        <w:rPr>
          <w:rFonts w:ascii="Cambria" w:hAnsi="Cambria"/>
          <w:sz w:val="20"/>
          <w:szCs w:val="20"/>
        </w:rPr>
        <w:t>following</w:t>
      </w:r>
      <w:r w:rsidR="00B537CB">
        <w:rPr>
          <w:rFonts w:ascii="Cambria" w:hAnsi="Cambria"/>
          <w:sz w:val="20"/>
          <w:szCs w:val="20"/>
        </w:rPr>
        <w:t xml:space="preserve"> the pre-trial</w:t>
      </w:r>
      <w:r w:rsidR="001A1204">
        <w:rPr>
          <w:rFonts w:ascii="Cambria" w:hAnsi="Cambria"/>
          <w:sz w:val="20"/>
          <w:szCs w:val="20"/>
        </w:rPr>
        <w:t xml:space="preserve"> hearing</w:t>
      </w:r>
      <w:r w:rsidR="00B537CB">
        <w:rPr>
          <w:rFonts w:ascii="Cambria" w:hAnsi="Cambria"/>
          <w:sz w:val="20"/>
          <w:szCs w:val="20"/>
        </w:rPr>
        <w:t xml:space="preserve">. </w:t>
      </w:r>
      <w:r w:rsidRPr="00381D95">
        <w:rPr>
          <w:rFonts w:ascii="Cambria" w:hAnsi="Cambria"/>
          <w:sz w:val="20"/>
          <w:szCs w:val="20"/>
        </w:rPr>
        <w:t xml:space="preserve">On August 13, 2008, the Regional Electoral Board of the State of Yaracuy </w:t>
      </w:r>
      <w:r w:rsidR="00710F19" w:rsidRPr="00A56B94">
        <w:rPr>
          <w:rFonts w:ascii="Cambria" w:hAnsi="Cambria"/>
          <w:sz w:val="20"/>
          <w:szCs w:val="20"/>
        </w:rPr>
        <w:t>found that the alleged victim’s registration as a candidate had not been filed</w:t>
      </w:r>
      <w:r w:rsidRPr="00381D95">
        <w:rPr>
          <w:rFonts w:ascii="Cambria" w:hAnsi="Cambria"/>
          <w:sz w:val="20"/>
          <w:szCs w:val="20"/>
        </w:rPr>
        <w:t>.</w:t>
      </w:r>
      <w:r w:rsidR="00710F19">
        <w:rPr>
          <w:rFonts w:ascii="Cambria" w:hAnsi="Cambria"/>
          <w:sz w:val="20"/>
          <w:szCs w:val="20"/>
        </w:rPr>
        <w:t xml:space="preserve"> The petitioners indicate that o</w:t>
      </w:r>
      <w:r w:rsidRPr="00381D95">
        <w:rPr>
          <w:rFonts w:ascii="Cambria" w:hAnsi="Cambria"/>
          <w:sz w:val="20"/>
          <w:szCs w:val="20"/>
        </w:rPr>
        <w:t xml:space="preserve">n August 20, 2008, the alleged victim requested reconsideration of </w:t>
      </w:r>
      <w:r w:rsidR="00710F19">
        <w:rPr>
          <w:rFonts w:ascii="Cambria" w:hAnsi="Cambria"/>
          <w:sz w:val="20"/>
          <w:szCs w:val="20"/>
        </w:rPr>
        <w:t>this</w:t>
      </w:r>
      <w:r w:rsidRPr="00381D95">
        <w:rPr>
          <w:rFonts w:ascii="Cambria" w:hAnsi="Cambria"/>
          <w:sz w:val="20"/>
          <w:szCs w:val="20"/>
        </w:rPr>
        <w:t xml:space="preserve"> decision. On September 4, 2008, a response was requested to the reconsideration appeal. No more information has been provided in this regard.</w:t>
      </w:r>
      <w:r>
        <w:rPr>
          <w:rFonts w:ascii="Cambria" w:hAnsi="Cambria"/>
          <w:sz w:val="20"/>
          <w:szCs w:val="20"/>
        </w:rPr>
        <w:t xml:space="preserve"> </w:t>
      </w:r>
      <w:r w:rsidRPr="00381D95">
        <w:rPr>
          <w:rFonts w:ascii="Cambria" w:hAnsi="Cambria"/>
          <w:sz w:val="20"/>
          <w:szCs w:val="20"/>
        </w:rPr>
        <w:t xml:space="preserve">For its part, the State alleges that the judicial process to which the petitioner is subject </w:t>
      </w:r>
      <w:r w:rsidR="00710F19">
        <w:rPr>
          <w:rFonts w:ascii="Cambria" w:hAnsi="Cambria"/>
          <w:sz w:val="20"/>
          <w:szCs w:val="20"/>
        </w:rPr>
        <w:t xml:space="preserve">is </w:t>
      </w:r>
      <w:r w:rsidRPr="00381D95">
        <w:rPr>
          <w:rFonts w:ascii="Cambria" w:hAnsi="Cambria"/>
          <w:sz w:val="20"/>
          <w:szCs w:val="20"/>
        </w:rPr>
        <w:t xml:space="preserve">still in process and has not been decided, because the alleged victim is a fugitive </w:t>
      </w:r>
      <w:r w:rsidR="00AF1C37">
        <w:rPr>
          <w:rFonts w:ascii="Cambria" w:hAnsi="Cambria"/>
          <w:sz w:val="20"/>
          <w:szCs w:val="20"/>
        </w:rPr>
        <w:t>from</w:t>
      </w:r>
      <w:r w:rsidRPr="00381D95">
        <w:rPr>
          <w:rFonts w:ascii="Cambria" w:hAnsi="Cambria"/>
          <w:sz w:val="20"/>
          <w:szCs w:val="20"/>
        </w:rPr>
        <w:t xml:space="preserve"> the Venezuelan justice system. It argues that </w:t>
      </w:r>
      <w:r w:rsidR="00710F19">
        <w:rPr>
          <w:rFonts w:ascii="Cambria" w:hAnsi="Cambria"/>
          <w:sz w:val="20"/>
          <w:szCs w:val="20"/>
        </w:rPr>
        <w:t>the pretrial hearing to show cause is not itself a criminal trial but a procedural prerogative</w:t>
      </w:r>
      <w:r w:rsidRPr="00381D95">
        <w:rPr>
          <w:rFonts w:ascii="Cambria" w:hAnsi="Cambria"/>
          <w:sz w:val="20"/>
          <w:szCs w:val="20"/>
        </w:rPr>
        <w:t xml:space="preserve">. Therefore, </w:t>
      </w:r>
      <w:r w:rsidR="001A1204" w:rsidRPr="00381D95">
        <w:rPr>
          <w:rFonts w:ascii="Cambria" w:hAnsi="Cambria"/>
          <w:sz w:val="20"/>
          <w:szCs w:val="20"/>
        </w:rPr>
        <w:t>the criminal</w:t>
      </w:r>
      <w:r w:rsidRPr="00381D95">
        <w:rPr>
          <w:rFonts w:ascii="Cambria" w:hAnsi="Cambria"/>
          <w:sz w:val="20"/>
          <w:szCs w:val="20"/>
        </w:rPr>
        <w:t xml:space="preserve"> process is suspended and it is</w:t>
      </w:r>
      <w:r w:rsidR="001A1204">
        <w:rPr>
          <w:rFonts w:ascii="Cambria" w:hAnsi="Cambria"/>
          <w:sz w:val="20"/>
          <w:szCs w:val="20"/>
        </w:rPr>
        <w:t xml:space="preserve"> </w:t>
      </w:r>
      <w:r w:rsidRPr="00381D95">
        <w:rPr>
          <w:rFonts w:ascii="Cambria" w:hAnsi="Cambria"/>
          <w:sz w:val="20"/>
          <w:szCs w:val="20"/>
        </w:rPr>
        <w:t>clear that domestic remedies have not</w:t>
      </w:r>
      <w:r w:rsidR="001A1204">
        <w:rPr>
          <w:rFonts w:ascii="Cambria" w:hAnsi="Cambria"/>
          <w:sz w:val="20"/>
          <w:szCs w:val="20"/>
        </w:rPr>
        <w:t xml:space="preserve"> yet</w:t>
      </w:r>
      <w:r w:rsidRPr="00381D95">
        <w:rPr>
          <w:rFonts w:ascii="Cambria" w:hAnsi="Cambria"/>
          <w:sz w:val="20"/>
          <w:szCs w:val="20"/>
        </w:rPr>
        <w:t xml:space="preserve"> been exhausted. It indicates that</w:t>
      </w:r>
      <w:r w:rsidR="00710F19">
        <w:rPr>
          <w:rFonts w:ascii="Cambria" w:hAnsi="Cambria"/>
          <w:sz w:val="20"/>
          <w:szCs w:val="20"/>
        </w:rPr>
        <w:t>,</w:t>
      </w:r>
      <w:r w:rsidRPr="00381D95">
        <w:rPr>
          <w:rFonts w:ascii="Cambria" w:hAnsi="Cambria"/>
          <w:sz w:val="20"/>
          <w:szCs w:val="20"/>
        </w:rPr>
        <w:t xml:space="preserve"> </w:t>
      </w:r>
      <w:r w:rsidR="00710F19" w:rsidRPr="007D5CA3">
        <w:rPr>
          <w:rFonts w:ascii="Cambria" w:hAnsi="Cambria"/>
          <w:sz w:val="20"/>
          <w:szCs w:val="20"/>
        </w:rPr>
        <w:t>even assuming that there had been any harm to the rights of the alleged victim</w:t>
      </w:r>
      <w:r w:rsidRPr="00381D95">
        <w:rPr>
          <w:rFonts w:ascii="Cambria" w:hAnsi="Cambria"/>
          <w:sz w:val="20"/>
          <w:szCs w:val="20"/>
        </w:rPr>
        <w:t>, they could still be protected</w:t>
      </w:r>
      <w:r w:rsidR="00710F19">
        <w:rPr>
          <w:rFonts w:ascii="Cambria" w:hAnsi="Cambria"/>
          <w:sz w:val="20"/>
          <w:szCs w:val="20"/>
        </w:rPr>
        <w:t xml:space="preserve"> through</w:t>
      </w:r>
      <w:r w:rsidR="001A1204">
        <w:rPr>
          <w:rFonts w:ascii="Cambria" w:hAnsi="Cambria"/>
          <w:sz w:val="20"/>
          <w:szCs w:val="20"/>
        </w:rPr>
        <w:t>out</w:t>
      </w:r>
      <w:r w:rsidR="00710F19">
        <w:rPr>
          <w:rFonts w:ascii="Cambria" w:hAnsi="Cambria"/>
          <w:sz w:val="20"/>
          <w:szCs w:val="20"/>
        </w:rPr>
        <w:t xml:space="preserve"> </w:t>
      </w:r>
      <w:r w:rsidRPr="00381D95">
        <w:rPr>
          <w:rFonts w:ascii="Cambria" w:hAnsi="Cambria"/>
          <w:sz w:val="20"/>
          <w:szCs w:val="20"/>
        </w:rPr>
        <w:t xml:space="preserve">the criminal </w:t>
      </w:r>
      <w:r w:rsidR="001A1204">
        <w:rPr>
          <w:rFonts w:ascii="Cambria" w:hAnsi="Cambria"/>
          <w:sz w:val="20"/>
          <w:szCs w:val="20"/>
        </w:rPr>
        <w:t>process</w:t>
      </w:r>
      <w:r w:rsidRPr="00381D95">
        <w:rPr>
          <w:rFonts w:ascii="Cambria" w:hAnsi="Cambria"/>
          <w:sz w:val="20"/>
          <w:szCs w:val="20"/>
        </w:rPr>
        <w:t>, as well as through the different ordinary and extraordinary judicial remedies that could be exercised</w:t>
      </w:r>
      <w:r w:rsidR="001A1204">
        <w:rPr>
          <w:rFonts w:ascii="Cambria" w:hAnsi="Cambria"/>
          <w:sz w:val="20"/>
          <w:szCs w:val="20"/>
        </w:rPr>
        <w:t xml:space="preserve"> by the alleged victim</w:t>
      </w:r>
      <w:r w:rsidRPr="00381D95">
        <w:rPr>
          <w:rFonts w:ascii="Cambria" w:hAnsi="Cambria"/>
          <w:sz w:val="20"/>
          <w:szCs w:val="20"/>
        </w:rPr>
        <w:t xml:space="preserve">, including </w:t>
      </w:r>
      <w:r w:rsidR="001A1204">
        <w:rPr>
          <w:rFonts w:ascii="Cambria" w:hAnsi="Cambria"/>
          <w:sz w:val="20"/>
          <w:szCs w:val="20"/>
        </w:rPr>
        <w:t xml:space="preserve">ordinary judicial remedies </w:t>
      </w:r>
      <w:r w:rsidRPr="00381D95">
        <w:rPr>
          <w:rFonts w:ascii="Cambria" w:hAnsi="Cambria"/>
          <w:sz w:val="20"/>
          <w:szCs w:val="20"/>
        </w:rPr>
        <w:t>and the criminal cassation</w:t>
      </w:r>
      <w:r w:rsidR="001A1204">
        <w:rPr>
          <w:rFonts w:ascii="Cambria" w:hAnsi="Cambria"/>
          <w:sz w:val="20"/>
          <w:szCs w:val="20"/>
        </w:rPr>
        <w:t xml:space="preserve"> remedy</w:t>
      </w:r>
      <w:r w:rsidRPr="00381D95">
        <w:rPr>
          <w:rFonts w:ascii="Cambria" w:hAnsi="Cambria"/>
          <w:sz w:val="20"/>
          <w:szCs w:val="20"/>
        </w:rPr>
        <w:t>.</w:t>
      </w:r>
    </w:p>
    <w:p w:rsidR="00381D95" w:rsidRDefault="00381D95" w:rsidP="00381D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81D95">
        <w:rPr>
          <w:rFonts w:asciiTheme="majorHAnsi" w:hAnsiTheme="majorHAnsi"/>
          <w:sz w:val="20"/>
          <w:szCs w:val="20"/>
        </w:rPr>
        <w:t xml:space="preserve">The Commission notes that the alleged victim filed an application for nullity </w:t>
      </w:r>
      <w:r w:rsidR="008F4C97">
        <w:rPr>
          <w:rFonts w:asciiTheme="majorHAnsi" w:hAnsiTheme="majorHAnsi"/>
          <w:sz w:val="20"/>
          <w:szCs w:val="20"/>
        </w:rPr>
        <w:t>of</w:t>
      </w:r>
      <w:r w:rsidRPr="00381D95">
        <w:rPr>
          <w:rFonts w:asciiTheme="majorHAnsi" w:hAnsiTheme="majorHAnsi"/>
          <w:sz w:val="20"/>
          <w:szCs w:val="20"/>
        </w:rPr>
        <w:t xml:space="preserve"> the decision of May 27, 2008</w:t>
      </w:r>
      <w:r w:rsidR="00395519">
        <w:rPr>
          <w:rFonts w:asciiTheme="majorHAnsi" w:hAnsiTheme="majorHAnsi"/>
          <w:sz w:val="20"/>
          <w:szCs w:val="20"/>
        </w:rPr>
        <w:t>,</w:t>
      </w:r>
      <w:r w:rsidRPr="00381D95">
        <w:rPr>
          <w:rFonts w:asciiTheme="majorHAnsi" w:hAnsiTheme="majorHAnsi"/>
          <w:sz w:val="20"/>
          <w:szCs w:val="20"/>
        </w:rPr>
        <w:t xml:space="preserve"> regarding the </w:t>
      </w:r>
      <w:r w:rsidR="008F4C97">
        <w:rPr>
          <w:rFonts w:asciiTheme="majorHAnsi" w:hAnsiTheme="majorHAnsi"/>
          <w:sz w:val="20"/>
          <w:szCs w:val="20"/>
        </w:rPr>
        <w:t>appointment</w:t>
      </w:r>
      <w:r w:rsidRPr="00381D95">
        <w:rPr>
          <w:rFonts w:asciiTheme="majorHAnsi" w:hAnsiTheme="majorHAnsi"/>
          <w:sz w:val="20"/>
          <w:szCs w:val="20"/>
        </w:rPr>
        <w:t xml:space="preserve"> of </w:t>
      </w:r>
      <w:r w:rsidR="008F4C97">
        <w:rPr>
          <w:rFonts w:asciiTheme="majorHAnsi" w:hAnsiTheme="majorHAnsi"/>
          <w:sz w:val="20"/>
          <w:szCs w:val="20"/>
        </w:rPr>
        <w:t>a</w:t>
      </w:r>
      <w:r w:rsidRPr="00381D95">
        <w:rPr>
          <w:rFonts w:asciiTheme="majorHAnsi" w:hAnsiTheme="majorHAnsi"/>
          <w:sz w:val="20"/>
          <w:szCs w:val="20"/>
        </w:rPr>
        <w:t xml:space="preserve"> public defender and the conclusion of abandonment of technical defense, which was rejected on June 10, 2008, in the same decision in which the existence of </w:t>
      </w:r>
      <w:r w:rsidR="008F4C97">
        <w:rPr>
          <w:rFonts w:asciiTheme="majorHAnsi" w:hAnsiTheme="majorHAnsi"/>
          <w:sz w:val="20"/>
          <w:szCs w:val="20"/>
        </w:rPr>
        <w:t>probable cause</w:t>
      </w:r>
      <w:r w:rsidRPr="00381D95">
        <w:rPr>
          <w:rFonts w:asciiTheme="majorHAnsi" w:hAnsiTheme="majorHAnsi"/>
          <w:sz w:val="20"/>
          <w:szCs w:val="20"/>
        </w:rPr>
        <w:t xml:space="preserve"> was declared for the prosecution of the alleged victim, as well as his inability to exercise any public office while the criminal proceedings were taking place. The Commission observes that the alleged victim filed a request for clarification with respect to the latter decision, regarding </w:t>
      </w:r>
      <w:r w:rsidR="00395519">
        <w:rPr>
          <w:rFonts w:asciiTheme="majorHAnsi" w:hAnsiTheme="majorHAnsi"/>
          <w:sz w:val="20"/>
          <w:szCs w:val="20"/>
        </w:rPr>
        <w:t xml:space="preserve">the </w:t>
      </w:r>
      <w:r w:rsidRPr="00381D95">
        <w:rPr>
          <w:rFonts w:asciiTheme="majorHAnsi" w:hAnsiTheme="majorHAnsi"/>
          <w:sz w:val="20"/>
          <w:szCs w:val="20"/>
        </w:rPr>
        <w:t xml:space="preserve">alleged </w:t>
      </w:r>
      <w:r w:rsidR="008F4C97">
        <w:rPr>
          <w:rFonts w:asciiTheme="majorHAnsi" w:hAnsiTheme="majorHAnsi"/>
          <w:sz w:val="20"/>
          <w:szCs w:val="20"/>
        </w:rPr>
        <w:t xml:space="preserve">violations of his </w:t>
      </w:r>
      <w:r w:rsidRPr="00381D95">
        <w:rPr>
          <w:rFonts w:asciiTheme="majorHAnsi" w:hAnsiTheme="majorHAnsi"/>
          <w:sz w:val="20"/>
          <w:szCs w:val="20"/>
        </w:rPr>
        <w:t xml:space="preserve">fundamental judicial and political rights, which was declared inadmissible by the Supreme Court on July 22, 2008. Likewise, the Commission observes that the petitioners adduce irregularities and violations of judicial guarantees that </w:t>
      </w:r>
      <w:r w:rsidR="008F4C97">
        <w:rPr>
          <w:rFonts w:asciiTheme="majorHAnsi" w:hAnsiTheme="majorHAnsi"/>
          <w:sz w:val="20"/>
          <w:szCs w:val="20"/>
        </w:rPr>
        <w:t>would</w:t>
      </w:r>
      <w:r w:rsidRPr="00381D95">
        <w:rPr>
          <w:rFonts w:asciiTheme="majorHAnsi" w:hAnsiTheme="majorHAnsi"/>
          <w:sz w:val="20"/>
          <w:szCs w:val="20"/>
        </w:rPr>
        <w:t xml:space="preserve"> have occurred in the framework of the investigation and the pre-trial proceedings, which resulted in </w:t>
      </w:r>
      <w:r w:rsidR="008F4C97">
        <w:rPr>
          <w:rFonts w:asciiTheme="majorHAnsi" w:hAnsiTheme="majorHAnsi"/>
          <w:sz w:val="20"/>
          <w:szCs w:val="20"/>
        </w:rPr>
        <w:t xml:space="preserve">his destitution </w:t>
      </w:r>
      <w:r w:rsidRPr="00381D95">
        <w:rPr>
          <w:rFonts w:asciiTheme="majorHAnsi" w:hAnsiTheme="majorHAnsi"/>
          <w:sz w:val="20"/>
          <w:szCs w:val="20"/>
        </w:rPr>
        <w:t xml:space="preserve">from the office of Governor of the State of Yaracuy and </w:t>
      </w:r>
      <w:r w:rsidR="008F4C97">
        <w:rPr>
          <w:rFonts w:asciiTheme="majorHAnsi" w:hAnsiTheme="majorHAnsi"/>
          <w:sz w:val="20"/>
          <w:szCs w:val="20"/>
        </w:rPr>
        <w:t>his</w:t>
      </w:r>
      <w:r w:rsidRPr="00381D95">
        <w:rPr>
          <w:rFonts w:asciiTheme="majorHAnsi" w:hAnsiTheme="majorHAnsi"/>
          <w:sz w:val="20"/>
          <w:szCs w:val="20"/>
        </w:rPr>
        <w:t xml:space="preserve"> inability </w:t>
      </w:r>
      <w:r w:rsidR="008F4C97">
        <w:rPr>
          <w:rFonts w:asciiTheme="majorHAnsi" w:hAnsiTheme="majorHAnsi"/>
          <w:sz w:val="20"/>
          <w:szCs w:val="20"/>
        </w:rPr>
        <w:t>for</w:t>
      </w:r>
      <w:r w:rsidRPr="00381D95">
        <w:rPr>
          <w:rFonts w:asciiTheme="majorHAnsi" w:hAnsiTheme="majorHAnsi"/>
          <w:sz w:val="20"/>
          <w:szCs w:val="20"/>
        </w:rPr>
        <w:t xml:space="preserve"> the following elections, confirmed in decisions </w:t>
      </w:r>
      <w:r w:rsidR="00395519">
        <w:rPr>
          <w:rFonts w:asciiTheme="majorHAnsi" w:hAnsiTheme="majorHAnsi"/>
          <w:sz w:val="20"/>
          <w:szCs w:val="20"/>
        </w:rPr>
        <w:t>from</w:t>
      </w:r>
      <w:r w:rsidRPr="00381D95">
        <w:rPr>
          <w:rFonts w:asciiTheme="majorHAnsi" w:hAnsiTheme="majorHAnsi"/>
          <w:sz w:val="20"/>
          <w:szCs w:val="20"/>
        </w:rPr>
        <w:t xml:space="preserve"> August 11 and 13, 2008. The Commission notes that the </w:t>
      </w:r>
      <w:r w:rsidR="008F4C97">
        <w:rPr>
          <w:rFonts w:asciiTheme="majorHAnsi" w:hAnsiTheme="majorHAnsi"/>
          <w:sz w:val="20"/>
          <w:szCs w:val="20"/>
        </w:rPr>
        <w:t>decision on the clarification motions</w:t>
      </w:r>
      <w:r w:rsidRPr="00381D95">
        <w:rPr>
          <w:rFonts w:asciiTheme="majorHAnsi" w:hAnsiTheme="majorHAnsi"/>
          <w:sz w:val="20"/>
          <w:szCs w:val="20"/>
        </w:rPr>
        <w:t xml:space="preserve"> mentions that there would be other remedies available </w:t>
      </w:r>
      <w:r w:rsidR="008F4C97">
        <w:rPr>
          <w:rFonts w:asciiTheme="majorHAnsi" w:hAnsiTheme="majorHAnsi"/>
          <w:sz w:val="20"/>
          <w:szCs w:val="20"/>
        </w:rPr>
        <w:t xml:space="preserve">to the </w:t>
      </w:r>
      <w:r w:rsidRPr="00381D95">
        <w:rPr>
          <w:rFonts w:asciiTheme="majorHAnsi" w:hAnsiTheme="majorHAnsi"/>
          <w:sz w:val="20"/>
          <w:szCs w:val="20"/>
        </w:rPr>
        <w:t xml:space="preserve">alleged victim, </w:t>
      </w:r>
      <w:r w:rsidR="008F4C97" w:rsidRPr="00E47643">
        <w:rPr>
          <w:rFonts w:ascii="Cambria" w:hAnsi="Cambria"/>
          <w:sz w:val="20"/>
          <w:szCs w:val="20"/>
        </w:rPr>
        <w:t xml:space="preserve">but </w:t>
      </w:r>
      <w:r w:rsidR="00395519">
        <w:rPr>
          <w:rFonts w:ascii="Cambria" w:hAnsi="Cambria"/>
          <w:sz w:val="20"/>
          <w:szCs w:val="20"/>
        </w:rPr>
        <w:t>does</w:t>
      </w:r>
      <w:r w:rsidR="008F4C97" w:rsidRPr="00E47643">
        <w:rPr>
          <w:rFonts w:ascii="Cambria" w:hAnsi="Cambria"/>
          <w:sz w:val="20"/>
          <w:szCs w:val="20"/>
        </w:rPr>
        <w:t xml:space="preserve"> not identify them</w:t>
      </w:r>
      <w:r w:rsidRPr="00381D95">
        <w:rPr>
          <w:rFonts w:asciiTheme="majorHAnsi" w:hAnsiTheme="majorHAnsi"/>
          <w:sz w:val="20"/>
          <w:szCs w:val="20"/>
        </w:rPr>
        <w:t>. In addition, the Commission considers that the remedies identified by the State are not adequate to resolve the claim regarding the suspension of political rights. Therefore, the Commission considers that</w:t>
      </w:r>
      <w:r w:rsidR="00395519">
        <w:rPr>
          <w:rFonts w:asciiTheme="majorHAnsi" w:hAnsiTheme="majorHAnsi"/>
          <w:sz w:val="20"/>
          <w:szCs w:val="20"/>
        </w:rPr>
        <w:t>,</w:t>
      </w:r>
      <w:r w:rsidRPr="00381D95">
        <w:rPr>
          <w:rFonts w:asciiTheme="majorHAnsi" w:hAnsiTheme="majorHAnsi"/>
          <w:sz w:val="20"/>
          <w:szCs w:val="20"/>
        </w:rPr>
        <w:t xml:space="preserve"> with respect to the pre-trial process and its consequences on the position of senior official of the alleged victim, </w:t>
      </w:r>
      <w:r w:rsidR="006F75E7">
        <w:rPr>
          <w:rFonts w:asciiTheme="majorHAnsi" w:hAnsiTheme="majorHAnsi"/>
          <w:sz w:val="20"/>
          <w:szCs w:val="20"/>
        </w:rPr>
        <w:t>the latter</w:t>
      </w:r>
      <w:r w:rsidRPr="00381D95">
        <w:rPr>
          <w:rFonts w:asciiTheme="majorHAnsi" w:hAnsiTheme="majorHAnsi"/>
          <w:sz w:val="20"/>
          <w:szCs w:val="20"/>
        </w:rPr>
        <w:t xml:space="preserve"> exhausted the domestic remedies with the decision of July 22, 2008, in accordance with Article 46</w:t>
      </w:r>
      <w:r w:rsidR="006F75E7">
        <w:rPr>
          <w:rFonts w:asciiTheme="majorHAnsi" w:hAnsiTheme="majorHAnsi"/>
          <w:sz w:val="20"/>
          <w:szCs w:val="20"/>
        </w:rPr>
        <w:t>.1.</w:t>
      </w:r>
      <w:r w:rsidRPr="00381D95">
        <w:rPr>
          <w:rFonts w:asciiTheme="majorHAnsi" w:hAnsiTheme="majorHAnsi"/>
          <w:sz w:val="20"/>
          <w:szCs w:val="20"/>
        </w:rPr>
        <w:t>a of the American Convention. The decision of the Supreme Court was notified to the alleged victim on July 23, 2008, the petition before the IACHR was presented on August 1, 2008. Therefore, the Commission concludes that the present petition meets the requirement established in the article 46.1.b of the American Convention.</w:t>
      </w:r>
    </w:p>
    <w:p w:rsidR="007F2939" w:rsidRDefault="00381D95" w:rsidP="001D397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81D95">
        <w:rPr>
          <w:rFonts w:asciiTheme="majorHAnsi" w:hAnsiTheme="majorHAnsi"/>
          <w:sz w:val="20"/>
          <w:szCs w:val="20"/>
        </w:rPr>
        <w:t xml:space="preserve">Regarding the criminal proceeding against the alleged victim, the Commission notes that </w:t>
      </w:r>
      <w:r w:rsidR="006F75E7">
        <w:rPr>
          <w:rFonts w:asciiTheme="majorHAnsi" w:hAnsiTheme="majorHAnsi"/>
          <w:sz w:val="20"/>
          <w:szCs w:val="20"/>
        </w:rPr>
        <w:t>it</w:t>
      </w:r>
      <w:r w:rsidRPr="00381D95">
        <w:rPr>
          <w:rFonts w:asciiTheme="majorHAnsi" w:hAnsiTheme="majorHAnsi"/>
          <w:sz w:val="20"/>
          <w:szCs w:val="20"/>
        </w:rPr>
        <w:t xml:space="preserve"> is suspended because the alleged victim </w:t>
      </w:r>
      <w:r w:rsidR="006F75E7">
        <w:rPr>
          <w:rFonts w:asciiTheme="majorHAnsi" w:hAnsiTheme="majorHAnsi"/>
          <w:sz w:val="20"/>
          <w:szCs w:val="20"/>
        </w:rPr>
        <w:t>fled the</w:t>
      </w:r>
      <w:r w:rsidRPr="00381D95">
        <w:rPr>
          <w:rFonts w:asciiTheme="majorHAnsi" w:hAnsiTheme="majorHAnsi"/>
          <w:sz w:val="20"/>
          <w:szCs w:val="20"/>
        </w:rPr>
        <w:t xml:space="preserve"> Venezuelan justice system. Thus, the Commission considers that it is not possible to enter into a ruling on the alleged violation of the judicial guarantees and their consequences on the development of this same process, since there </w:t>
      </w:r>
      <w:r w:rsidR="006F75E7">
        <w:rPr>
          <w:rFonts w:asciiTheme="majorHAnsi" w:hAnsiTheme="majorHAnsi"/>
          <w:sz w:val="20"/>
          <w:szCs w:val="20"/>
        </w:rPr>
        <w:t>is still</w:t>
      </w:r>
      <w:r w:rsidRPr="00381D95">
        <w:rPr>
          <w:rFonts w:asciiTheme="majorHAnsi" w:hAnsiTheme="majorHAnsi"/>
          <w:sz w:val="20"/>
          <w:szCs w:val="20"/>
        </w:rPr>
        <w:t xml:space="preserve"> no certainty as to how the process would continue and if the allegations presented could be corrected internally. In the same vein,</w:t>
      </w:r>
      <w:r w:rsidR="001D397A">
        <w:rPr>
          <w:rFonts w:asciiTheme="majorHAnsi" w:hAnsiTheme="majorHAnsi"/>
          <w:sz w:val="20"/>
          <w:szCs w:val="20"/>
        </w:rPr>
        <w:t xml:space="preserve"> it has not been possible </w:t>
      </w:r>
      <w:r w:rsidR="009B32CD">
        <w:rPr>
          <w:rFonts w:asciiTheme="majorHAnsi" w:hAnsiTheme="majorHAnsi"/>
          <w:sz w:val="20"/>
          <w:szCs w:val="20"/>
        </w:rPr>
        <w:t xml:space="preserve">for the alleged victim </w:t>
      </w:r>
      <w:r w:rsidR="001D397A">
        <w:rPr>
          <w:rFonts w:asciiTheme="majorHAnsi" w:hAnsiTheme="majorHAnsi"/>
          <w:sz w:val="20"/>
          <w:szCs w:val="20"/>
        </w:rPr>
        <w:t xml:space="preserve">to lodge the appeal and cassation remedies. </w:t>
      </w:r>
      <w:r w:rsidRPr="00381D95">
        <w:rPr>
          <w:rFonts w:asciiTheme="majorHAnsi" w:hAnsiTheme="majorHAnsi"/>
          <w:sz w:val="20"/>
          <w:szCs w:val="20"/>
        </w:rPr>
        <w:t xml:space="preserve">Therefore, the Commission </w:t>
      </w:r>
      <w:r w:rsidRPr="00381D95">
        <w:rPr>
          <w:rFonts w:asciiTheme="majorHAnsi" w:hAnsiTheme="majorHAnsi"/>
          <w:sz w:val="20"/>
          <w:szCs w:val="20"/>
        </w:rPr>
        <w:lastRenderedPageBreak/>
        <w:t xml:space="preserve">considers that the admissibility of the petition is limited to the allegations about the pre-trial process and its consequences on </w:t>
      </w:r>
      <w:r w:rsidR="001D397A">
        <w:rPr>
          <w:rFonts w:asciiTheme="majorHAnsi" w:hAnsiTheme="majorHAnsi"/>
          <w:sz w:val="20"/>
          <w:szCs w:val="20"/>
        </w:rPr>
        <w:t>the</w:t>
      </w:r>
      <w:r w:rsidRPr="00381D95">
        <w:rPr>
          <w:rFonts w:asciiTheme="majorHAnsi" w:hAnsiTheme="majorHAnsi"/>
          <w:sz w:val="20"/>
          <w:szCs w:val="20"/>
        </w:rPr>
        <w:t xml:space="preserve"> ability</w:t>
      </w:r>
      <w:r w:rsidR="001D397A">
        <w:rPr>
          <w:rFonts w:asciiTheme="majorHAnsi" w:hAnsiTheme="majorHAnsi"/>
          <w:sz w:val="20"/>
          <w:szCs w:val="20"/>
        </w:rPr>
        <w:t xml:space="preserve"> of the alleged victim</w:t>
      </w:r>
      <w:r w:rsidRPr="00381D95">
        <w:rPr>
          <w:rFonts w:asciiTheme="majorHAnsi" w:hAnsiTheme="majorHAnsi"/>
          <w:sz w:val="20"/>
          <w:szCs w:val="20"/>
        </w:rPr>
        <w:t xml:space="preserve"> to exercise p</w:t>
      </w:r>
      <w:r w:rsidR="00D451BB">
        <w:rPr>
          <w:rFonts w:asciiTheme="majorHAnsi" w:hAnsiTheme="majorHAnsi"/>
          <w:sz w:val="20"/>
          <w:szCs w:val="20"/>
        </w:rPr>
        <w:t>ublic</w:t>
      </w:r>
      <w:r w:rsidRPr="00381D95">
        <w:rPr>
          <w:rFonts w:asciiTheme="majorHAnsi" w:hAnsiTheme="majorHAnsi"/>
          <w:sz w:val="20"/>
          <w:szCs w:val="20"/>
        </w:rPr>
        <w:t xml:space="preserve"> office.</w:t>
      </w:r>
      <w:r w:rsidR="007F2939" w:rsidRPr="00463EDD">
        <w:rPr>
          <w:rFonts w:asciiTheme="majorHAnsi" w:hAnsiTheme="majorHAnsi"/>
          <w:sz w:val="20"/>
          <w:szCs w:val="20"/>
        </w:rPr>
        <w:t xml:space="preserve"> </w:t>
      </w:r>
    </w:p>
    <w:p w:rsidR="00CD7190" w:rsidRPr="000B6B7A" w:rsidRDefault="00CD7190" w:rsidP="00CD7190">
      <w:pPr>
        <w:pStyle w:val="ListParagraph"/>
        <w:spacing w:before="240" w:after="240"/>
        <w:jc w:val="both"/>
        <w:outlineLvl w:val="0"/>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ANALYSIS OF COLORABLE CLAIM</w:t>
      </w:r>
    </w:p>
    <w:p w:rsidR="00D451BB" w:rsidRDefault="00CD7190" w:rsidP="00CD71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D7190">
        <w:rPr>
          <w:rFonts w:asciiTheme="majorHAnsi" w:hAnsiTheme="majorHAnsi"/>
          <w:sz w:val="20"/>
          <w:szCs w:val="20"/>
        </w:rPr>
        <w:t>In view of the factual and legal elements alleged by the parties, the Commission considers that, if proven, the allegations regarding</w:t>
      </w:r>
      <w:r>
        <w:rPr>
          <w:rFonts w:asciiTheme="majorHAnsi" w:hAnsiTheme="majorHAnsi"/>
          <w:sz w:val="20"/>
          <w:szCs w:val="20"/>
        </w:rPr>
        <w:t xml:space="preserve"> </w:t>
      </w:r>
      <w:r w:rsidRPr="00CD7190">
        <w:rPr>
          <w:rFonts w:asciiTheme="majorHAnsi" w:hAnsiTheme="majorHAnsi"/>
          <w:sz w:val="20"/>
          <w:szCs w:val="20"/>
        </w:rPr>
        <w:t xml:space="preserve">the </w:t>
      </w:r>
      <w:r w:rsidR="00AA281B">
        <w:rPr>
          <w:rFonts w:asciiTheme="majorHAnsi" w:hAnsiTheme="majorHAnsi"/>
          <w:sz w:val="20"/>
          <w:szCs w:val="20"/>
        </w:rPr>
        <w:t>claimed</w:t>
      </w:r>
      <w:r w:rsidRPr="00CD7190">
        <w:rPr>
          <w:rFonts w:asciiTheme="majorHAnsi" w:hAnsiTheme="majorHAnsi"/>
          <w:sz w:val="20"/>
          <w:szCs w:val="20"/>
        </w:rPr>
        <w:t xml:space="preserve"> failure to notify the alleged victim of the investigation initiated by the Office of the Prosecutor, the violation of the reasonable </w:t>
      </w:r>
      <w:r w:rsidR="00AA281B">
        <w:rPr>
          <w:rFonts w:asciiTheme="majorHAnsi" w:hAnsiTheme="majorHAnsi"/>
          <w:sz w:val="20"/>
          <w:szCs w:val="20"/>
        </w:rPr>
        <w:t>period</w:t>
      </w:r>
      <w:r w:rsidRPr="00CD7190">
        <w:rPr>
          <w:rFonts w:asciiTheme="majorHAnsi" w:hAnsiTheme="majorHAnsi"/>
          <w:sz w:val="20"/>
          <w:szCs w:val="20"/>
        </w:rPr>
        <w:t xml:space="preserve"> </w:t>
      </w:r>
      <w:r w:rsidR="00AA281B">
        <w:rPr>
          <w:rFonts w:asciiTheme="majorHAnsi" w:hAnsiTheme="majorHAnsi"/>
          <w:sz w:val="20"/>
          <w:szCs w:val="20"/>
        </w:rPr>
        <w:t>allowed for the</w:t>
      </w:r>
      <w:r w:rsidRPr="00CD7190">
        <w:rPr>
          <w:rFonts w:asciiTheme="majorHAnsi" w:hAnsiTheme="majorHAnsi"/>
          <w:sz w:val="20"/>
          <w:szCs w:val="20"/>
        </w:rPr>
        <w:t xml:space="preserve"> preparation of the defense within the preliminary hearing</w:t>
      </w:r>
      <w:r w:rsidR="00AA281B">
        <w:rPr>
          <w:rFonts w:asciiTheme="majorHAnsi" w:hAnsiTheme="majorHAnsi"/>
          <w:sz w:val="20"/>
          <w:szCs w:val="20"/>
        </w:rPr>
        <w:t xml:space="preserve"> process</w:t>
      </w:r>
      <w:r w:rsidRPr="00CD7190">
        <w:rPr>
          <w:rFonts w:asciiTheme="majorHAnsi" w:hAnsiTheme="majorHAnsi"/>
          <w:sz w:val="20"/>
          <w:szCs w:val="20"/>
        </w:rPr>
        <w:t xml:space="preserve">, the imposition of a public defender and the hearing in the absence of the alleged victim, together with its possible effects on its ability to exercise public office, could characterize possible violations of </w:t>
      </w:r>
      <w:r w:rsidR="00E86D29">
        <w:rPr>
          <w:rFonts w:asciiTheme="majorHAnsi" w:hAnsiTheme="majorHAnsi"/>
          <w:sz w:val="20"/>
          <w:szCs w:val="20"/>
        </w:rPr>
        <w:t>A</w:t>
      </w:r>
      <w:r w:rsidRPr="00CD7190">
        <w:rPr>
          <w:rFonts w:asciiTheme="majorHAnsi" w:hAnsiTheme="majorHAnsi"/>
          <w:sz w:val="20"/>
          <w:szCs w:val="20"/>
        </w:rPr>
        <w:t>rticles 8 (</w:t>
      </w:r>
      <w:r w:rsidR="00E86D29">
        <w:rPr>
          <w:rFonts w:asciiTheme="majorHAnsi" w:hAnsiTheme="majorHAnsi"/>
          <w:sz w:val="20"/>
          <w:szCs w:val="20"/>
        </w:rPr>
        <w:t>fair trail</w:t>
      </w:r>
      <w:r w:rsidRPr="00CD7190">
        <w:rPr>
          <w:rFonts w:asciiTheme="majorHAnsi" w:hAnsiTheme="majorHAnsi"/>
          <w:sz w:val="20"/>
          <w:szCs w:val="20"/>
        </w:rPr>
        <w:t>), 23 (</w:t>
      </w:r>
      <w:r w:rsidR="00E86D29" w:rsidRPr="00817F28">
        <w:rPr>
          <w:rFonts w:ascii="Cambria" w:hAnsi="Cambria"/>
          <w:bCs/>
          <w:sz w:val="20"/>
          <w:szCs w:val="20"/>
        </w:rPr>
        <w:t>right to participate in government</w:t>
      </w:r>
      <w:r w:rsidRPr="00CD7190">
        <w:rPr>
          <w:rFonts w:asciiTheme="majorHAnsi" w:hAnsiTheme="majorHAnsi"/>
          <w:sz w:val="20"/>
          <w:szCs w:val="20"/>
        </w:rPr>
        <w:t xml:space="preserve">), 25 (judicial protection) of the American Convention on Human Rights in relation to its article 1.1 . </w:t>
      </w:r>
    </w:p>
    <w:p w:rsidR="00CD7190" w:rsidRDefault="00CD7190" w:rsidP="00CD71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D7190">
        <w:rPr>
          <w:rFonts w:asciiTheme="majorHAnsi" w:hAnsiTheme="majorHAnsi"/>
          <w:sz w:val="20"/>
          <w:szCs w:val="20"/>
        </w:rPr>
        <w:t>Regarding the claim about the alleged violation of articles 5 (</w:t>
      </w:r>
      <w:r w:rsidR="00E86D29">
        <w:rPr>
          <w:rFonts w:ascii="Cambria" w:hAnsi="Cambria"/>
          <w:bCs/>
          <w:sz w:val="20"/>
          <w:szCs w:val="20"/>
        </w:rPr>
        <w:t>humane treatment</w:t>
      </w:r>
      <w:r w:rsidRPr="00CD7190">
        <w:rPr>
          <w:rFonts w:asciiTheme="majorHAnsi" w:hAnsiTheme="majorHAnsi"/>
          <w:sz w:val="20"/>
          <w:szCs w:val="20"/>
        </w:rPr>
        <w:t>), 11 (</w:t>
      </w:r>
      <w:r w:rsidR="00E86D29">
        <w:rPr>
          <w:rFonts w:ascii="Cambria" w:hAnsi="Cambria"/>
          <w:bCs/>
          <w:sz w:val="20"/>
          <w:szCs w:val="20"/>
        </w:rPr>
        <w:t>privacy</w:t>
      </w:r>
      <w:r w:rsidRPr="00CD7190">
        <w:rPr>
          <w:rFonts w:asciiTheme="majorHAnsi" w:hAnsiTheme="majorHAnsi"/>
          <w:sz w:val="20"/>
          <w:szCs w:val="20"/>
        </w:rPr>
        <w:t>), 14 (</w:t>
      </w:r>
      <w:r w:rsidR="00E86D29">
        <w:rPr>
          <w:rFonts w:ascii="Cambria" w:hAnsi="Cambria"/>
          <w:bCs/>
          <w:sz w:val="20"/>
          <w:szCs w:val="20"/>
        </w:rPr>
        <w:t>reply</w:t>
      </w:r>
      <w:r w:rsidRPr="00CD7190">
        <w:rPr>
          <w:rFonts w:asciiTheme="majorHAnsi" w:hAnsiTheme="majorHAnsi"/>
          <w:sz w:val="20"/>
          <w:szCs w:val="20"/>
        </w:rPr>
        <w:t>), 17 (family), 24 (</w:t>
      </w:r>
      <w:r w:rsidR="00E86D29">
        <w:rPr>
          <w:rFonts w:ascii="Cambria" w:hAnsi="Cambria"/>
          <w:bCs/>
          <w:sz w:val="20"/>
          <w:szCs w:val="20"/>
        </w:rPr>
        <w:t>equal protection</w:t>
      </w:r>
      <w:r w:rsidRPr="00CD7190">
        <w:rPr>
          <w:rFonts w:asciiTheme="majorHAnsi" w:hAnsiTheme="majorHAnsi"/>
          <w:sz w:val="20"/>
          <w:szCs w:val="20"/>
        </w:rPr>
        <w:t>) of the American Conve</w:t>
      </w:r>
      <w:r w:rsidR="00E86D29">
        <w:rPr>
          <w:rFonts w:asciiTheme="majorHAnsi" w:hAnsiTheme="majorHAnsi"/>
          <w:sz w:val="20"/>
          <w:szCs w:val="20"/>
        </w:rPr>
        <w:t>ntion, t</w:t>
      </w:r>
      <w:r w:rsidRPr="00CD7190">
        <w:rPr>
          <w:rFonts w:asciiTheme="majorHAnsi" w:hAnsiTheme="majorHAnsi"/>
          <w:sz w:val="20"/>
          <w:szCs w:val="20"/>
        </w:rPr>
        <w:t>he Commission observes that the petitioners</w:t>
      </w:r>
      <w:r w:rsidR="00BB1672">
        <w:rPr>
          <w:rFonts w:asciiTheme="majorHAnsi" w:hAnsiTheme="majorHAnsi"/>
          <w:sz w:val="20"/>
          <w:szCs w:val="20"/>
        </w:rPr>
        <w:t xml:space="preserve"> did not submit sufficient proof or augments to </w:t>
      </w:r>
      <w:r w:rsidRPr="00BB1672">
        <w:rPr>
          <w:rFonts w:asciiTheme="majorHAnsi" w:hAnsiTheme="majorHAnsi"/>
          <w:i/>
          <w:sz w:val="20"/>
          <w:szCs w:val="20"/>
        </w:rPr>
        <w:t>prima facie</w:t>
      </w:r>
      <w:r w:rsidRPr="00CD7190">
        <w:rPr>
          <w:rFonts w:asciiTheme="majorHAnsi" w:hAnsiTheme="majorHAnsi"/>
          <w:sz w:val="20"/>
          <w:szCs w:val="20"/>
        </w:rPr>
        <w:t xml:space="preserve"> </w:t>
      </w:r>
      <w:r w:rsidR="00BB1672">
        <w:rPr>
          <w:rFonts w:asciiTheme="majorHAnsi" w:hAnsiTheme="majorHAnsi"/>
          <w:sz w:val="20"/>
          <w:szCs w:val="20"/>
        </w:rPr>
        <w:t xml:space="preserve">consider </w:t>
      </w:r>
      <w:r w:rsidRPr="00CD7190">
        <w:rPr>
          <w:rFonts w:asciiTheme="majorHAnsi" w:hAnsiTheme="majorHAnsi"/>
          <w:sz w:val="20"/>
          <w:szCs w:val="20"/>
        </w:rPr>
        <w:t>their possible violation.</w:t>
      </w:r>
    </w:p>
    <w:p w:rsidR="001A1FD1" w:rsidRPr="00463EDD" w:rsidRDefault="001A1FD1" w:rsidP="001A1F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A1FD1">
        <w:rPr>
          <w:rFonts w:asciiTheme="majorHAnsi" w:hAnsiTheme="majorHAnsi"/>
          <w:sz w:val="20"/>
          <w:szCs w:val="20"/>
        </w:rPr>
        <w:t>On the other hand, in relation to the International Covenant on Civil and Political Rights, the Commission lacks competence to establish violations of the norms of said treaty, without prejudice to which it may take it into account as part of its interpretative exercise of the norms of the American Convention at the merits stage of this case, under the terms of Article 29 of the Convention.</w:t>
      </w:r>
    </w:p>
    <w:p w:rsidR="003239B8" w:rsidRPr="00F82E99" w:rsidRDefault="00463EDD" w:rsidP="003239B8">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t xml:space="preserve">VIII. </w:t>
      </w:r>
      <w:r>
        <w:rPr>
          <w:rFonts w:asciiTheme="majorHAnsi" w:hAnsiTheme="majorHAnsi"/>
          <w:b/>
          <w:bCs/>
          <w:sz w:val="20"/>
          <w:szCs w:val="20"/>
          <w:lang w:val="es-ES"/>
        </w:rPr>
        <w:tab/>
        <w:t>DECISIO</w:t>
      </w:r>
      <w:r w:rsidR="003239B8" w:rsidRPr="00F82E99">
        <w:rPr>
          <w:rFonts w:asciiTheme="majorHAnsi" w:hAnsiTheme="majorHAnsi"/>
          <w:b/>
          <w:bCs/>
          <w:sz w:val="20"/>
          <w:szCs w:val="20"/>
          <w:lang w:val="es-ES"/>
        </w:rPr>
        <w:t>N</w:t>
      </w:r>
    </w:p>
    <w:p w:rsidR="00381D95" w:rsidRPr="00D451BB" w:rsidRDefault="00381D95" w:rsidP="00D451B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D451BB">
        <w:rPr>
          <w:sz w:val="20"/>
          <w:szCs w:val="20"/>
        </w:rPr>
        <w:t>To find the instant petition admissible in relation to Articles 8, 23 and 25 of the American Convention, in relation to Article 1.1. of the same treaty</w:t>
      </w:r>
      <w:r w:rsidR="00416F49" w:rsidRPr="00D451BB">
        <w:rPr>
          <w:sz w:val="20"/>
          <w:szCs w:val="20"/>
        </w:rPr>
        <w:t>;</w:t>
      </w:r>
    </w:p>
    <w:p w:rsidR="003239B8" w:rsidRPr="00463EDD" w:rsidRDefault="00C5552C" w:rsidP="00D451B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Pr>
          <w:rFonts w:asciiTheme="majorHAnsi" w:hAnsiTheme="majorHAnsi"/>
          <w:sz w:val="20"/>
          <w:szCs w:val="20"/>
        </w:rPr>
        <w:t>To find</w:t>
      </w:r>
      <w:r w:rsidR="00463EDD" w:rsidRPr="00463EDD">
        <w:rPr>
          <w:rFonts w:asciiTheme="majorHAnsi" w:hAnsiTheme="majorHAnsi"/>
          <w:sz w:val="20"/>
          <w:szCs w:val="20"/>
        </w:rPr>
        <w:t xml:space="preserve"> the instant petition inadmi</w:t>
      </w:r>
      <w:r w:rsidR="00AA6903">
        <w:rPr>
          <w:rFonts w:asciiTheme="majorHAnsi" w:hAnsiTheme="majorHAnsi"/>
          <w:sz w:val="20"/>
          <w:szCs w:val="20"/>
        </w:rPr>
        <w:t>s</w:t>
      </w:r>
      <w:r w:rsidR="00463EDD" w:rsidRPr="00463EDD">
        <w:rPr>
          <w:rFonts w:asciiTheme="majorHAnsi" w:hAnsiTheme="majorHAnsi"/>
          <w:sz w:val="20"/>
          <w:szCs w:val="20"/>
        </w:rPr>
        <w:t>sible</w:t>
      </w:r>
      <w:r w:rsidR="00381D95">
        <w:rPr>
          <w:rFonts w:asciiTheme="majorHAnsi" w:hAnsiTheme="majorHAnsi"/>
          <w:sz w:val="20"/>
          <w:szCs w:val="20"/>
        </w:rPr>
        <w:t xml:space="preserve"> in relation to Articles 5, 11, 14, 17 and 24 of the American Convention</w:t>
      </w:r>
      <w:r w:rsidR="00463EDD" w:rsidRPr="00463EDD">
        <w:rPr>
          <w:rFonts w:asciiTheme="majorHAnsi" w:hAnsiTheme="majorHAnsi"/>
          <w:sz w:val="20"/>
          <w:szCs w:val="20"/>
        </w:rPr>
        <w:t>; and</w:t>
      </w:r>
    </w:p>
    <w:p w:rsidR="008D768D" w:rsidRPr="00463EDD" w:rsidRDefault="00C5552C" w:rsidP="00D451B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ind w:left="0" w:firstLine="720"/>
        <w:jc w:val="both"/>
        <w:rPr>
          <w:rFonts w:asciiTheme="majorHAnsi" w:hAnsiTheme="majorHAnsi"/>
          <w:sz w:val="20"/>
          <w:szCs w:val="20"/>
        </w:rPr>
      </w:pPr>
      <w:r>
        <w:rPr>
          <w:rFonts w:asciiTheme="majorHAnsi" w:hAnsiTheme="majorHAnsi"/>
          <w:sz w:val="20"/>
          <w:szCs w:val="20"/>
        </w:rPr>
        <w:t>To n</w:t>
      </w:r>
      <w:r w:rsidR="004A6A54" w:rsidRPr="00463EDD">
        <w:rPr>
          <w:rFonts w:asciiTheme="majorHAnsi" w:hAnsiTheme="majorHAnsi"/>
          <w:sz w:val="20"/>
          <w:szCs w:val="20"/>
        </w:rPr>
        <w:t>otif</w:t>
      </w:r>
      <w:r w:rsidR="00463EDD" w:rsidRPr="00463EDD">
        <w:rPr>
          <w:rFonts w:asciiTheme="majorHAnsi" w:hAnsiTheme="majorHAnsi"/>
          <w:sz w:val="20"/>
          <w:szCs w:val="20"/>
        </w:rPr>
        <w:t>y the par</w:t>
      </w:r>
      <w:r w:rsidR="00AA6903">
        <w:rPr>
          <w:rFonts w:asciiTheme="majorHAnsi" w:hAnsiTheme="majorHAnsi"/>
          <w:sz w:val="20"/>
          <w:szCs w:val="20"/>
        </w:rPr>
        <w:t>ties of this decision, publish</w:t>
      </w:r>
      <w:r w:rsidR="00463EDD" w:rsidRPr="00463EDD">
        <w:rPr>
          <w:rFonts w:asciiTheme="majorHAnsi" w:hAnsiTheme="majorHAnsi"/>
          <w:sz w:val="20"/>
          <w:szCs w:val="20"/>
        </w:rPr>
        <w:t xml:space="preserve"> the decision</w:t>
      </w:r>
      <w:r w:rsidR="00AA6903">
        <w:rPr>
          <w:rFonts w:asciiTheme="majorHAnsi" w:hAnsiTheme="majorHAnsi"/>
          <w:sz w:val="20"/>
          <w:szCs w:val="20"/>
        </w:rPr>
        <w:t>,</w:t>
      </w:r>
      <w:r w:rsidR="00463EDD" w:rsidRPr="00463EDD">
        <w:rPr>
          <w:rFonts w:asciiTheme="majorHAnsi" w:hAnsiTheme="majorHAnsi"/>
          <w:sz w:val="20"/>
          <w:szCs w:val="20"/>
        </w:rPr>
        <w:t xml:space="preserve"> and include it in its Annual Report to the General Assembly of the Organization of American States.</w:t>
      </w:r>
      <w:r w:rsidR="00344CD3">
        <w:rPr>
          <w:rFonts w:asciiTheme="majorHAnsi" w:hAnsiTheme="majorHAnsi"/>
          <w:sz w:val="20"/>
          <w:szCs w:val="20"/>
        </w:rPr>
        <w:t xml:space="preserve"> </w:t>
      </w:r>
    </w:p>
    <w:p w:rsidR="008D768D" w:rsidRPr="00463EDD" w:rsidRDefault="00B27CE4" w:rsidP="00195751">
      <w:pPr>
        <w:tabs>
          <w:tab w:val="center" w:pos="0"/>
        </w:tabs>
        <w:suppressAutoHyphens/>
        <w:jc w:val="both"/>
        <w:rPr>
          <w:rFonts w:asciiTheme="majorHAnsi" w:hAnsiTheme="majorHAnsi"/>
          <w:sz w:val="20"/>
          <w:szCs w:val="20"/>
        </w:rPr>
      </w:pPr>
      <w:r>
        <w:rPr>
          <w:rFonts w:asciiTheme="majorHAnsi" w:hAnsiTheme="majorHAnsi"/>
          <w:sz w:val="20"/>
          <w:szCs w:val="20"/>
        </w:rPr>
        <w:tab/>
      </w:r>
      <w:r w:rsidRPr="00B27CE4">
        <w:rPr>
          <w:rFonts w:asciiTheme="majorHAnsi" w:hAnsiTheme="majorHAnsi"/>
          <w:sz w:val="20"/>
          <w:szCs w:val="20"/>
        </w:rPr>
        <w:t xml:space="preserve">Approved by the Inter-American Commission on Human Rights on the </w:t>
      </w:r>
      <w:r>
        <w:rPr>
          <w:rFonts w:asciiTheme="majorHAnsi" w:hAnsiTheme="majorHAnsi"/>
          <w:sz w:val="20"/>
          <w:szCs w:val="20"/>
        </w:rPr>
        <w:t>27</w:t>
      </w:r>
      <w:r w:rsidRPr="00B27CE4">
        <w:rPr>
          <w:rFonts w:asciiTheme="majorHAnsi" w:hAnsiTheme="majorHAnsi"/>
          <w:sz w:val="20"/>
          <w:szCs w:val="20"/>
          <w:vertAlign w:val="superscript"/>
        </w:rPr>
        <w:t>th</w:t>
      </w:r>
      <w:r>
        <w:rPr>
          <w:rFonts w:asciiTheme="majorHAnsi" w:hAnsiTheme="majorHAnsi"/>
          <w:sz w:val="20"/>
          <w:szCs w:val="20"/>
        </w:rPr>
        <w:t xml:space="preserve"> </w:t>
      </w:r>
      <w:r w:rsidRPr="00B27CE4">
        <w:rPr>
          <w:rFonts w:asciiTheme="majorHAnsi" w:hAnsiTheme="majorHAnsi"/>
          <w:sz w:val="20"/>
          <w:szCs w:val="20"/>
        </w:rPr>
        <w:t xml:space="preserve">day of the month of </w:t>
      </w:r>
      <w:r>
        <w:rPr>
          <w:rFonts w:asciiTheme="majorHAnsi" w:hAnsiTheme="majorHAnsi"/>
          <w:sz w:val="20"/>
          <w:szCs w:val="20"/>
        </w:rPr>
        <w:t>December</w:t>
      </w:r>
      <w:r w:rsidRPr="00B27CE4">
        <w:rPr>
          <w:rFonts w:asciiTheme="majorHAnsi" w:hAnsiTheme="majorHAnsi"/>
          <w:sz w:val="20"/>
          <w:szCs w:val="20"/>
        </w:rPr>
        <w:t>, 2018. (Signed):  Margarette May Macaulay, President; Esmeralda E. Arosemena Bernal de Troitiño, First Vice President; Luis Ernesto Vargas Silva, Second Vice President; Francisco José Eguiguren Praeli, Joel Hernández García, Antonia Urrejola, and Flávia Piovesan, Commissioners.</w:t>
      </w:r>
    </w:p>
    <w:p w:rsidR="00722C9F" w:rsidRPr="00463EDD" w:rsidRDefault="00722C9F" w:rsidP="00974491">
      <w:pPr>
        <w:rPr>
          <w:rFonts w:ascii="Cambria" w:hAnsi="Cambria" w:cs="Calibri"/>
          <w:sz w:val="20"/>
          <w:szCs w:val="20"/>
        </w:rPr>
      </w:pPr>
    </w:p>
    <w:sectPr w:rsidR="00722C9F" w:rsidRPr="00463EDD" w:rsidSect="00934A2C">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775" w:rsidRDefault="00B73775">
      <w:r>
        <w:separator/>
      </w:r>
    </w:p>
  </w:endnote>
  <w:endnote w:type="continuationSeparator" w:id="0">
    <w:p w:rsidR="00B73775" w:rsidRDefault="00B7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FC" w:rsidRDefault="009C4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EB54C5" w:rsidRPr="00934A2C" w:rsidRDefault="00EB54C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C4AFC">
          <w:rPr>
            <w:noProof/>
            <w:sz w:val="16"/>
            <w:szCs w:val="22"/>
          </w:rPr>
          <w:t>2</w:t>
        </w:r>
        <w:r w:rsidRPr="00934A2C">
          <w:rPr>
            <w:noProof/>
            <w:sz w:val="16"/>
            <w:szCs w:val="22"/>
          </w:rPr>
          <w:fldChar w:fldCharType="end"/>
        </w:r>
      </w:p>
    </w:sdtContent>
  </w:sdt>
  <w:p w:rsidR="00EB54C5" w:rsidRDefault="00EB5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C5" w:rsidRPr="00934A2C" w:rsidRDefault="00EB54C5">
    <w:pPr>
      <w:pStyle w:val="Footer"/>
      <w:jc w:val="center"/>
      <w:rPr>
        <w:sz w:val="16"/>
        <w:szCs w:val="22"/>
      </w:rPr>
    </w:pPr>
  </w:p>
  <w:p w:rsidR="00EB54C5" w:rsidRDefault="00EB5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775" w:rsidRPr="000F35ED" w:rsidRDefault="00B7377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73775" w:rsidRPr="000F35ED" w:rsidRDefault="00B73775" w:rsidP="000F35ED">
      <w:pPr>
        <w:rPr>
          <w:rFonts w:asciiTheme="majorHAnsi" w:hAnsiTheme="majorHAnsi"/>
          <w:sz w:val="16"/>
          <w:szCs w:val="16"/>
        </w:rPr>
      </w:pPr>
      <w:r w:rsidRPr="000F35ED">
        <w:rPr>
          <w:rFonts w:asciiTheme="majorHAnsi" w:hAnsiTheme="majorHAnsi"/>
          <w:sz w:val="16"/>
          <w:szCs w:val="16"/>
        </w:rPr>
        <w:separator/>
      </w:r>
    </w:p>
    <w:p w:rsidR="00B73775" w:rsidRPr="000F35ED" w:rsidRDefault="00B7377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B73775" w:rsidRPr="000F35ED" w:rsidRDefault="00B7377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9D781A" w:rsidRPr="00E95FC8" w:rsidRDefault="009D781A" w:rsidP="009D781A">
      <w:pPr>
        <w:pStyle w:val="FootnoteText"/>
        <w:ind w:firstLine="720"/>
        <w:rPr>
          <w:rFonts w:ascii="Cambria" w:hAnsi="Cambria"/>
          <w:sz w:val="16"/>
          <w:szCs w:val="16"/>
          <w:lang w:val="en-GB"/>
        </w:rPr>
      </w:pPr>
      <w:r w:rsidRPr="00E95FC8">
        <w:rPr>
          <w:rStyle w:val="FootnoteReference"/>
          <w:rFonts w:ascii="Cambria" w:hAnsi="Cambria"/>
          <w:sz w:val="16"/>
          <w:szCs w:val="16"/>
        </w:rPr>
        <w:footnoteRef/>
      </w:r>
      <w:r w:rsidRPr="00E95FC8">
        <w:rPr>
          <w:rFonts w:ascii="Cambria" w:hAnsi="Cambria"/>
          <w:sz w:val="16"/>
          <w:szCs w:val="16"/>
          <w:lang w:val="en-GB"/>
        </w:rPr>
        <w:t xml:space="preserve"> Hereinafter “Convention” or “</w:t>
      </w:r>
      <w:r w:rsidR="00A611B4" w:rsidRPr="00E95FC8">
        <w:rPr>
          <w:rFonts w:ascii="Cambria" w:hAnsi="Cambria"/>
          <w:sz w:val="16"/>
          <w:szCs w:val="16"/>
          <w:lang w:val="en-GB"/>
        </w:rPr>
        <w:t>American Convention</w:t>
      </w:r>
      <w:r w:rsidRPr="00E95FC8">
        <w:rPr>
          <w:rFonts w:ascii="Cambria" w:hAnsi="Cambria"/>
          <w:sz w:val="16"/>
          <w:szCs w:val="16"/>
          <w:lang w:val="en-GB"/>
        </w:rPr>
        <w:t>”</w:t>
      </w:r>
    </w:p>
  </w:footnote>
  <w:footnote w:id="3">
    <w:p w:rsidR="0096117B" w:rsidRPr="00E95FC8" w:rsidRDefault="0096117B" w:rsidP="0096117B">
      <w:pPr>
        <w:pStyle w:val="FootnoteText"/>
        <w:ind w:firstLine="720"/>
        <w:rPr>
          <w:rFonts w:ascii="Cambria" w:hAnsi="Cambria"/>
          <w:sz w:val="16"/>
        </w:rPr>
      </w:pPr>
      <w:r w:rsidRPr="00E95FC8">
        <w:rPr>
          <w:rStyle w:val="FootnoteReference"/>
          <w:rFonts w:ascii="Cambria" w:hAnsi="Cambria"/>
          <w:sz w:val="16"/>
        </w:rPr>
        <w:footnoteRef/>
      </w:r>
      <w:r w:rsidRPr="00E95FC8">
        <w:rPr>
          <w:rFonts w:ascii="Cambria" w:hAnsi="Cambria"/>
          <w:sz w:val="16"/>
        </w:rPr>
        <w:t xml:space="preserve"> </w:t>
      </w:r>
      <w:r w:rsidRPr="00E95FC8">
        <w:rPr>
          <w:rFonts w:ascii="Cambria" w:hAnsi="Cambria"/>
          <w:sz w:val="16"/>
          <w:szCs w:val="16"/>
        </w:rPr>
        <w:t>Article 25 of the International Covenant on Civil and Political Rights</w:t>
      </w:r>
    </w:p>
  </w:footnote>
  <w:footnote w:id="4">
    <w:p w:rsidR="0096117B" w:rsidRPr="00E95FC8" w:rsidRDefault="0096117B" w:rsidP="0096117B">
      <w:pPr>
        <w:pStyle w:val="FootnoteText"/>
        <w:ind w:firstLine="720"/>
        <w:jc w:val="both"/>
        <w:rPr>
          <w:rFonts w:ascii="Cambria" w:hAnsi="Cambria"/>
          <w:sz w:val="16"/>
          <w:szCs w:val="16"/>
        </w:rPr>
      </w:pPr>
      <w:r w:rsidRPr="00E95FC8">
        <w:rPr>
          <w:rStyle w:val="FootnoteReference"/>
          <w:rFonts w:ascii="Cambria" w:hAnsi="Cambria"/>
          <w:sz w:val="16"/>
          <w:szCs w:val="16"/>
        </w:rPr>
        <w:footnoteRef/>
      </w:r>
      <w:r w:rsidRPr="00E95FC8">
        <w:rPr>
          <w:rFonts w:ascii="Cambria" w:hAnsi="Cambria"/>
          <w:sz w:val="16"/>
          <w:szCs w:val="16"/>
        </w:rPr>
        <w:t xml:space="preserve"> The observations submitted by each party were duly transmitted to the opposing party.</w:t>
      </w:r>
    </w:p>
  </w:footnote>
  <w:footnote w:id="5">
    <w:p w:rsidR="0096117B" w:rsidRPr="00E95FC8" w:rsidRDefault="0096117B" w:rsidP="0096117B">
      <w:pPr>
        <w:pStyle w:val="FootnoteText"/>
        <w:ind w:firstLine="720"/>
        <w:jc w:val="both"/>
        <w:rPr>
          <w:rFonts w:ascii="Cambria" w:hAnsi="Cambria"/>
          <w:sz w:val="16"/>
        </w:rPr>
      </w:pPr>
      <w:r w:rsidRPr="00E95FC8">
        <w:rPr>
          <w:rStyle w:val="FootnoteReference"/>
          <w:rFonts w:ascii="Cambria" w:hAnsi="Cambria"/>
          <w:sz w:val="16"/>
        </w:rPr>
        <w:footnoteRef/>
      </w:r>
      <w:r w:rsidRPr="00E95FC8">
        <w:rPr>
          <w:rFonts w:ascii="Cambria" w:hAnsi="Cambria"/>
          <w:sz w:val="16"/>
        </w:rPr>
        <w:t xml:space="preserve"> Additionally, on January 15, 2016 the petitioners submitted messages inquiring as to the status of the petition.</w:t>
      </w:r>
    </w:p>
  </w:footnote>
  <w:footnote w:id="6">
    <w:p w:rsidR="00EB54C5" w:rsidRPr="00E95FC8" w:rsidRDefault="00EB54C5" w:rsidP="00740819">
      <w:pPr>
        <w:pStyle w:val="FootnoteText"/>
        <w:ind w:firstLine="720"/>
        <w:jc w:val="both"/>
        <w:rPr>
          <w:rFonts w:ascii="Cambria" w:hAnsi="Cambria"/>
          <w:sz w:val="16"/>
        </w:rPr>
      </w:pPr>
      <w:r w:rsidRPr="00E95FC8">
        <w:rPr>
          <w:rStyle w:val="FootnoteReference"/>
          <w:rFonts w:ascii="Cambria" w:hAnsi="Cambria"/>
          <w:sz w:val="16"/>
        </w:rPr>
        <w:footnoteRef/>
      </w:r>
      <w:r w:rsidR="00807C69" w:rsidRPr="00E95FC8">
        <w:rPr>
          <w:rFonts w:ascii="Cambria" w:hAnsi="Cambria"/>
          <w:sz w:val="16"/>
        </w:rPr>
        <w:t xml:space="preserve"> The State is referring to IACtHR, Case of Brewer Carias v </w:t>
      </w:r>
      <w:r w:rsidRPr="00E95FC8">
        <w:rPr>
          <w:rFonts w:ascii="Cambria" w:hAnsi="Cambria"/>
          <w:sz w:val="16"/>
        </w:rPr>
        <w:t>Venezuela</w:t>
      </w:r>
      <w:r w:rsidR="00807C69" w:rsidRPr="00E95FC8">
        <w:rPr>
          <w:rFonts w:ascii="Cambria" w:hAnsi="Cambria"/>
          <w:sz w:val="16"/>
        </w:rPr>
        <w:t xml:space="preserve"> (preliminary objections</w:t>
      </w:r>
      <w:r w:rsidR="00BB5308" w:rsidRPr="00E95FC8">
        <w:rPr>
          <w:rFonts w:ascii="Cambria" w:hAnsi="Cambria"/>
          <w:sz w:val="16"/>
        </w:rPr>
        <w:t>)</w:t>
      </w:r>
      <w:r w:rsidRPr="00E95FC8">
        <w:rPr>
          <w:rFonts w:ascii="Cambria" w:hAnsi="Cambria"/>
          <w:sz w:val="16"/>
        </w:rPr>
        <w:t>,</w:t>
      </w:r>
      <w:r w:rsidR="00807C69" w:rsidRPr="00E95FC8">
        <w:rPr>
          <w:rFonts w:ascii="Cambria" w:hAnsi="Cambria"/>
          <w:sz w:val="16"/>
        </w:rPr>
        <w:t xml:space="preserve"> decision of May 26,</w:t>
      </w:r>
      <w:r w:rsidRPr="00E95FC8">
        <w:rPr>
          <w:rFonts w:ascii="Cambria" w:hAnsi="Cambria"/>
          <w:sz w:val="16"/>
        </w:rPr>
        <w:t xml:space="preserve"> 2014</w:t>
      </w:r>
      <w:r w:rsidR="00997EE9" w:rsidRPr="00E95FC8">
        <w:rPr>
          <w:rFonts w:ascii="Cambria" w:hAnsi="Cambria"/>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C5" w:rsidRDefault="00EB54C5" w:rsidP="00EB54C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B54C5" w:rsidRDefault="00EB5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C5" w:rsidRDefault="00EB54C5" w:rsidP="00A50FCF">
    <w:pPr>
      <w:pStyle w:val="Header"/>
      <w:tabs>
        <w:tab w:val="clear" w:pos="4320"/>
        <w:tab w:val="clear" w:pos="8640"/>
      </w:tabs>
      <w:jc w:val="center"/>
      <w:rPr>
        <w:sz w:val="22"/>
        <w:szCs w:val="22"/>
      </w:rPr>
    </w:pPr>
    <w:r>
      <w:rPr>
        <w:noProof/>
        <w:sz w:val="22"/>
        <w:szCs w:val="22"/>
      </w:rPr>
      <w:drawing>
        <wp:inline distT="0" distB="0" distL="0" distR="0" wp14:anchorId="24BB6DE7" wp14:editId="4573F99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B54C5" w:rsidRPr="00EC7D62" w:rsidRDefault="00B7377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FC" w:rsidRDefault="009C4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3EFE0E8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DB964A0"/>
    <w:multiLevelType w:val="hybridMultilevel"/>
    <w:tmpl w:val="CDA02066"/>
    <w:lvl w:ilvl="0" w:tplc="4184E6B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4E0558"/>
    <w:multiLevelType w:val="hybridMultilevel"/>
    <w:tmpl w:val="15C47BA2"/>
    <w:lvl w:ilvl="0" w:tplc="D1BE11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0"/>
  </w:num>
  <w:num w:numId="5">
    <w:abstractNumId w:val="46"/>
  </w:num>
  <w:num w:numId="6">
    <w:abstractNumId w:val="25"/>
  </w:num>
  <w:num w:numId="7">
    <w:abstractNumId w:val="6"/>
  </w:num>
  <w:num w:numId="8">
    <w:abstractNumId w:val="16"/>
  </w:num>
  <w:num w:numId="9">
    <w:abstractNumId w:val="41"/>
  </w:num>
  <w:num w:numId="10">
    <w:abstractNumId w:val="0"/>
  </w:num>
  <w:num w:numId="11">
    <w:abstractNumId w:val="34"/>
  </w:num>
  <w:num w:numId="12">
    <w:abstractNumId w:val="35"/>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7"/>
  </w:num>
  <w:num w:numId="40">
    <w:abstractNumId w:val="38"/>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9"/>
  </w:num>
  <w:num w:numId="53">
    <w:abstractNumId w:val="49"/>
  </w:num>
  <w:num w:numId="54">
    <w:abstractNumId w:val="44"/>
  </w:num>
  <w:num w:numId="55">
    <w:abstractNumId w:val="4"/>
  </w:num>
  <w:num w:numId="56">
    <w:abstractNumId w:val="42"/>
  </w:num>
  <w:num w:numId="57">
    <w:abstractNumId w:val="40"/>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76C"/>
    <w:rsid w:val="00005519"/>
    <w:rsid w:val="00006E1F"/>
    <w:rsid w:val="000070D7"/>
    <w:rsid w:val="00007638"/>
    <w:rsid w:val="0001788C"/>
    <w:rsid w:val="00026D7C"/>
    <w:rsid w:val="000273DA"/>
    <w:rsid w:val="000337EF"/>
    <w:rsid w:val="00040C3A"/>
    <w:rsid w:val="000410B3"/>
    <w:rsid w:val="000419AD"/>
    <w:rsid w:val="000433C9"/>
    <w:rsid w:val="00046705"/>
    <w:rsid w:val="00055926"/>
    <w:rsid w:val="0005606C"/>
    <w:rsid w:val="000622A9"/>
    <w:rsid w:val="0006267B"/>
    <w:rsid w:val="000643AF"/>
    <w:rsid w:val="000716C5"/>
    <w:rsid w:val="00075E23"/>
    <w:rsid w:val="00092110"/>
    <w:rsid w:val="0009344A"/>
    <w:rsid w:val="000945F0"/>
    <w:rsid w:val="000A070D"/>
    <w:rsid w:val="000A392E"/>
    <w:rsid w:val="000A575F"/>
    <w:rsid w:val="000C0D2B"/>
    <w:rsid w:val="000D10DB"/>
    <w:rsid w:val="000E5EB5"/>
    <w:rsid w:val="000E60D3"/>
    <w:rsid w:val="000F35ED"/>
    <w:rsid w:val="00101AC7"/>
    <w:rsid w:val="00102234"/>
    <w:rsid w:val="00103BB5"/>
    <w:rsid w:val="00107131"/>
    <w:rsid w:val="00107260"/>
    <w:rsid w:val="0010736F"/>
    <w:rsid w:val="00111E43"/>
    <w:rsid w:val="00113F73"/>
    <w:rsid w:val="001172B5"/>
    <w:rsid w:val="00120142"/>
    <w:rsid w:val="00121CC2"/>
    <w:rsid w:val="00122467"/>
    <w:rsid w:val="001229BB"/>
    <w:rsid w:val="00124158"/>
    <w:rsid w:val="00133EE5"/>
    <w:rsid w:val="00137E80"/>
    <w:rsid w:val="00141441"/>
    <w:rsid w:val="0014268E"/>
    <w:rsid w:val="00160A41"/>
    <w:rsid w:val="0016237D"/>
    <w:rsid w:val="00163113"/>
    <w:rsid w:val="00163BEC"/>
    <w:rsid w:val="00165BDB"/>
    <w:rsid w:val="00167A34"/>
    <w:rsid w:val="00167E5B"/>
    <w:rsid w:val="00172ADD"/>
    <w:rsid w:val="00174D71"/>
    <w:rsid w:val="00176FC6"/>
    <w:rsid w:val="0017725B"/>
    <w:rsid w:val="0018316D"/>
    <w:rsid w:val="00183629"/>
    <w:rsid w:val="00190241"/>
    <w:rsid w:val="00192A52"/>
    <w:rsid w:val="00195751"/>
    <w:rsid w:val="00197417"/>
    <w:rsid w:val="001A096A"/>
    <w:rsid w:val="001A1204"/>
    <w:rsid w:val="001A1FD1"/>
    <w:rsid w:val="001A67D3"/>
    <w:rsid w:val="001A7870"/>
    <w:rsid w:val="001B1385"/>
    <w:rsid w:val="001B2164"/>
    <w:rsid w:val="001B3A00"/>
    <w:rsid w:val="001B7728"/>
    <w:rsid w:val="001C00B0"/>
    <w:rsid w:val="001C1B41"/>
    <w:rsid w:val="001C464F"/>
    <w:rsid w:val="001C71F2"/>
    <w:rsid w:val="001D0B3B"/>
    <w:rsid w:val="001D397A"/>
    <w:rsid w:val="001D65EF"/>
    <w:rsid w:val="001E49E7"/>
    <w:rsid w:val="001F138F"/>
    <w:rsid w:val="001F15B7"/>
    <w:rsid w:val="001F7201"/>
    <w:rsid w:val="0021573D"/>
    <w:rsid w:val="00215765"/>
    <w:rsid w:val="00223A29"/>
    <w:rsid w:val="00223CE5"/>
    <w:rsid w:val="002250A3"/>
    <w:rsid w:val="00230313"/>
    <w:rsid w:val="00232834"/>
    <w:rsid w:val="00235217"/>
    <w:rsid w:val="0023774C"/>
    <w:rsid w:val="00240353"/>
    <w:rsid w:val="00246D1F"/>
    <w:rsid w:val="00247403"/>
    <w:rsid w:val="00247542"/>
    <w:rsid w:val="00251867"/>
    <w:rsid w:val="0025727D"/>
    <w:rsid w:val="00261A7E"/>
    <w:rsid w:val="002631B8"/>
    <w:rsid w:val="00266B61"/>
    <w:rsid w:val="0026712A"/>
    <w:rsid w:val="00267B3C"/>
    <w:rsid w:val="002704DB"/>
    <w:rsid w:val="00275C24"/>
    <w:rsid w:val="00282D9A"/>
    <w:rsid w:val="002833D8"/>
    <w:rsid w:val="002931E2"/>
    <w:rsid w:val="002A0AAE"/>
    <w:rsid w:val="002A3D65"/>
    <w:rsid w:val="002A55BC"/>
    <w:rsid w:val="002A5820"/>
    <w:rsid w:val="002A7B46"/>
    <w:rsid w:val="002B3365"/>
    <w:rsid w:val="002B76A0"/>
    <w:rsid w:val="002C0751"/>
    <w:rsid w:val="002C0BE5"/>
    <w:rsid w:val="002D0ED4"/>
    <w:rsid w:val="002D2B26"/>
    <w:rsid w:val="002D7743"/>
    <w:rsid w:val="002D7EA2"/>
    <w:rsid w:val="002E0236"/>
    <w:rsid w:val="002E187C"/>
    <w:rsid w:val="002E25E2"/>
    <w:rsid w:val="002F1A42"/>
    <w:rsid w:val="002F7833"/>
    <w:rsid w:val="0030113F"/>
    <w:rsid w:val="00302733"/>
    <w:rsid w:val="00302CE1"/>
    <w:rsid w:val="00305A3B"/>
    <w:rsid w:val="0030608D"/>
    <w:rsid w:val="00314078"/>
    <w:rsid w:val="0031535D"/>
    <w:rsid w:val="003239B8"/>
    <w:rsid w:val="0033169F"/>
    <w:rsid w:val="0033399D"/>
    <w:rsid w:val="00336FF1"/>
    <w:rsid w:val="0034480B"/>
    <w:rsid w:val="00344977"/>
    <w:rsid w:val="00344CD3"/>
    <w:rsid w:val="00346C95"/>
    <w:rsid w:val="003535FD"/>
    <w:rsid w:val="00356185"/>
    <w:rsid w:val="00357A17"/>
    <w:rsid w:val="00360380"/>
    <w:rsid w:val="003661C9"/>
    <w:rsid w:val="003665D4"/>
    <w:rsid w:val="0037519E"/>
    <w:rsid w:val="00381D95"/>
    <w:rsid w:val="00383E97"/>
    <w:rsid w:val="00386A39"/>
    <w:rsid w:val="00386CF0"/>
    <w:rsid w:val="003874F3"/>
    <w:rsid w:val="00392924"/>
    <w:rsid w:val="00392CCC"/>
    <w:rsid w:val="00395519"/>
    <w:rsid w:val="003A340D"/>
    <w:rsid w:val="003A3431"/>
    <w:rsid w:val="003B1702"/>
    <w:rsid w:val="003B20AE"/>
    <w:rsid w:val="003B50E8"/>
    <w:rsid w:val="003B6A7E"/>
    <w:rsid w:val="003B70FB"/>
    <w:rsid w:val="003C1B86"/>
    <w:rsid w:val="003C3DB2"/>
    <w:rsid w:val="003C676B"/>
    <w:rsid w:val="003D0967"/>
    <w:rsid w:val="003D3BC2"/>
    <w:rsid w:val="003E6CA1"/>
    <w:rsid w:val="003F0B0B"/>
    <w:rsid w:val="003F3F96"/>
    <w:rsid w:val="003F67EF"/>
    <w:rsid w:val="003F7592"/>
    <w:rsid w:val="004065A8"/>
    <w:rsid w:val="00407E67"/>
    <w:rsid w:val="004106CB"/>
    <w:rsid w:val="00412FED"/>
    <w:rsid w:val="0041359E"/>
    <w:rsid w:val="004165C2"/>
    <w:rsid w:val="00416CDF"/>
    <w:rsid w:val="00416F49"/>
    <w:rsid w:val="00421EE8"/>
    <w:rsid w:val="00433A04"/>
    <w:rsid w:val="00441ECB"/>
    <w:rsid w:val="00445193"/>
    <w:rsid w:val="00452D63"/>
    <w:rsid w:val="004536D8"/>
    <w:rsid w:val="00462C1B"/>
    <w:rsid w:val="00463EDD"/>
    <w:rsid w:val="00467B7E"/>
    <w:rsid w:val="00473BB4"/>
    <w:rsid w:val="00477592"/>
    <w:rsid w:val="00486F1C"/>
    <w:rsid w:val="0048757A"/>
    <w:rsid w:val="00487A41"/>
    <w:rsid w:val="0049419D"/>
    <w:rsid w:val="004968F6"/>
    <w:rsid w:val="004A21B7"/>
    <w:rsid w:val="004A3550"/>
    <w:rsid w:val="004A3A55"/>
    <w:rsid w:val="004A6A54"/>
    <w:rsid w:val="004C20D2"/>
    <w:rsid w:val="004C2312"/>
    <w:rsid w:val="004C4B62"/>
    <w:rsid w:val="004C54C9"/>
    <w:rsid w:val="004D100A"/>
    <w:rsid w:val="004D4ABA"/>
    <w:rsid w:val="004D6025"/>
    <w:rsid w:val="004E2649"/>
    <w:rsid w:val="004F7862"/>
    <w:rsid w:val="005000C4"/>
    <w:rsid w:val="00501399"/>
    <w:rsid w:val="005041FE"/>
    <w:rsid w:val="0050633D"/>
    <w:rsid w:val="00507BC4"/>
    <w:rsid w:val="005105A5"/>
    <w:rsid w:val="005128E4"/>
    <w:rsid w:val="005133DB"/>
    <w:rsid w:val="00514FF0"/>
    <w:rsid w:val="00516393"/>
    <w:rsid w:val="00516E6C"/>
    <w:rsid w:val="005204DA"/>
    <w:rsid w:val="00524022"/>
    <w:rsid w:val="00525560"/>
    <w:rsid w:val="00525F09"/>
    <w:rsid w:val="00544C49"/>
    <w:rsid w:val="005506AA"/>
    <w:rsid w:val="005516A1"/>
    <w:rsid w:val="00551960"/>
    <w:rsid w:val="005565A4"/>
    <w:rsid w:val="00556685"/>
    <w:rsid w:val="00563557"/>
    <w:rsid w:val="0057402A"/>
    <w:rsid w:val="00576DFB"/>
    <w:rsid w:val="005771D0"/>
    <w:rsid w:val="00581200"/>
    <w:rsid w:val="0058432A"/>
    <w:rsid w:val="0059191A"/>
    <w:rsid w:val="005921FF"/>
    <w:rsid w:val="005A009E"/>
    <w:rsid w:val="005A24ED"/>
    <w:rsid w:val="005A308D"/>
    <w:rsid w:val="005A6D0E"/>
    <w:rsid w:val="005B52B0"/>
    <w:rsid w:val="005B6806"/>
    <w:rsid w:val="005B7645"/>
    <w:rsid w:val="005C0506"/>
    <w:rsid w:val="005C4225"/>
    <w:rsid w:val="005C5168"/>
    <w:rsid w:val="005D1A7F"/>
    <w:rsid w:val="005D64A4"/>
    <w:rsid w:val="005E6CD7"/>
    <w:rsid w:val="005F0DAD"/>
    <w:rsid w:val="005F0F33"/>
    <w:rsid w:val="00600A19"/>
    <w:rsid w:val="00600BC0"/>
    <w:rsid w:val="00600DEB"/>
    <w:rsid w:val="00611BA2"/>
    <w:rsid w:val="00612A3D"/>
    <w:rsid w:val="00612E97"/>
    <w:rsid w:val="00616CF5"/>
    <w:rsid w:val="00621919"/>
    <w:rsid w:val="006223F5"/>
    <w:rsid w:val="00627C9F"/>
    <w:rsid w:val="006311E9"/>
    <w:rsid w:val="00631432"/>
    <w:rsid w:val="00632354"/>
    <w:rsid w:val="00636D31"/>
    <w:rsid w:val="00642810"/>
    <w:rsid w:val="00642D30"/>
    <w:rsid w:val="00650F3E"/>
    <w:rsid w:val="00652333"/>
    <w:rsid w:val="006525D8"/>
    <w:rsid w:val="00655FEC"/>
    <w:rsid w:val="00676FFC"/>
    <w:rsid w:val="0068009E"/>
    <w:rsid w:val="006908E3"/>
    <w:rsid w:val="00692219"/>
    <w:rsid w:val="006942EB"/>
    <w:rsid w:val="00696207"/>
    <w:rsid w:val="006A17D2"/>
    <w:rsid w:val="006A73E6"/>
    <w:rsid w:val="006B0AD9"/>
    <w:rsid w:val="006B2D5C"/>
    <w:rsid w:val="006C4EB1"/>
    <w:rsid w:val="006C633A"/>
    <w:rsid w:val="006D1ACC"/>
    <w:rsid w:val="006E0166"/>
    <w:rsid w:val="006E7B34"/>
    <w:rsid w:val="006F35AB"/>
    <w:rsid w:val="006F3F39"/>
    <w:rsid w:val="006F4BD3"/>
    <w:rsid w:val="006F75E7"/>
    <w:rsid w:val="00700255"/>
    <w:rsid w:val="0070333A"/>
    <w:rsid w:val="0070697F"/>
    <w:rsid w:val="00710799"/>
    <w:rsid w:val="00710F19"/>
    <w:rsid w:val="007120A5"/>
    <w:rsid w:val="007141AF"/>
    <w:rsid w:val="00714FE1"/>
    <w:rsid w:val="00717501"/>
    <w:rsid w:val="0072199C"/>
    <w:rsid w:val="00722C9F"/>
    <w:rsid w:val="007253B8"/>
    <w:rsid w:val="007261F1"/>
    <w:rsid w:val="00732A88"/>
    <w:rsid w:val="00734604"/>
    <w:rsid w:val="0073741F"/>
    <w:rsid w:val="00740819"/>
    <w:rsid w:val="00747AB2"/>
    <w:rsid w:val="0075476B"/>
    <w:rsid w:val="0076624A"/>
    <w:rsid w:val="0076643F"/>
    <w:rsid w:val="00773407"/>
    <w:rsid w:val="00773CC2"/>
    <w:rsid w:val="00776340"/>
    <w:rsid w:val="00777F63"/>
    <w:rsid w:val="00787E5D"/>
    <w:rsid w:val="00792F96"/>
    <w:rsid w:val="007A5817"/>
    <w:rsid w:val="007B05C4"/>
    <w:rsid w:val="007B2A99"/>
    <w:rsid w:val="007B2C80"/>
    <w:rsid w:val="007B3A43"/>
    <w:rsid w:val="007B60E9"/>
    <w:rsid w:val="007B6CC3"/>
    <w:rsid w:val="007B76D3"/>
    <w:rsid w:val="007C0760"/>
    <w:rsid w:val="007C3334"/>
    <w:rsid w:val="007C4DF9"/>
    <w:rsid w:val="007D0162"/>
    <w:rsid w:val="007D1E24"/>
    <w:rsid w:val="007D2B98"/>
    <w:rsid w:val="007D396B"/>
    <w:rsid w:val="007D5CA3"/>
    <w:rsid w:val="007E21BC"/>
    <w:rsid w:val="007E7C82"/>
    <w:rsid w:val="007F14BE"/>
    <w:rsid w:val="007F2939"/>
    <w:rsid w:val="007F3090"/>
    <w:rsid w:val="007F31A7"/>
    <w:rsid w:val="007F46A0"/>
    <w:rsid w:val="007F4811"/>
    <w:rsid w:val="007F588D"/>
    <w:rsid w:val="00800784"/>
    <w:rsid w:val="008032CF"/>
    <w:rsid w:val="00803F1C"/>
    <w:rsid w:val="008050F1"/>
    <w:rsid w:val="0080600E"/>
    <w:rsid w:val="00807C69"/>
    <w:rsid w:val="00811D78"/>
    <w:rsid w:val="00817386"/>
    <w:rsid w:val="00817612"/>
    <w:rsid w:val="008179CA"/>
    <w:rsid w:val="00817F28"/>
    <w:rsid w:val="00823528"/>
    <w:rsid w:val="00827780"/>
    <w:rsid w:val="00831092"/>
    <w:rsid w:val="008319DA"/>
    <w:rsid w:val="008338A4"/>
    <w:rsid w:val="00834D49"/>
    <w:rsid w:val="00837C45"/>
    <w:rsid w:val="00844730"/>
    <w:rsid w:val="00844F50"/>
    <w:rsid w:val="008453A2"/>
    <w:rsid w:val="008457C2"/>
    <w:rsid w:val="00850331"/>
    <w:rsid w:val="00851716"/>
    <w:rsid w:val="0085443F"/>
    <w:rsid w:val="00855204"/>
    <w:rsid w:val="00857A82"/>
    <w:rsid w:val="00860D40"/>
    <w:rsid w:val="008636A1"/>
    <w:rsid w:val="00864BDD"/>
    <w:rsid w:val="00872DEE"/>
    <w:rsid w:val="00873836"/>
    <w:rsid w:val="008766FC"/>
    <w:rsid w:val="00880DCD"/>
    <w:rsid w:val="00885737"/>
    <w:rsid w:val="00890650"/>
    <w:rsid w:val="00897E12"/>
    <w:rsid w:val="008A1D49"/>
    <w:rsid w:val="008A7E0F"/>
    <w:rsid w:val="008B0B16"/>
    <w:rsid w:val="008B12F5"/>
    <w:rsid w:val="008B309B"/>
    <w:rsid w:val="008C2259"/>
    <w:rsid w:val="008D2F63"/>
    <w:rsid w:val="008D768D"/>
    <w:rsid w:val="008D7A78"/>
    <w:rsid w:val="008E3759"/>
    <w:rsid w:val="008E3BFE"/>
    <w:rsid w:val="008F1912"/>
    <w:rsid w:val="008F4C97"/>
    <w:rsid w:val="00900BCA"/>
    <w:rsid w:val="0090270B"/>
    <w:rsid w:val="009030F1"/>
    <w:rsid w:val="0090374D"/>
    <w:rsid w:val="009041DC"/>
    <w:rsid w:val="0091639D"/>
    <w:rsid w:val="00916CD9"/>
    <w:rsid w:val="00917B5A"/>
    <w:rsid w:val="00920A58"/>
    <w:rsid w:val="00920A8C"/>
    <w:rsid w:val="00925526"/>
    <w:rsid w:val="00930015"/>
    <w:rsid w:val="00934A2C"/>
    <w:rsid w:val="00942DFD"/>
    <w:rsid w:val="00943701"/>
    <w:rsid w:val="009458BA"/>
    <w:rsid w:val="0095489F"/>
    <w:rsid w:val="00954C46"/>
    <w:rsid w:val="009605E8"/>
    <w:rsid w:val="0096117B"/>
    <w:rsid w:val="0096706E"/>
    <w:rsid w:val="009708FB"/>
    <w:rsid w:val="00974491"/>
    <w:rsid w:val="00975C4E"/>
    <w:rsid w:val="00981FBA"/>
    <w:rsid w:val="00997BC5"/>
    <w:rsid w:val="00997EE9"/>
    <w:rsid w:val="009A1E90"/>
    <w:rsid w:val="009A4F41"/>
    <w:rsid w:val="009B11B0"/>
    <w:rsid w:val="009B32CD"/>
    <w:rsid w:val="009B381B"/>
    <w:rsid w:val="009B3FB6"/>
    <w:rsid w:val="009B7E3D"/>
    <w:rsid w:val="009C4AFC"/>
    <w:rsid w:val="009C6868"/>
    <w:rsid w:val="009D1753"/>
    <w:rsid w:val="009D3F97"/>
    <w:rsid w:val="009D7611"/>
    <w:rsid w:val="009D781A"/>
    <w:rsid w:val="009E0B61"/>
    <w:rsid w:val="009E13BE"/>
    <w:rsid w:val="009E3853"/>
    <w:rsid w:val="009E53DE"/>
    <w:rsid w:val="009F6D7D"/>
    <w:rsid w:val="00A018CE"/>
    <w:rsid w:val="00A01B13"/>
    <w:rsid w:val="00A0283D"/>
    <w:rsid w:val="00A043A8"/>
    <w:rsid w:val="00A11212"/>
    <w:rsid w:val="00A11E44"/>
    <w:rsid w:val="00A12522"/>
    <w:rsid w:val="00A20FF2"/>
    <w:rsid w:val="00A328B3"/>
    <w:rsid w:val="00A42F61"/>
    <w:rsid w:val="00A43B9C"/>
    <w:rsid w:val="00A47135"/>
    <w:rsid w:val="00A50FCF"/>
    <w:rsid w:val="00A528D1"/>
    <w:rsid w:val="00A56AFF"/>
    <w:rsid w:val="00A56B94"/>
    <w:rsid w:val="00A57CD7"/>
    <w:rsid w:val="00A604E1"/>
    <w:rsid w:val="00A610CD"/>
    <w:rsid w:val="00A611B4"/>
    <w:rsid w:val="00A64C56"/>
    <w:rsid w:val="00A66007"/>
    <w:rsid w:val="00A728EB"/>
    <w:rsid w:val="00A745C6"/>
    <w:rsid w:val="00A758AA"/>
    <w:rsid w:val="00A7599C"/>
    <w:rsid w:val="00A75D64"/>
    <w:rsid w:val="00A806A3"/>
    <w:rsid w:val="00A80CD6"/>
    <w:rsid w:val="00A82CF3"/>
    <w:rsid w:val="00A83B73"/>
    <w:rsid w:val="00A9288E"/>
    <w:rsid w:val="00A92A62"/>
    <w:rsid w:val="00AA09A2"/>
    <w:rsid w:val="00AA281B"/>
    <w:rsid w:val="00AA4B69"/>
    <w:rsid w:val="00AA6903"/>
    <w:rsid w:val="00AA7996"/>
    <w:rsid w:val="00AB2E05"/>
    <w:rsid w:val="00AB42BA"/>
    <w:rsid w:val="00AB45FA"/>
    <w:rsid w:val="00AB7628"/>
    <w:rsid w:val="00AC19CB"/>
    <w:rsid w:val="00AC47BF"/>
    <w:rsid w:val="00AC7C83"/>
    <w:rsid w:val="00AD2089"/>
    <w:rsid w:val="00AE088E"/>
    <w:rsid w:val="00AE1933"/>
    <w:rsid w:val="00AE2655"/>
    <w:rsid w:val="00AE5488"/>
    <w:rsid w:val="00AE5C7B"/>
    <w:rsid w:val="00AE6F91"/>
    <w:rsid w:val="00AF1C37"/>
    <w:rsid w:val="00AF5571"/>
    <w:rsid w:val="00B010A6"/>
    <w:rsid w:val="00B0258C"/>
    <w:rsid w:val="00B04027"/>
    <w:rsid w:val="00B07341"/>
    <w:rsid w:val="00B27CE4"/>
    <w:rsid w:val="00B30539"/>
    <w:rsid w:val="00B314DB"/>
    <w:rsid w:val="00B32608"/>
    <w:rsid w:val="00B353F8"/>
    <w:rsid w:val="00B361F2"/>
    <w:rsid w:val="00B3718B"/>
    <w:rsid w:val="00B4417F"/>
    <w:rsid w:val="00B4632A"/>
    <w:rsid w:val="00B47C52"/>
    <w:rsid w:val="00B5240F"/>
    <w:rsid w:val="00B530F1"/>
    <w:rsid w:val="00B537CB"/>
    <w:rsid w:val="00B53FCB"/>
    <w:rsid w:val="00B61A0E"/>
    <w:rsid w:val="00B62874"/>
    <w:rsid w:val="00B631DE"/>
    <w:rsid w:val="00B6431A"/>
    <w:rsid w:val="00B707EB"/>
    <w:rsid w:val="00B73775"/>
    <w:rsid w:val="00B824CF"/>
    <w:rsid w:val="00B901A8"/>
    <w:rsid w:val="00B95DA8"/>
    <w:rsid w:val="00BA276C"/>
    <w:rsid w:val="00BB1672"/>
    <w:rsid w:val="00BB1FB9"/>
    <w:rsid w:val="00BB306F"/>
    <w:rsid w:val="00BB5308"/>
    <w:rsid w:val="00BC261D"/>
    <w:rsid w:val="00BC4AC4"/>
    <w:rsid w:val="00BD048C"/>
    <w:rsid w:val="00BD35A0"/>
    <w:rsid w:val="00BD4B89"/>
    <w:rsid w:val="00BD5922"/>
    <w:rsid w:val="00BE3538"/>
    <w:rsid w:val="00BF02CB"/>
    <w:rsid w:val="00BF039A"/>
    <w:rsid w:val="00BF1A4B"/>
    <w:rsid w:val="00BF67AB"/>
    <w:rsid w:val="00BF6FD8"/>
    <w:rsid w:val="00C0058D"/>
    <w:rsid w:val="00C03680"/>
    <w:rsid w:val="00C054DF"/>
    <w:rsid w:val="00C14BC4"/>
    <w:rsid w:val="00C20FC5"/>
    <w:rsid w:val="00C21762"/>
    <w:rsid w:val="00C21FEF"/>
    <w:rsid w:val="00C23ADF"/>
    <w:rsid w:val="00C24543"/>
    <w:rsid w:val="00C256A2"/>
    <w:rsid w:val="00C3393D"/>
    <w:rsid w:val="00C50F2B"/>
    <w:rsid w:val="00C51515"/>
    <w:rsid w:val="00C547DA"/>
    <w:rsid w:val="00C5552C"/>
    <w:rsid w:val="00C562CB"/>
    <w:rsid w:val="00C5660B"/>
    <w:rsid w:val="00C66B72"/>
    <w:rsid w:val="00C72E2A"/>
    <w:rsid w:val="00C82B76"/>
    <w:rsid w:val="00C854A3"/>
    <w:rsid w:val="00C87AC4"/>
    <w:rsid w:val="00C94EF8"/>
    <w:rsid w:val="00C9567A"/>
    <w:rsid w:val="00CA35F1"/>
    <w:rsid w:val="00CA5BE1"/>
    <w:rsid w:val="00CB212D"/>
    <w:rsid w:val="00CB2660"/>
    <w:rsid w:val="00CB27B2"/>
    <w:rsid w:val="00CC5E90"/>
    <w:rsid w:val="00CD046C"/>
    <w:rsid w:val="00CD3F60"/>
    <w:rsid w:val="00CD66B2"/>
    <w:rsid w:val="00CD7190"/>
    <w:rsid w:val="00CE076C"/>
    <w:rsid w:val="00CE46D6"/>
    <w:rsid w:val="00CE5199"/>
    <w:rsid w:val="00CE66D5"/>
    <w:rsid w:val="00CF0405"/>
    <w:rsid w:val="00CF3825"/>
    <w:rsid w:val="00CF637A"/>
    <w:rsid w:val="00D01CA9"/>
    <w:rsid w:val="00D01FC5"/>
    <w:rsid w:val="00D059DE"/>
    <w:rsid w:val="00D05ABD"/>
    <w:rsid w:val="00D06795"/>
    <w:rsid w:val="00D10BBB"/>
    <w:rsid w:val="00D112D5"/>
    <w:rsid w:val="00D13FCE"/>
    <w:rsid w:val="00D166FF"/>
    <w:rsid w:val="00D200E7"/>
    <w:rsid w:val="00D20CB6"/>
    <w:rsid w:val="00D22434"/>
    <w:rsid w:val="00D237EA"/>
    <w:rsid w:val="00D306D1"/>
    <w:rsid w:val="00D30800"/>
    <w:rsid w:val="00D34786"/>
    <w:rsid w:val="00D36B82"/>
    <w:rsid w:val="00D37BFC"/>
    <w:rsid w:val="00D42F54"/>
    <w:rsid w:val="00D451BB"/>
    <w:rsid w:val="00D47A8E"/>
    <w:rsid w:val="00D52D14"/>
    <w:rsid w:val="00D558B2"/>
    <w:rsid w:val="00D56354"/>
    <w:rsid w:val="00D64C3E"/>
    <w:rsid w:val="00D712D3"/>
    <w:rsid w:val="00D71422"/>
    <w:rsid w:val="00D72DC6"/>
    <w:rsid w:val="00D7558D"/>
    <w:rsid w:val="00D81D92"/>
    <w:rsid w:val="00D826D8"/>
    <w:rsid w:val="00D876F9"/>
    <w:rsid w:val="00DA589F"/>
    <w:rsid w:val="00DA7B5F"/>
    <w:rsid w:val="00DB2CC7"/>
    <w:rsid w:val="00DB6179"/>
    <w:rsid w:val="00DB7889"/>
    <w:rsid w:val="00DC11E7"/>
    <w:rsid w:val="00DC2944"/>
    <w:rsid w:val="00DC2FB6"/>
    <w:rsid w:val="00DC7023"/>
    <w:rsid w:val="00DC769A"/>
    <w:rsid w:val="00DD05F5"/>
    <w:rsid w:val="00DD3D86"/>
    <w:rsid w:val="00DD4AD2"/>
    <w:rsid w:val="00DF1EC4"/>
    <w:rsid w:val="00DF6DF0"/>
    <w:rsid w:val="00E0340B"/>
    <w:rsid w:val="00E04A90"/>
    <w:rsid w:val="00E0551F"/>
    <w:rsid w:val="00E12B48"/>
    <w:rsid w:val="00E14BFE"/>
    <w:rsid w:val="00E219C7"/>
    <w:rsid w:val="00E2510D"/>
    <w:rsid w:val="00E25A67"/>
    <w:rsid w:val="00E30AED"/>
    <w:rsid w:val="00E30F1C"/>
    <w:rsid w:val="00E325CD"/>
    <w:rsid w:val="00E3533E"/>
    <w:rsid w:val="00E4118C"/>
    <w:rsid w:val="00E43157"/>
    <w:rsid w:val="00E44A4D"/>
    <w:rsid w:val="00E461CE"/>
    <w:rsid w:val="00E46D39"/>
    <w:rsid w:val="00E47643"/>
    <w:rsid w:val="00E50DCA"/>
    <w:rsid w:val="00E53DB9"/>
    <w:rsid w:val="00E63CE5"/>
    <w:rsid w:val="00E64764"/>
    <w:rsid w:val="00E720CA"/>
    <w:rsid w:val="00E733E7"/>
    <w:rsid w:val="00E73CFF"/>
    <w:rsid w:val="00E84EB5"/>
    <w:rsid w:val="00E85662"/>
    <w:rsid w:val="00E86BDB"/>
    <w:rsid w:val="00E86D29"/>
    <w:rsid w:val="00E8789F"/>
    <w:rsid w:val="00E9370C"/>
    <w:rsid w:val="00E95FC8"/>
    <w:rsid w:val="00E97B71"/>
    <w:rsid w:val="00EA12E5"/>
    <w:rsid w:val="00EA334A"/>
    <w:rsid w:val="00EA3D34"/>
    <w:rsid w:val="00EB07EF"/>
    <w:rsid w:val="00EB454D"/>
    <w:rsid w:val="00EB54C5"/>
    <w:rsid w:val="00EC06B1"/>
    <w:rsid w:val="00EC0D43"/>
    <w:rsid w:val="00EC2F07"/>
    <w:rsid w:val="00EC4DCD"/>
    <w:rsid w:val="00ED1404"/>
    <w:rsid w:val="00ED202F"/>
    <w:rsid w:val="00ED549D"/>
    <w:rsid w:val="00ED624E"/>
    <w:rsid w:val="00ED76BE"/>
    <w:rsid w:val="00EE00E9"/>
    <w:rsid w:val="00EE5A1D"/>
    <w:rsid w:val="00EF4CE0"/>
    <w:rsid w:val="00EF619B"/>
    <w:rsid w:val="00EF7696"/>
    <w:rsid w:val="00EF790A"/>
    <w:rsid w:val="00F00B55"/>
    <w:rsid w:val="00F014CF"/>
    <w:rsid w:val="00F02AD1"/>
    <w:rsid w:val="00F13238"/>
    <w:rsid w:val="00F14BAA"/>
    <w:rsid w:val="00F223DB"/>
    <w:rsid w:val="00F253CC"/>
    <w:rsid w:val="00F3149A"/>
    <w:rsid w:val="00F325C2"/>
    <w:rsid w:val="00F32B2D"/>
    <w:rsid w:val="00F37106"/>
    <w:rsid w:val="00F40F05"/>
    <w:rsid w:val="00F42108"/>
    <w:rsid w:val="00F519CF"/>
    <w:rsid w:val="00F51FF5"/>
    <w:rsid w:val="00F52C53"/>
    <w:rsid w:val="00F5304E"/>
    <w:rsid w:val="00F56BA5"/>
    <w:rsid w:val="00F601E3"/>
    <w:rsid w:val="00F60E22"/>
    <w:rsid w:val="00F621D0"/>
    <w:rsid w:val="00F70148"/>
    <w:rsid w:val="00F70CD6"/>
    <w:rsid w:val="00F81395"/>
    <w:rsid w:val="00F81BB8"/>
    <w:rsid w:val="00F82E99"/>
    <w:rsid w:val="00F872A6"/>
    <w:rsid w:val="00F917D1"/>
    <w:rsid w:val="00F94CCE"/>
    <w:rsid w:val="00F96446"/>
    <w:rsid w:val="00F9653B"/>
    <w:rsid w:val="00FA2544"/>
    <w:rsid w:val="00FA2BBB"/>
    <w:rsid w:val="00FB2267"/>
    <w:rsid w:val="00FB62CF"/>
    <w:rsid w:val="00FB7998"/>
    <w:rsid w:val="00FC212B"/>
    <w:rsid w:val="00FC6201"/>
    <w:rsid w:val="00FD0012"/>
    <w:rsid w:val="00FD1FFA"/>
    <w:rsid w:val="00FD3C3B"/>
    <w:rsid w:val="00FD3E14"/>
    <w:rsid w:val="00FD3FB6"/>
    <w:rsid w:val="00FD477E"/>
    <w:rsid w:val="00FE07DD"/>
    <w:rsid w:val="00FE1588"/>
    <w:rsid w:val="00FE3FC2"/>
    <w:rsid w:val="00FE5818"/>
    <w:rsid w:val="00FE6B45"/>
    <w:rsid w:val="00FE77C5"/>
    <w:rsid w:val="00FF121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CE1"/>
    <w:rPr>
      <w:sz w:val="16"/>
      <w:szCs w:val="16"/>
    </w:rPr>
  </w:style>
  <w:style w:type="paragraph" w:styleId="CommentText">
    <w:name w:val="annotation text"/>
    <w:basedOn w:val="Normal"/>
    <w:link w:val="CommentTextChar"/>
    <w:uiPriority w:val="99"/>
    <w:unhideWhenUsed/>
    <w:rsid w:val="00302CE1"/>
    <w:rPr>
      <w:sz w:val="20"/>
      <w:szCs w:val="20"/>
    </w:rPr>
  </w:style>
  <w:style w:type="character" w:customStyle="1" w:styleId="CommentTextChar">
    <w:name w:val="Comment Text Char"/>
    <w:basedOn w:val="DefaultParagraphFont"/>
    <w:link w:val="CommentText"/>
    <w:uiPriority w:val="99"/>
    <w:rsid w:val="00302CE1"/>
    <w:rPr>
      <w:lang w:val="en-US" w:eastAsia="en-US"/>
    </w:rPr>
  </w:style>
  <w:style w:type="paragraph" w:styleId="CommentSubject">
    <w:name w:val="annotation subject"/>
    <w:basedOn w:val="CommentText"/>
    <w:next w:val="CommentText"/>
    <w:link w:val="CommentSubjectChar"/>
    <w:uiPriority w:val="99"/>
    <w:semiHidden/>
    <w:unhideWhenUsed/>
    <w:rsid w:val="00302CE1"/>
    <w:rPr>
      <w:b/>
      <w:bCs/>
    </w:rPr>
  </w:style>
  <w:style w:type="character" w:customStyle="1" w:styleId="CommentSubjectChar">
    <w:name w:val="Comment Subject Char"/>
    <w:basedOn w:val="CommentTextChar"/>
    <w:link w:val="CommentSubject"/>
    <w:uiPriority w:val="99"/>
    <w:semiHidden/>
    <w:rsid w:val="00302CE1"/>
    <w:rPr>
      <w:b/>
      <w:bCs/>
      <w:lang w:val="en-US" w:eastAsia="en-US"/>
    </w:rPr>
  </w:style>
  <w:style w:type="character" w:styleId="EndnoteReference">
    <w:name w:val="endnote reference"/>
    <w:basedOn w:val="DefaultParagraphFont"/>
    <w:uiPriority w:val="99"/>
    <w:semiHidden/>
    <w:unhideWhenUsed/>
    <w:rsid w:val="00F87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2578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BE5028B3004D0BAE4647F08E210A8E"/>
        <w:category>
          <w:name w:val="General"/>
          <w:gallery w:val="placeholder"/>
        </w:category>
        <w:types>
          <w:type w:val="bbPlcHdr"/>
        </w:types>
        <w:behaviors>
          <w:behavior w:val="content"/>
        </w:behaviors>
        <w:guid w:val="{7B56DAEF-09CA-4DD9-945B-30F26992D34E}"/>
      </w:docPartPr>
      <w:docPartBody>
        <w:p w:rsidR="000F5C4E" w:rsidRDefault="005A698C" w:rsidP="005A698C">
          <w:pPr>
            <w:pStyle w:val="C3BE5028B3004D0BAE4647F08E210A8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4647"/>
    <w:rsid w:val="000A55DC"/>
    <w:rsid w:val="000F5C4E"/>
    <w:rsid w:val="001504A0"/>
    <w:rsid w:val="00192D09"/>
    <w:rsid w:val="00200821"/>
    <w:rsid w:val="002C0E46"/>
    <w:rsid w:val="00394049"/>
    <w:rsid w:val="004602CD"/>
    <w:rsid w:val="004F0724"/>
    <w:rsid w:val="004F2DF8"/>
    <w:rsid w:val="00555CAF"/>
    <w:rsid w:val="00556CFF"/>
    <w:rsid w:val="005A698C"/>
    <w:rsid w:val="006415DB"/>
    <w:rsid w:val="00643A73"/>
    <w:rsid w:val="00682362"/>
    <w:rsid w:val="008A4753"/>
    <w:rsid w:val="00925379"/>
    <w:rsid w:val="009A261B"/>
    <w:rsid w:val="00AB5F33"/>
    <w:rsid w:val="00AC15A4"/>
    <w:rsid w:val="00B0336C"/>
    <w:rsid w:val="00E303A0"/>
    <w:rsid w:val="00F00D2F"/>
    <w:rsid w:val="00F128DF"/>
    <w:rsid w:val="00F8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98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35C4382517E74DB3B6EB40A4BBD34A45">
    <w:name w:val="35C4382517E74DB3B6EB40A4BBD34A45"/>
    <w:rsid w:val="005A698C"/>
  </w:style>
  <w:style w:type="paragraph" w:customStyle="1" w:styleId="C3BE5028B3004D0BAE4647F08E210A8E">
    <w:name w:val="C3BE5028B3004D0BAE4647F08E210A8E"/>
    <w:rsid w:val="005A6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1532-497C-4BC7-9A89-E69E58FE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3192</Words>
  <Characters>16700</Characters>
  <Application>Microsoft Office Word</Application>
  <DocSecurity>0</DocSecurity>
  <Lines>309</Lines>
  <Paragraphs>78</Paragraphs>
  <ScaleCrop>false</ScaleCrop>
  <Company/>
  <LinksUpToDate>false</LinksUpToDate>
  <CharactersWithSpaces>19814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188/18</dc:title>
  <dc:creator/>
  <cp:lastModifiedBy/>
  <cp:revision>1</cp:revision>
  <dcterms:created xsi:type="dcterms:W3CDTF">2019-03-13T17:18:00Z</dcterms:created>
  <dcterms:modified xsi:type="dcterms:W3CDTF">2019-03-13T17:18:00Z</dcterms:modified>
</cp:coreProperties>
</file>