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58E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6915F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1607">
                              <w:rPr>
                                <w:rFonts w:asciiTheme="majorHAnsi" w:hAnsiTheme="majorHAnsi" w:cs="Arial"/>
                                <w:b/>
                                <w:bCs/>
                                <w:color w:val="0D0D0D" w:themeColor="text1" w:themeTint="F2"/>
                                <w:sz w:val="36"/>
                                <w:szCs w:val="40"/>
                              </w:rPr>
                              <w:t>170</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54A6966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50CD">
                              <w:rPr>
                                <w:rFonts w:asciiTheme="majorHAnsi" w:hAnsiTheme="majorHAnsi" w:cs="Arial"/>
                                <w:b/>
                                <w:bCs/>
                                <w:color w:val="0D0D0D" w:themeColor="text1" w:themeTint="F2"/>
                                <w:sz w:val="36"/>
                                <w:szCs w:val="40"/>
                              </w:rPr>
                              <w:t>1620-09</w:t>
                            </w:r>
                          </w:p>
                          <w:p w14:paraId="34978E5A" w14:textId="1F9F9D7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F0D80">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C5F5756" w14:textId="77777777" w:rsidR="003750CD" w:rsidRPr="00E87C4E" w:rsidRDefault="003750CD" w:rsidP="003750CD">
                            <w:pPr>
                              <w:rPr>
                                <w:rFonts w:ascii="Cambria" w:hAnsi="Cambria" w:cs="Arial"/>
                                <w:color w:val="0D0D0D"/>
                                <w:lang w:val="es-ES"/>
                              </w:rPr>
                            </w:pPr>
                            <w:r w:rsidRPr="00E87C4E">
                              <w:rPr>
                                <w:rFonts w:ascii="Cambria" w:hAnsi="Cambria" w:cs="Arial"/>
                                <w:color w:val="0D0D0D"/>
                                <w:lang w:val="es-ES"/>
                              </w:rPr>
                              <w:t>GUSTAVO GUILLERMO RAMÍREZ CALDERÓN AND FAMILY</w:t>
                            </w:r>
                          </w:p>
                          <w:p w14:paraId="48EBC31A" w14:textId="30A664E5" w:rsidR="00F42B71" w:rsidRPr="004B625D" w:rsidRDefault="003750CD" w:rsidP="003750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A6E07">
                              <w:rPr>
                                <w:rFonts w:ascii="Cambria" w:hAnsi="Cambria" w:cs="Arial"/>
                                <w:color w:val="0D0D0D"/>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6915F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1607">
                        <w:rPr>
                          <w:rFonts w:asciiTheme="majorHAnsi" w:hAnsiTheme="majorHAnsi" w:cs="Arial"/>
                          <w:b/>
                          <w:bCs/>
                          <w:color w:val="0D0D0D" w:themeColor="text1" w:themeTint="F2"/>
                          <w:sz w:val="36"/>
                          <w:szCs w:val="40"/>
                        </w:rPr>
                        <w:t>170</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54A6966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50CD">
                        <w:rPr>
                          <w:rFonts w:asciiTheme="majorHAnsi" w:hAnsiTheme="majorHAnsi" w:cs="Arial"/>
                          <w:b/>
                          <w:bCs/>
                          <w:color w:val="0D0D0D" w:themeColor="text1" w:themeTint="F2"/>
                          <w:sz w:val="36"/>
                          <w:szCs w:val="40"/>
                        </w:rPr>
                        <w:t>1620-09</w:t>
                      </w:r>
                    </w:p>
                    <w:p w14:paraId="34978E5A" w14:textId="1F9F9D7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F0D80">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C5F5756" w14:textId="77777777" w:rsidR="003750CD" w:rsidRPr="00E87C4E" w:rsidRDefault="003750CD" w:rsidP="003750CD">
                      <w:pPr>
                        <w:rPr>
                          <w:rFonts w:ascii="Cambria" w:hAnsi="Cambria" w:cs="Arial"/>
                          <w:color w:val="0D0D0D"/>
                          <w:lang w:val="es-ES"/>
                        </w:rPr>
                      </w:pPr>
                      <w:r w:rsidRPr="00E87C4E">
                        <w:rPr>
                          <w:rFonts w:ascii="Cambria" w:hAnsi="Cambria" w:cs="Arial"/>
                          <w:color w:val="0D0D0D"/>
                          <w:lang w:val="es-ES"/>
                        </w:rPr>
                        <w:t>GUSTAVO GUILLERMO RAMÍREZ CALDERÓN AND FAMILY</w:t>
                      </w:r>
                    </w:p>
                    <w:p w14:paraId="48EBC31A" w14:textId="30A664E5" w:rsidR="00F42B71" w:rsidRPr="004B625D" w:rsidRDefault="003750CD" w:rsidP="003750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A6E07">
                        <w:rPr>
                          <w:rFonts w:ascii="Cambria" w:hAnsi="Cambria" w:cs="Arial"/>
                          <w:color w:val="0D0D0D"/>
                          <w:lang w:val="es-ES_tradnl"/>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2687D12" w:rsidR="00627C9F" w:rsidRPr="00581607" w:rsidRDefault="009E566A" w:rsidP="009E566A">
                            <w:pPr>
                              <w:jc w:val="right"/>
                              <w:rPr>
                                <w:rFonts w:asciiTheme="minorHAnsi" w:hAnsiTheme="minorHAnsi"/>
                                <w:color w:val="FFFFFF" w:themeColor="background1"/>
                                <w:sz w:val="22"/>
                                <w:lang w:val="pt-BR"/>
                              </w:rPr>
                            </w:pPr>
                            <w:r w:rsidRPr="00581607">
                              <w:rPr>
                                <w:rFonts w:asciiTheme="minorHAnsi" w:hAnsiTheme="minorHAnsi"/>
                                <w:color w:val="FFFFFF" w:themeColor="background1"/>
                                <w:sz w:val="22"/>
                                <w:lang w:val="pt-BR"/>
                              </w:rPr>
                              <w:t>OEA/Ser.L/V/II.</w:t>
                            </w:r>
                          </w:p>
                          <w:p w14:paraId="4AA08A8C" w14:textId="5EDE70F3" w:rsidR="00627C9F" w:rsidRPr="00581607" w:rsidRDefault="00CA6577" w:rsidP="009E566A">
                            <w:pPr>
                              <w:jc w:val="right"/>
                              <w:rPr>
                                <w:rFonts w:asciiTheme="minorHAnsi" w:hAnsiTheme="minorHAnsi"/>
                                <w:color w:val="FFFFFF" w:themeColor="background1"/>
                                <w:sz w:val="22"/>
                                <w:lang w:val="pt-BR"/>
                              </w:rPr>
                            </w:pPr>
                            <w:r w:rsidRPr="00581607">
                              <w:rPr>
                                <w:rFonts w:asciiTheme="minorHAnsi" w:hAnsiTheme="minorHAnsi"/>
                                <w:color w:val="FFFFFF" w:themeColor="background1"/>
                                <w:sz w:val="22"/>
                                <w:lang w:val="pt-BR"/>
                              </w:rPr>
                              <w:t xml:space="preserve">Doc. </w:t>
                            </w:r>
                            <w:r w:rsidR="00581607">
                              <w:rPr>
                                <w:rFonts w:asciiTheme="minorHAnsi" w:hAnsiTheme="minorHAnsi"/>
                                <w:color w:val="FFFFFF" w:themeColor="background1"/>
                                <w:sz w:val="22"/>
                                <w:lang w:val="pt-BR"/>
                              </w:rPr>
                              <w:t>192</w:t>
                            </w:r>
                          </w:p>
                          <w:p w14:paraId="0BEFF61A" w14:textId="52E46EA8" w:rsidR="00627C9F" w:rsidRPr="00581607" w:rsidRDefault="00022CF5" w:rsidP="009E566A">
                            <w:pPr>
                              <w:jc w:val="right"/>
                              <w:rPr>
                                <w:rFonts w:asciiTheme="minorHAnsi" w:hAnsiTheme="minorHAnsi"/>
                                <w:color w:val="FFFFFF" w:themeColor="background1"/>
                                <w:sz w:val="22"/>
                              </w:rPr>
                            </w:pPr>
                            <w:r w:rsidRPr="00581607">
                              <w:rPr>
                                <w:rFonts w:asciiTheme="minorHAnsi" w:hAnsiTheme="minorHAnsi"/>
                                <w:color w:val="FFFFFF" w:themeColor="background1"/>
                                <w:sz w:val="22"/>
                                <w:lang w:val="pt-BR"/>
                              </w:rPr>
                              <w:t xml:space="preserve"> </w:t>
                            </w:r>
                            <w:r w:rsidR="00581607">
                              <w:rPr>
                                <w:rFonts w:asciiTheme="minorHAnsi" w:hAnsiTheme="minorHAnsi"/>
                                <w:color w:val="FFFFFF" w:themeColor="background1"/>
                                <w:sz w:val="22"/>
                              </w:rPr>
                              <w:t>5 December 2019</w:t>
                            </w:r>
                          </w:p>
                          <w:p w14:paraId="0FC103BD" w14:textId="15E5B874" w:rsidR="00627C9F" w:rsidRPr="00581607" w:rsidRDefault="00627C9F" w:rsidP="009E566A">
                            <w:pPr>
                              <w:jc w:val="right"/>
                              <w:rPr>
                                <w:rFonts w:asciiTheme="minorHAnsi" w:hAnsiTheme="minorHAnsi"/>
                                <w:color w:val="FFFFFF" w:themeColor="background1"/>
                                <w:sz w:val="22"/>
                              </w:rPr>
                            </w:pPr>
                            <w:r w:rsidRPr="00581607">
                              <w:rPr>
                                <w:rFonts w:asciiTheme="minorHAnsi" w:hAnsiTheme="minorHAnsi"/>
                                <w:color w:val="FFFFFF" w:themeColor="background1"/>
                                <w:sz w:val="22"/>
                              </w:rPr>
                              <w:t>Original:</w:t>
                            </w:r>
                            <w:r w:rsidR="002C1641" w:rsidRPr="00581607">
                              <w:rPr>
                                <w:rFonts w:asciiTheme="minorHAnsi" w:hAnsiTheme="minorHAnsi"/>
                                <w:color w:val="FFFFFF" w:themeColor="background1"/>
                                <w:sz w:val="22"/>
                              </w:rPr>
                              <w:t xml:space="preserve"> </w:t>
                            </w:r>
                            <w:r w:rsidR="00F42B71" w:rsidRPr="0058160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2687D12" w:rsidR="00627C9F" w:rsidRPr="00581607" w:rsidRDefault="009E566A" w:rsidP="009E566A">
                      <w:pPr>
                        <w:jc w:val="right"/>
                        <w:rPr>
                          <w:rFonts w:asciiTheme="minorHAnsi" w:hAnsiTheme="minorHAnsi"/>
                          <w:color w:val="FFFFFF" w:themeColor="background1"/>
                          <w:sz w:val="22"/>
                          <w:lang w:val="pt-BR"/>
                        </w:rPr>
                      </w:pPr>
                      <w:r w:rsidRPr="00581607">
                        <w:rPr>
                          <w:rFonts w:asciiTheme="minorHAnsi" w:hAnsiTheme="minorHAnsi"/>
                          <w:color w:val="FFFFFF" w:themeColor="background1"/>
                          <w:sz w:val="22"/>
                          <w:lang w:val="pt-BR"/>
                        </w:rPr>
                        <w:t>OEA/Ser.L/V/II.</w:t>
                      </w:r>
                    </w:p>
                    <w:p w14:paraId="4AA08A8C" w14:textId="5EDE70F3" w:rsidR="00627C9F" w:rsidRPr="00581607" w:rsidRDefault="00CA6577" w:rsidP="009E566A">
                      <w:pPr>
                        <w:jc w:val="right"/>
                        <w:rPr>
                          <w:rFonts w:asciiTheme="minorHAnsi" w:hAnsiTheme="minorHAnsi"/>
                          <w:color w:val="FFFFFF" w:themeColor="background1"/>
                          <w:sz w:val="22"/>
                          <w:lang w:val="pt-BR"/>
                        </w:rPr>
                      </w:pPr>
                      <w:r w:rsidRPr="00581607">
                        <w:rPr>
                          <w:rFonts w:asciiTheme="minorHAnsi" w:hAnsiTheme="minorHAnsi"/>
                          <w:color w:val="FFFFFF" w:themeColor="background1"/>
                          <w:sz w:val="22"/>
                          <w:lang w:val="pt-BR"/>
                        </w:rPr>
                        <w:t xml:space="preserve">Doc. </w:t>
                      </w:r>
                      <w:r w:rsidR="00581607">
                        <w:rPr>
                          <w:rFonts w:asciiTheme="minorHAnsi" w:hAnsiTheme="minorHAnsi"/>
                          <w:color w:val="FFFFFF" w:themeColor="background1"/>
                          <w:sz w:val="22"/>
                          <w:lang w:val="pt-BR"/>
                        </w:rPr>
                        <w:t>192</w:t>
                      </w:r>
                    </w:p>
                    <w:p w14:paraId="0BEFF61A" w14:textId="52E46EA8" w:rsidR="00627C9F" w:rsidRPr="00581607" w:rsidRDefault="00022CF5" w:rsidP="009E566A">
                      <w:pPr>
                        <w:jc w:val="right"/>
                        <w:rPr>
                          <w:rFonts w:asciiTheme="minorHAnsi" w:hAnsiTheme="minorHAnsi"/>
                          <w:color w:val="FFFFFF" w:themeColor="background1"/>
                          <w:sz w:val="22"/>
                        </w:rPr>
                      </w:pPr>
                      <w:r w:rsidRPr="00581607">
                        <w:rPr>
                          <w:rFonts w:asciiTheme="minorHAnsi" w:hAnsiTheme="minorHAnsi"/>
                          <w:color w:val="FFFFFF" w:themeColor="background1"/>
                          <w:sz w:val="22"/>
                          <w:lang w:val="pt-BR"/>
                        </w:rPr>
                        <w:t xml:space="preserve"> </w:t>
                      </w:r>
                      <w:r w:rsidR="00581607">
                        <w:rPr>
                          <w:rFonts w:asciiTheme="minorHAnsi" w:hAnsiTheme="minorHAnsi"/>
                          <w:color w:val="FFFFFF" w:themeColor="background1"/>
                          <w:sz w:val="22"/>
                        </w:rPr>
                        <w:t>5 December 2019</w:t>
                      </w:r>
                    </w:p>
                    <w:p w14:paraId="0FC103BD" w14:textId="15E5B874" w:rsidR="00627C9F" w:rsidRPr="00581607" w:rsidRDefault="00627C9F" w:rsidP="009E566A">
                      <w:pPr>
                        <w:jc w:val="right"/>
                        <w:rPr>
                          <w:rFonts w:asciiTheme="minorHAnsi" w:hAnsiTheme="minorHAnsi"/>
                          <w:color w:val="FFFFFF" w:themeColor="background1"/>
                          <w:sz w:val="22"/>
                        </w:rPr>
                      </w:pPr>
                      <w:r w:rsidRPr="00581607">
                        <w:rPr>
                          <w:rFonts w:asciiTheme="minorHAnsi" w:hAnsiTheme="minorHAnsi"/>
                          <w:color w:val="FFFFFF" w:themeColor="background1"/>
                          <w:sz w:val="22"/>
                        </w:rPr>
                        <w:t>Original:</w:t>
                      </w:r>
                      <w:r w:rsidR="002C1641" w:rsidRPr="00581607">
                        <w:rPr>
                          <w:rFonts w:asciiTheme="minorHAnsi" w:hAnsiTheme="minorHAnsi"/>
                          <w:color w:val="FFFFFF" w:themeColor="background1"/>
                          <w:sz w:val="22"/>
                        </w:rPr>
                        <w:t xml:space="preserve"> </w:t>
                      </w:r>
                      <w:r w:rsidR="00F42B71" w:rsidRPr="0058160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FB86A1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8160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on </w:t>
                            </w:r>
                            <w:r w:rsidR="00581607">
                              <w:rPr>
                                <w:rFonts w:asciiTheme="majorHAnsi" w:hAnsiTheme="majorHAnsi"/>
                                <w:color w:val="0D0D0D" w:themeColor="text1" w:themeTint="F2"/>
                                <w:sz w:val="18"/>
                                <w:szCs w:val="20"/>
                              </w:rPr>
                              <w:t>December 5, 2019</w:t>
                            </w:r>
                            <w:r w:rsidR="00A94982">
                              <w:rPr>
                                <w:rFonts w:asciiTheme="majorHAnsi" w:hAnsiTheme="majorHAnsi"/>
                                <w:color w:val="0D0D0D" w:themeColor="text1" w:themeTint="F2"/>
                                <w:sz w:val="18"/>
                                <w:szCs w:val="20"/>
                              </w:rPr>
                              <w:t xml:space="preserve"> in San Salvador, El Salvador.</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FB86A1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81607">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on </w:t>
                      </w:r>
                      <w:r w:rsidR="00581607">
                        <w:rPr>
                          <w:rFonts w:asciiTheme="majorHAnsi" w:hAnsiTheme="majorHAnsi"/>
                          <w:color w:val="0D0D0D" w:themeColor="text1" w:themeTint="F2"/>
                          <w:sz w:val="18"/>
                          <w:szCs w:val="20"/>
                        </w:rPr>
                        <w:t>December 5, 2019</w:t>
                      </w:r>
                      <w:r w:rsidR="00A94982">
                        <w:rPr>
                          <w:rFonts w:asciiTheme="majorHAnsi" w:hAnsiTheme="majorHAnsi"/>
                          <w:color w:val="0D0D0D" w:themeColor="text1" w:themeTint="F2"/>
                          <w:sz w:val="18"/>
                          <w:szCs w:val="20"/>
                        </w:rPr>
                        <w:t xml:space="preserve"> in San Salvador, El Salvador.</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18EF6F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81607">
                              <w:rPr>
                                <w:rFonts w:asciiTheme="majorHAnsi" w:hAnsiTheme="majorHAnsi"/>
                                <w:color w:val="595959" w:themeColor="text1" w:themeTint="A6"/>
                                <w:sz w:val="18"/>
                              </w:rPr>
                              <w:t>170</w:t>
                            </w:r>
                            <w:r w:rsidR="00022CF5" w:rsidRPr="00CD157A">
                              <w:rPr>
                                <w:rFonts w:asciiTheme="majorHAnsi" w:hAnsiTheme="majorHAnsi"/>
                                <w:color w:val="595959" w:themeColor="text1" w:themeTint="A6"/>
                                <w:sz w:val="18"/>
                              </w:rPr>
                              <w:t>/</w:t>
                            </w:r>
                            <w:r w:rsidR="00581607">
                              <w:rPr>
                                <w:rFonts w:asciiTheme="majorHAnsi" w:hAnsiTheme="majorHAnsi"/>
                                <w:color w:val="595959" w:themeColor="text1" w:themeTint="A6"/>
                                <w:sz w:val="18"/>
                              </w:rPr>
                              <w:t>19</w:t>
                            </w:r>
                            <w:r w:rsidRPr="00CD157A">
                              <w:rPr>
                                <w:rFonts w:asciiTheme="majorHAnsi" w:hAnsiTheme="majorHAnsi"/>
                                <w:color w:val="595959" w:themeColor="text1" w:themeTint="A6"/>
                                <w:sz w:val="18"/>
                              </w:rPr>
                              <w:t xml:space="preserve">, </w:t>
                            </w:r>
                            <w:r w:rsidR="00F42B71" w:rsidRPr="00CD157A">
                              <w:rPr>
                                <w:rFonts w:asciiTheme="majorHAnsi" w:hAnsiTheme="majorHAnsi"/>
                                <w:color w:val="595959" w:themeColor="text1" w:themeTint="A6"/>
                                <w:sz w:val="18"/>
                              </w:rPr>
                              <w:t xml:space="preserve">Petition </w:t>
                            </w:r>
                            <w:r w:rsidR="003750CD">
                              <w:rPr>
                                <w:rFonts w:asciiTheme="majorHAnsi" w:hAnsiTheme="majorHAnsi"/>
                                <w:color w:val="595959" w:themeColor="text1" w:themeTint="A6"/>
                                <w:sz w:val="18"/>
                              </w:rPr>
                              <w:t>1620-09</w:t>
                            </w:r>
                            <w:r w:rsidRPr="00CD157A">
                              <w:rPr>
                                <w:rFonts w:asciiTheme="majorHAnsi" w:hAnsiTheme="majorHAnsi"/>
                                <w:color w:val="595959" w:themeColor="text1" w:themeTint="A6"/>
                                <w:sz w:val="18"/>
                              </w:rPr>
                              <w:t>.</w:t>
                            </w:r>
                            <w:r w:rsidR="009E566A" w:rsidRPr="00CD157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750CD" w:rsidRPr="00E87C4E">
                              <w:rPr>
                                <w:rFonts w:ascii="Cambria" w:hAnsi="Cambria"/>
                                <w:color w:val="595959" w:themeColor="text1" w:themeTint="A6"/>
                                <w:sz w:val="18"/>
                                <w:szCs w:val="18"/>
                              </w:rPr>
                              <w:t xml:space="preserve">Gustavo Guillermo </w:t>
                            </w:r>
                            <w:proofErr w:type="spellStart"/>
                            <w:r w:rsidR="003750CD" w:rsidRPr="00E87C4E">
                              <w:rPr>
                                <w:rFonts w:ascii="Cambria" w:hAnsi="Cambria"/>
                                <w:color w:val="595959" w:themeColor="text1" w:themeTint="A6"/>
                                <w:sz w:val="18"/>
                                <w:szCs w:val="18"/>
                              </w:rPr>
                              <w:t>Ramírez</w:t>
                            </w:r>
                            <w:proofErr w:type="spellEnd"/>
                            <w:r w:rsidR="003750CD" w:rsidRPr="00E87C4E">
                              <w:rPr>
                                <w:rFonts w:ascii="Cambria" w:hAnsi="Cambria"/>
                                <w:color w:val="595959" w:themeColor="text1" w:themeTint="A6"/>
                                <w:sz w:val="18"/>
                                <w:szCs w:val="18"/>
                              </w:rPr>
                              <w:t xml:space="preserve"> </w:t>
                            </w:r>
                            <w:proofErr w:type="spellStart"/>
                            <w:r w:rsidR="003750CD" w:rsidRPr="00E87C4E">
                              <w:rPr>
                                <w:rFonts w:ascii="Cambria" w:hAnsi="Cambria"/>
                                <w:color w:val="595959" w:themeColor="text1" w:themeTint="A6"/>
                                <w:sz w:val="18"/>
                                <w:szCs w:val="18"/>
                              </w:rPr>
                              <w:t>Calderón</w:t>
                            </w:r>
                            <w:proofErr w:type="spellEnd"/>
                            <w:r w:rsidR="003750CD" w:rsidRPr="00E87C4E">
                              <w:rPr>
                                <w:rFonts w:ascii="Cambria" w:hAnsi="Cambria"/>
                                <w:color w:val="595959" w:themeColor="text1" w:themeTint="A6"/>
                                <w:sz w:val="18"/>
                                <w:szCs w:val="18"/>
                              </w:rPr>
                              <w:t xml:space="preserve"> and family</w:t>
                            </w:r>
                            <w:r w:rsidR="003750CD">
                              <w:rPr>
                                <w:rFonts w:ascii="Cambria" w:hAnsi="Cambria"/>
                                <w:color w:val="595959" w:themeColor="text1" w:themeTint="A6"/>
                                <w:sz w:val="18"/>
                                <w:szCs w:val="18"/>
                              </w:rPr>
                              <w:t>.</w:t>
                            </w:r>
                            <w:r w:rsidR="003750CD" w:rsidRPr="00E87C4E">
                              <w:rPr>
                                <w:rFonts w:ascii="Cambria" w:hAnsi="Cambria"/>
                                <w:color w:val="595959" w:themeColor="text1" w:themeTint="A6"/>
                                <w:sz w:val="18"/>
                                <w:szCs w:val="18"/>
                              </w:rPr>
                              <w:t xml:space="preserve"> </w:t>
                            </w:r>
                            <w:r w:rsidR="003750CD">
                              <w:rPr>
                                <w:rFonts w:ascii="Cambria" w:hAnsi="Cambria"/>
                                <w:color w:val="595959" w:themeColor="text1" w:themeTint="A6"/>
                                <w:sz w:val="18"/>
                                <w:szCs w:val="18"/>
                              </w:rPr>
                              <w:t>Chile</w:t>
                            </w:r>
                            <w:r w:rsidR="00022CF5">
                              <w:rPr>
                                <w:rFonts w:asciiTheme="majorHAnsi" w:hAnsiTheme="majorHAnsi"/>
                                <w:color w:val="595959" w:themeColor="text1" w:themeTint="A6"/>
                                <w:sz w:val="18"/>
                              </w:rPr>
                              <w:t xml:space="preserve">. </w:t>
                            </w:r>
                            <w:r w:rsidR="00581607">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18EF6F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81607">
                        <w:rPr>
                          <w:rFonts w:asciiTheme="majorHAnsi" w:hAnsiTheme="majorHAnsi"/>
                          <w:color w:val="595959" w:themeColor="text1" w:themeTint="A6"/>
                          <w:sz w:val="18"/>
                        </w:rPr>
                        <w:t>170</w:t>
                      </w:r>
                      <w:r w:rsidR="00022CF5" w:rsidRPr="00CD157A">
                        <w:rPr>
                          <w:rFonts w:asciiTheme="majorHAnsi" w:hAnsiTheme="majorHAnsi"/>
                          <w:color w:val="595959" w:themeColor="text1" w:themeTint="A6"/>
                          <w:sz w:val="18"/>
                        </w:rPr>
                        <w:t>/</w:t>
                      </w:r>
                      <w:r w:rsidR="00581607">
                        <w:rPr>
                          <w:rFonts w:asciiTheme="majorHAnsi" w:hAnsiTheme="majorHAnsi"/>
                          <w:color w:val="595959" w:themeColor="text1" w:themeTint="A6"/>
                          <w:sz w:val="18"/>
                        </w:rPr>
                        <w:t>19</w:t>
                      </w:r>
                      <w:r w:rsidRPr="00CD157A">
                        <w:rPr>
                          <w:rFonts w:asciiTheme="majorHAnsi" w:hAnsiTheme="majorHAnsi"/>
                          <w:color w:val="595959" w:themeColor="text1" w:themeTint="A6"/>
                          <w:sz w:val="18"/>
                        </w:rPr>
                        <w:t xml:space="preserve">, </w:t>
                      </w:r>
                      <w:r w:rsidR="00F42B71" w:rsidRPr="00CD157A">
                        <w:rPr>
                          <w:rFonts w:asciiTheme="majorHAnsi" w:hAnsiTheme="majorHAnsi"/>
                          <w:color w:val="595959" w:themeColor="text1" w:themeTint="A6"/>
                          <w:sz w:val="18"/>
                        </w:rPr>
                        <w:t xml:space="preserve">Petition </w:t>
                      </w:r>
                      <w:r w:rsidR="003750CD">
                        <w:rPr>
                          <w:rFonts w:asciiTheme="majorHAnsi" w:hAnsiTheme="majorHAnsi"/>
                          <w:color w:val="595959" w:themeColor="text1" w:themeTint="A6"/>
                          <w:sz w:val="18"/>
                        </w:rPr>
                        <w:t>1620-09</w:t>
                      </w:r>
                      <w:r w:rsidRPr="00CD157A">
                        <w:rPr>
                          <w:rFonts w:asciiTheme="majorHAnsi" w:hAnsiTheme="majorHAnsi"/>
                          <w:color w:val="595959" w:themeColor="text1" w:themeTint="A6"/>
                          <w:sz w:val="18"/>
                        </w:rPr>
                        <w:t>.</w:t>
                      </w:r>
                      <w:r w:rsidR="009E566A" w:rsidRPr="00CD157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750CD" w:rsidRPr="00E87C4E">
                        <w:rPr>
                          <w:rFonts w:ascii="Cambria" w:hAnsi="Cambria"/>
                          <w:color w:val="595959" w:themeColor="text1" w:themeTint="A6"/>
                          <w:sz w:val="18"/>
                          <w:szCs w:val="18"/>
                        </w:rPr>
                        <w:t xml:space="preserve">Gustavo Guillermo </w:t>
                      </w:r>
                      <w:proofErr w:type="spellStart"/>
                      <w:r w:rsidR="003750CD" w:rsidRPr="00E87C4E">
                        <w:rPr>
                          <w:rFonts w:ascii="Cambria" w:hAnsi="Cambria"/>
                          <w:color w:val="595959" w:themeColor="text1" w:themeTint="A6"/>
                          <w:sz w:val="18"/>
                          <w:szCs w:val="18"/>
                        </w:rPr>
                        <w:t>Ramírez</w:t>
                      </w:r>
                      <w:proofErr w:type="spellEnd"/>
                      <w:r w:rsidR="003750CD" w:rsidRPr="00E87C4E">
                        <w:rPr>
                          <w:rFonts w:ascii="Cambria" w:hAnsi="Cambria"/>
                          <w:color w:val="595959" w:themeColor="text1" w:themeTint="A6"/>
                          <w:sz w:val="18"/>
                          <w:szCs w:val="18"/>
                        </w:rPr>
                        <w:t xml:space="preserve"> </w:t>
                      </w:r>
                      <w:proofErr w:type="spellStart"/>
                      <w:r w:rsidR="003750CD" w:rsidRPr="00E87C4E">
                        <w:rPr>
                          <w:rFonts w:ascii="Cambria" w:hAnsi="Cambria"/>
                          <w:color w:val="595959" w:themeColor="text1" w:themeTint="A6"/>
                          <w:sz w:val="18"/>
                          <w:szCs w:val="18"/>
                        </w:rPr>
                        <w:t>Calderón</w:t>
                      </w:r>
                      <w:proofErr w:type="spellEnd"/>
                      <w:r w:rsidR="003750CD" w:rsidRPr="00E87C4E">
                        <w:rPr>
                          <w:rFonts w:ascii="Cambria" w:hAnsi="Cambria"/>
                          <w:color w:val="595959" w:themeColor="text1" w:themeTint="A6"/>
                          <w:sz w:val="18"/>
                          <w:szCs w:val="18"/>
                        </w:rPr>
                        <w:t xml:space="preserve"> and family</w:t>
                      </w:r>
                      <w:r w:rsidR="003750CD">
                        <w:rPr>
                          <w:rFonts w:ascii="Cambria" w:hAnsi="Cambria"/>
                          <w:color w:val="595959" w:themeColor="text1" w:themeTint="A6"/>
                          <w:sz w:val="18"/>
                          <w:szCs w:val="18"/>
                        </w:rPr>
                        <w:t>.</w:t>
                      </w:r>
                      <w:r w:rsidR="003750CD" w:rsidRPr="00E87C4E">
                        <w:rPr>
                          <w:rFonts w:ascii="Cambria" w:hAnsi="Cambria"/>
                          <w:color w:val="595959" w:themeColor="text1" w:themeTint="A6"/>
                          <w:sz w:val="18"/>
                          <w:szCs w:val="18"/>
                        </w:rPr>
                        <w:t xml:space="preserve"> </w:t>
                      </w:r>
                      <w:r w:rsidR="003750CD">
                        <w:rPr>
                          <w:rFonts w:ascii="Cambria" w:hAnsi="Cambria"/>
                          <w:color w:val="595959" w:themeColor="text1" w:themeTint="A6"/>
                          <w:sz w:val="18"/>
                          <w:szCs w:val="18"/>
                        </w:rPr>
                        <w:t>Chile</w:t>
                      </w:r>
                      <w:r w:rsidR="00022CF5">
                        <w:rPr>
                          <w:rFonts w:asciiTheme="majorHAnsi" w:hAnsiTheme="majorHAnsi"/>
                          <w:color w:val="595959" w:themeColor="text1" w:themeTint="A6"/>
                          <w:sz w:val="18"/>
                        </w:rPr>
                        <w:t xml:space="preserve">. </w:t>
                      </w:r>
                      <w:r w:rsidR="00581607">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750CD" w:rsidRPr="00A94982" w14:paraId="491E8196" w14:textId="77777777" w:rsidTr="003750CD">
        <w:tc>
          <w:tcPr>
            <w:tcW w:w="2790" w:type="dxa"/>
            <w:tcBorders>
              <w:top w:val="single" w:sz="4" w:space="0" w:color="auto"/>
              <w:bottom w:val="single" w:sz="6" w:space="0" w:color="auto"/>
            </w:tcBorders>
            <w:shd w:val="clear" w:color="auto" w:fill="67AE3C"/>
            <w:vAlign w:val="center"/>
          </w:tcPr>
          <w:p w14:paraId="5524F917" w14:textId="24898A81" w:rsidR="003750CD" w:rsidRPr="00C355B4" w:rsidRDefault="003750CD"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6C8EECF2" w14:textId="3DE9F698" w:rsidR="003750CD" w:rsidRPr="00A94982" w:rsidRDefault="003750CD" w:rsidP="009163FC">
            <w:pPr>
              <w:jc w:val="both"/>
              <w:rPr>
                <w:rFonts w:ascii="Cambria" w:hAnsi="Cambria"/>
                <w:bCs/>
                <w:sz w:val="19"/>
                <w:szCs w:val="19"/>
                <w:lang w:val="es-US"/>
              </w:rPr>
            </w:pPr>
            <w:r w:rsidRPr="00A94982">
              <w:rPr>
                <w:rFonts w:ascii="Cambria" w:hAnsi="Cambria"/>
                <w:bCs/>
                <w:sz w:val="19"/>
                <w:szCs w:val="19"/>
                <w:lang w:val="es-US"/>
              </w:rPr>
              <w:t xml:space="preserve">Nelson </w:t>
            </w:r>
            <w:proofErr w:type="spellStart"/>
            <w:r w:rsidRPr="00A94982">
              <w:rPr>
                <w:rFonts w:ascii="Cambria" w:hAnsi="Cambria"/>
                <w:bCs/>
                <w:sz w:val="19"/>
                <w:szCs w:val="19"/>
                <w:lang w:val="es-US"/>
              </w:rPr>
              <w:t>Caucoto</w:t>
            </w:r>
            <w:proofErr w:type="spellEnd"/>
            <w:r w:rsidRPr="00A94982">
              <w:rPr>
                <w:rFonts w:ascii="Cambria" w:hAnsi="Cambria"/>
                <w:bCs/>
                <w:sz w:val="19"/>
                <w:szCs w:val="19"/>
                <w:lang w:val="es-US"/>
              </w:rPr>
              <w:t xml:space="preserve"> Pereira and Paulina Ester Galván Calderón</w:t>
            </w:r>
            <w:r>
              <w:rPr>
                <w:rStyle w:val="FootnoteReference"/>
                <w:rFonts w:ascii="Cambria" w:hAnsi="Cambria"/>
                <w:bCs/>
                <w:sz w:val="19"/>
                <w:szCs w:val="19"/>
              </w:rPr>
              <w:footnoteReference w:id="2"/>
            </w:r>
          </w:p>
        </w:tc>
      </w:tr>
      <w:tr w:rsidR="003750CD" w:rsidRPr="00A94982" w14:paraId="0F4A57A0" w14:textId="77777777" w:rsidTr="003750CD">
        <w:tc>
          <w:tcPr>
            <w:tcW w:w="2790" w:type="dxa"/>
            <w:tcBorders>
              <w:top w:val="single" w:sz="6" w:space="0" w:color="auto"/>
              <w:bottom w:val="single" w:sz="6" w:space="0" w:color="auto"/>
            </w:tcBorders>
            <w:shd w:val="clear" w:color="auto" w:fill="67AE3C"/>
            <w:vAlign w:val="center"/>
          </w:tcPr>
          <w:p w14:paraId="325E239F" w14:textId="315FD772" w:rsidR="003750CD" w:rsidRPr="00C355B4" w:rsidRDefault="003750CD"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1BDC4630" w14:textId="1FAA317B" w:rsidR="003750CD" w:rsidRPr="003750CD" w:rsidRDefault="003750CD" w:rsidP="009163FC">
            <w:pPr>
              <w:jc w:val="both"/>
              <w:rPr>
                <w:rFonts w:ascii="Cambria" w:hAnsi="Cambria"/>
                <w:bCs/>
                <w:sz w:val="19"/>
                <w:szCs w:val="19"/>
                <w:lang w:val="es-ES"/>
              </w:rPr>
            </w:pPr>
            <w:r w:rsidRPr="003750CD">
              <w:rPr>
                <w:rFonts w:ascii="Cambria" w:hAnsi="Cambria"/>
                <w:bCs/>
                <w:sz w:val="19"/>
                <w:szCs w:val="19"/>
                <w:lang w:val="es-ES"/>
              </w:rPr>
              <w:t>Gustavo Guillermo Ramírez Calderón and family</w:t>
            </w:r>
            <w:r>
              <w:rPr>
                <w:rStyle w:val="FootnoteReference"/>
                <w:rFonts w:ascii="Cambria" w:hAnsi="Cambria"/>
                <w:bCs/>
                <w:sz w:val="19"/>
                <w:szCs w:val="19"/>
              </w:rPr>
              <w:footnoteReference w:id="3"/>
            </w:r>
          </w:p>
        </w:tc>
      </w:tr>
      <w:tr w:rsidR="003750CD" w:rsidRPr="000B6B7A" w14:paraId="067638D2" w14:textId="77777777" w:rsidTr="003750CD">
        <w:tc>
          <w:tcPr>
            <w:tcW w:w="2790" w:type="dxa"/>
            <w:tcBorders>
              <w:top w:val="single" w:sz="6" w:space="0" w:color="auto"/>
              <w:bottom w:val="single" w:sz="6" w:space="0" w:color="auto"/>
            </w:tcBorders>
            <w:shd w:val="clear" w:color="auto" w:fill="67AE3C"/>
            <w:vAlign w:val="center"/>
          </w:tcPr>
          <w:p w14:paraId="32104528" w14:textId="69A38811" w:rsidR="003750CD" w:rsidRPr="00C355B4" w:rsidRDefault="003750CD"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22946222" w14:textId="2860D0DE" w:rsidR="003750CD" w:rsidRDefault="003750CD" w:rsidP="009163FC">
            <w:pPr>
              <w:jc w:val="both"/>
              <w:rPr>
                <w:rFonts w:ascii="Cambria" w:hAnsi="Cambria"/>
                <w:bCs/>
                <w:sz w:val="19"/>
                <w:szCs w:val="19"/>
              </w:rPr>
            </w:pPr>
            <w:r>
              <w:rPr>
                <w:rFonts w:ascii="Cambria" w:hAnsi="Cambria"/>
                <w:bCs/>
                <w:sz w:val="19"/>
                <w:szCs w:val="19"/>
              </w:rPr>
              <w:t>Chile</w:t>
            </w:r>
            <w:r w:rsidRPr="00666340">
              <w:rPr>
                <w:rFonts w:ascii="Cambria" w:hAnsi="Cambria"/>
                <w:bCs/>
                <w:sz w:val="19"/>
                <w:szCs w:val="19"/>
                <w:vertAlign w:val="superscript"/>
              </w:rPr>
              <w:footnoteReference w:id="4"/>
            </w:r>
          </w:p>
        </w:tc>
      </w:tr>
      <w:tr w:rsidR="003750CD" w:rsidRPr="000B6B7A" w14:paraId="57F2C481" w14:textId="77777777" w:rsidTr="003750CD">
        <w:tc>
          <w:tcPr>
            <w:tcW w:w="2790" w:type="dxa"/>
            <w:tcBorders>
              <w:top w:val="single" w:sz="6" w:space="0" w:color="auto"/>
              <w:bottom w:val="single" w:sz="6" w:space="0" w:color="auto"/>
            </w:tcBorders>
            <w:shd w:val="clear" w:color="auto" w:fill="67AE3C"/>
            <w:vAlign w:val="center"/>
          </w:tcPr>
          <w:p w14:paraId="62BEEF4B" w14:textId="5FB9688D" w:rsidR="003750CD" w:rsidRPr="00C355B4" w:rsidRDefault="003750C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695A9CC0" w14:textId="7D00D233" w:rsidR="003750CD" w:rsidRDefault="003750CD" w:rsidP="006F0D80">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(life), 5 (personal integrity), 8 (</w:t>
            </w:r>
            <w:r w:rsidR="006F0D80">
              <w:rPr>
                <w:rFonts w:ascii="Cambria" w:hAnsi="Cambria"/>
                <w:bCs/>
                <w:sz w:val="19"/>
                <w:szCs w:val="19"/>
              </w:rPr>
              <w:t>fair trial</w:t>
            </w:r>
            <w:r>
              <w:rPr>
                <w:rFonts w:ascii="Cambria" w:hAnsi="Cambria"/>
                <w:bCs/>
                <w:sz w:val="19"/>
                <w:szCs w:val="19"/>
              </w:rPr>
              <w:t xml:space="preserve">) and </w:t>
            </w:r>
            <w:r w:rsidR="00A94982">
              <w:rPr>
                <w:rFonts w:ascii="Cambria" w:hAnsi="Cambria"/>
                <w:bCs/>
                <w:sz w:val="19"/>
                <w:szCs w:val="19"/>
              </w:rPr>
              <w:t>Article</w:t>
            </w:r>
            <w:r>
              <w:rPr>
                <w:rFonts w:ascii="Cambria" w:hAnsi="Cambria"/>
                <w:bCs/>
                <w:sz w:val="19"/>
                <w:szCs w:val="19"/>
              </w:rPr>
              <w:t xml:space="preserve"> 25 (judicial protection) of the American Convention on Human Rights</w:t>
            </w:r>
            <w:r>
              <w:rPr>
                <w:rStyle w:val="FootnoteReference"/>
                <w:rFonts w:ascii="Cambria" w:hAnsi="Cambria"/>
                <w:bCs/>
                <w:sz w:val="19"/>
                <w:szCs w:val="19"/>
              </w:rPr>
              <w:footnoteReference w:id="5"/>
            </w:r>
            <w:r>
              <w:rPr>
                <w:rFonts w:ascii="Cambria" w:hAnsi="Cambria"/>
                <w:bCs/>
                <w:sz w:val="19"/>
                <w:szCs w:val="19"/>
              </w:rPr>
              <w:t xml:space="preserve"> in relation to </w:t>
            </w:r>
            <w:r w:rsidR="00A94982">
              <w:rPr>
                <w:rFonts w:ascii="Cambria" w:hAnsi="Cambria"/>
                <w:bCs/>
                <w:sz w:val="19"/>
                <w:szCs w:val="19"/>
              </w:rPr>
              <w:t>Article</w:t>
            </w:r>
            <w:r>
              <w:rPr>
                <w:rFonts w:ascii="Cambria" w:hAnsi="Cambria"/>
                <w:bCs/>
                <w:sz w:val="19"/>
                <w:szCs w:val="19"/>
              </w:rPr>
              <w:t>s 1.1 (obligation to respect</w:t>
            </w:r>
            <w:r w:rsidR="00687DBB">
              <w:rPr>
                <w:rFonts w:ascii="Cambria" w:hAnsi="Cambria"/>
                <w:bCs/>
                <w:sz w:val="19"/>
                <w:szCs w:val="19"/>
              </w:rPr>
              <w:t xml:space="preserve"> respects</w:t>
            </w:r>
            <w:r>
              <w:rPr>
                <w:rFonts w:ascii="Cambria" w:hAnsi="Cambria"/>
                <w:bCs/>
                <w:sz w:val="19"/>
                <w:szCs w:val="19"/>
              </w:rPr>
              <w:t xml:space="preserve">) </w:t>
            </w:r>
            <w:r w:rsidRPr="006042CF">
              <w:rPr>
                <w:rFonts w:ascii="Cambria" w:hAnsi="Cambria"/>
                <w:bCs/>
                <w:sz w:val="19"/>
                <w:szCs w:val="19"/>
              </w:rPr>
              <w:t>and 2 (duty to adopt domestic legislation)</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750CD" w:rsidRPr="000B6B7A" w14:paraId="1CAEC3AF" w14:textId="77777777" w:rsidTr="003750CD">
        <w:tc>
          <w:tcPr>
            <w:tcW w:w="2790" w:type="dxa"/>
            <w:tcBorders>
              <w:top w:val="single" w:sz="6" w:space="0" w:color="auto"/>
              <w:bottom w:val="single" w:sz="6" w:space="0" w:color="auto"/>
            </w:tcBorders>
            <w:shd w:val="clear" w:color="auto" w:fill="67AE3C"/>
            <w:vAlign w:val="center"/>
          </w:tcPr>
          <w:p w14:paraId="2C2ED774" w14:textId="03B558C0" w:rsidR="003750CD" w:rsidRPr="00C355B4" w:rsidRDefault="003750CD"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24C18F31" w14:textId="2D494474" w:rsidR="003750CD" w:rsidRPr="00C355B4" w:rsidRDefault="003750CD" w:rsidP="009163FC">
            <w:pPr>
              <w:jc w:val="both"/>
              <w:rPr>
                <w:rFonts w:ascii="Cambria" w:hAnsi="Cambria"/>
                <w:bCs/>
                <w:sz w:val="19"/>
                <w:szCs w:val="19"/>
              </w:rPr>
            </w:pPr>
            <w:r>
              <w:rPr>
                <w:rFonts w:ascii="Cambria" w:hAnsi="Cambria"/>
                <w:bCs/>
                <w:sz w:val="19"/>
                <w:szCs w:val="19"/>
              </w:rPr>
              <w:t>December 11, 2009</w:t>
            </w:r>
          </w:p>
        </w:tc>
      </w:tr>
      <w:tr w:rsidR="003750CD" w:rsidRPr="000B6B7A" w14:paraId="7EAB2BD7" w14:textId="77777777" w:rsidTr="003750CD">
        <w:tc>
          <w:tcPr>
            <w:tcW w:w="2790" w:type="dxa"/>
            <w:tcBorders>
              <w:top w:val="single" w:sz="6" w:space="0" w:color="auto"/>
              <w:bottom w:val="single" w:sz="6" w:space="0" w:color="auto"/>
            </w:tcBorders>
            <w:shd w:val="clear" w:color="auto" w:fill="67AE3C"/>
            <w:vAlign w:val="center"/>
          </w:tcPr>
          <w:p w14:paraId="79E6B4A9" w14:textId="4819E596" w:rsidR="003750CD" w:rsidRPr="00C355B4" w:rsidRDefault="003750CD"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62874DAF" w14:textId="6ED3D501" w:rsidR="003750CD" w:rsidRPr="00C355B4" w:rsidRDefault="003750CD" w:rsidP="009163FC">
            <w:pPr>
              <w:jc w:val="both"/>
              <w:rPr>
                <w:rFonts w:ascii="Cambria" w:hAnsi="Cambria"/>
                <w:bCs/>
                <w:sz w:val="19"/>
                <w:szCs w:val="19"/>
              </w:rPr>
            </w:pPr>
            <w:r>
              <w:rPr>
                <w:rFonts w:ascii="Cambria" w:hAnsi="Cambria"/>
                <w:bCs/>
                <w:sz w:val="19"/>
                <w:szCs w:val="19"/>
              </w:rPr>
              <w:t>May 7, 2014</w:t>
            </w:r>
          </w:p>
        </w:tc>
      </w:tr>
      <w:tr w:rsidR="003750CD" w:rsidRPr="000B6B7A" w14:paraId="56560AE1" w14:textId="77777777" w:rsidTr="003750CD">
        <w:trPr>
          <w:trHeight w:val="264"/>
        </w:trPr>
        <w:tc>
          <w:tcPr>
            <w:tcW w:w="2790" w:type="dxa"/>
            <w:tcBorders>
              <w:top w:val="single" w:sz="6" w:space="0" w:color="auto"/>
              <w:bottom w:val="single" w:sz="6" w:space="0" w:color="auto"/>
            </w:tcBorders>
            <w:shd w:val="clear" w:color="auto" w:fill="67AE3C"/>
            <w:vAlign w:val="center"/>
          </w:tcPr>
          <w:p w14:paraId="07BDDCA2" w14:textId="5C33D8F7" w:rsidR="003750CD" w:rsidRPr="00C355B4" w:rsidRDefault="003750CD"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77FB92C3" w14:textId="4F9F706A" w:rsidR="003750CD" w:rsidRPr="00C355B4" w:rsidRDefault="003750CD" w:rsidP="009163FC">
            <w:pPr>
              <w:jc w:val="both"/>
              <w:rPr>
                <w:rFonts w:ascii="Cambria" w:hAnsi="Cambria"/>
                <w:bCs/>
                <w:sz w:val="19"/>
                <w:szCs w:val="19"/>
              </w:rPr>
            </w:pPr>
            <w:r>
              <w:rPr>
                <w:rFonts w:ascii="Cambria" w:hAnsi="Cambria"/>
                <w:bCs/>
                <w:sz w:val="19"/>
                <w:szCs w:val="19"/>
              </w:rPr>
              <w:t>August 25, 2016</w:t>
            </w:r>
          </w:p>
        </w:tc>
      </w:tr>
      <w:tr w:rsidR="003750CD" w:rsidRPr="000B6B7A" w14:paraId="718737D9" w14:textId="77777777" w:rsidTr="003750CD">
        <w:tc>
          <w:tcPr>
            <w:tcW w:w="2790" w:type="dxa"/>
            <w:tcBorders>
              <w:top w:val="single" w:sz="6" w:space="0" w:color="auto"/>
              <w:bottom w:val="single" w:sz="6" w:space="0" w:color="auto"/>
            </w:tcBorders>
            <w:shd w:val="clear" w:color="auto" w:fill="67AE3C"/>
            <w:vAlign w:val="center"/>
          </w:tcPr>
          <w:p w14:paraId="2F925819" w14:textId="1CDB5F8A" w:rsidR="003750CD" w:rsidRPr="00C355B4" w:rsidRDefault="003750CD"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 of the possible archiving of the petition</w:t>
            </w:r>
          </w:p>
        </w:tc>
        <w:tc>
          <w:tcPr>
            <w:tcW w:w="6570" w:type="dxa"/>
            <w:vAlign w:val="center"/>
          </w:tcPr>
          <w:p w14:paraId="1BF9C56F" w14:textId="32A85F76" w:rsidR="003750CD" w:rsidRPr="00C355B4" w:rsidRDefault="003750CD" w:rsidP="009163FC">
            <w:pPr>
              <w:jc w:val="both"/>
              <w:rPr>
                <w:rFonts w:ascii="Cambria" w:hAnsi="Cambria"/>
                <w:bCs/>
                <w:sz w:val="19"/>
                <w:szCs w:val="19"/>
              </w:rPr>
            </w:pPr>
            <w:r>
              <w:rPr>
                <w:rFonts w:ascii="Cambria" w:hAnsi="Cambria"/>
                <w:bCs/>
                <w:sz w:val="19"/>
                <w:szCs w:val="19"/>
              </w:rPr>
              <w:t>November 7, 2017</w:t>
            </w:r>
          </w:p>
        </w:tc>
      </w:tr>
      <w:tr w:rsidR="003750CD" w:rsidRPr="000B6B7A" w14:paraId="09808A81" w14:textId="77777777" w:rsidTr="003750CD">
        <w:tc>
          <w:tcPr>
            <w:tcW w:w="2790" w:type="dxa"/>
            <w:tcBorders>
              <w:top w:val="single" w:sz="6" w:space="0" w:color="auto"/>
              <w:bottom w:val="single" w:sz="6" w:space="0" w:color="auto"/>
            </w:tcBorders>
            <w:shd w:val="clear" w:color="auto" w:fill="67AE3C"/>
            <w:vAlign w:val="center"/>
          </w:tcPr>
          <w:p w14:paraId="49BCEA0B" w14:textId="6065F074" w:rsidR="003750CD" w:rsidRPr="00C355B4" w:rsidRDefault="003750CD"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Pr="00C355B4">
              <w:rPr>
                <w:rFonts w:ascii="Cambria" w:hAnsi="Cambria"/>
                <w:bCs/>
                <w:color w:val="FFFFFF" w:themeColor="background1"/>
                <w:sz w:val="19"/>
                <w:szCs w:val="19"/>
              </w:rPr>
              <w:t xml:space="preserve"> to the notification regarding the possible archiving of the petition</w:t>
            </w:r>
          </w:p>
        </w:tc>
        <w:tc>
          <w:tcPr>
            <w:tcW w:w="6570" w:type="dxa"/>
            <w:vAlign w:val="center"/>
          </w:tcPr>
          <w:p w14:paraId="2A7F1B4E" w14:textId="0062FA41" w:rsidR="003750CD" w:rsidRPr="00C355B4" w:rsidRDefault="003750CD" w:rsidP="009163FC">
            <w:pPr>
              <w:jc w:val="both"/>
              <w:rPr>
                <w:rFonts w:ascii="Cambria" w:hAnsi="Cambria"/>
                <w:bCs/>
                <w:sz w:val="19"/>
                <w:szCs w:val="19"/>
              </w:rPr>
            </w:pPr>
            <w:r>
              <w:rPr>
                <w:rFonts w:ascii="Cambria" w:hAnsi="Cambria"/>
                <w:bCs/>
                <w:sz w:val="19"/>
                <w:szCs w:val="19"/>
              </w:rPr>
              <w:t>November 27,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750CD" w:rsidRPr="000B6B7A" w14:paraId="2F81CC8B" w14:textId="77777777" w:rsidTr="003750CD">
        <w:trPr>
          <w:cantSplit/>
        </w:trPr>
        <w:tc>
          <w:tcPr>
            <w:tcW w:w="2790" w:type="dxa"/>
            <w:tcBorders>
              <w:top w:val="single" w:sz="4" w:space="0" w:color="auto"/>
              <w:bottom w:val="single" w:sz="6" w:space="0" w:color="auto"/>
            </w:tcBorders>
            <w:shd w:val="clear" w:color="auto" w:fill="67AE3C"/>
            <w:vAlign w:val="center"/>
          </w:tcPr>
          <w:p w14:paraId="3A568008" w14:textId="4F1CFB62" w:rsidR="003750CD" w:rsidRPr="00C355B4" w:rsidRDefault="003750CD"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53ABBBA5" w14:textId="6915B785" w:rsidR="003750CD" w:rsidRPr="00C355B4" w:rsidRDefault="003750CD" w:rsidP="009163FC">
            <w:pPr>
              <w:rPr>
                <w:rFonts w:asciiTheme="majorHAnsi" w:hAnsiTheme="majorHAnsi"/>
                <w:bCs/>
                <w:sz w:val="19"/>
                <w:szCs w:val="19"/>
              </w:rPr>
            </w:pPr>
            <w:r>
              <w:rPr>
                <w:rFonts w:ascii="Cambria" w:hAnsi="Cambria"/>
                <w:bCs/>
                <w:sz w:val="19"/>
                <w:szCs w:val="19"/>
              </w:rPr>
              <w:t>Yes</w:t>
            </w:r>
          </w:p>
        </w:tc>
      </w:tr>
      <w:tr w:rsidR="003750CD" w:rsidRPr="000B6B7A" w14:paraId="5FE56D1B" w14:textId="77777777" w:rsidTr="003750CD">
        <w:trPr>
          <w:cantSplit/>
        </w:trPr>
        <w:tc>
          <w:tcPr>
            <w:tcW w:w="2790" w:type="dxa"/>
            <w:tcBorders>
              <w:top w:val="single" w:sz="6" w:space="0" w:color="auto"/>
              <w:bottom w:val="single" w:sz="6" w:space="0" w:color="auto"/>
            </w:tcBorders>
            <w:shd w:val="clear" w:color="auto" w:fill="67AE3C"/>
            <w:vAlign w:val="center"/>
          </w:tcPr>
          <w:p w14:paraId="2190B967" w14:textId="0E15553A" w:rsidR="003750CD" w:rsidRPr="00C355B4" w:rsidRDefault="003750CD"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0DDDE96F" w14:textId="012E5D9C" w:rsidR="003750CD" w:rsidRPr="00C355B4" w:rsidRDefault="003750CD" w:rsidP="009163FC">
            <w:pPr>
              <w:rPr>
                <w:rFonts w:asciiTheme="majorHAnsi" w:hAnsiTheme="majorHAnsi"/>
                <w:bCs/>
                <w:sz w:val="19"/>
                <w:szCs w:val="19"/>
              </w:rPr>
            </w:pPr>
            <w:r>
              <w:rPr>
                <w:rFonts w:ascii="Cambria" w:hAnsi="Cambria"/>
                <w:bCs/>
                <w:sz w:val="19"/>
                <w:szCs w:val="19"/>
              </w:rPr>
              <w:t>Yes</w:t>
            </w:r>
          </w:p>
        </w:tc>
      </w:tr>
      <w:tr w:rsidR="003750CD" w:rsidRPr="000B6B7A" w14:paraId="372B5DD8" w14:textId="77777777" w:rsidTr="003750CD">
        <w:trPr>
          <w:cantSplit/>
        </w:trPr>
        <w:tc>
          <w:tcPr>
            <w:tcW w:w="2790" w:type="dxa"/>
            <w:tcBorders>
              <w:top w:val="single" w:sz="6" w:space="0" w:color="auto"/>
              <w:bottom w:val="single" w:sz="6" w:space="0" w:color="auto"/>
            </w:tcBorders>
            <w:shd w:val="clear" w:color="auto" w:fill="67AE3C"/>
            <w:vAlign w:val="center"/>
          </w:tcPr>
          <w:p w14:paraId="7F979173" w14:textId="63734385" w:rsidR="003750CD" w:rsidRPr="00C355B4" w:rsidRDefault="003750CD"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5CACF36C" w14:textId="6AC9D98C" w:rsidR="003750CD" w:rsidRPr="00C355B4" w:rsidRDefault="003750CD" w:rsidP="009163FC">
            <w:pPr>
              <w:rPr>
                <w:rFonts w:asciiTheme="majorHAnsi" w:hAnsiTheme="majorHAnsi"/>
                <w:bCs/>
                <w:sz w:val="19"/>
                <w:szCs w:val="19"/>
              </w:rPr>
            </w:pPr>
            <w:r>
              <w:rPr>
                <w:bCs/>
                <w:sz w:val="19"/>
                <w:szCs w:val="19"/>
              </w:rPr>
              <w:t>Yes</w:t>
            </w:r>
          </w:p>
        </w:tc>
      </w:tr>
      <w:tr w:rsidR="003750CD" w:rsidRPr="000B6B7A" w14:paraId="6648704B" w14:textId="77777777" w:rsidTr="003750CD">
        <w:trPr>
          <w:cantSplit/>
        </w:trPr>
        <w:tc>
          <w:tcPr>
            <w:tcW w:w="2790" w:type="dxa"/>
            <w:tcBorders>
              <w:top w:val="single" w:sz="6" w:space="0" w:color="auto"/>
              <w:bottom w:val="single" w:sz="6" w:space="0" w:color="auto"/>
            </w:tcBorders>
            <w:shd w:val="clear" w:color="auto" w:fill="67AE3C"/>
            <w:vAlign w:val="center"/>
          </w:tcPr>
          <w:p w14:paraId="15BBE7AF" w14:textId="57F24106" w:rsidR="003750CD" w:rsidRPr="00C355B4" w:rsidRDefault="003750CD"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0600E51C" w14:textId="6C75446B" w:rsidR="003750CD" w:rsidRPr="00C355B4" w:rsidRDefault="003750CD" w:rsidP="009163FC">
            <w:pPr>
              <w:jc w:val="both"/>
              <w:rPr>
                <w:rFonts w:asciiTheme="majorHAnsi" w:hAnsiTheme="majorHAnsi"/>
                <w:bCs/>
                <w:sz w:val="19"/>
                <w:szCs w:val="19"/>
              </w:rPr>
            </w:pPr>
            <w:r w:rsidRPr="00666340">
              <w:rPr>
                <w:rFonts w:ascii="Cambria" w:hAnsi="Cambria"/>
                <w:bCs/>
                <w:sz w:val="19"/>
                <w:szCs w:val="19"/>
              </w:rPr>
              <w:t xml:space="preserve">Yes, American Convention (deposit of instrument on </w:t>
            </w:r>
            <w:r>
              <w:rPr>
                <w:rFonts w:ascii="Cambria" w:hAnsi="Cambria"/>
                <w:bCs/>
                <w:sz w:val="19"/>
                <w:szCs w:val="19"/>
              </w:rPr>
              <w:t>August 21, 1990); Inter-American Convention to Prevent and Punish Torture</w:t>
            </w:r>
            <w:r>
              <w:rPr>
                <w:rStyle w:val="FootnoteReference"/>
                <w:rFonts w:ascii="Cambria" w:hAnsi="Cambria"/>
                <w:bCs/>
                <w:sz w:val="19"/>
                <w:szCs w:val="19"/>
              </w:rPr>
              <w:footnoteReference w:id="7"/>
            </w:r>
            <w:r>
              <w:rPr>
                <w:rFonts w:ascii="Cambria" w:hAnsi="Cambria"/>
                <w:bCs/>
                <w:sz w:val="19"/>
                <w:szCs w:val="19"/>
              </w:rPr>
              <w:t xml:space="preserve"> (deposit of instrument on September 30, 1988) and Inter-American Convention on Forced Disappearances of Persons (deposit of instrument on January 26, 2010). </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750CD" w:rsidRPr="000B6B7A" w14:paraId="4091A423" w14:textId="77777777" w:rsidTr="003750CD">
        <w:trPr>
          <w:cantSplit/>
        </w:trPr>
        <w:tc>
          <w:tcPr>
            <w:tcW w:w="2790" w:type="dxa"/>
            <w:tcBorders>
              <w:top w:val="single" w:sz="4" w:space="0" w:color="auto"/>
              <w:bottom w:val="single" w:sz="6" w:space="0" w:color="auto"/>
            </w:tcBorders>
            <w:shd w:val="clear" w:color="auto" w:fill="67AE3C"/>
            <w:vAlign w:val="center"/>
          </w:tcPr>
          <w:p w14:paraId="61D870FF" w14:textId="493C94FE" w:rsidR="003750CD" w:rsidRPr="00C355B4" w:rsidRDefault="003750CD"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0B314CD" w14:textId="7E2C474A" w:rsidR="003750CD" w:rsidRPr="00C355B4" w:rsidRDefault="003750CD" w:rsidP="009163FC">
            <w:pPr>
              <w:jc w:val="both"/>
              <w:rPr>
                <w:rFonts w:ascii="Cambria" w:hAnsi="Cambria"/>
                <w:bCs/>
                <w:sz w:val="19"/>
                <w:szCs w:val="19"/>
              </w:rPr>
            </w:pPr>
            <w:r w:rsidRPr="00666340">
              <w:rPr>
                <w:rFonts w:ascii="Cambria" w:hAnsi="Cambria"/>
                <w:bCs/>
                <w:sz w:val="19"/>
                <w:szCs w:val="19"/>
              </w:rPr>
              <w:t>No</w:t>
            </w:r>
          </w:p>
        </w:tc>
      </w:tr>
      <w:tr w:rsidR="003750CD" w:rsidRPr="000B6B7A" w14:paraId="24B3B5A9" w14:textId="77777777" w:rsidTr="003750CD">
        <w:trPr>
          <w:cantSplit/>
        </w:trPr>
        <w:tc>
          <w:tcPr>
            <w:tcW w:w="2790" w:type="dxa"/>
            <w:tcBorders>
              <w:top w:val="single" w:sz="6" w:space="0" w:color="auto"/>
              <w:bottom w:val="single" w:sz="6" w:space="0" w:color="auto"/>
            </w:tcBorders>
            <w:shd w:val="clear" w:color="auto" w:fill="67AE3C"/>
            <w:vAlign w:val="center"/>
          </w:tcPr>
          <w:p w14:paraId="2E52A630" w14:textId="77777777" w:rsidR="003750CD" w:rsidRPr="00C355B4" w:rsidRDefault="003750CD"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4B62C180" w14:textId="7DA388A2" w:rsidR="003750CD" w:rsidRPr="00C355B4" w:rsidRDefault="003750CD" w:rsidP="00631EC3">
            <w:pPr>
              <w:jc w:val="both"/>
              <w:rPr>
                <w:rFonts w:ascii="Cambria" w:hAnsi="Cambria"/>
                <w:bCs/>
                <w:sz w:val="19"/>
                <w:szCs w:val="19"/>
              </w:rPr>
            </w:pPr>
            <w:r w:rsidRPr="00666340">
              <w:rPr>
                <w:rFonts w:ascii="Cambria" w:hAnsi="Cambria"/>
                <w:bCs/>
                <w:sz w:val="19"/>
                <w:szCs w:val="19"/>
              </w:rPr>
              <w:t xml:space="preserve">Articles </w:t>
            </w:r>
            <w:r w:rsidRPr="00D22DEB">
              <w:rPr>
                <w:rFonts w:ascii="Cambria" w:hAnsi="Cambria"/>
                <w:bCs/>
                <w:sz w:val="19"/>
                <w:szCs w:val="19"/>
              </w:rPr>
              <w:t>3 (juridical personality),</w:t>
            </w:r>
            <w:r>
              <w:rPr>
                <w:rFonts w:ascii="Cambria" w:hAnsi="Cambria"/>
                <w:bCs/>
                <w:sz w:val="19"/>
                <w:szCs w:val="19"/>
              </w:rPr>
              <w:t xml:space="preserve"> 4 (life), 5 (humane treatment), 7 (personal liberty), 8 (right to fair trial), and 25 (judicial protection) of the American Convention on Human Rights in relation to </w:t>
            </w:r>
            <w:r w:rsidR="00A94982">
              <w:rPr>
                <w:rFonts w:ascii="Cambria" w:hAnsi="Cambria"/>
                <w:bCs/>
                <w:sz w:val="19"/>
                <w:szCs w:val="19"/>
              </w:rPr>
              <w:t>Article</w:t>
            </w:r>
            <w:r>
              <w:rPr>
                <w:rFonts w:ascii="Cambria" w:hAnsi="Cambria"/>
                <w:bCs/>
                <w:sz w:val="19"/>
                <w:szCs w:val="19"/>
              </w:rPr>
              <w:t xml:space="preserve"> 1 (obligation to respect</w:t>
            </w:r>
            <w:r w:rsidR="00687DBB">
              <w:rPr>
                <w:rFonts w:ascii="Cambria" w:hAnsi="Cambria"/>
                <w:bCs/>
                <w:sz w:val="19"/>
                <w:szCs w:val="19"/>
              </w:rPr>
              <w:t xml:space="preserve"> rights</w:t>
            </w:r>
            <w:r>
              <w:rPr>
                <w:rFonts w:ascii="Cambria" w:hAnsi="Cambria"/>
                <w:bCs/>
                <w:sz w:val="19"/>
                <w:szCs w:val="19"/>
              </w:rPr>
              <w:t xml:space="preserve">) and 2 (duty to adopt domestic legislation); </w:t>
            </w:r>
            <w:r w:rsidR="00A94982">
              <w:rPr>
                <w:rFonts w:ascii="Cambria" w:hAnsi="Cambria"/>
                <w:bCs/>
                <w:sz w:val="19"/>
                <w:szCs w:val="19"/>
              </w:rPr>
              <w:t>Article</w:t>
            </w:r>
            <w:r>
              <w:rPr>
                <w:rFonts w:ascii="Cambria" w:hAnsi="Cambria"/>
                <w:bCs/>
                <w:sz w:val="19"/>
                <w:szCs w:val="19"/>
              </w:rPr>
              <w:t xml:space="preserve">s I </w:t>
            </w:r>
            <w:r w:rsidRPr="00D22DEB">
              <w:rPr>
                <w:rFonts w:ascii="Cambria" w:hAnsi="Cambria"/>
                <w:bCs/>
                <w:sz w:val="19"/>
                <w:szCs w:val="19"/>
              </w:rPr>
              <w:t xml:space="preserve">(life, liberty and personal security), XVII (recognition of juridical personality and civil rights) XVIII (fair trial) and XXV (protection from arbitrary detention) of the American Declaration; </w:t>
            </w:r>
            <w:r w:rsidR="00A94982">
              <w:rPr>
                <w:rFonts w:ascii="Cambria" w:hAnsi="Cambria"/>
                <w:bCs/>
                <w:sz w:val="19"/>
                <w:szCs w:val="19"/>
              </w:rPr>
              <w:t>Article</w:t>
            </w:r>
            <w:r w:rsidRPr="00D22DEB">
              <w:rPr>
                <w:rFonts w:ascii="Cambria" w:hAnsi="Cambria"/>
                <w:bCs/>
                <w:sz w:val="19"/>
                <w:szCs w:val="19"/>
              </w:rPr>
              <w:t xml:space="preserve">s 1, 6 and 8 of the Convention against Torture; and </w:t>
            </w:r>
            <w:r w:rsidR="00A94982">
              <w:rPr>
                <w:rFonts w:ascii="Cambria" w:hAnsi="Cambria"/>
                <w:bCs/>
                <w:sz w:val="19"/>
                <w:szCs w:val="19"/>
              </w:rPr>
              <w:t>Article</w:t>
            </w:r>
            <w:r w:rsidRPr="00D22DEB">
              <w:rPr>
                <w:rFonts w:ascii="Cambria" w:hAnsi="Cambria"/>
                <w:bCs/>
                <w:sz w:val="19"/>
                <w:szCs w:val="19"/>
              </w:rPr>
              <w:t xml:space="preserve"> I of the</w:t>
            </w:r>
            <w:r>
              <w:rPr>
                <w:rFonts w:ascii="Cambria" w:hAnsi="Cambria"/>
                <w:bCs/>
                <w:sz w:val="19"/>
                <w:szCs w:val="19"/>
              </w:rPr>
              <w:t xml:space="preserve"> Inter-American</w:t>
            </w:r>
            <w:r w:rsidRPr="00D22DEB">
              <w:rPr>
                <w:rFonts w:ascii="Cambria" w:hAnsi="Cambria"/>
                <w:bCs/>
                <w:sz w:val="19"/>
                <w:szCs w:val="19"/>
              </w:rPr>
              <w:t xml:space="preserve"> </w:t>
            </w:r>
            <w:r>
              <w:rPr>
                <w:rFonts w:ascii="Cambria" w:hAnsi="Cambria"/>
                <w:bCs/>
                <w:sz w:val="19"/>
                <w:szCs w:val="19"/>
              </w:rPr>
              <w:t>C</w:t>
            </w:r>
            <w:r w:rsidRPr="00D22DEB">
              <w:rPr>
                <w:rFonts w:ascii="Cambria" w:hAnsi="Cambria"/>
                <w:bCs/>
                <w:sz w:val="19"/>
                <w:szCs w:val="19"/>
              </w:rPr>
              <w:t xml:space="preserve">onvention on </w:t>
            </w:r>
            <w:r>
              <w:rPr>
                <w:rFonts w:ascii="Cambria" w:hAnsi="Cambria"/>
                <w:bCs/>
                <w:sz w:val="19"/>
                <w:szCs w:val="19"/>
              </w:rPr>
              <w:t>the F</w:t>
            </w:r>
            <w:r w:rsidRPr="00D22DEB">
              <w:rPr>
                <w:rFonts w:ascii="Cambria" w:hAnsi="Cambria"/>
                <w:bCs/>
                <w:sz w:val="19"/>
                <w:szCs w:val="19"/>
              </w:rPr>
              <w:t>orced Disappearances</w:t>
            </w:r>
            <w:r>
              <w:rPr>
                <w:rFonts w:ascii="Cambria" w:hAnsi="Cambria"/>
                <w:bCs/>
                <w:sz w:val="19"/>
                <w:szCs w:val="19"/>
              </w:rPr>
              <w:t xml:space="preserve"> of Persons</w:t>
            </w:r>
          </w:p>
        </w:tc>
      </w:tr>
      <w:tr w:rsidR="003750CD" w:rsidRPr="000B6B7A" w14:paraId="4DFB74FC" w14:textId="77777777" w:rsidTr="003750CD">
        <w:trPr>
          <w:cantSplit/>
        </w:trPr>
        <w:tc>
          <w:tcPr>
            <w:tcW w:w="2790" w:type="dxa"/>
            <w:tcBorders>
              <w:top w:val="single" w:sz="6" w:space="0" w:color="auto"/>
              <w:bottom w:val="single" w:sz="6" w:space="0" w:color="auto"/>
            </w:tcBorders>
            <w:shd w:val="clear" w:color="auto" w:fill="67AE3C"/>
            <w:vAlign w:val="center"/>
          </w:tcPr>
          <w:p w14:paraId="1D4CE924" w14:textId="18B37E2E" w:rsidR="003750CD" w:rsidRPr="00C355B4" w:rsidRDefault="003750CD"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DE5186F" w14:textId="409455E0" w:rsidR="003750CD" w:rsidRPr="00C355B4" w:rsidRDefault="003750CD" w:rsidP="009163FC">
            <w:pPr>
              <w:rPr>
                <w:rFonts w:ascii="Cambria" w:hAnsi="Cambria"/>
                <w:bCs/>
                <w:sz w:val="19"/>
                <w:szCs w:val="19"/>
              </w:rPr>
            </w:pPr>
            <w:r w:rsidRPr="008956FA">
              <w:rPr>
                <w:rFonts w:ascii="Cambria" w:hAnsi="Cambria"/>
                <w:bCs/>
                <w:sz w:val="19"/>
                <w:szCs w:val="19"/>
              </w:rPr>
              <w:t>Yes</w:t>
            </w:r>
            <w:r w:rsidRPr="00666340">
              <w:rPr>
                <w:rFonts w:ascii="Cambria" w:hAnsi="Cambria"/>
                <w:bCs/>
                <w:sz w:val="19"/>
                <w:szCs w:val="19"/>
              </w:rPr>
              <w:t xml:space="preserve">, </w:t>
            </w:r>
            <w:r>
              <w:rPr>
                <w:rFonts w:ascii="Cambria" w:hAnsi="Cambria"/>
                <w:bCs/>
                <w:sz w:val="19"/>
                <w:szCs w:val="19"/>
              </w:rPr>
              <w:t>June 11, 2009</w:t>
            </w:r>
          </w:p>
        </w:tc>
      </w:tr>
      <w:tr w:rsidR="003750CD" w:rsidRPr="000B6B7A" w14:paraId="6D900199" w14:textId="77777777" w:rsidTr="003750CD">
        <w:trPr>
          <w:cantSplit/>
        </w:trPr>
        <w:tc>
          <w:tcPr>
            <w:tcW w:w="2790" w:type="dxa"/>
            <w:tcBorders>
              <w:top w:val="single" w:sz="6" w:space="0" w:color="auto"/>
              <w:bottom w:val="single" w:sz="6" w:space="0" w:color="auto"/>
            </w:tcBorders>
            <w:shd w:val="clear" w:color="auto" w:fill="67AE3C"/>
            <w:vAlign w:val="center"/>
          </w:tcPr>
          <w:p w14:paraId="42C3BC97" w14:textId="2F62D441" w:rsidR="003750CD" w:rsidRPr="00C355B4" w:rsidRDefault="003750CD"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09477B3E" w14:textId="15AF4240" w:rsidR="003750CD" w:rsidRPr="00C355B4" w:rsidRDefault="003750CD" w:rsidP="009163FC">
            <w:pPr>
              <w:rPr>
                <w:rFonts w:asciiTheme="majorHAnsi" w:hAnsiTheme="majorHAnsi"/>
                <w:bCs/>
                <w:sz w:val="19"/>
                <w:szCs w:val="19"/>
              </w:rPr>
            </w:pPr>
            <w:r w:rsidRPr="008956FA">
              <w:rPr>
                <w:rFonts w:ascii="Cambria" w:hAnsi="Cambria"/>
                <w:bCs/>
                <w:sz w:val="20"/>
                <w:szCs w:val="20"/>
              </w:rPr>
              <w:t>Yes</w:t>
            </w:r>
            <w:r w:rsidRPr="00666340">
              <w:rPr>
                <w:rFonts w:ascii="Cambria" w:hAnsi="Cambria"/>
                <w:bCs/>
                <w:sz w:val="20"/>
                <w:szCs w:val="20"/>
              </w:rPr>
              <w:t xml:space="preserve">, </w:t>
            </w:r>
            <w:r>
              <w:rPr>
                <w:rFonts w:ascii="Cambria" w:hAnsi="Cambria"/>
                <w:bCs/>
                <w:sz w:val="20"/>
                <w:szCs w:val="20"/>
              </w:rPr>
              <w:t>on December 11, 2009</w:t>
            </w:r>
            <w:r w:rsidRPr="008956FA">
              <w:rPr>
                <w:rFonts w:ascii="Cambria" w:hAnsi="Cambria"/>
                <w:bCs/>
                <w:sz w:val="20"/>
                <w:szCs w:val="20"/>
              </w:rPr>
              <w:t xml:space="preserve"> </w:t>
            </w:r>
          </w:p>
        </w:tc>
      </w:tr>
    </w:tbl>
    <w:p w14:paraId="04A4BB72" w14:textId="77777777" w:rsidR="00581607" w:rsidRDefault="00581607" w:rsidP="00C355B4">
      <w:pPr>
        <w:spacing w:before="120" w:after="120"/>
        <w:ind w:firstLine="720"/>
        <w:jc w:val="both"/>
        <w:rPr>
          <w:rFonts w:asciiTheme="majorHAnsi" w:hAnsiTheme="majorHAnsi"/>
          <w:b/>
          <w:sz w:val="20"/>
          <w:szCs w:val="20"/>
        </w:rPr>
      </w:pPr>
    </w:p>
    <w:p w14:paraId="3EB7BEDC" w14:textId="77777777" w:rsidR="00581607" w:rsidRDefault="00581607" w:rsidP="00C355B4">
      <w:pPr>
        <w:spacing w:before="120" w:after="120"/>
        <w:ind w:firstLine="720"/>
        <w:jc w:val="both"/>
        <w:rPr>
          <w:rFonts w:asciiTheme="majorHAnsi" w:hAnsiTheme="majorHAnsi"/>
          <w:b/>
          <w:sz w:val="20"/>
          <w:szCs w:val="20"/>
        </w:rPr>
      </w:pPr>
    </w:p>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A3E680E" w14:textId="77777777" w:rsidR="003750CD" w:rsidRPr="002A1A49" w:rsidRDefault="003750CD" w:rsidP="00A94982">
      <w:pPr>
        <w:numPr>
          <w:ilvl w:val="0"/>
          <w:numId w:val="103"/>
        </w:numPr>
        <w:suppressAutoHyphens/>
        <w:spacing w:after="240"/>
        <w:jc w:val="both"/>
      </w:pPr>
      <w:r w:rsidRPr="002A1A49">
        <w:rPr>
          <w:rFonts w:ascii="Cambria" w:eastAsia="Cambria" w:hAnsi="Cambria" w:cs="Cambria"/>
          <w:sz w:val="20"/>
          <w:szCs w:val="20"/>
          <w:u w:color="000000"/>
          <w:lang w:eastAsia="es-ES"/>
        </w:rPr>
        <w:t xml:space="preserve">The petitioner denounces the arrest, torture, forced disappearance and murder of Gustavo Guillermo Ramírez Calderón (hereinafter, “the alleged victim”), as well as the lack of diligence in the investigation of the facts, </w:t>
      </w:r>
      <w:r>
        <w:rPr>
          <w:rFonts w:ascii="Cambria" w:eastAsia="Cambria" w:hAnsi="Cambria" w:cs="Cambria"/>
          <w:sz w:val="20"/>
          <w:szCs w:val="20"/>
          <w:u w:color="000000"/>
          <w:lang w:eastAsia="es-ES"/>
        </w:rPr>
        <w:t>resulting in</w:t>
      </w:r>
      <w:r w:rsidRPr="002A1A49">
        <w:rPr>
          <w:rFonts w:ascii="Cambria" w:eastAsia="Cambria" w:hAnsi="Cambria" w:cs="Cambria"/>
          <w:sz w:val="20"/>
          <w:szCs w:val="20"/>
          <w:u w:color="000000"/>
          <w:lang w:eastAsia="es-ES"/>
        </w:rPr>
        <w:t xml:space="preserve"> violations of judicial guarantees and the right to judicial protection, </w:t>
      </w:r>
      <w:r>
        <w:rPr>
          <w:rFonts w:ascii="Cambria" w:eastAsia="Cambria" w:hAnsi="Cambria" w:cs="Cambria"/>
          <w:sz w:val="20"/>
          <w:szCs w:val="20"/>
          <w:u w:color="000000"/>
          <w:lang w:eastAsia="es-ES"/>
        </w:rPr>
        <w:t>and</w:t>
      </w:r>
      <w:r w:rsidRPr="002A1A49">
        <w:rPr>
          <w:rFonts w:ascii="Cambria" w:eastAsia="Cambria" w:hAnsi="Cambria" w:cs="Cambria"/>
          <w:sz w:val="20"/>
          <w:szCs w:val="20"/>
          <w:u w:color="000000"/>
          <w:lang w:eastAsia="es-ES"/>
        </w:rPr>
        <w:t xml:space="preserve"> the lack of reparation and compensation by the State to the relatives of the alleged victim.</w:t>
      </w:r>
    </w:p>
    <w:p w14:paraId="772AC111" w14:textId="358B1695" w:rsidR="003750CD" w:rsidRPr="00C87D8B" w:rsidRDefault="003750CD" w:rsidP="00A94982">
      <w:pPr>
        <w:numPr>
          <w:ilvl w:val="0"/>
          <w:numId w:val="103"/>
        </w:numPr>
        <w:suppressAutoHyphens/>
        <w:spacing w:after="240"/>
        <w:jc w:val="both"/>
      </w:pPr>
      <w:r w:rsidRPr="00C87D8B">
        <w:rPr>
          <w:rFonts w:ascii="Cambria" w:eastAsia="Cambria" w:hAnsi="Cambria" w:cs="Cambria"/>
          <w:sz w:val="20"/>
          <w:szCs w:val="20"/>
          <w:u w:color="000000"/>
          <w:lang w:eastAsia="es-ES"/>
        </w:rPr>
        <w:t>The petitioners report</w:t>
      </w:r>
      <w:r>
        <w:rPr>
          <w:rStyle w:val="FootnoteReference"/>
          <w:rFonts w:ascii="Cambria" w:eastAsia="Cambria" w:hAnsi="Cambria" w:cs="Cambria"/>
          <w:sz w:val="20"/>
          <w:szCs w:val="20"/>
          <w:u w:color="000000"/>
          <w:lang w:eastAsia="es-ES"/>
        </w:rPr>
        <w:footnoteReference w:id="8"/>
      </w:r>
      <w:r w:rsidRPr="00C87D8B">
        <w:rPr>
          <w:rFonts w:ascii="Cambria" w:eastAsia="Cambria" w:hAnsi="Cambria" w:cs="Cambria"/>
          <w:sz w:val="20"/>
          <w:szCs w:val="20"/>
          <w:u w:color="000000"/>
          <w:lang w:eastAsia="es-ES"/>
        </w:rPr>
        <w:t xml:space="preserve"> that the alleged victim was part of the Chilean National Liberation Army. They point </w:t>
      </w:r>
      <w:r w:rsidR="002A1D53">
        <w:rPr>
          <w:rFonts w:ascii="Cambria" w:eastAsia="Cambria" w:hAnsi="Cambria" w:cs="Cambria"/>
          <w:sz w:val="20"/>
          <w:szCs w:val="20"/>
          <w:u w:color="000000"/>
          <w:lang w:eastAsia="es-ES"/>
        </w:rPr>
        <w:t xml:space="preserve">out that on September 6, 1975, </w:t>
      </w:r>
      <w:r w:rsidRPr="00C87D8B">
        <w:rPr>
          <w:rFonts w:ascii="Cambria" w:eastAsia="Cambria" w:hAnsi="Cambria" w:cs="Cambria"/>
          <w:sz w:val="20"/>
          <w:szCs w:val="20"/>
          <w:u w:color="000000"/>
          <w:lang w:eastAsia="es-ES"/>
        </w:rPr>
        <w:t xml:space="preserve">he was kidnapped along with </w:t>
      </w:r>
      <w:r w:rsidR="002A1D53">
        <w:rPr>
          <w:rFonts w:ascii="Cambria" w:eastAsia="Cambria" w:hAnsi="Cambria" w:cs="Cambria"/>
          <w:sz w:val="20"/>
          <w:szCs w:val="20"/>
          <w:u w:color="000000"/>
          <w:lang w:eastAsia="es-ES"/>
        </w:rPr>
        <w:t>his</w:t>
      </w:r>
      <w:r w:rsidRPr="00C87D8B">
        <w:rPr>
          <w:rFonts w:ascii="Cambria" w:eastAsia="Cambria" w:hAnsi="Cambria" w:cs="Cambria"/>
          <w:sz w:val="20"/>
          <w:szCs w:val="20"/>
          <w:u w:color="000000"/>
          <w:lang w:eastAsia="es-ES"/>
        </w:rPr>
        <w:t xml:space="preserve"> partner, sister-in-law and her boyfriend, all of whom were transferred to the premises located on Calle Eighteen, where some relatives of </w:t>
      </w:r>
      <w:r w:rsidR="002A1D53">
        <w:rPr>
          <w:rFonts w:ascii="Cambria" w:eastAsia="Cambria" w:hAnsi="Cambria" w:cs="Cambria"/>
          <w:sz w:val="20"/>
          <w:szCs w:val="20"/>
          <w:u w:color="000000"/>
          <w:lang w:eastAsia="es-ES"/>
        </w:rPr>
        <w:t>him</w:t>
      </w:r>
      <w:r w:rsidRPr="00C87D8B">
        <w:rPr>
          <w:rFonts w:ascii="Cambria" w:eastAsia="Cambria" w:hAnsi="Cambria" w:cs="Cambria"/>
          <w:sz w:val="20"/>
          <w:szCs w:val="20"/>
          <w:u w:color="000000"/>
          <w:lang w:eastAsia="es-ES"/>
        </w:rPr>
        <w:t xml:space="preserve"> were also </w:t>
      </w:r>
      <w:r w:rsidR="008F471A">
        <w:rPr>
          <w:rFonts w:ascii="Cambria" w:eastAsia="Cambria" w:hAnsi="Cambria" w:cs="Cambria"/>
          <w:sz w:val="20"/>
          <w:szCs w:val="20"/>
          <w:u w:color="000000"/>
          <w:lang w:eastAsia="es-ES"/>
        </w:rPr>
        <w:t>detained</w:t>
      </w:r>
      <w:r w:rsidRPr="00C87D8B">
        <w:rPr>
          <w:rFonts w:ascii="Cambria" w:eastAsia="Cambria" w:hAnsi="Cambria" w:cs="Cambria"/>
          <w:sz w:val="20"/>
          <w:szCs w:val="20"/>
          <w:u w:color="000000"/>
          <w:lang w:eastAsia="es-ES"/>
        </w:rPr>
        <w:t xml:space="preserve">. On November 12, 1975, the alleged victim was transferred to the compound known as “4 Alamos”, being under the control of the Directorate of National Intelligence (hereinafter “DINA”), being transferred again on November 18, 1975, to an enclosure known as "Villa Grimaldi". This was the last day that the whereabouts of the alleged victim were </w:t>
      </w:r>
      <w:r>
        <w:rPr>
          <w:rFonts w:ascii="Cambria" w:eastAsia="Cambria" w:hAnsi="Cambria" w:cs="Cambria"/>
          <w:sz w:val="20"/>
          <w:szCs w:val="20"/>
          <w:u w:color="000000"/>
          <w:lang w:eastAsia="es-ES"/>
        </w:rPr>
        <w:t>known</w:t>
      </w:r>
      <w:r w:rsidRPr="00C87D8B">
        <w:rPr>
          <w:rFonts w:ascii="Cambria" w:eastAsia="Cambria" w:hAnsi="Cambria" w:cs="Cambria"/>
          <w:sz w:val="20"/>
          <w:szCs w:val="20"/>
          <w:u w:color="000000"/>
          <w:lang w:eastAsia="es-ES"/>
        </w:rPr>
        <w:t>, by testimonies of other abducted persons.</w:t>
      </w:r>
    </w:p>
    <w:p w14:paraId="3E3D9D2A" w14:textId="07DE3BA6" w:rsidR="003750CD" w:rsidRPr="00C87D8B" w:rsidRDefault="003750CD" w:rsidP="00A94982">
      <w:pPr>
        <w:numPr>
          <w:ilvl w:val="0"/>
          <w:numId w:val="103"/>
        </w:numPr>
        <w:suppressAutoHyphens/>
        <w:spacing w:after="240"/>
        <w:jc w:val="both"/>
      </w:pPr>
      <w:r w:rsidRPr="00C87D8B">
        <w:rPr>
          <w:rFonts w:ascii="Cambria" w:eastAsia="Cambria" w:hAnsi="Cambria" w:cs="Cambria"/>
          <w:sz w:val="20"/>
          <w:szCs w:val="20"/>
          <w:u w:color="000000"/>
          <w:lang w:eastAsia="es-ES"/>
        </w:rPr>
        <w:t>The petitioner alleges that since then</w:t>
      </w:r>
      <w:r>
        <w:rPr>
          <w:rFonts w:ascii="Cambria" w:eastAsia="Cambria" w:hAnsi="Cambria" w:cs="Cambria"/>
          <w:sz w:val="20"/>
          <w:szCs w:val="20"/>
          <w:u w:color="000000"/>
          <w:lang w:eastAsia="es-ES"/>
        </w:rPr>
        <w:t>,</w:t>
      </w:r>
      <w:r w:rsidRPr="00C87D8B">
        <w:rPr>
          <w:rFonts w:ascii="Cambria" w:eastAsia="Cambria" w:hAnsi="Cambria" w:cs="Cambria"/>
          <w:sz w:val="20"/>
          <w:szCs w:val="20"/>
          <w:u w:color="000000"/>
          <w:lang w:eastAsia="es-ES"/>
        </w:rPr>
        <w:t xml:space="preserve"> the alleged victim remains missing, without information about his wher</w:t>
      </w:r>
      <w:r w:rsidR="00955DEA">
        <w:rPr>
          <w:rFonts w:ascii="Cambria" w:eastAsia="Cambria" w:hAnsi="Cambria" w:cs="Cambria"/>
          <w:sz w:val="20"/>
          <w:szCs w:val="20"/>
          <w:u w:color="000000"/>
          <w:lang w:eastAsia="es-ES"/>
        </w:rPr>
        <w:t>eabouts or what happened to him. The petitioner</w:t>
      </w:r>
      <w:r w:rsidRPr="00C87D8B">
        <w:rPr>
          <w:rFonts w:ascii="Cambria" w:eastAsia="Cambria" w:hAnsi="Cambria" w:cs="Cambria"/>
          <w:sz w:val="20"/>
          <w:szCs w:val="20"/>
          <w:u w:color="000000"/>
          <w:lang w:eastAsia="es-ES"/>
        </w:rPr>
        <w:t xml:space="preserve"> claims that </w:t>
      </w:r>
      <w:r w:rsidR="00955DEA">
        <w:rPr>
          <w:rFonts w:ascii="Cambria" w:eastAsia="Cambria" w:hAnsi="Cambria" w:cs="Cambria"/>
          <w:sz w:val="20"/>
          <w:szCs w:val="20"/>
          <w:u w:color="000000"/>
          <w:lang w:eastAsia="es-ES"/>
        </w:rPr>
        <w:t>alleged victim</w:t>
      </w:r>
      <w:r w:rsidRPr="00C87D8B">
        <w:rPr>
          <w:rFonts w:ascii="Cambria" w:eastAsia="Cambria" w:hAnsi="Cambria" w:cs="Cambria"/>
          <w:sz w:val="20"/>
          <w:szCs w:val="20"/>
          <w:u w:color="000000"/>
          <w:lang w:eastAsia="es-ES"/>
        </w:rPr>
        <w:t xml:space="preserve"> would have died because of the torture carried out against him. He explains that relatives of the alleged victim, who were also </w:t>
      </w:r>
      <w:r w:rsidR="00C543A3">
        <w:rPr>
          <w:rFonts w:ascii="Cambria" w:eastAsia="Cambria" w:hAnsi="Cambria" w:cs="Cambria"/>
          <w:sz w:val="20"/>
          <w:szCs w:val="20"/>
          <w:u w:color="000000"/>
          <w:lang w:eastAsia="es-ES"/>
        </w:rPr>
        <w:t>detained</w:t>
      </w:r>
      <w:r w:rsidRPr="00C87D8B">
        <w:rPr>
          <w:rFonts w:ascii="Cambria" w:eastAsia="Cambria" w:hAnsi="Cambria" w:cs="Cambria"/>
          <w:sz w:val="20"/>
          <w:szCs w:val="20"/>
          <w:u w:color="000000"/>
          <w:lang w:eastAsia="es-ES"/>
        </w:rPr>
        <w:t xml:space="preserve"> at the time, heard his voice inside the premises of Eighteenth Street, which confirmed that he was being held there. Also, another witness reported that he heard the torture carried out against the alleged victim, and during the last </w:t>
      </w:r>
      <w:r w:rsidR="00BC2532">
        <w:rPr>
          <w:rFonts w:ascii="Cambria" w:eastAsia="Cambria" w:hAnsi="Cambria" w:cs="Cambria"/>
          <w:sz w:val="20"/>
          <w:szCs w:val="20"/>
          <w:u w:color="000000"/>
          <w:lang w:eastAsia="es-ES"/>
        </w:rPr>
        <w:t>episode</w:t>
      </w:r>
      <w:r w:rsidRPr="00C87D8B">
        <w:rPr>
          <w:rFonts w:ascii="Cambria" w:eastAsia="Cambria" w:hAnsi="Cambria" w:cs="Cambria"/>
          <w:sz w:val="20"/>
          <w:szCs w:val="20"/>
          <w:u w:color="000000"/>
          <w:lang w:eastAsia="es-ES"/>
        </w:rPr>
        <w:t>, he heard one of the torture perpetrators shout “cardiac arrest” and then saw officers run to the room where the alleged victim</w:t>
      </w:r>
      <w:r w:rsidR="00952236">
        <w:rPr>
          <w:rFonts w:ascii="Cambria" w:eastAsia="Cambria" w:hAnsi="Cambria" w:cs="Cambria"/>
          <w:sz w:val="20"/>
          <w:szCs w:val="20"/>
          <w:u w:color="000000"/>
          <w:lang w:eastAsia="es-ES"/>
        </w:rPr>
        <w:t xml:space="preserve"> was</w:t>
      </w:r>
      <w:r w:rsidRPr="00C87D8B">
        <w:rPr>
          <w:rFonts w:ascii="Cambria" w:eastAsia="Cambria" w:hAnsi="Cambria" w:cs="Cambria"/>
          <w:sz w:val="20"/>
          <w:szCs w:val="20"/>
          <w:u w:color="000000"/>
          <w:lang w:eastAsia="es-ES"/>
        </w:rPr>
        <w:t xml:space="preserve">. Likewise, it indicates that in the investigations carried out within the framework of the judicial proceedings, it would have been verified that two police officers, Prefect Navarrete Arriagada and Mr. Víctor Zúñiga Zúñiga, witnessed the recruitment and </w:t>
      </w:r>
      <w:r w:rsidR="00952236">
        <w:rPr>
          <w:rFonts w:ascii="Cambria" w:eastAsia="Cambria" w:hAnsi="Cambria" w:cs="Cambria"/>
          <w:sz w:val="20"/>
          <w:szCs w:val="20"/>
          <w:u w:color="000000"/>
          <w:lang w:eastAsia="es-ES"/>
        </w:rPr>
        <w:t>detention of the alleged victim.</w:t>
      </w:r>
      <w:r w:rsidRPr="00C87D8B">
        <w:rPr>
          <w:rFonts w:ascii="Cambria" w:eastAsia="Cambria" w:hAnsi="Cambria" w:cs="Cambria"/>
          <w:sz w:val="20"/>
          <w:szCs w:val="20"/>
          <w:u w:color="000000"/>
          <w:lang w:eastAsia="es-ES"/>
        </w:rPr>
        <w:t xml:space="preserve"> For his part, Prefect Navarrete indicated that he did not know about the whereabouts of the alleged victim after he had been handed over to “4 Alamos,” and Mr. Zúñiga Zúñiga ratified the allegations of Mr. Navarrete and indicated that he did not know the identity of the officials of the DINA who </w:t>
      </w:r>
      <w:r w:rsidR="00952236">
        <w:rPr>
          <w:rFonts w:ascii="Cambria" w:eastAsia="Cambria" w:hAnsi="Cambria" w:cs="Cambria"/>
          <w:sz w:val="20"/>
          <w:szCs w:val="20"/>
          <w:u w:color="000000"/>
          <w:lang w:eastAsia="es-ES"/>
        </w:rPr>
        <w:t xml:space="preserve">had </w:t>
      </w:r>
      <w:r w:rsidRPr="00C87D8B">
        <w:rPr>
          <w:rFonts w:ascii="Cambria" w:eastAsia="Cambria" w:hAnsi="Cambria" w:cs="Cambria"/>
          <w:sz w:val="20"/>
          <w:szCs w:val="20"/>
          <w:u w:color="000000"/>
          <w:lang w:eastAsia="es-ES"/>
        </w:rPr>
        <w:t>received the alleged victim. However, subsequently, both officials denied the above.</w:t>
      </w:r>
    </w:p>
    <w:p w14:paraId="5CC334FD" w14:textId="19C95301" w:rsidR="003750CD" w:rsidRPr="00803320" w:rsidRDefault="003750CD" w:rsidP="00A94982">
      <w:pPr>
        <w:numPr>
          <w:ilvl w:val="0"/>
          <w:numId w:val="103"/>
        </w:numPr>
        <w:suppressAutoHyphens/>
        <w:spacing w:after="240"/>
        <w:jc w:val="both"/>
        <w:rPr>
          <w:sz w:val="20"/>
          <w:szCs w:val="20"/>
        </w:rPr>
      </w:pPr>
      <w:r w:rsidRPr="00803320">
        <w:rPr>
          <w:rFonts w:ascii="Cambria" w:eastAsia="Cambria" w:hAnsi="Cambria" w:cs="Cambria"/>
          <w:sz w:val="20"/>
          <w:szCs w:val="20"/>
          <w:u w:color="000000"/>
          <w:lang w:eastAsia="es-ES"/>
        </w:rPr>
        <w:t xml:space="preserve">On October 15, 1975, the relatives of the alleged victim filed an appeal for amparo -action for protection of constitutional rights- before the Court of Appeals of Santiago, which was rejected and sent to the Ninth Criminal Court of Santiago, in order to instruct the process by the disappearance of the alleged victim. On December 2, 1975, the case was initiated, being referred to the Minister </w:t>
      </w:r>
      <w:r w:rsidR="000555F9">
        <w:rPr>
          <w:rFonts w:ascii="Cambria" w:eastAsia="Cambria" w:hAnsi="Cambria" w:cs="Cambria"/>
          <w:sz w:val="20"/>
          <w:szCs w:val="20"/>
          <w:u w:color="000000"/>
          <w:lang w:eastAsia="es-ES"/>
        </w:rPr>
        <w:t>i</w:t>
      </w:r>
      <w:r w:rsidRPr="00803320">
        <w:rPr>
          <w:rFonts w:ascii="Cambria" w:eastAsia="Cambria" w:hAnsi="Cambria" w:cs="Cambria"/>
          <w:sz w:val="20"/>
          <w:szCs w:val="20"/>
          <w:u w:color="000000"/>
          <w:lang w:eastAsia="es-ES"/>
        </w:rPr>
        <w:t xml:space="preserve">n Visit. However, on October 18 of the same year, </w:t>
      </w:r>
      <w:r w:rsidR="000555F9">
        <w:rPr>
          <w:rFonts w:ascii="Cambria" w:eastAsia="Cambria" w:hAnsi="Cambria" w:cs="Cambria"/>
          <w:sz w:val="20"/>
          <w:szCs w:val="20"/>
          <w:u w:color="000000"/>
          <w:lang w:eastAsia="es-ES"/>
        </w:rPr>
        <w:t>the latter</w:t>
      </w:r>
      <w:r w:rsidRPr="00803320">
        <w:rPr>
          <w:rFonts w:ascii="Cambria" w:eastAsia="Cambria" w:hAnsi="Cambria" w:cs="Cambria"/>
          <w:sz w:val="20"/>
          <w:szCs w:val="20"/>
          <w:u w:color="000000"/>
          <w:lang w:eastAsia="es-ES"/>
        </w:rPr>
        <w:t xml:space="preserve"> declared himself incompetent, thus referring the case to the Second Military Court, which accepted its jurisdiction on January 17, 1980. On September 1, 1981, the Military Court temporarily dismissed the case because the </w:t>
      </w:r>
      <w:r w:rsidR="000555F9">
        <w:rPr>
          <w:rFonts w:ascii="Cambria" w:eastAsia="Cambria" w:hAnsi="Cambria" w:cs="Cambria"/>
          <w:sz w:val="20"/>
          <w:szCs w:val="20"/>
          <w:u w:color="000000"/>
          <w:lang w:eastAsia="es-ES"/>
        </w:rPr>
        <w:t xml:space="preserve">perpetration of the </w:t>
      </w:r>
      <w:r w:rsidRPr="00803320">
        <w:rPr>
          <w:rFonts w:ascii="Cambria" w:eastAsia="Cambria" w:hAnsi="Cambria" w:cs="Cambria"/>
          <w:sz w:val="20"/>
          <w:szCs w:val="20"/>
          <w:u w:color="000000"/>
          <w:lang w:eastAsia="es-ES"/>
        </w:rPr>
        <w:t xml:space="preserve">crime was not </w:t>
      </w:r>
      <w:r w:rsidR="000555F9">
        <w:rPr>
          <w:rFonts w:ascii="Cambria" w:eastAsia="Cambria" w:hAnsi="Cambria" w:cs="Cambria"/>
          <w:sz w:val="20"/>
          <w:szCs w:val="20"/>
          <w:u w:color="000000"/>
          <w:lang w:eastAsia="es-ES"/>
        </w:rPr>
        <w:t>established</w:t>
      </w:r>
      <w:r w:rsidRPr="00803320">
        <w:rPr>
          <w:rFonts w:ascii="Cambria" w:eastAsia="Cambria" w:hAnsi="Cambria" w:cs="Cambria"/>
          <w:sz w:val="20"/>
          <w:szCs w:val="20"/>
          <w:u w:color="000000"/>
          <w:lang w:eastAsia="es-ES"/>
        </w:rPr>
        <w:t xml:space="preserve">, </w:t>
      </w:r>
      <w:r w:rsidR="00343590">
        <w:rPr>
          <w:rFonts w:ascii="Cambria" w:eastAsia="Cambria" w:hAnsi="Cambria" w:cs="Cambria"/>
          <w:sz w:val="20"/>
          <w:szCs w:val="20"/>
          <w:u w:color="000000"/>
          <w:lang w:eastAsia="es-ES"/>
        </w:rPr>
        <w:t>decision</w:t>
      </w:r>
      <w:r w:rsidRPr="00803320">
        <w:rPr>
          <w:rFonts w:ascii="Cambria" w:eastAsia="Cambria" w:hAnsi="Cambria" w:cs="Cambria"/>
          <w:sz w:val="20"/>
          <w:szCs w:val="20"/>
          <w:u w:color="000000"/>
          <w:lang w:eastAsia="es-ES"/>
        </w:rPr>
        <w:t xml:space="preserve"> ratified by the Martial Court. On October 18, 1989, the Military Public Ministry requested to be part of the process, in order for the final order to be dismissed, under the Amnesty Law approved at that time. As a consequence, on October 30, 1989, the final dismissal of the case was decreed; confirmed by the Martial Court on September 4, 1990. In parallel, in September 1977, a complaint was filed before the Ninth Criminal Court, requesting to summon two police officers allegedly linked to the disappearance of the alleged victim, which was accumulated to the above mentioned case. Said </w:t>
      </w:r>
      <w:r w:rsidR="001B3E7E">
        <w:rPr>
          <w:rFonts w:ascii="Cambria" w:eastAsia="Cambria" w:hAnsi="Cambria" w:cs="Cambria"/>
          <w:sz w:val="20"/>
          <w:szCs w:val="20"/>
          <w:u w:color="000000"/>
          <w:lang w:eastAsia="es-ES"/>
        </w:rPr>
        <w:t>inquiry</w:t>
      </w:r>
      <w:r w:rsidRPr="00803320">
        <w:rPr>
          <w:rFonts w:ascii="Cambria" w:eastAsia="Cambria" w:hAnsi="Cambria" w:cs="Cambria"/>
          <w:sz w:val="20"/>
          <w:szCs w:val="20"/>
          <w:u w:color="000000"/>
          <w:lang w:eastAsia="es-ES"/>
        </w:rPr>
        <w:t xml:space="preserve"> was entrusted to the Investigation Police, which </w:t>
      </w:r>
      <w:r w:rsidR="00B816A4">
        <w:rPr>
          <w:rFonts w:ascii="Cambria" w:eastAsia="Cambria" w:hAnsi="Cambria" w:cs="Cambria"/>
          <w:sz w:val="20"/>
          <w:szCs w:val="20"/>
          <w:u w:color="000000"/>
          <w:lang w:eastAsia="es-ES"/>
        </w:rPr>
        <w:t>conducted</w:t>
      </w:r>
      <w:r w:rsidRPr="00803320">
        <w:rPr>
          <w:rFonts w:ascii="Cambria" w:eastAsia="Cambria" w:hAnsi="Cambria" w:cs="Cambria"/>
          <w:sz w:val="20"/>
          <w:szCs w:val="20"/>
          <w:u w:color="000000"/>
          <w:lang w:eastAsia="es-ES"/>
        </w:rPr>
        <w:t xml:space="preserve"> several interviews and hearings, resulting in no evidence. Because both remedies were dismissed by the Court, the petitioners filed a complaint with the Supreme Court, which is still in process.</w:t>
      </w:r>
    </w:p>
    <w:p w14:paraId="47D4BADB" w14:textId="55B2F746" w:rsidR="003750CD" w:rsidRPr="00E5380F" w:rsidRDefault="003750CD" w:rsidP="00A94982">
      <w:pPr>
        <w:numPr>
          <w:ilvl w:val="0"/>
          <w:numId w:val="103"/>
        </w:numPr>
        <w:suppressAutoHyphens/>
        <w:spacing w:after="240"/>
        <w:jc w:val="both"/>
        <w:rPr>
          <w:rFonts w:asciiTheme="majorHAnsi" w:hAnsiTheme="majorHAnsi"/>
        </w:rPr>
      </w:pPr>
      <w:r w:rsidRPr="00644DAD">
        <w:rPr>
          <w:rFonts w:ascii="Cambria" w:eastAsia="Cambria" w:hAnsi="Cambria" w:cs="Cambria"/>
          <w:sz w:val="20"/>
          <w:szCs w:val="20"/>
          <w:u w:color="000000"/>
          <w:lang w:eastAsia="es-ES"/>
        </w:rPr>
        <w:t xml:space="preserve">Regarding the civil action, it follows </w:t>
      </w:r>
      <w:r w:rsidR="00C44031">
        <w:rPr>
          <w:rFonts w:ascii="Cambria" w:eastAsia="Cambria" w:hAnsi="Cambria" w:cs="Cambria"/>
          <w:sz w:val="20"/>
          <w:szCs w:val="20"/>
          <w:u w:color="000000"/>
          <w:lang w:eastAsia="es-ES"/>
        </w:rPr>
        <w:t xml:space="preserve">from what was alleged by the petitioners </w:t>
      </w:r>
      <w:r w:rsidRPr="00644DAD">
        <w:rPr>
          <w:rFonts w:ascii="Cambria" w:eastAsia="Cambria" w:hAnsi="Cambria" w:cs="Cambria"/>
          <w:sz w:val="20"/>
          <w:szCs w:val="20"/>
          <w:u w:color="000000"/>
          <w:lang w:eastAsia="es-ES"/>
        </w:rPr>
        <w:t>that on September 6, 2000, the next of kin of the alleged victim filed a civil proceeding before the Civil Court of Santiago, initiating the trial on September 6, 2000 and sentencing on April 30, 2002, in which the compensation was denied. Consequently, on October 9, 2002, the petitioners filed an appeal before the Court of Appeals of Santiago, which, on July 5, 2007, confirmed the rejection of the petitioners' claims, considering that the</w:t>
      </w:r>
      <w:r>
        <w:rPr>
          <w:rFonts w:ascii="Cambria" w:eastAsia="Cambria" w:hAnsi="Cambria" w:cs="Cambria"/>
          <w:sz w:val="20"/>
          <w:szCs w:val="20"/>
          <w:u w:color="000000"/>
          <w:lang w:eastAsia="es-ES"/>
        </w:rPr>
        <w:t xml:space="preserve"> statute of limitations applied</w:t>
      </w:r>
      <w:r w:rsidRPr="00644DAD">
        <w:rPr>
          <w:rFonts w:ascii="Cambria" w:eastAsia="Cambria" w:hAnsi="Cambria" w:cs="Cambria"/>
          <w:sz w:val="20"/>
          <w:szCs w:val="20"/>
          <w:u w:color="000000"/>
          <w:lang w:eastAsia="es-ES"/>
        </w:rPr>
        <w:t xml:space="preserve">. On September 10, 2007, they filed an appeal to the Supreme Court of Justice, </w:t>
      </w:r>
      <w:r>
        <w:rPr>
          <w:rFonts w:ascii="Cambria" w:eastAsia="Cambria" w:hAnsi="Cambria" w:cs="Cambria"/>
          <w:sz w:val="20"/>
          <w:szCs w:val="20"/>
          <w:u w:color="000000"/>
          <w:lang w:eastAsia="es-ES"/>
        </w:rPr>
        <w:t xml:space="preserve">which was </w:t>
      </w:r>
      <w:r w:rsidRPr="00E5380F">
        <w:rPr>
          <w:rFonts w:asciiTheme="majorHAnsi" w:eastAsia="Cambria" w:hAnsiTheme="majorHAnsi" w:cs="Cambria"/>
          <w:sz w:val="20"/>
          <w:szCs w:val="20"/>
          <w:u w:color="000000"/>
          <w:lang w:eastAsia="es-ES"/>
        </w:rPr>
        <w:t>rejected with a final ruling on June 11, 2009.</w:t>
      </w:r>
    </w:p>
    <w:p w14:paraId="47F5CE2C" w14:textId="2F9C6CA7" w:rsidR="003D6EE0" w:rsidRPr="00E5380F" w:rsidRDefault="003750CD" w:rsidP="00A9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5380F">
        <w:rPr>
          <w:rFonts w:asciiTheme="majorHAnsi" w:hAnsiTheme="majorHAnsi"/>
          <w:sz w:val="20"/>
          <w:szCs w:val="20"/>
        </w:rPr>
        <w:lastRenderedPageBreak/>
        <w:t xml:space="preserve">For its part, the State indicates that in relation to the allegation of lack of civil reparation, it has no objections to raise regarding compliance with the requirements, without prejudice to the observations on the merits that it may present in due time. Regarding the criminal scope of the petition, he informs that in relation to the alleged victim, the case is pending </w:t>
      </w:r>
      <w:r w:rsidR="00B66ACD">
        <w:rPr>
          <w:rFonts w:asciiTheme="majorHAnsi" w:hAnsiTheme="majorHAnsi"/>
          <w:sz w:val="20"/>
          <w:szCs w:val="20"/>
        </w:rPr>
        <w:t>under</w:t>
      </w:r>
      <w:r w:rsidRPr="00E5380F">
        <w:rPr>
          <w:rFonts w:asciiTheme="majorHAnsi" w:hAnsiTheme="majorHAnsi"/>
          <w:sz w:val="20"/>
          <w:szCs w:val="20"/>
        </w:rPr>
        <w:t xml:space="preserve"> Role No. 2182-98 “Villa Grimaldi-Iván Olivares and others”, the case currently being under the analysis of the Supreme Court due to the filing of appeals over the merits.</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E729F2B" w14:textId="58730386" w:rsidR="003750CD" w:rsidRPr="00B66ACD" w:rsidRDefault="003750CD" w:rsidP="00A94982">
      <w:pPr>
        <w:pStyle w:val="ListParagraph"/>
        <w:numPr>
          <w:ilvl w:val="0"/>
          <w:numId w:val="103"/>
        </w:numPr>
        <w:suppressAutoHyphens/>
        <w:spacing w:after="240"/>
        <w:jc w:val="both"/>
        <w:rPr>
          <w:rFonts w:asciiTheme="majorHAnsi" w:hAnsiTheme="majorHAnsi"/>
          <w:b/>
          <w:bCs/>
          <w:sz w:val="20"/>
          <w:szCs w:val="20"/>
        </w:rPr>
      </w:pPr>
      <w:r w:rsidRPr="00644DAD">
        <w:rPr>
          <w:sz w:val="20"/>
          <w:szCs w:val="20"/>
        </w:rPr>
        <w:t>The Commission recalls that whenever an alleged crime</w:t>
      </w:r>
      <w:r w:rsidR="00B66ACD">
        <w:rPr>
          <w:sz w:val="20"/>
          <w:szCs w:val="20"/>
        </w:rPr>
        <w:t xml:space="preserve"> prosecuted ex officio</w:t>
      </w:r>
      <w:r w:rsidRPr="00644DAD">
        <w:rPr>
          <w:sz w:val="20"/>
          <w:szCs w:val="20"/>
        </w:rPr>
        <w:t xml:space="preserve"> is committed, the State has the obligation to promote </w:t>
      </w:r>
      <w:r>
        <w:rPr>
          <w:sz w:val="20"/>
          <w:szCs w:val="20"/>
        </w:rPr>
        <w:t xml:space="preserve">and give impulse to </w:t>
      </w:r>
      <w:r w:rsidRPr="00644DAD">
        <w:rPr>
          <w:sz w:val="20"/>
          <w:szCs w:val="20"/>
        </w:rPr>
        <w:t xml:space="preserve">the criminal process and that, in such cases, this constitutes the </w:t>
      </w:r>
      <w:r w:rsidR="00497DE1">
        <w:rPr>
          <w:sz w:val="20"/>
          <w:szCs w:val="20"/>
        </w:rPr>
        <w:t>appropriate</w:t>
      </w:r>
      <w:r w:rsidRPr="00644DAD">
        <w:rPr>
          <w:sz w:val="20"/>
          <w:szCs w:val="20"/>
        </w:rPr>
        <w:t xml:space="preserve"> way to clarify the facts, judge th</w:t>
      </w:r>
      <w:r>
        <w:rPr>
          <w:sz w:val="20"/>
          <w:szCs w:val="20"/>
        </w:rPr>
        <w:t>ose</w:t>
      </w:r>
      <w:r w:rsidRPr="00644DAD">
        <w:rPr>
          <w:sz w:val="20"/>
          <w:szCs w:val="20"/>
        </w:rPr>
        <w:t xml:space="preserve"> responsible and establish the corresponding </w:t>
      </w:r>
      <w:r>
        <w:rPr>
          <w:sz w:val="20"/>
          <w:szCs w:val="20"/>
        </w:rPr>
        <w:t>criminal</w:t>
      </w:r>
      <w:r w:rsidRPr="00644DAD">
        <w:rPr>
          <w:sz w:val="20"/>
          <w:szCs w:val="20"/>
        </w:rPr>
        <w:t xml:space="preserve"> sanctions. In this regard, the Commission reiterates that </w:t>
      </w:r>
      <w:r>
        <w:rPr>
          <w:sz w:val="20"/>
          <w:szCs w:val="20"/>
        </w:rPr>
        <w:t xml:space="preserve">the </w:t>
      </w:r>
      <w:r w:rsidRPr="00644DAD">
        <w:rPr>
          <w:sz w:val="20"/>
          <w:szCs w:val="20"/>
        </w:rPr>
        <w:t xml:space="preserve">military jurisdiction does not constitute an appropriate forum to elucidate the </w:t>
      </w:r>
      <w:r>
        <w:rPr>
          <w:sz w:val="20"/>
          <w:szCs w:val="20"/>
        </w:rPr>
        <w:t>truth</w:t>
      </w:r>
      <w:r w:rsidRPr="00644DAD">
        <w:rPr>
          <w:sz w:val="20"/>
          <w:szCs w:val="20"/>
        </w:rPr>
        <w:t xml:space="preserve"> of the alleged violations in cases such as </w:t>
      </w:r>
      <w:r>
        <w:rPr>
          <w:sz w:val="20"/>
          <w:szCs w:val="20"/>
        </w:rPr>
        <w:t>the one under analysis</w:t>
      </w:r>
      <w:r w:rsidRPr="00644DAD">
        <w:rPr>
          <w:sz w:val="20"/>
          <w:szCs w:val="20"/>
        </w:rPr>
        <w:t>; and therefore, does not provide an adequate remedy to investigate, prosecute and punish human rights violations allegedly committed by members of the public force.</w:t>
      </w:r>
      <w:r>
        <w:rPr>
          <w:rStyle w:val="FootnoteReference"/>
          <w:sz w:val="20"/>
          <w:szCs w:val="20"/>
        </w:rPr>
        <w:footnoteReference w:id="9"/>
      </w:r>
      <w:r w:rsidRPr="00644DAD">
        <w:rPr>
          <w:sz w:val="20"/>
          <w:szCs w:val="20"/>
        </w:rPr>
        <w:t xml:space="preserve"> The Commission denotes </w:t>
      </w:r>
      <w:r w:rsidR="00937681">
        <w:rPr>
          <w:sz w:val="20"/>
          <w:szCs w:val="20"/>
        </w:rPr>
        <w:t xml:space="preserve">that the State indicates that an appeal </w:t>
      </w:r>
      <w:r w:rsidRPr="00644DAD">
        <w:rPr>
          <w:sz w:val="20"/>
          <w:szCs w:val="20"/>
        </w:rPr>
        <w:t>procedu</w:t>
      </w:r>
      <w:r w:rsidR="0053617F">
        <w:rPr>
          <w:sz w:val="20"/>
          <w:szCs w:val="20"/>
        </w:rPr>
        <w:t xml:space="preserve">re is still pending </w:t>
      </w:r>
      <w:r w:rsidRPr="00644DAD">
        <w:rPr>
          <w:sz w:val="20"/>
          <w:szCs w:val="20"/>
        </w:rPr>
        <w:t xml:space="preserve">before the Supreme Court. In this regard, he notes that, after 27 years, the detention, torture and disappearance have not been clarified, nor have those </w:t>
      </w:r>
      <w:r w:rsidRPr="00B66ACD">
        <w:rPr>
          <w:rFonts w:asciiTheme="majorHAnsi" w:hAnsiTheme="majorHAnsi"/>
          <w:sz w:val="20"/>
          <w:szCs w:val="20"/>
        </w:rPr>
        <w:t xml:space="preserve">responsible been punished. On the merit of the foregoing, the Commission concludes that in this case the provisions of </w:t>
      </w:r>
      <w:r w:rsidR="00A94982">
        <w:rPr>
          <w:rFonts w:asciiTheme="majorHAnsi" w:hAnsiTheme="majorHAnsi"/>
          <w:sz w:val="20"/>
          <w:szCs w:val="20"/>
        </w:rPr>
        <w:t>Article</w:t>
      </w:r>
      <w:r w:rsidRPr="00B66ACD">
        <w:rPr>
          <w:rFonts w:asciiTheme="majorHAnsi" w:hAnsiTheme="majorHAnsi"/>
          <w:sz w:val="20"/>
          <w:szCs w:val="20"/>
        </w:rPr>
        <w:t xml:space="preserve"> 46.2.c of the Convention apply. In view of the context and the characteristics of the petition, the Commission considers that it was presented within a reasonable time.</w:t>
      </w:r>
    </w:p>
    <w:p w14:paraId="2BDBAE9F" w14:textId="715737D7" w:rsidR="00263BF5" w:rsidRPr="00B66ACD" w:rsidRDefault="003750CD" w:rsidP="00A9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66ACD">
        <w:rPr>
          <w:rFonts w:asciiTheme="majorHAnsi" w:hAnsiTheme="majorHAnsi"/>
          <w:sz w:val="20"/>
          <w:szCs w:val="20"/>
        </w:rPr>
        <w:t>Additionally, in relation to the reparation processes before the administrative contentious jurisdiction, the Commission has repeatedly held that said route does not constitute an appropriate remedy for the purpose of analyzing the admissibility of a claim such as the one under analysis,</w:t>
      </w:r>
      <w:r w:rsidRPr="00B66ACD">
        <w:rPr>
          <w:rStyle w:val="FootnoteReference"/>
          <w:rFonts w:asciiTheme="majorHAnsi" w:hAnsiTheme="majorHAnsi"/>
          <w:sz w:val="20"/>
          <w:szCs w:val="20"/>
        </w:rPr>
        <w:footnoteReference w:id="10"/>
      </w:r>
      <w:r w:rsidRPr="00B66ACD">
        <w:rPr>
          <w:rFonts w:asciiTheme="majorHAnsi" w:hAnsiTheme="majorHAnsi"/>
          <w:sz w:val="20"/>
          <w:szCs w:val="20"/>
        </w:rPr>
        <w:t xml:space="preserve"> since it is not adequate to provide comprehensive reparation that includes clarification and justice to family members. Notwithstanding the foregoing, although in the present case the criminal process is the </w:t>
      </w:r>
      <w:r w:rsidR="00E4718A">
        <w:rPr>
          <w:rFonts w:asciiTheme="majorHAnsi" w:hAnsiTheme="majorHAnsi"/>
          <w:sz w:val="20"/>
          <w:szCs w:val="20"/>
        </w:rPr>
        <w:t>appropriate</w:t>
      </w:r>
      <w:r w:rsidRPr="00B66ACD">
        <w:rPr>
          <w:rFonts w:asciiTheme="majorHAnsi" w:hAnsiTheme="majorHAnsi"/>
          <w:sz w:val="20"/>
          <w:szCs w:val="20"/>
        </w:rPr>
        <w:t xml:space="preserve"> remedy for the investigation of the facts, it is observed that the petitioners also allege specific violations within the framework of the demand for direct reparation. Therefore, given the link between the two processes, it is verified that the petitioners have exhausted the domestic remedies available in the Chilean jurisdiction with the final ruling of the Supreme Court of Justice of June 11, 2009, and, hence, the present petition complies with the requirement established in numeral 46.1.a of the American Convention. Regarding the deadline for submission, the Commission notes that the previous judicial decision was notified to the alleged victim on June 11, 2009 and his petition before this Commission was received on December 11, 2009. In merit of the foregoing, the petition complies with the requirement set forth in </w:t>
      </w:r>
      <w:r w:rsidR="00A94982">
        <w:rPr>
          <w:rFonts w:asciiTheme="majorHAnsi" w:hAnsiTheme="majorHAnsi"/>
          <w:sz w:val="20"/>
          <w:szCs w:val="20"/>
        </w:rPr>
        <w:t>Article</w:t>
      </w:r>
      <w:r w:rsidRPr="00B66ACD">
        <w:rPr>
          <w:rFonts w:asciiTheme="majorHAnsi" w:hAnsiTheme="majorHAnsi"/>
          <w:sz w:val="20"/>
          <w:szCs w:val="20"/>
        </w:rPr>
        <w:t xml:space="preserve"> 46.1.b of the Convention.</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2B97C6A9" w14:textId="78AD1B01" w:rsidR="003750CD" w:rsidRPr="00C866F5" w:rsidRDefault="003750CD" w:rsidP="00A9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66F5">
        <w:rPr>
          <w:rFonts w:asciiTheme="majorHAnsi" w:hAnsiTheme="majorHAnsi"/>
          <w:bCs/>
          <w:sz w:val="20"/>
          <w:szCs w:val="20"/>
        </w:rPr>
        <w:t xml:space="preserve">In relation to the competence </w:t>
      </w:r>
      <w:r w:rsidRPr="00C866F5">
        <w:rPr>
          <w:rFonts w:asciiTheme="majorHAnsi" w:hAnsiTheme="majorHAnsi"/>
          <w:bCs/>
          <w:i/>
          <w:iCs/>
          <w:sz w:val="20"/>
          <w:szCs w:val="20"/>
        </w:rPr>
        <w:t>ratione temporis</w:t>
      </w:r>
      <w:r w:rsidRPr="00C866F5">
        <w:rPr>
          <w:rFonts w:asciiTheme="majorHAnsi" w:hAnsiTheme="majorHAnsi"/>
          <w:bCs/>
          <w:sz w:val="20"/>
          <w:szCs w:val="20"/>
        </w:rPr>
        <w:t xml:space="preserve"> and </w:t>
      </w:r>
      <w:r w:rsidRPr="00C866F5">
        <w:rPr>
          <w:rFonts w:asciiTheme="majorHAnsi" w:hAnsiTheme="majorHAnsi"/>
          <w:bCs/>
          <w:i/>
          <w:iCs/>
          <w:sz w:val="20"/>
          <w:szCs w:val="20"/>
        </w:rPr>
        <w:t>ratione materiae</w:t>
      </w:r>
      <w:r w:rsidRPr="00C866F5">
        <w:rPr>
          <w:rFonts w:asciiTheme="majorHAnsi" w:hAnsiTheme="majorHAnsi"/>
          <w:bCs/>
          <w:sz w:val="20"/>
          <w:szCs w:val="20"/>
        </w:rPr>
        <w:t>, the Commission will analyze the facts of this case in the light of the obligations established in the American Convention, in the Inter-American Convention on Forced Disappearance of Persons and in the Convention against Torture, regarding those events that occurred after their entry into force or whose execution continued after the entry into force of said instruments for the State of Chile. The Commission will analyze the facts completed prior to the entry into force of the American Convention for that State, in the light of the obligations arising from the American Declaration.</w:t>
      </w:r>
    </w:p>
    <w:p w14:paraId="1E7FC30A" w14:textId="785CDF63" w:rsidR="003750CD" w:rsidRPr="00C866F5" w:rsidRDefault="00CE6DB1" w:rsidP="00A9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66F5">
        <w:rPr>
          <w:rFonts w:asciiTheme="majorHAnsi" w:hAnsiTheme="majorHAnsi"/>
          <w:sz w:val="20"/>
          <w:szCs w:val="20"/>
        </w:rPr>
        <w:t xml:space="preserve">In view of the factual and legal elements alleged by the parties and the nature of the matter brought to its attention, the Commission considers that, if proven, </w:t>
      </w:r>
      <w:r w:rsidR="003750CD" w:rsidRPr="00C866F5">
        <w:rPr>
          <w:rFonts w:asciiTheme="majorHAnsi" w:hAnsiTheme="majorHAnsi"/>
          <w:bCs/>
          <w:sz w:val="20"/>
          <w:szCs w:val="20"/>
        </w:rPr>
        <w:t xml:space="preserve">the facts alleged by the petitioner about the forced disappearance, torture and murder of the alleged victim, and faults in due process, could amount to a violation of the rights protected in </w:t>
      </w:r>
      <w:r w:rsidR="00A94982">
        <w:rPr>
          <w:rFonts w:asciiTheme="majorHAnsi" w:hAnsiTheme="majorHAnsi"/>
          <w:bCs/>
          <w:sz w:val="20"/>
          <w:szCs w:val="20"/>
        </w:rPr>
        <w:t>Article</w:t>
      </w:r>
      <w:r w:rsidR="003750CD" w:rsidRPr="00C866F5">
        <w:rPr>
          <w:rFonts w:asciiTheme="majorHAnsi" w:hAnsiTheme="majorHAnsi"/>
          <w:bCs/>
          <w:sz w:val="20"/>
          <w:szCs w:val="20"/>
        </w:rPr>
        <w:t xml:space="preserve">s I (life, liberty and personal security), XVII (right to recognition of juridical personality and civil rights) XVIII (right to a </w:t>
      </w:r>
      <w:r w:rsidR="002419ED">
        <w:rPr>
          <w:rFonts w:asciiTheme="majorHAnsi" w:hAnsiTheme="majorHAnsi"/>
          <w:bCs/>
          <w:sz w:val="20"/>
          <w:szCs w:val="20"/>
        </w:rPr>
        <w:t>fair trial) and XXV (</w:t>
      </w:r>
      <w:r w:rsidR="003750CD" w:rsidRPr="00C866F5">
        <w:rPr>
          <w:rFonts w:asciiTheme="majorHAnsi" w:hAnsiTheme="majorHAnsi"/>
          <w:bCs/>
          <w:sz w:val="20"/>
          <w:szCs w:val="20"/>
        </w:rPr>
        <w:t xml:space="preserve">protection from arbitrary detention) </w:t>
      </w:r>
      <w:r w:rsidR="003750CD" w:rsidRPr="00C866F5">
        <w:rPr>
          <w:rFonts w:asciiTheme="majorHAnsi" w:hAnsiTheme="majorHAnsi"/>
          <w:bCs/>
          <w:sz w:val="20"/>
          <w:szCs w:val="20"/>
        </w:rPr>
        <w:lastRenderedPageBreak/>
        <w:t xml:space="preserve">of the American Declaration. Likewise, as regards the alleged continuity and lack of clarification of said crimes, as well as the allegations regarding the lack of compensation for the events that occurred, in application of the statute of limitations, the Commission considers that these facts could amount to possible violations of Articles 3 (juridical personality), 4 (life), 5 (humane treatment), 7 (personal liberty), 8 (fair trial), and 25 (judicial protection) of the American Convention on Human Rights in relation to </w:t>
      </w:r>
      <w:r w:rsidR="00A94982">
        <w:rPr>
          <w:rFonts w:asciiTheme="majorHAnsi" w:hAnsiTheme="majorHAnsi"/>
          <w:bCs/>
          <w:sz w:val="20"/>
          <w:szCs w:val="20"/>
        </w:rPr>
        <w:t>Article</w:t>
      </w:r>
      <w:r w:rsidR="003750CD" w:rsidRPr="00C866F5">
        <w:rPr>
          <w:rFonts w:asciiTheme="majorHAnsi" w:hAnsiTheme="majorHAnsi"/>
          <w:bCs/>
          <w:sz w:val="20"/>
          <w:szCs w:val="20"/>
        </w:rPr>
        <w:t xml:space="preserve"> 1 (obligation to respect</w:t>
      </w:r>
      <w:r w:rsidR="002419ED">
        <w:rPr>
          <w:rFonts w:asciiTheme="majorHAnsi" w:hAnsiTheme="majorHAnsi"/>
          <w:bCs/>
          <w:sz w:val="20"/>
          <w:szCs w:val="20"/>
        </w:rPr>
        <w:t xml:space="preserve"> rights</w:t>
      </w:r>
      <w:r w:rsidR="003750CD" w:rsidRPr="00C866F5">
        <w:rPr>
          <w:rFonts w:asciiTheme="majorHAnsi" w:hAnsiTheme="majorHAnsi"/>
          <w:bCs/>
          <w:sz w:val="20"/>
          <w:szCs w:val="20"/>
        </w:rPr>
        <w:t xml:space="preserve">) and 2 (duty to adopt domestic legislation), as well as </w:t>
      </w:r>
      <w:r w:rsidR="00A94982">
        <w:rPr>
          <w:rFonts w:asciiTheme="majorHAnsi" w:hAnsiTheme="majorHAnsi"/>
          <w:bCs/>
          <w:sz w:val="20"/>
          <w:szCs w:val="20"/>
        </w:rPr>
        <w:t>Article</w:t>
      </w:r>
      <w:r w:rsidR="003750CD" w:rsidRPr="00C866F5">
        <w:rPr>
          <w:rFonts w:asciiTheme="majorHAnsi" w:hAnsiTheme="majorHAnsi"/>
          <w:bCs/>
          <w:sz w:val="20"/>
          <w:szCs w:val="20"/>
        </w:rPr>
        <w:t>s 1, 6 and 8 of the Convention against Torture; and Article I of the Inter-American Convention on the Forced Disappearances of Persons.</w:t>
      </w:r>
    </w:p>
    <w:p w14:paraId="5A70550C" w14:textId="77777777" w:rsidR="00F621C3" w:rsidRPr="00C866F5" w:rsidRDefault="00F621C3" w:rsidP="00C355B4">
      <w:pPr>
        <w:pStyle w:val="ListParagraph"/>
        <w:spacing w:before="120" w:after="120"/>
        <w:jc w:val="both"/>
        <w:rPr>
          <w:rFonts w:asciiTheme="majorHAnsi" w:hAnsiTheme="majorHAnsi"/>
          <w:b/>
          <w:bCs/>
          <w:sz w:val="20"/>
          <w:szCs w:val="20"/>
        </w:rPr>
      </w:pPr>
      <w:r w:rsidRPr="00C866F5">
        <w:rPr>
          <w:rFonts w:asciiTheme="majorHAnsi" w:hAnsiTheme="majorHAnsi"/>
          <w:b/>
          <w:bCs/>
          <w:sz w:val="20"/>
          <w:szCs w:val="20"/>
        </w:rPr>
        <w:t xml:space="preserve">VIII. </w:t>
      </w:r>
      <w:r w:rsidRPr="00C866F5">
        <w:rPr>
          <w:rFonts w:asciiTheme="majorHAnsi" w:hAnsiTheme="majorHAnsi"/>
          <w:b/>
          <w:bCs/>
          <w:sz w:val="20"/>
          <w:szCs w:val="20"/>
        </w:rPr>
        <w:tab/>
        <w:t>DECISION</w:t>
      </w:r>
    </w:p>
    <w:p w14:paraId="7B069E47" w14:textId="13338CF1" w:rsidR="00F621C3" w:rsidRPr="00C866F5" w:rsidRDefault="00F621C3" w:rsidP="00A94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66F5">
        <w:rPr>
          <w:rFonts w:asciiTheme="majorHAnsi" w:hAnsiTheme="majorHAnsi"/>
          <w:sz w:val="20"/>
          <w:szCs w:val="20"/>
        </w:rPr>
        <w:t>To find the instant petition</w:t>
      </w:r>
      <w:r w:rsidR="003750CD" w:rsidRPr="00C866F5">
        <w:rPr>
          <w:rFonts w:asciiTheme="majorHAnsi" w:hAnsiTheme="majorHAnsi"/>
          <w:sz w:val="20"/>
          <w:szCs w:val="20"/>
        </w:rPr>
        <w:t xml:space="preserve"> admissible</w:t>
      </w:r>
      <w:r w:rsidRPr="00C866F5">
        <w:rPr>
          <w:rFonts w:asciiTheme="majorHAnsi" w:hAnsiTheme="majorHAnsi"/>
          <w:sz w:val="20"/>
          <w:szCs w:val="20"/>
        </w:rPr>
        <w:t xml:space="preserve"> </w:t>
      </w:r>
      <w:r w:rsidR="003750CD" w:rsidRPr="00C866F5">
        <w:rPr>
          <w:rFonts w:asciiTheme="majorHAnsi" w:hAnsiTheme="majorHAnsi"/>
          <w:sz w:val="20"/>
          <w:szCs w:val="20"/>
        </w:rPr>
        <w:t xml:space="preserve">in relation to </w:t>
      </w:r>
      <w:r w:rsidR="00A94982">
        <w:rPr>
          <w:rFonts w:asciiTheme="majorHAnsi" w:hAnsiTheme="majorHAnsi"/>
          <w:sz w:val="20"/>
          <w:szCs w:val="20"/>
        </w:rPr>
        <w:t>Article</w:t>
      </w:r>
      <w:r w:rsidR="002419ED">
        <w:rPr>
          <w:rFonts w:asciiTheme="majorHAnsi" w:hAnsiTheme="majorHAnsi"/>
          <w:sz w:val="20"/>
          <w:szCs w:val="20"/>
        </w:rPr>
        <w:t xml:space="preserve">s I, </w:t>
      </w:r>
      <w:r w:rsidR="003750CD" w:rsidRPr="00C866F5">
        <w:rPr>
          <w:rFonts w:asciiTheme="majorHAnsi" w:hAnsiTheme="majorHAnsi"/>
          <w:sz w:val="20"/>
          <w:szCs w:val="20"/>
        </w:rPr>
        <w:t xml:space="preserve">XVII, XVIII and XXV of the American Declaration; and </w:t>
      </w:r>
      <w:r w:rsidR="00A94982">
        <w:rPr>
          <w:rFonts w:asciiTheme="majorHAnsi" w:hAnsiTheme="majorHAnsi"/>
          <w:sz w:val="20"/>
          <w:szCs w:val="20"/>
        </w:rPr>
        <w:t>Article</w:t>
      </w:r>
      <w:r w:rsidR="003750CD" w:rsidRPr="00C866F5">
        <w:rPr>
          <w:rFonts w:asciiTheme="majorHAnsi" w:hAnsiTheme="majorHAnsi"/>
          <w:sz w:val="20"/>
          <w:szCs w:val="20"/>
        </w:rPr>
        <w:t xml:space="preserve">s 3, 4, 5, 7, 8 and 25 of the American Convention in relation to </w:t>
      </w:r>
      <w:r w:rsidR="00A94982">
        <w:rPr>
          <w:rFonts w:asciiTheme="majorHAnsi" w:hAnsiTheme="majorHAnsi"/>
          <w:sz w:val="20"/>
          <w:szCs w:val="20"/>
        </w:rPr>
        <w:t>Article</w:t>
      </w:r>
      <w:r w:rsidR="003750CD" w:rsidRPr="00C866F5">
        <w:rPr>
          <w:rFonts w:asciiTheme="majorHAnsi" w:hAnsiTheme="majorHAnsi"/>
          <w:sz w:val="20"/>
          <w:szCs w:val="20"/>
        </w:rPr>
        <w:t xml:space="preserve">s 1.1 and 2; </w:t>
      </w:r>
      <w:r w:rsidR="00A94982">
        <w:rPr>
          <w:rFonts w:asciiTheme="majorHAnsi" w:hAnsiTheme="majorHAnsi"/>
          <w:sz w:val="20"/>
          <w:szCs w:val="20"/>
        </w:rPr>
        <w:t>Article</w:t>
      </w:r>
      <w:r w:rsidR="003750CD" w:rsidRPr="00C866F5">
        <w:rPr>
          <w:rFonts w:asciiTheme="majorHAnsi" w:hAnsiTheme="majorHAnsi"/>
          <w:sz w:val="20"/>
          <w:szCs w:val="20"/>
        </w:rPr>
        <w:t xml:space="preserve">s 1, 6 and 8 of the Convention against Torture; </w:t>
      </w:r>
      <w:r w:rsidR="00A94982">
        <w:rPr>
          <w:rFonts w:asciiTheme="majorHAnsi" w:hAnsiTheme="majorHAnsi"/>
          <w:sz w:val="20"/>
          <w:szCs w:val="20"/>
        </w:rPr>
        <w:t>Article</w:t>
      </w:r>
      <w:r w:rsidR="003750CD" w:rsidRPr="00C866F5">
        <w:rPr>
          <w:rFonts w:asciiTheme="majorHAnsi" w:hAnsiTheme="majorHAnsi"/>
          <w:sz w:val="20"/>
          <w:szCs w:val="20"/>
        </w:rPr>
        <w:t xml:space="preserve"> I of the Inter-American Convention on Forced Disappearances of Persons over those facts occurred after its entry into force or of which its execution continued after the entry into force for the state of Chile; </w:t>
      </w:r>
      <w:r w:rsidR="003750CD" w:rsidRPr="00C866F5">
        <w:rPr>
          <w:rFonts w:asciiTheme="majorHAnsi" w:hAnsiTheme="majorHAnsi"/>
          <w:bCs/>
          <w:sz w:val="20"/>
          <w:szCs w:val="20"/>
        </w:rPr>
        <w:t>and</w:t>
      </w:r>
    </w:p>
    <w:p w14:paraId="22CC8DDA" w14:textId="51ED6D8B" w:rsidR="00F621C3" w:rsidRPr="00C866F5" w:rsidRDefault="00F621C3" w:rsidP="00A94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66F5">
        <w:rPr>
          <w:rFonts w:asciiTheme="majorHAnsi" w:hAnsiTheme="majorHAnsi"/>
          <w:sz w:val="20"/>
          <w:szCs w:val="20"/>
        </w:rPr>
        <w:t xml:space="preserve">To notify the parties of this </w:t>
      </w:r>
      <w:r w:rsidRPr="002419ED">
        <w:rPr>
          <w:rFonts w:asciiTheme="majorHAnsi" w:hAnsiTheme="majorHAnsi"/>
          <w:sz w:val="20"/>
          <w:szCs w:val="20"/>
        </w:rPr>
        <w:t>decision;</w:t>
      </w:r>
      <w:r w:rsidR="001F1902" w:rsidRPr="002419ED">
        <w:rPr>
          <w:rFonts w:asciiTheme="majorHAnsi" w:hAnsiTheme="majorHAnsi"/>
          <w:sz w:val="20"/>
          <w:szCs w:val="20"/>
        </w:rPr>
        <w:t xml:space="preserve"> t</w:t>
      </w:r>
      <w:r w:rsidRPr="002419ED">
        <w:rPr>
          <w:rFonts w:asciiTheme="majorHAnsi" w:hAnsiTheme="majorHAnsi"/>
          <w:sz w:val="20"/>
          <w:szCs w:val="20"/>
        </w:rPr>
        <w:t xml:space="preserve">o continue with the analysis on the merits; and </w:t>
      </w:r>
      <w:r w:rsidR="001F1902" w:rsidRPr="002419ED">
        <w:rPr>
          <w:rFonts w:asciiTheme="majorHAnsi" w:hAnsiTheme="majorHAnsi"/>
          <w:sz w:val="20"/>
          <w:szCs w:val="20"/>
        </w:rPr>
        <w:t>t</w:t>
      </w:r>
      <w:r w:rsidRPr="002419ED">
        <w:rPr>
          <w:rFonts w:asciiTheme="majorHAnsi" w:hAnsiTheme="majorHAnsi"/>
          <w:sz w:val="20"/>
          <w:szCs w:val="20"/>
        </w:rPr>
        <w:t xml:space="preserve">o </w:t>
      </w:r>
      <w:r w:rsidRPr="00C866F5">
        <w:rPr>
          <w:rFonts w:asciiTheme="majorHAnsi" w:hAnsiTheme="majorHAnsi"/>
          <w:sz w:val="20"/>
          <w:szCs w:val="20"/>
        </w:rPr>
        <w:t>publish this decision and include it in its Annual Report to the General Assembly of the Organization of American States.</w:t>
      </w:r>
    </w:p>
    <w:p w14:paraId="1C6AA622" w14:textId="387412D5" w:rsidR="00F621C3" w:rsidRPr="000B6B7A" w:rsidRDefault="00581607" w:rsidP="00A94982">
      <w:pPr>
        <w:pStyle w:val="ListParagraph"/>
        <w:suppressAutoHyphens/>
        <w:spacing w:after="240"/>
        <w:ind w:left="0" w:firstLine="720"/>
        <w:jc w:val="both"/>
        <w:rPr>
          <w:rFonts w:asciiTheme="majorHAnsi" w:hAnsiTheme="majorHAnsi"/>
          <w:sz w:val="20"/>
          <w:szCs w:val="20"/>
        </w:rPr>
      </w:pPr>
      <w:r>
        <w:rPr>
          <w:rFonts w:asciiTheme="majorHAnsi" w:hAnsiTheme="majorHAnsi"/>
          <w:sz w:val="20"/>
          <w:szCs w:val="20"/>
        </w:rPr>
        <w:tab/>
      </w:r>
      <w:r w:rsidRPr="00581607">
        <w:rPr>
          <w:rFonts w:asciiTheme="majorHAnsi" w:hAnsiTheme="majorHAnsi"/>
          <w:sz w:val="20"/>
          <w:szCs w:val="20"/>
        </w:rPr>
        <w:t xml:space="preserve">Approved by the Inter-American Commission on Human Rights on the </w:t>
      </w:r>
      <w:r>
        <w:rPr>
          <w:rFonts w:asciiTheme="majorHAnsi" w:hAnsiTheme="majorHAnsi"/>
          <w:sz w:val="20"/>
          <w:szCs w:val="20"/>
        </w:rPr>
        <w:t>5</w:t>
      </w:r>
      <w:r w:rsidRPr="00581607">
        <w:rPr>
          <w:rFonts w:asciiTheme="majorHAnsi" w:hAnsiTheme="majorHAnsi"/>
          <w:sz w:val="20"/>
          <w:szCs w:val="20"/>
          <w:vertAlign w:val="superscript"/>
        </w:rPr>
        <w:t>th</w:t>
      </w:r>
      <w:r>
        <w:rPr>
          <w:rFonts w:asciiTheme="majorHAnsi" w:hAnsiTheme="majorHAnsi"/>
          <w:sz w:val="20"/>
          <w:szCs w:val="20"/>
        </w:rPr>
        <w:t xml:space="preserve"> </w:t>
      </w:r>
      <w:r w:rsidRPr="00581607">
        <w:rPr>
          <w:rFonts w:asciiTheme="majorHAnsi" w:hAnsiTheme="majorHAnsi"/>
          <w:sz w:val="20"/>
          <w:szCs w:val="20"/>
        </w:rPr>
        <w:t xml:space="preserve">day of the month of </w:t>
      </w:r>
      <w:r>
        <w:rPr>
          <w:rFonts w:asciiTheme="majorHAnsi" w:hAnsiTheme="majorHAnsi"/>
          <w:sz w:val="20"/>
          <w:szCs w:val="20"/>
        </w:rPr>
        <w:t>December</w:t>
      </w:r>
      <w:r w:rsidRPr="00581607">
        <w:rPr>
          <w:rFonts w:asciiTheme="majorHAnsi" w:hAnsiTheme="majorHAnsi"/>
          <w:sz w:val="20"/>
          <w:szCs w:val="20"/>
        </w:rPr>
        <w:t>, 2019. (Signed):  Esmeralda E. Arosemena Bernal de Troitiño, President; Joel Hernández García, First Vice President; Margarette May Macaulay, Francisco José Eguiguren Praeli, Luis Ernesto Vargas Silva and Flávia Piovesan, Commissioners.</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CE13" w14:textId="77777777" w:rsidR="00545008" w:rsidRDefault="00545008" w:rsidP="00036A8A">
      <w:r>
        <w:separator/>
      </w:r>
    </w:p>
  </w:endnote>
  <w:endnote w:type="continuationSeparator" w:id="0">
    <w:p w14:paraId="40160ACF" w14:textId="77777777" w:rsidR="00545008" w:rsidRDefault="005450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0421" w14:textId="77777777" w:rsidR="0096407B" w:rsidRDefault="0096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6407B">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01B9" w14:textId="77777777" w:rsidR="00545008" w:rsidRPr="00036A8A" w:rsidRDefault="005450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443FF3" w14:textId="77777777" w:rsidR="00545008" w:rsidRPr="00036A8A" w:rsidRDefault="00545008" w:rsidP="00036A8A">
      <w:pPr>
        <w:rPr>
          <w:rFonts w:asciiTheme="majorHAnsi" w:hAnsiTheme="majorHAnsi"/>
          <w:sz w:val="16"/>
          <w:szCs w:val="16"/>
        </w:rPr>
      </w:pPr>
      <w:r w:rsidRPr="00036A8A">
        <w:rPr>
          <w:rFonts w:asciiTheme="majorHAnsi" w:hAnsiTheme="majorHAnsi"/>
          <w:sz w:val="16"/>
          <w:szCs w:val="16"/>
        </w:rPr>
        <w:separator/>
      </w:r>
    </w:p>
    <w:p w14:paraId="10563881" w14:textId="77777777" w:rsidR="00545008" w:rsidRPr="00036A8A" w:rsidRDefault="005450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98F3FEE" w14:textId="77777777" w:rsidR="00545008" w:rsidRPr="0093441A" w:rsidRDefault="0054500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3A5EE0C" w14:textId="77777777" w:rsidR="003750CD" w:rsidRPr="002B0734" w:rsidRDefault="003750CD" w:rsidP="00631EC3">
      <w:pPr>
        <w:pStyle w:val="FootnoteText"/>
        <w:jc w:val="both"/>
        <w:rPr>
          <w:rFonts w:ascii="Cambria" w:hAnsi="Cambria"/>
          <w:sz w:val="16"/>
          <w:szCs w:val="16"/>
        </w:rPr>
      </w:pPr>
      <w:r w:rsidRPr="002B0734">
        <w:rPr>
          <w:rStyle w:val="FootnoteReference"/>
          <w:rFonts w:ascii="Cambria" w:hAnsi="Cambria"/>
          <w:sz w:val="16"/>
          <w:szCs w:val="16"/>
        </w:rPr>
        <w:footnoteRef/>
      </w:r>
      <w:r w:rsidRPr="002B0734">
        <w:rPr>
          <w:rFonts w:ascii="Cambria" w:hAnsi="Cambria"/>
          <w:sz w:val="16"/>
          <w:szCs w:val="16"/>
        </w:rPr>
        <w:t xml:space="preserve"> </w:t>
      </w:r>
      <w:r>
        <w:rPr>
          <w:rFonts w:ascii="Cambria" w:hAnsi="Cambria"/>
          <w:sz w:val="16"/>
          <w:szCs w:val="16"/>
        </w:rPr>
        <w:t xml:space="preserve">Through a document presented on January 10, 2018, the petitioner </w:t>
      </w:r>
      <w:proofErr w:type="spellStart"/>
      <w:r>
        <w:rPr>
          <w:rFonts w:ascii="Cambria" w:hAnsi="Cambria"/>
          <w:sz w:val="16"/>
          <w:szCs w:val="16"/>
        </w:rPr>
        <w:t>Primitiva</w:t>
      </w:r>
      <w:proofErr w:type="spellEnd"/>
      <w:r>
        <w:rPr>
          <w:rFonts w:ascii="Cambria" w:hAnsi="Cambria"/>
          <w:sz w:val="16"/>
          <w:szCs w:val="16"/>
        </w:rPr>
        <w:t xml:space="preserve"> </w:t>
      </w:r>
      <w:proofErr w:type="spellStart"/>
      <w:r>
        <w:rPr>
          <w:rFonts w:ascii="Cambria" w:hAnsi="Cambria"/>
          <w:sz w:val="16"/>
          <w:szCs w:val="16"/>
        </w:rPr>
        <w:t>Calderón</w:t>
      </w:r>
      <w:proofErr w:type="spellEnd"/>
      <w:r>
        <w:rPr>
          <w:rFonts w:ascii="Cambria" w:hAnsi="Cambria"/>
          <w:sz w:val="16"/>
          <w:szCs w:val="16"/>
        </w:rPr>
        <w:t xml:space="preserve"> </w:t>
      </w:r>
      <w:proofErr w:type="spellStart"/>
      <w:r>
        <w:rPr>
          <w:rFonts w:ascii="Cambria" w:hAnsi="Cambria"/>
          <w:sz w:val="16"/>
          <w:szCs w:val="16"/>
        </w:rPr>
        <w:t>Román</w:t>
      </w:r>
      <w:proofErr w:type="spellEnd"/>
      <w:r>
        <w:rPr>
          <w:rFonts w:ascii="Cambria" w:hAnsi="Cambria"/>
          <w:sz w:val="16"/>
          <w:szCs w:val="16"/>
        </w:rPr>
        <w:t xml:space="preserve"> </w:t>
      </w:r>
      <w:r w:rsidRPr="002B0734">
        <w:rPr>
          <w:rFonts w:ascii="Cambria" w:hAnsi="Cambria"/>
          <w:sz w:val="16"/>
          <w:szCs w:val="16"/>
        </w:rPr>
        <w:t xml:space="preserve">quit being a petitioner. </w:t>
      </w:r>
    </w:p>
  </w:footnote>
  <w:footnote w:id="3">
    <w:p w14:paraId="5F38FD78" w14:textId="77777777" w:rsidR="003750CD" w:rsidRPr="002B0734" w:rsidRDefault="003750CD" w:rsidP="00631EC3">
      <w:pPr>
        <w:pStyle w:val="FootnoteText"/>
        <w:jc w:val="both"/>
        <w:rPr>
          <w:rFonts w:ascii="Cambria" w:hAnsi="Cambria"/>
          <w:sz w:val="16"/>
          <w:szCs w:val="16"/>
        </w:rPr>
      </w:pPr>
      <w:r w:rsidRPr="002B0734">
        <w:rPr>
          <w:rStyle w:val="FootnoteReference"/>
          <w:rFonts w:ascii="Cambria" w:hAnsi="Cambria"/>
          <w:sz w:val="16"/>
          <w:szCs w:val="16"/>
        </w:rPr>
        <w:footnoteRef/>
      </w:r>
      <w:r w:rsidRPr="002B0734">
        <w:rPr>
          <w:rFonts w:ascii="Cambria" w:hAnsi="Cambria"/>
          <w:sz w:val="16"/>
          <w:szCs w:val="16"/>
        </w:rPr>
        <w:t xml:space="preserve"> </w:t>
      </w:r>
      <w:proofErr w:type="spellStart"/>
      <w:r>
        <w:rPr>
          <w:rFonts w:ascii="Cambria" w:hAnsi="Cambria"/>
          <w:sz w:val="16"/>
          <w:szCs w:val="16"/>
        </w:rPr>
        <w:t>Primitiva</w:t>
      </w:r>
      <w:proofErr w:type="spellEnd"/>
      <w:r>
        <w:rPr>
          <w:rFonts w:ascii="Cambria" w:hAnsi="Cambria"/>
          <w:sz w:val="16"/>
          <w:szCs w:val="16"/>
        </w:rPr>
        <w:t xml:space="preserve"> </w:t>
      </w:r>
      <w:proofErr w:type="spellStart"/>
      <w:r>
        <w:rPr>
          <w:rFonts w:ascii="Cambria" w:hAnsi="Cambria"/>
          <w:sz w:val="16"/>
          <w:szCs w:val="16"/>
        </w:rPr>
        <w:t>Calderón</w:t>
      </w:r>
      <w:proofErr w:type="spellEnd"/>
      <w:r>
        <w:rPr>
          <w:rFonts w:ascii="Cambria" w:hAnsi="Cambria"/>
          <w:sz w:val="16"/>
          <w:szCs w:val="16"/>
        </w:rPr>
        <w:t xml:space="preserve"> </w:t>
      </w:r>
      <w:proofErr w:type="spellStart"/>
      <w:r>
        <w:rPr>
          <w:rFonts w:ascii="Cambria" w:hAnsi="Cambria"/>
          <w:sz w:val="16"/>
          <w:szCs w:val="16"/>
        </w:rPr>
        <w:t>Román</w:t>
      </w:r>
      <w:proofErr w:type="spellEnd"/>
      <w:r>
        <w:rPr>
          <w:rFonts w:ascii="Cambria" w:hAnsi="Cambria"/>
          <w:sz w:val="16"/>
          <w:szCs w:val="16"/>
        </w:rPr>
        <w:t xml:space="preserve">, mother of the alleged victim and Paulina Ester </w:t>
      </w:r>
      <w:proofErr w:type="spellStart"/>
      <w:r>
        <w:rPr>
          <w:rFonts w:ascii="Cambria" w:hAnsi="Cambria"/>
          <w:sz w:val="16"/>
          <w:szCs w:val="16"/>
        </w:rPr>
        <w:t>Galván</w:t>
      </w:r>
      <w:proofErr w:type="spellEnd"/>
      <w:r>
        <w:rPr>
          <w:rFonts w:ascii="Cambria" w:hAnsi="Cambria"/>
          <w:sz w:val="16"/>
          <w:szCs w:val="16"/>
        </w:rPr>
        <w:t xml:space="preserve"> </w:t>
      </w:r>
      <w:proofErr w:type="spellStart"/>
      <w:r>
        <w:rPr>
          <w:rFonts w:ascii="Cambria" w:hAnsi="Cambria"/>
          <w:sz w:val="16"/>
          <w:szCs w:val="16"/>
        </w:rPr>
        <w:t>Calderón</w:t>
      </w:r>
      <w:proofErr w:type="spellEnd"/>
      <w:r>
        <w:rPr>
          <w:rFonts w:ascii="Cambria" w:hAnsi="Cambria"/>
          <w:sz w:val="16"/>
          <w:szCs w:val="16"/>
        </w:rPr>
        <w:t xml:space="preserve">, sister of the alleged victim. </w:t>
      </w:r>
    </w:p>
  </w:footnote>
  <w:footnote w:id="4">
    <w:p w14:paraId="25399A2F" w14:textId="53F4B110" w:rsidR="003750CD" w:rsidRPr="008956FA" w:rsidRDefault="003750CD" w:rsidP="00631EC3">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Based on </w:t>
      </w:r>
      <w:r w:rsidR="00A94982">
        <w:rPr>
          <w:rFonts w:ascii="Cambria" w:hAnsi="Cambria"/>
          <w:sz w:val="16"/>
          <w:szCs w:val="16"/>
        </w:rPr>
        <w:t>Article</w:t>
      </w:r>
      <w:r w:rsidRPr="008956FA">
        <w:rPr>
          <w:rFonts w:ascii="Cambria" w:hAnsi="Cambria"/>
          <w:sz w:val="16"/>
          <w:szCs w:val="16"/>
        </w:rPr>
        <w:t xml:space="preserve"> 17.2.</w:t>
      </w:r>
      <w:proofErr w:type="spellStart"/>
      <w:r w:rsidRPr="008956FA">
        <w:rPr>
          <w:rFonts w:ascii="Cambria" w:hAnsi="Cambria"/>
          <w:sz w:val="16"/>
          <w:szCs w:val="16"/>
        </w:rPr>
        <w:t>a</w:t>
      </w:r>
      <w:proofErr w:type="spellEnd"/>
      <w:r w:rsidRPr="008956FA">
        <w:rPr>
          <w:rFonts w:ascii="Cambria" w:hAnsi="Cambria"/>
          <w:sz w:val="16"/>
          <w:szCs w:val="16"/>
        </w:rPr>
        <w:t xml:space="preserve"> of the Rules of procedure of the Commission, Commissioner </w:t>
      </w:r>
      <w:r w:rsidRPr="008956FA">
        <w:rPr>
          <w:rFonts w:ascii="Cambria" w:hAnsi="Cambria"/>
          <w:color w:val="auto"/>
          <w:sz w:val="16"/>
          <w:szCs w:val="16"/>
        </w:rPr>
        <w:t>Antonia Urrejola Noguera</w:t>
      </w:r>
      <w:r w:rsidRPr="008956FA">
        <w:rPr>
          <w:rFonts w:ascii="Cambria" w:hAnsi="Cambria"/>
          <w:sz w:val="16"/>
          <w:szCs w:val="16"/>
        </w:rPr>
        <w:t>, a Chilean national, did not participate in the debate or decision of this matter.</w:t>
      </w:r>
    </w:p>
  </w:footnote>
  <w:footnote w:id="5">
    <w:p w14:paraId="09A9BDA7" w14:textId="77777777" w:rsidR="003750CD" w:rsidRPr="008956FA" w:rsidRDefault="003750CD" w:rsidP="00631EC3">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Hereinafter the “Convention” or the “American Convention”</w:t>
      </w:r>
    </w:p>
  </w:footnote>
  <w:footnote w:id="6">
    <w:p w14:paraId="6F51BDAF" w14:textId="5F4755E7" w:rsidR="00653EA6" w:rsidRPr="008546E5" w:rsidRDefault="00653EA6" w:rsidP="00631EC3">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7">
    <w:p w14:paraId="69CEB02F" w14:textId="77777777" w:rsidR="003750CD" w:rsidRPr="002A1A49" w:rsidRDefault="003750CD" w:rsidP="00631EC3">
      <w:pPr>
        <w:pStyle w:val="FootnoteText"/>
        <w:jc w:val="both"/>
        <w:rPr>
          <w:rFonts w:ascii="Cambria" w:hAnsi="Cambria"/>
          <w:sz w:val="16"/>
          <w:szCs w:val="16"/>
        </w:rPr>
      </w:pPr>
      <w:r w:rsidRPr="002A1A49">
        <w:rPr>
          <w:rStyle w:val="FootnoteReference"/>
          <w:rFonts w:ascii="Cambria" w:hAnsi="Cambria"/>
          <w:sz w:val="16"/>
          <w:szCs w:val="16"/>
        </w:rPr>
        <w:footnoteRef/>
      </w:r>
      <w:r w:rsidRPr="002A1A49">
        <w:rPr>
          <w:rFonts w:ascii="Cambria" w:hAnsi="Cambria"/>
          <w:sz w:val="16"/>
          <w:szCs w:val="16"/>
        </w:rPr>
        <w:t xml:space="preserve"> Hereinafter “Convention against Torture”.</w:t>
      </w:r>
    </w:p>
  </w:footnote>
  <w:footnote w:id="8">
    <w:p w14:paraId="7C087CBD" w14:textId="737F529E" w:rsidR="003750CD" w:rsidRPr="00C87D8B" w:rsidRDefault="003750CD" w:rsidP="00631EC3">
      <w:pPr>
        <w:pStyle w:val="FootnoteText"/>
        <w:jc w:val="both"/>
        <w:rPr>
          <w:rFonts w:ascii="Cambria" w:hAnsi="Cambria"/>
          <w:sz w:val="16"/>
          <w:szCs w:val="16"/>
        </w:rPr>
      </w:pPr>
      <w:r w:rsidRPr="00C87D8B">
        <w:rPr>
          <w:rStyle w:val="FootnoteReference"/>
          <w:rFonts w:ascii="Cambria" w:hAnsi="Cambria"/>
          <w:sz w:val="16"/>
          <w:szCs w:val="16"/>
        </w:rPr>
        <w:footnoteRef/>
      </w:r>
      <w:r w:rsidRPr="00C87D8B">
        <w:rPr>
          <w:rFonts w:ascii="Cambria" w:hAnsi="Cambria"/>
          <w:sz w:val="16"/>
          <w:szCs w:val="16"/>
        </w:rPr>
        <w:t xml:space="preserve"> The petitioner based his </w:t>
      </w:r>
      <w:r w:rsidR="00450CFA">
        <w:rPr>
          <w:rFonts w:ascii="Cambria" w:hAnsi="Cambria"/>
          <w:sz w:val="16"/>
          <w:szCs w:val="16"/>
        </w:rPr>
        <w:t>account</w:t>
      </w:r>
      <w:r w:rsidRPr="00C87D8B">
        <w:rPr>
          <w:rFonts w:ascii="Cambria" w:hAnsi="Cambria"/>
          <w:sz w:val="16"/>
          <w:szCs w:val="16"/>
        </w:rPr>
        <w:t xml:space="preserve"> and the facts denounced in this petition in the </w:t>
      </w:r>
      <w:proofErr w:type="spellStart"/>
      <w:r w:rsidRPr="00C87D8B">
        <w:rPr>
          <w:rFonts w:ascii="Cambria" w:hAnsi="Cambria"/>
          <w:sz w:val="16"/>
          <w:szCs w:val="16"/>
        </w:rPr>
        <w:t>Rettig</w:t>
      </w:r>
      <w:proofErr w:type="spellEnd"/>
      <w:r w:rsidRPr="00C87D8B">
        <w:rPr>
          <w:rFonts w:ascii="Cambria" w:hAnsi="Cambria"/>
          <w:sz w:val="16"/>
          <w:szCs w:val="16"/>
        </w:rPr>
        <w:t xml:space="preserve"> report.</w:t>
      </w:r>
    </w:p>
  </w:footnote>
  <w:footnote w:id="9">
    <w:p w14:paraId="58F1DC07" w14:textId="77777777" w:rsidR="003750CD" w:rsidRPr="00A94982" w:rsidRDefault="003750CD" w:rsidP="00631EC3">
      <w:pPr>
        <w:pStyle w:val="FootnoteText"/>
        <w:jc w:val="both"/>
        <w:rPr>
          <w:rFonts w:ascii="Cambria" w:hAnsi="Cambria"/>
          <w:sz w:val="16"/>
          <w:szCs w:val="16"/>
          <w:lang w:val="es-US"/>
        </w:rPr>
      </w:pPr>
      <w:r w:rsidRPr="00403643">
        <w:rPr>
          <w:rStyle w:val="FootnoteReference"/>
          <w:rFonts w:ascii="Cambria" w:hAnsi="Cambria"/>
          <w:sz w:val="16"/>
          <w:szCs w:val="16"/>
        </w:rPr>
        <w:footnoteRef/>
      </w:r>
      <w:r w:rsidRPr="00403643">
        <w:rPr>
          <w:rFonts w:ascii="Cambria" w:hAnsi="Cambria"/>
          <w:sz w:val="16"/>
          <w:szCs w:val="16"/>
        </w:rPr>
        <w:t xml:space="preserve"> See IACHR. Report N. 16/09. Petition 12.302. </w:t>
      </w:r>
      <w:proofErr w:type="spellStart"/>
      <w:r w:rsidRPr="00A94982">
        <w:rPr>
          <w:rFonts w:ascii="Cambria" w:hAnsi="Cambria"/>
          <w:sz w:val="16"/>
          <w:szCs w:val="16"/>
          <w:lang w:val="es-US"/>
        </w:rPr>
        <w:t>Admissibility</w:t>
      </w:r>
      <w:proofErr w:type="spellEnd"/>
      <w:r w:rsidRPr="00A94982">
        <w:rPr>
          <w:rFonts w:ascii="Cambria" w:hAnsi="Cambria"/>
          <w:sz w:val="16"/>
          <w:szCs w:val="16"/>
          <w:lang w:val="es-US"/>
        </w:rPr>
        <w:t xml:space="preserve">. Luis Eduardo and Andrés Alejandro </w:t>
      </w:r>
      <w:proofErr w:type="spellStart"/>
      <w:r w:rsidRPr="00A94982">
        <w:rPr>
          <w:rFonts w:ascii="Cambria" w:hAnsi="Cambria"/>
          <w:sz w:val="16"/>
          <w:szCs w:val="16"/>
          <w:lang w:val="es-US"/>
        </w:rPr>
        <w:t>Casierra</w:t>
      </w:r>
      <w:proofErr w:type="spellEnd"/>
      <w:r w:rsidRPr="00A94982">
        <w:rPr>
          <w:rFonts w:ascii="Cambria" w:hAnsi="Cambria"/>
          <w:sz w:val="16"/>
          <w:szCs w:val="16"/>
          <w:lang w:val="es-US"/>
        </w:rPr>
        <w:t xml:space="preserve"> Quiñonez. Ecuador, </w:t>
      </w:r>
      <w:proofErr w:type="spellStart"/>
      <w:r w:rsidRPr="00A94982">
        <w:rPr>
          <w:rFonts w:ascii="Cambria" w:hAnsi="Cambria"/>
          <w:sz w:val="16"/>
          <w:szCs w:val="16"/>
          <w:lang w:val="es-US"/>
        </w:rPr>
        <w:t>March</w:t>
      </w:r>
      <w:proofErr w:type="spellEnd"/>
      <w:r w:rsidRPr="00A94982">
        <w:rPr>
          <w:rFonts w:ascii="Cambria" w:hAnsi="Cambria"/>
          <w:sz w:val="16"/>
          <w:szCs w:val="16"/>
          <w:lang w:val="es-US"/>
        </w:rPr>
        <w:t xml:space="preserve"> 19, 2009, par. 36.</w:t>
      </w:r>
    </w:p>
  </w:footnote>
  <w:footnote w:id="10">
    <w:p w14:paraId="5192D11C" w14:textId="77777777" w:rsidR="003750CD" w:rsidRPr="00403643" w:rsidRDefault="003750CD" w:rsidP="00631EC3">
      <w:pPr>
        <w:pStyle w:val="FootnoteText"/>
        <w:jc w:val="both"/>
        <w:rPr>
          <w:rFonts w:ascii="Cambria" w:hAnsi="Cambria"/>
          <w:sz w:val="16"/>
          <w:szCs w:val="16"/>
        </w:rPr>
      </w:pPr>
      <w:r w:rsidRPr="00403643">
        <w:rPr>
          <w:rStyle w:val="FootnoteReference"/>
          <w:rFonts w:ascii="Cambria" w:hAnsi="Cambria"/>
          <w:sz w:val="16"/>
          <w:szCs w:val="16"/>
        </w:rPr>
        <w:footnoteRef/>
      </w:r>
      <w:r w:rsidRPr="00A94982">
        <w:rPr>
          <w:rFonts w:ascii="Cambria" w:hAnsi="Cambria"/>
          <w:sz w:val="16"/>
          <w:szCs w:val="16"/>
          <w:lang w:val="es-US"/>
        </w:rPr>
        <w:t xml:space="preserve"> </w:t>
      </w:r>
      <w:proofErr w:type="spellStart"/>
      <w:r w:rsidRPr="00A94982">
        <w:rPr>
          <w:rFonts w:ascii="Cambria" w:hAnsi="Cambria"/>
          <w:sz w:val="16"/>
          <w:szCs w:val="16"/>
          <w:lang w:val="es-US"/>
        </w:rPr>
        <w:t>See</w:t>
      </w:r>
      <w:proofErr w:type="spellEnd"/>
      <w:r w:rsidRPr="00A94982">
        <w:rPr>
          <w:rFonts w:ascii="Cambria" w:hAnsi="Cambria"/>
          <w:sz w:val="16"/>
          <w:szCs w:val="16"/>
          <w:lang w:val="es-US"/>
        </w:rPr>
        <w:t xml:space="preserve"> IACHR. </w:t>
      </w:r>
      <w:proofErr w:type="spellStart"/>
      <w:r w:rsidRPr="00A94982">
        <w:rPr>
          <w:rFonts w:ascii="Cambria" w:hAnsi="Cambria"/>
          <w:sz w:val="16"/>
          <w:szCs w:val="16"/>
          <w:lang w:val="es-US"/>
        </w:rPr>
        <w:t>Report</w:t>
      </w:r>
      <w:proofErr w:type="spellEnd"/>
      <w:r w:rsidRPr="00A94982">
        <w:rPr>
          <w:rFonts w:ascii="Cambria" w:hAnsi="Cambria"/>
          <w:sz w:val="16"/>
          <w:szCs w:val="16"/>
          <w:lang w:val="es-US"/>
        </w:rPr>
        <w:t xml:space="preserve"> N. 72/16. </w:t>
      </w:r>
      <w:proofErr w:type="spellStart"/>
      <w:r w:rsidRPr="00A94982">
        <w:rPr>
          <w:rFonts w:ascii="Cambria" w:hAnsi="Cambria"/>
          <w:sz w:val="16"/>
          <w:szCs w:val="16"/>
          <w:lang w:val="es-US"/>
        </w:rPr>
        <w:t>Petition</w:t>
      </w:r>
      <w:proofErr w:type="spellEnd"/>
      <w:r w:rsidRPr="00A94982">
        <w:rPr>
          <w:rFonts w:ascii="Cambria" w:hAnsi="Cambria"/>
          <w:sz w:val="16"/>
          <w:szCs w:val="16"/>
          <w:lang w:val="es-US"/>
        </w:rPr>
        <w:t xml:space="preserve"> 694-06. </w:t>
      </w:r>
      <w:proofErr w:type="spellStart"/>
      <w:r w:rsidRPr="00A94982">
        <w:rPr>
          <w:rFonts w:ascii="Cambria" w:hAnsi="Cambria"/>
          <w:sz w:val="16"/>
          <w:szCs w:val="16"/>
          <w:lang w:val="es-US"/>
        </w:rPr>
        <w:t>Admissibility</w:t>
      </w:r>
      <w:proofErr w:type="spellEnd"/>
      <w:r w:rsidRPr="00A94982">
        <w:rPr>
          <w:rFonts w:ascii="Cambria" w:hAnsi="Cambria"/>
          <w:sz w:val="16"/>
          <w:szCs w:val="16"/>
          <w:lang w:val="es-US"/>
        </w:rPr>
        <w:t xml:space="preserve">. Onofre Antonio de La Hoz </w:t>
      </w:r>
      <w:proofErr w:type="spellStart"/>
      <w:r w:rsidRPr="00A94982">
        <w:rPr>
          <w:rFonts w:ascii="Cambria" w:hAnsi="Cambria"/>
          <w:sz w:val="16"/>
          <w:szCs w:val="16"/>
          <w:lang w:val="es-US"/>
        </w:rPr>
        <w:t>Monteri</w:t>
      </w:r>
      <w:proofErr w:type="spellEnd"/>
      <w:r w:rsidRPr="00A94982">
        <w:rPr>
          <w:rFonts w:ascii="Cambria" w:hAnsi="Cambria"/>
          <w:sz w:val="16"/>
          <w:szCs w:val="16"/>
          <w:lang w:val="es-US"/>
        </w:rPr>
        <w:t xml:space="preserve"> and </w:t>
      </w:r>
      <w:proofErr w:type="spellStart"/>
      <w:r w:rsidRPr="00A94982">
        <w:rPr>
          <w:rFonts w:ascii="Cambria" w:hAnsi="Cambria"/>
          <w:sz w:val="16"/>
          <w:szCs w:val="16"/>
          <w:lang w:val="es-US"/>
        </w:rPr>
        <w:t>family</w:t>
      </w:r>
      <w:proofErr w:type="spellEnd"/>
      <w:r w:rsidRPr="00A94982">
        <w:rPr>
          <w:rFonts w:ascii="Cambria" w:hAnsi="Cambria"/>
          <w:sz w:val="16"/>
          <w:szCs w:val="16"/>
          <w:lang w:val="es-US"/>
        </w:rPr>
        <w:t xml:space="preserve">. </w:t>
      </w:r>
      <w:r w:rsidRPr="00E87C4E">
        <w:rPr>
          <w:rFonts w:ascii="Cambria" w:hAnsi="Cambria"/>
          <w:sz w:val="16"/>
          <w:szCs w:val="16"/>
          <w:lang w:val="es-ES"/>
        </w:rPr>
        <w:t xml:space="preserve">Colombia. </w:t>
      </w:r>
      <w:proofErr w:type="spellStart"/>
      <w:r w:rsidRPr="00E87C4E">
        <w:rPr>
          <w:rFonts w:ascii="Cambria" w:hAnsi="Cambria"/>
          <w:sz w:val="16"/>
          <w:szCs w:val="16"/>
          <w:lang w:val="es-ES"/>
        </w:rPr>
        <w:t>December</w:t>
      </w:r>
      <w:proofErr w:type="spellEnd"/>
      <w:r w:rsidRPr="00E87C4E">
        <w:rPr>
          <w:rFonts w:ascii="Cambria" w:hAnsi="Cambria"/>
          <w:sz w:val="16"/>
          <w:szCs w:val="16"/>
          <w:lang w:val="es-ES"/>
        </w:rPr>
        <w:t xml:space="preserve"> 6, 2016, par. 32; IACHR, </w:t>
      </w:r>
      <w:proofErr w:type="spellStart"/>
      <w:r w:rsidRPr="00E87C4E">
        <w:rPr>
          <w:rFonts w:ascii="Cambria" w:hAnsi="Cambria"/>
          <w:sz w:val="16"/>
          <w:szCs w:val="16"/>
          <w:lang w:val="es-ES"/>
        </w:rPr>
        <w:t>Report</w:t>
      </w:r>
      <w:proofErr w:type="spellEnd"/>
      <w:r w:rsidRPr="00E87C4E">
        <w:rPr>
          <w:rFonts w:ascii="Cambria" w:hAnsi="Cambria"/>
          <w:sz w:val="16"/>
          <w:szCs w:val="16"/>
          <w:lang w:val="es-ES"/>
        </w:rPr>
        <w:t xml:space="preserve"> N. 81/18. </w:t>
      </w:r>
      <w:r w:rsidRPr="00403643">
        <w:rPr>
          <w:rFonts w:ascii="Cambria" w:hAnsi="Cambria"/>
          <w:sz w:val="16"/>
          <w:szCs w:val="16"/>
        </w:rPr>
        <w:t>Petition 190-07. Admissibility. Edgar José Sánchez Duarte. Colombia. July 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4500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2E0D" w14:textId="77777777" w:rsidR="0096407B" w:rsidRDefault="00964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D324D44"/>
    <w:lvl w:ilvl="0" w:tplc="81B80194">
      <w:start w:val="1"/>
      <w:numFmt w:val="decimal"/>
      <w:lvlText w:val="%1."/>
      <w:lvlJc w:val="left"/>
      <w:pPr>
        <w:tabs>
          <w:tab w:val="num" w:pos="720"/>
        </w:tabs>
        <w:ind w:left="0" w:firstLine="720"/>
      </w:pPr>
      <w:rPr>
        <w:rFonts w:asciiTheme="majorHAnsi" w:hAnsiTheme="majorHAnsi"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55F9"/>
    <w:rsid w:val="000639C0"/>
    <w:rsid w:val="00070F3A"/>
    <w:rsid w:val="000716C5"/>
    <w:rsid w:val="00075E23"/>
    <w:rsid w:val="00092F32"/>
    <w:rsid w:val="0009344A"/>
    <w:rsid w:val="000A575F"/>
    <w:rsid w:val="000C4365"/>
    <w:rsid w:val="000D10DB"/>
    <w:rsid w:val="00114A40"/>
    <w:rsid w:val="00124116"/>
    <w:rsid w:val="0013104F"/>
    <w:rsid w:val="00137EBA"/>
    <w:rsid w:val="00145EDC"/>
    <w:rsid w:val="00153084"/>
    <w:rsid w:val="00166230"/>
    <w:rsid w:val="00167A34"/>
    <w:rsid w:val="001714B4"/>
    <w:rsid w:val="0018037F"/>
    <w:rsid w:val="001A5F27"/>
    <w:rsid w:val="001A65E4"/>
    <w:rsid w:val="001A7870"/>
    <w:rsid w:val="001B3E7E"/>
    <w:rsid w:val="001C1B41"/>
    <w:rsid w:val="001E366B"/>
    <w:rsid w:val="001F1902"/>
    <w:rsid w:val="00204A8A"/>
    <w:rsid w:val="00210E0E"/>
    <w:rsid w:val="00210F4B"/>
    <w:rsid w:val="00230163"/>
    <w:rsid w:val="0023351C"/>
    <w:rsid w:val="002419ED"/>
    <w:rsid w:val="00247403"/>
    <w:rsid w:val="00247542"/>
    <w:rsid w:val="00257893"/>
    <w:rsid w:val="00257D55"/>
    <w:rsid w:val="00263BF5"/>
    <w:rsid w:val="00266092"/>
    <w:rsid w:val="00266B61"/>
    <w:rsid w:val="0026712A"/>
    <w:rsid w:val="00270224"/>
    <w:rsid w:val="002704DB"/>
    <w:rsid w:val="002760CE"/>
    <w:rsid w:val="00294475"/>
    <w:rsid w:val="002A1D53"/>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43590"/>
    <w:rsid w:val="00356185"/>
    <w:rsid w:val="00360380"/>
    <w:rsid w:val="003750CD"/>
    <w:rsid w:val="003771A3"/>
    <w:rsid w:val="00386CF0"/>
    <w:rsid w:val="003A4348"/>
    <w:rsid w:val="003C070A"/>
    <w:rsid w:val="003C32BC"/>
    <w:rsid w:val="003D4403"/>
    <w:rsid w:val="003D6EE0"/>
    <w:rsid w:val="003E3E03"/>
    <w:rsid w:val="003F1BBF"/>
    <w:rsid w:val="004162B1"/>
    <w:rsid w:val="004165C2"/>
    <w:rsid w:val="00450A4A"/>
    <w:rsid w:val="00450CFA"/>
    <w:rsid w:val="004666FB"/>
    <w:rsid w:val="00466D0B"/>
    <w:rsid w:val="00467B7E"/>
    <w:rsid w:val="0049419D"/>
    <w:rsid w:val="00497DE1"/>
    <w:rsid w:val="004B2762"/>
    <w:rsid w:val="004B7EB6"/>
    <w:rsid w:val="004C41DE"/>
    <w:rsid w:val="004C4B62"/>
    <w:rsid w:val="004D6025"/>
    <w:rsid w:val="004D72BC"/>
    <w:rsid w:val="004F6B67"/>
    <w:rsid w:val="00501399"/>
    <w:rsid w:val="00507BC4"/>
    <w:rsid w:val="005128E4"/>
    <w:rsid w:val="00525560"/>
    <w:rsid w:val="005357A6"/>
    <w:rsid w:val="0053617F"/>
    <w:rsid w:val="00544C49"/>
    <w:rsid w:val="00545008"/>
    <w:rsid w:val="0057402A"/>
    <w:rsid w:val="005771D0"/>
    <w:rsid w:val="00581607"/>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1EC3"/>
    <w:rsid w:val="00632354"/>
    <w:rsid w:val="00642810"/>
    <w:rsid w:val="00652333"/>
    <w:rsid w:val="00653EA6"/>
    <w:rsid w:val="0068009E"/>
    <w:rsid w:val="00687DBB"/>
    <w:rsid w:val="006A17D2"/>
    <w:rsid w:val="006A73E6"/>
    <w:rsid w:val="006B2D5C"/>
    <w:rsid w:val="006B6C37"/>
    <w:rsid w:val="006C4EB1"/>
    <w:rsid w:val="006D4707"/>
    <w:rsid w:val="006E0166"/>
    <w:rsid w:val="006E7B34"/>
    <w:rsid w:val="006F0D80"/>
    <w:rsid w:val="00701B24"/>
    <w:rsid w:val="00706858"/>
    <w:rsid w:val="0071495F"/>
    <w:rsid w:val="0073798E"/>
    <w:rsid w:val="00745899"/>
    <w:rsid w:val="007607C4"/>
    <w:rsid w:val="0076643F"/>
    <w:rsid w:val="00781653"/>
    <w:rsid w:val="007A2F70"/>
    <w:rsid w:val="007C3334"/>
    <w:rsid w:val="007C52BB"/>
    <w:rsid w:val="007D2B98"/>
    <w:rsid w:val="007F7980"/>
    <w:rsid w:val="00803F1C"/>
    <w:rsid w:val="0080600E"/>
    <w:rsid w:val="00817612"/>
    <w:rsid w:val="00837C45"/>
    <w:rsid w:val="00853419"/>
    <w:rsid w:val="008546E5"/>
    <w:rsid w:val="00897E12"/>
    <w:rsid w:val="008D43BA"/>
    <w:rsid w:val="008E3759"/>
    <w:rsid w:val="008E40F5"/>
    <w:rsid w:val="008F471A"/>
    <w:rsid w:val="009041DC"/>
    <w:rsid w:val="009104B4"/>
    <w:rsid w:val="009228DA"/>
    <w:rsid w:val="00925FCD"/>
    <w:rsid w:val="0093441A"/>
    <w:rsid w:val="00937681"/>
    <w:rsid w:val="00952236"/>
    <w:rsid w:val="00954BF7"/>
    <w:rsid w:val="00955DEA"/>
    <w:rsid w:val="0096407B"/>
    <w:rsid w:val="0096706E"/>
    <w:rsid w:val="00981FBA"/>
    <w:rsid w:val="0098783D"/>
    <w:rsid w:val="009B381B"/>
    <w:rsid w:val="009B7129"/>
    <w:rsid w:val="009D7611"/>
    <w:rsid w:val="009E53DE"/>
    <w:rsid w:val="009E566A"/>
    <w:rsid w:val="00A12DBC"/>
    <w:rsid w:val="00A43458"/>
    <w:rsid w:val="00A528D1"/>
    <w:rsid w:val="00A66BE5"/>
    <w:rsid w:val="00A94982"/>
    <w:rsid w:val="00AD37C1"/>
    <w:rsid w:val="00AE66EC"/>
    <w:rsid w:val="00AE6F91"/>
    <w:rsid w:val="00AF5571"/>
    <w:rsid w:val="00B06BB7"/>
    <w:rsid w:val="00B167E9"/>
    <w:rsid w:val="00B179ED"/>
    <w:rsid w:val="00B314DB"/>
    <w:rsid w:val="00B31EBE"/>
    <w:rsid w:val="00B3718B"/>
    <w:rsid w:val="00B44B23"/>
    <w:rsid w:val="00B4632A"/>
    <w:rsid w:val="00B66ACD"/>
    <w:rsid w:val="00B816A4"/>
    <w:rsid w:val="00B92E49"/>
    <w:rsid w:val="00BA276C"/>
    <w:rsid w:val="00BB306F"/>
    <w:rsid w:val="00BC2532"/>
    <w:rsid w:val="00BD232B"/>
    <w:rsid w:val="00BD2E42"/>
    <w:rsid w:val="00BD4B89"/>
    <w:rsid w:val="00BD530D"/>
    <w:rsid w:val="00C21762"/>
    <w:rsid w:val="00C24543"/>
    <w:rsid w:val="00C256A2"/>
    <w:rsid w:val="00C3492D"/>
    <w:rsid w:val="00C355B4"/>
    <w:rsid w:val="00C44031"/>
    <w:rsid w:val="00C543A3"/>
    <w:rsid w:val="00C55560"/>
    <w:rsid w:val="00C66B72"/>
    <w:rsid w:val="00C866F5"/>
    <w:rsid w:val="00C9567A"/>
    <w:rsid w:val="00CA3714"/>
    <w:rsid w:val="00CA6577"/>
    <w:rsid w:val="00CB2660"/>
    <w:rsid w:val="00CC5E90"/>
    <w:rsid w:val="00CD046C"/>
    <w:rsid w:val="00CD157A"/>
    <w:rsid w:val="00CE5199"/>
    <w:rsid w:val="00CE66D5"/>
    <w:rsid w:val="00CE6DB1"/>
    <w:rsid w:val="00D34786"/>
    <w:rsid w:val="00D40A1E"/>
    <w:rsid w:val="00D533C0"/>
    <w:rsid w:val="00D712D3"/>
    <w:rsid w:val="00D71422"/>
    <w:rsid w:val="00D7145E"/>
    <w:rsid w:val="00D75084"/>
    <w:rsid w:val="00D7558D"/>
    <w:rsid w:val="00D81D92"/>
    <w:rsid w:val="00D93446"/>
    <w:rsid w:val="00DA7B5F"/>
    <w:rsid w:val="00DD7F71"/>
    <w:rsid w:val="00DF078B"/>
    <w:rsid w:val="00DF350D"/>
    <w:rsid w:val="00E227C1"/>
    <w:rsid w:val="00E43157"/>
    <w:rsid w:val="00E4718A"/>
    <w:rsid w:val="00E47F3D"/>
    <w:rsid w:val="00E533FF"/>
    <w:rsid w:val="00E5380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8859-2D9D-4111-897F-595F0B5F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11199</Characters>
  <Application>Microsoft Office Word</Application>
  <DocSecurity>0</DocSecurity>
  <Lines>189</Lines>
  <Paragraphs>47</Paragraphs>
  <ScaleCrop>false</ScaleCrop>
  <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170/19</dc:title>
  <dc:creator/>
  <cp:lastModifiedBy/>
  <cp:revision>1</cp:revision>
  <dcterms:created xsi:type="dcterms:W3CDTF">2020-03-30T14:23:00Z</dcterms:created>
  <dcterms:modified xsi:type="dcterms:W3CDTF">2020-03-30T14:23:00Z</dcterms:modified>
</cp:coreProperties>
</file>