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0D92" w:rsidRPr="0090270B" w:rsidRDefault="009F693E"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8240" behindDoc="0" locked="0" layoutInCell="1" allowOverlap="1" wp14:anchorId="19C104B9" wp14:editId="1CDEDBBD">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E5491B"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" fillcolor="#67ae3c" stroked="f" strokeweight="2pt"/>
            </w:pict>
          </mc:Fallback>
        </mc:AlternateContent>
      </w:r>
      <w:r>
        <w:rPr>
          <w:noProof/>
        </w:rPr>
        <mc:AlternateContent>
          <mc:Choice Requires="wps">
            <w:drawing>
              <wp:anchor distT="0" distB="0" distL="114300" distR="114300" simplePos="0" relativeHeight="251666432" behindDoc="0" locked="0" layoutInCell="1" allowOverlap="1" wp14:anchorId="2CA0B3C8" wp14:editId="2C1DDC7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Default="00716936"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9AA7815" wp14:editId="3BCD73C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9F693E">
                              <w:tab/>
                            </w:r>
                            <w:r w:rsidR="00472CD8">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A0B3C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" filled="f" stroked="f" strokeweight=".5pt">
                <v:textbox>
                  <w:txbxContent>
                    <w:p w:rsidR="00B00D92" w:rsidRDefault="00716936"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9AA7815" wp14:editId="3BCD73C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9F693E">
                        <w:tab/>
                      </w:r>
                      <w:r w:rsidR="00472CD8">
                        <w:t xml:space="preserve">               </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9F69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1312" behindDoc="0" locked="0" layoutInCell="1" allowOverlap="1" wp14:anchorId="10A0A9A4" wp14:editId="7E98A036">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eastAsia="Cambria" w:hAnsi="Cambria" w:cs="Arial"/>
                                <w:b/>
                                <w:bCs/>
                                <w:color w:val="0D0D0D"/>
                                <w:sz w:val="36"/>
                                <w:szCs w:val="36"/>
                              </w:rPr>
                              <w:t>REPORT No.</w:t>
                            </w:r>
                            <w:r w:rsidR="00472CD8">
                              <w:rPr>
                                <w:rFonts w:ascii="Cambria" w:eastAsia="Cambria" w:hAnsi="Cambria" w:cs="Arial"/>
                                <w:b/>
                                <w:bCs/>
                                <w:color w:val="0D0D0D"/>
                                <w:sz w:val="36"/>
                                <w:szCs w:val="36"/>
                              </w:rPr>
                              <w:t xml:space="preserve"> </w:t>
                            </w:r>
                            <w:r w:rsidR="00641220">
                              <w:rPr>
                                <w:rFonts w:ascii="Cambria" w:eastAsia="Cambria" w:hAnsi="Cambria" w:cs="Arial"/>
                                <w:b/>
                                <w:bCs/>
                                <w:color w:val="0D0D0D"/>
                                <w:sz w:val="36"/>
                                <w:szCs w:val="36"/>
                              </w:rPr>
                              <w:t>120</w:t>
                            </w:r>
                            <w:r>
                              <w:rPr>
                                <w:rFonts w:ascii="Cambria" w:eastAsia="Cambria" w:hAnsi="Cambria" w:cs="Arial"/>
                                <w:b/>
                                <w:bCs/>
                                <w:color w:val="0D0D0D"/>
                                <w:sz w:val="36"/>
                                <w:szCs w:val="36"/>
                              </w:rPr>
                              <w:t>/20</w:t>
                            </w:r>
                          </w:p>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eastAsia="Cambria" w:hAnsi="Cambria" w:cs="Arial"/>
                                <w:b/>
                                <w:bCs/>
                                <w:color w:val="0D0D0D"/>
                                <w:sz w:val="36"/>
                                <w:szCs w:val="36"/>
                              </w:rPr>
                              <w:t>PETITION 186-11</w:t>
                            </w:r>
                          </w:p>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eastAsia="Cambria" w:hAnsi="Cambria" w:cs="Arial"/>
                                <w:color w:val="0D0D0D"/>
                              </w:rPr>
                              <w:t>REPORT ON ADMISSIBILITY</w:t>
                            </w:r>
                          </w:p>
                          <w:p w:rsidR="00B00D92" w:rsidRPr="00472CD8"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bookmarkEnd w:id="1"/>
                          <w:p w:rsidR="00B00D92" w:rsidRPr="00221293"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Pr>
                                <w:rFonts w:ascii="Cambria" w:eastAsia="Cambria" w:hAnsi="Cambria" w:cs="Arial"/>
                                <w:lang w:eastAsia="es-ES"/>
                              </w:rPr>
                              <w:t>S. A. S.</w:t>
                            </w:r>
                          </w:p>
                          <w:p w:rsidR="00B00D92" w:rsidRPr="0033043B"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eastAsia="Cambria" w:hAnsi="Cambria" w:cs="Arial"/>
                                <w:color w:val="0D0D0D"/>
                              </w:rPr>
                              <w:t>COLOMBIA</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10A0A9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" filled="f" stroked="f" strokeweight=".5pt">
                <v:textbox>
                  <w:txbxContent>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eastAsia="Cambria" w:hAnsi="Cambria" w:cs="Arial"/>
                          <w:b/>
                          <w:bCs/>
                          <w:color w:val="0D0D0D"/>
                          <w:sz w:val="36"/>
                          <w:szCs w:val="36"/>
                        </w:rPr>
                        <w:t>REPORT No.</w:t>
                      </w:r>
                      <w:r w:rsidR="00472CD8">
                        <w:rPr>
                          <w:rFonts w:ascii="Cambria" w:eastAsia="Cambria" w:hAnsi="Cambria" w:cs="Arial"/>
                          <w:b/>
                          <w:bCs/>
                          <w:color w:val="0D0D0D"/>
                          <w:sz w:val="36"/>
                          <w:szCs w:val="36"/>
                        </w:rPr>
                        <w:t xml:space="preserve"> </w:t>
                      </w:r>
                      <w:r w:rsidR="00641220">
                        <w:rPr>
                          <w:rFonts w:ascii="Cambria" w:eastAsia="Cambria" w:hAnsi="Cambria" w:cs="Arial"/>
                          <w:b/>
                          <w:bCs/>
                          <w:color w:val="0D0D0D"/>
                          <w:sz w:val="36"/>
                          <w:szCs w:val="36"/>
                        </w:rPr>
                        <w:t>120</w:t>
                      </w:r>
                      <w:r>
                        <w:rPr>
                          <w:rFonts w:ascii="Cambria" w:eastAsia="Cambria" w:hAnsi="Cambria" w:cs="Arial"/>
                          <w:b/>
                          <w:bCs/>
                          <w:color w:val="0D0D0D"/>
                          <w:sz w:val="36"/>
                          <w:szCs w:val="36"/>
                        </w:rPr>
                        <w:t>/20</w:t>
                      </w:r>
                    </w:p>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eastAsia="Cambria" w:hAnsi="Cambria" w:cs="Arial"/>
                          <w:b/>
                          <w:bCs/>
                          <w:color w:val="0D0D0D"/>
                          <w:sz w:val="36"/>
                          <w:szCs w:val="36"/>
                        </w:rPr>
                        <w:t>PETITION 186-11</w:t>
                      </w:r>
                    </w:p>
                    <w:p w:rsidR="00B00D92" w:rsidRPr="00472CD8"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eastAsia="Cambria" w:hAnsi="Cambria" w:cs="Arial"/>
                          <w:color w:val="0D0D0D"/>
                        </w:rPr>
                        <w:t>REPORT ON ADMISSIBILITY</w:t>
                      </w:r>
                    </w:p>
                    <w:p w:rsidR="00B00D92" w:rsidRPr="00472CD8"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bookmarkEnd w:id="2"/>
                    <w:p w:rsidR="00B00D92" w:rsidRPr="00221293"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Pr>
                          <w:rFonts w:ascii="Cambria" w:eastAsia="Cambria" w:hAnsi="Cambria" w:cs="Arial"/>
                          <w:lang w:eastAsia="es-ES"/>
                        </w:rPr>
                        <w:t>S. A. S.</w:t>
                      </w:r>
                    </w:p>
                    <w:p w:rsidR="00B00D92" w:rsidRPr="0033043B" w:rsidRDefault="009F693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eastAsia="Cambria" w:hAnsi="Cambria" w:cs="Arial"/>
                          <w:color w:val="0D0D0D"/>
                        </w:rPr>
                        <w:t>COLOMBIA</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473B31" wp14:editId="07B69F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716936">
                              <w:rPr>
                                <w:rFonts w:ascii="Calibri" w:eastAsia="Calibri" w:hAnsi="Calibri"/>
                                <w:color w:val="FFFFFF"/>
                                <w:sz w:val="22"/>
                                <w:szCs w:val="22"/>
                                <w:lang w:val="pt-BR"/>
                              </w:rPr>
                              <w:t>OEA/Ser.L/V/II.</w:t>
                            </w:r>
                          </w:p>
                          <w:p w:rsidR="00B00D92" w:rsidRPr="0033043B"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716936">
                              <w:rPr>
                                <w:rFonts w:ascii="Calibri" w:eastAsia="Calibri" w:hAnsi="Calibri"/>
                                <w:color w:val="FFFFFF"/>
                                <w:sz w:val="22"/>
                                <w:szCs w:val="22"/>
                                <w:lang w:val="pt-BR"/>
                              </w:rPr>
                              <w:t xml:space="preserve">Doc. </w:t>
                            </w:r>
                            <w:r w:rsidR="00641220">
                              <w:rPr>
                                <w:rFonts w:ascii="Calibri" w:eastAsia="Calibri" w:hAnsi="Calibri"/>
                                <w:color w:val="FFFFFF"/>
                                <w:sz w:val="22"/>
                                <w:szCs w:val="22"/>
                                <w:lang w:val="pt-BR"/>
                              </w:rPr>
                              <w:t>130</w:t>
                            </w:r>
                          </w:p>
                          <w:p w:rsidR="00B00D92" w:rsidRPr="00472CD8" w:rsidRDefault="0064122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eastAsia="Calibri" w:hAnsi="Calibri"/>
                                <w:color w:val="FFFFFF"/>
                                <w:sz w:val="22"/>
                                <w:szCs w:val="22"/>
                              </w:rPr>
                              <w:t>27</w:t>
                            </w:r>
                            <w:r w:rsidR="009F693E">
                              <w:rPr>
                                <w:rFonts w:ascii="Calibri" w:eastAsia="Calibri" w:hAnsi="Calibri"/>
                                <w:color w:val="FFFFFF"/>
                                <w:sz w:val="22"/>
                                <w:szCs w:val="22"/>
                              </w:rPr>
                              <w:t xml:space="preserve"> </w:t>
                            </w:r>
                            <w:r>
                              <w:rPr>
                                <w:rFonts w:ascii="Calibri" w:eastAsia="Calibri" w:hAnsi="Calibri"/>
                                <w:color w:val="FFFFFF"/>
                                <w:sz w:val="22"/>
                                <w:szCs w:val="22"/>
                              </w:rPr>
                              <w:t>April</w:t>
                            </w:r>
                            <w:r w:rsidR="009F693E">
                              <w:rPr>
                                <w:rFonts w:ascii="Calibri" w:eastAsia="Calibri" w:hAnsi="Calibri"/>
                                <w:color w:val="FFFFFF"/>
                                <w:sz w:val="22"/>
                                <w:szCs w:val="22"/>
                              </w:rPr>
                              <w:t xml:space="preserve"> 2020</w:t>
                            </w:r>
                          </w:p>
                          <w:p w:rsidR="00B00D92" w:rsidRPr="00472CD8"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eastAsia="Calibri" w:hAnsi="Calibri"/>
                                <w:color w:val="FFFFFF"/>
                                <w:sz w:val="22"/>
                                <w:szCs w:val="22"/>
                              </w:rPr>
                              <w:t>Original: Spanish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0473B31" id="Text Box 8" o:spid="_x0000_s1028" type="#_x0000_t202" style="position:absolute;left:0;text-align:left;margin-left:-27pt;margin-top:12.95pt;width:109.5pt;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" filled="f" stroked="f" strokeweight=".5pt">
                <v:textbox>
                  <w:txbxContent>
                    <w:p w:rsidR="00B00D92" w:rsidRPr="0033043B"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716936">
                        <w:rPr>
                          <w:rFonts w:ascii="Calibri" w:eastAsia="Calibri" w:hAnsi="Calibri"/>
                          <w:color w:val="FFFFFF"/>
                          <w:sz w:val="22"/>
                          <w:szCs w:val="22"/>
                          <w:lang w:val="pt-BR"/>
                        </w:rPr>
                        <w:t>OEA/Ser.L/V/II.</w:t>
                      </w:r>
                    </w:p>
                    <w:p w:rsidR="00B00D92" w:rsidRPr="0033043B"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716936">
                        <w:rPr>
                          <w:rFonts w:ascii="Calibri" w:eastAsia="Calibri" w:hAnsi="Calibri"/>
                          <w:color w:val="FFFFFF"/>
                          <w:sz w:val="22"/>
                          <w:szCs w:val="22"/>
                          <w:lang w:val="pt-BR"/>
                        </w:rPr>
                        <w:t xml:space="preserve">Doc. </w:t>
                      </w:r>
                      <w:r w:rsidR="00641220">
                        <w:rPr>
                          <w:rFonts w:ascii="Calibri" w:eastAsia="Calibri" w:hAnsi="Calibri"/>
                          <w:color w:val="FFFFFF"/>
                          <w:sz w:val="22"/>
                          <w:szCs w:val="22"/>
                          <w:lang w:val="pt-BR"/>
                        </w:rPr>
                        <w:t>130</w:t>
                      </w:r>
                    </w:p>
                    <w:p w:rsidR="00B00D92" w:rsidRPr="00472CD8" w:rsidRDefault="0064122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eastAsia="Calibri" w:hAnsi="Calibri"/>
                          <w:color w:val="FFFFFF"/>
                          <w:sz w:val="22"/>
                          <w:szCs w:val="22"/>
                        </w:rPr>
                        <w:t>27</w:t>
                      </w:r>
                      <w:r w:rsidR="009F693E">
                        <w:rPr>
                          <w:rFonts w:ascii="Calibri" w:eastAsia="Calibri" w:hAnsi="Calibri"/>
                          <w:color w:val="FFFFFF"/>
                          <w:sz w:val="22"/>
                          <w:szCs w:val="22"/>
                        </w:rPr>
                        <w:t xml:space="preserve"> </w:t>
                      </w:r>
                      <w:r>
                        <w:rPr>
                          <w:rFonts w:ascii="Calibri" w:eastAsia="Calibri" w:hAnsi="Calibri"/>
                          <w:color w:val="FFFFFF"/>
                          <w:sz w:val="22"/>
                          <w:szCs w:val="22"/>
                        </w:rPr>
                        <w:t>April</w:t>
                      </w:r>
                      <w:r w:rsidR="009F693E">
                        <w:rPr>
                          <w:rFonts w:ascii="Calibri" w:eastAsia="Calibri" w:hAnsi="Calibri"/>
                          <w:color w:val="FFFFFF"/>
                          <w:sz w:val="22"/>
                          <w:szCs w:val="22"/>
                        </w:rPr>
                        <w:t xml:space="preserve"> 2020</w:t>
                      </w:r>
                    </w:p>
                    <w:p w:rsidR="00B00D92" w:rsidRPr="00472CD8" w:rsidRDefault="009F693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eastAsia="Calibri" w:hAnsi="Calibri"/>
                          <w:color w:val="FFFFFF"/>
                          <w:sz w:val="22"/>
                          <w:szCs w:val="22"/>
                        </w:rPr>
                        <w:t>Original: Spanish</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9F69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3360" behindDoc="0" locked="0" layoutInCell="1" allowOverlap="1" wp14:anchorId="040407D7" wp14:editId="29AD7BD4">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472CD8" w:rsidRDefault="009F693E"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eastAsia="Cambria" w:hAnsi="Cambria"/>
                                <w:color w:val="0D0D0D"/>
                                <w:sz w:val="18"/>
                                <w:szCs w:val="18"/>
                              </w:rPr>
                              <w:t xml:space="preserve">Approved electronically by the Commission on </w:t>
                            </w:r>
                            <w:r w:rsidR="00716936">
                              <w:rPr>
                                <w:rFonts w:ascii="Cambria" w:eastAsia="Cambria" w:hAnsi="Cambria"/>
                                <w:color w:val="0D0D0D"/>
                                <w:sz w:val="18"/>
                                <w:szCs w:val="18"/>
                              </w:rPr>
                              <w:t>April 27</w:t>
                            </w:r>
                            <w:r>
                              <w:rPr>
                                <w:rFonts w:ascii="Cambria" w:eastAsia="Cambria" w:hAnsi="Cambria"/>
                                <w:color w:val="0D0D0D"/>
                                <w:sz w:val="18"/>
                                <w:szCs w:val="18"/>
                              </w:rPr>
                              <w:t xml:space="preserve">, </w:t>
                            </w:r>
                            <w:r w:rsidR="00641220">
                              <w:rPr>
                                <w:rFonts w:ascii="Cambria" w:eastAsia="Cambria" w:hAnsi="Cambria"/>
                                <w:color w:val="0D0D0D"/>
                                <w:sz w:val="18"/>
                                <w:szCs w:val="18"/>
                              </w:rPr>
                              <w:t>2020.</w:t>
                            </w:r>
                          </w:p>
                          <w:p w:rsidR="00B00D92" w:rsidRPr="00472CD8" w:rsidRDefault="00B00D9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B00D92" w:rsidRPr="00472CD8" w:rsidRDefault="00B00D9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40407D7"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" filled="f" stroked="f" strokeweight=".5pt">
                <v:textbox>
                  <w:txbxContent>
                    <w:p w:rsidR="00B00D92" w:rsidRPr="00472CD8" w:rsidRDefault="009F693E"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eastAsia="Cambria" w:hAnsi="Cambria"/>
                          <w:color w:val="0D0D0D"/>
                          <w:sz w:val="18"/>
                          <w:szCs w:val="18"/>
                        </w:rPr>
                        <w:t xml:space="preserve">Approved electronically by the Commission on </w:t>
                      </w:r>
                      <w:r w:rsidR="00716936">
                        <w:rPr>
                          <w:rFonts w:ascii="Cambria" w:eastAsia="Cambria" w:hAnsi="Cambria"/>
                          <w:color w:val="0D0D0D"/>
                          <w:sz w:val="18"/>
                          <w:szCs w:val="18"/>
                        </w:rPr>
                        <w:t>April 27</w:t>
                      </w:r>
                      <w:r>
                        <w:rPr>
                          <w:rFonts w:ascii="Cambria" w:eastAsia="Cambria" w:hAnsi="Cambria"/>
                          <w:color w:val="0D0D0D"/>
                          <w:sz w:val="18"/>
                          <w:szCs w:val="18"/>
                        </w:rPr>
                        <w:t xml:space="preserve">, </w:t>
                      </w:r>
                      <w:r w:rsidR="00641220">
                        <w:rPr>
                          <w:rFonts w:ascii="Cambria" w:eastAsia="Cambria" w:hAnsi="Cambria"/>
                          <w:color w:val="0D0D0D"/>
                          <w:sz w:val="18"/>
                          <w:szCs w:val="18"/>
                        </w:rPr>
                        <w:t>2020.</w:t>
                      </w:r>
                    </w:p>
                    <w:p w:rsidR="00B00D92" w:rsidRPr="00472CD8" w:rsidRDefault="00B00D9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B00D92" w:rsidRPr="00472CD8" w:rsidRDefault="00B00D9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9F69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9504" behindDoc="0" locked="0" layoutInCell="1" allowOverlap="1" wp14:anchorId="7F743ABF" wp14:editId="28FE9D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641220" w:rsidRDefault="009F693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eastAsia="Cambria" w:hAnsi="Cambria"/>
                                <w:b/>
                                <w:bCs/>
                                <w:color w:val="595959"/>
                                <w:sz w:val="18"/>
                                <w:szCs w:val="18"/>
                              </w:rPr>
                              <w:t>Cite as:</w:t>
                            </w:r>
                            <w:r>
                              <w:rPr>
                                <w:rFonts w:ascii="Cambria" w:eastAsia="Cambria" w:hAnsi="Cambria"/>
                                <w:color w:val="595959"/>
                                <w:sz w:val="18"/>
                                <w:szCs w:val="18"/>
                              </w:rPr>
                              <w:t xml:space="preserve"> IACHR, Report No.</w:t>
                            </w:r>
                            <w:r w:rsidR="00641220">
                              <w:rPr>
                                <w:rFonts w:ascii="Cambria" w:eastAsia="Cambria" w:hAnsi="Cambria"/>
                                <w:color w:val="595959"/>
                                <w:sz w:val="18"/>
                                <w:szCs w:val="18"/>
                              </w:rPr>
                              <w:t>120/20</w:t>
                            </w:r>
                            <w:r>
                              <w:rPr>
                                <w:rFonts w:ascii="Cambria" w:eastAsia="Cambria" w:hAnsi="Cambria"/>
                                <w:color w:val="595959"/>
                                <w:sz w:val="18"/>
                                <w:szCs w:val="18"/>
                              </w:rPr>
                              <w:t>. Petition 186-11. Admissibility. S. A. S. Colombia.</w:t>
                            </w:r>
                            <w:r w:rsidR="00641220">
                              <w:rPr>
                                <w:rFonts w:ascii="Cambria" w:eastAsia="Cambria" w:hAnsi="Cambria"/>
                                <w:color w:val="595959"/>
                                <w:sz w:val="18"/>
                                <w:szCs w:val="18"/>
                              </w:rPr>
                              <w:t xml:space="preserve"> April 27, 2020</w:t>
                            </w:r>
                            <w:r w:rsidR="00472CD8">
                              <w:rPr>
                                <w:rFonts w:ascii="Cambria" w:eastAsia="Cambria" w:hAnsi="Cambria"/>
                                <w:color w:val="595959"/>
                                <w:sz w:val="18"/>
                                <w:szCs w:val="18"/>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F743ABF" id="Text Box 10" o:spid="_x0000_s1030" type="#_x0000_t202" style="position:absolute;left:0;text-align:left;margin-left:105pt;margin-top:.45pt;width:38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" filled="f" stroked="f" strokeweight=".5pt">
                <v:textbox>
                  <w:txbxContent>
                    <w:p w:rsidR="00B00D92" w:rsidRPr="00641220" w:rsidRDefault="009F693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eastAsia="Cambria" w:hAnsi="Cambria"/>
                          <w:b/>
                          <w:bCs/>
                          <w:color w:val="595959"/>
                          <w:sz w:val="18"/>
                          <w:szCs w:val="18"/>
                        </w:rPr>
                        <w:t>Cite as:</w:t>
                      </w:r>
                      <w:r>
                        <w:rPr>
                          <w:rFonts w:ascii="Cambria" w:eastAsia="Cambria" w:hAnsi="Cambria"/>
                          <w:color w:val="595959"/>
                          <w:sz w:val="18"/>
                          <w:szCs w:val="18"/>
                        </w:rPr>
                        <w:t xml:space="preserve"> IACHR, Report No.</w:t>
                      </w:r>
                      <w:r w:rsidR="00641220">
                        <w:rPr>
                          <w:rFonts w:ascii="Cambria" w:eastAsia="Cambria" w:hAnsi="Cambria"/>
                          <w:color w:val="595959"/>
                          <w:sz w:val="18"/>
                          <w:szCs w:val="18"/>
                        </w:rPr>
                        <w:t>120/20</w:t>
                      </w:r>
                      <w:r>
                        <w:rPr>
                          <w:rFonts w:ascii="Cambria" w:eastAsia="Cambria" w:hAnsi="Cambria"/>
                          <w:color w:val="595959"/>
                          <w:sz w:val="18"/>
                          <w:szCs w:val="18"/>
                        </w:rPr>
                        <w:t>. Petition 186-11. Admissibility. S. A. S. Colombia.</w:t>
                      </w:r>
                      <w:r w:rsidR="00641220">
                        <w:rPr>
                          <w:rFonts w:ascii="Cambria" w:eastAsia="Cambria" w:hAnsi="Cambria"/>
                          <w:color w:val="595959"/>
                          <w:sz w:val="18"/>
                          <w:szCs w:val="18"/>
                        </w:rPr>
                        <w:t xml:space="preserve"> April 27, 2020</w:t>
                      </w:r>
                      <w:r w:rsidR="00472CD8">
                        <w:rPr>
                          <w:rFonts w:ascii="Cambria" w:eastAsia="Cambria" w:hAnsi="Cambria"/>
                          <w:color w:val="595959"/>
                          <w:sz w:val="18"/>
                          <w:szCs w:val="18"/>
                        </w:rPr>
                        <w:t>.</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Default="009F693E"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70528" behindDoc="0" locked="0" layoutInCell="1" allowOverlap="1" wp14:anchorId="4AE1E2C7" wp14:editId="56C5D50B">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0D92" w:rsidRPr="0033043B" w:rsidRDefault="0064122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11BE8BEC" wp14:editId="560A88A4">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AE1E2C7" id="Text Box 9" o:spid="_x0000_s1031" type="#_x0000_t202" style="position:absolute;left:0;text-align:left;margin-left:104.7pt;margin-top:50.3pt;width:322.5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" stroked="f" strokeweight=".5pt">
                <v:textbox>
                  <w:txbxContent>
                    <w:p w:rsidR="00B00D92" w:rsidRPr="0033043B" w:rsidRDefault="0064122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11BE8BEC" wp14:editId="560A88A4">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E8ADE49" wp14:editId="307E87D0">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9F693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eastAsia="Calibri" w:hAnsi="Calibri"/>
                                <w:b/>
                                <w:bCs/>
                                <w:color w:val="FFFFFF"/>
                              </w:rPr>
                              <w:t>www.</w:t>
                            </w:r>
                            <w:r w:rsidR="00716936">
                              <w:rPr>
                                <w:rFonts w:ascii="Calibri" w:eastAsia="Calibri" w:hAnsi="Calibri"/>
                                <w:b/>
                                <w:bCs/>
                                <w:color w:val="FFFFFF"/>
                              </w:rPr>
                              <w:t>iachr</w:t>
                            </w:r>
                            <w:r>
                              <w:rPr>
                                <w:rFonts w:ascii="Calibri" w:eastAsia="Calibri" w:hAnsi="Calibri"/>
                                <w:b/>
                                <w:bCs/>
                                <w:color w:val="FFFFFF"/>
                              </w:rPr>
                              <w:t>.org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8ADE49" id="Text Box 4" o:spid="_x0000_s1032" type="#_x0000_t202" style="position:absolute;left:0;text-align:left;margin-left:-21.45pt;margin-top:72.05pt;width:93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" filled="f" stroked="f" strokeweight=".5pt">
                <v:textbox>
                  <w:txbxContent>
                    <w:p w:rsidR="00B00D92" w:rsidRPr="0033043B" w:rsidRDefault="009F693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eastAsia="Calibri" w:hAnsi="Calibri"/>
                          <w:b/>
                          <w:bCs/>
                          <w:color w:val="FFFFFF"/>
                        </w:rPr>
                        <w:t>www.</w:t>
                      </w:r>
                      <w:r w:rsidR="00716936">
                        <w:rPr>
                          <w:rFonts w:ascii="Calibri" w:eastAsia="Calibri" w:hAnsi="Calibri"/>
                          <w:b/>
                          <w:bCs/>
                          <w:color w:val="FFFFFF"/>
                        </w:rPr>
                        <w:t>iachr</w:t>
                      </w:r>
                      <w:r>
                        <w:rPr>
                          <w:rFonts w:ascii="Calibri" w:eastAsia="Calibri" w:hAnsi="Calibri"/>
                          <w:b/>
                          <w:bCs/>
                          <w:color w:val="FFFFFF"/>
                        </w:rPr>
                        <w:t>.org</w:t>
                      </w:r>
                    </w:p>
                  </w:txbxContent>
                </v:textbox>
              </v:shape>
            </w:pict>
          </mc:Fallback>
        </mc:AlternateContent>
      </w:r>
    </w:p>
    <w:p w:rsidR="00B00D92" w:rsidRDefault="009F693E"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B00D9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B00D92" w:rsidRPr="000419AD" w:rsidRDefault="009F693E"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Pr>
          <w:rFonts w:ascii="Cambria" w:eastAsia="Cambria" w:hAnsi="Cambria"/>
          <w:b/>
          <w:bCs/>
          <w:sz w:val="20"/>
          <w:szCs w:val="20"/>
        </w:rPr>
        <w:lastRenderedPageBreak/>
        <w:t>I.</w:t>
      </w:r>
      <w:r>
        <w:rPr>
          <w:rFonts w:ascii="Cambria" w:eastAsia="Cambria" w:hAnsi="Cambria"/>
          <w:sz w:val="20"/>
          <w:szCs w:val="20"/>
        </w:rPr>
        <w:tab/>
      </w:r>
      <w:r>
        <w:rPr>
          <w:rFonts w:ascii="Cambria" w:eastAsia="Cambria" w:hAnsi="Cambria"/>
          <w:b/>
          <w:bCs/>
          <w:sz w:val="20"/>
          <w:szCs w:val="20"/>
        </w:rPr>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77183" w:rsidTr="00716936">
        <w:tc>
          <w:tcPr>
            <w:tcW w:w="3600" w:type="dxa"/>
            <w:tcBorders>
              <w:top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Petitioner:</w:t>
            </w:r>
          </w:p>
        </w:tc>
        <w:tc>
          <w:tcPr>
            <w:tcW w:w="5760" w:type="dxa"/>
            <w:tcBorders>
              <w:top w:val="single" w:sz="4" w:space="0" w:color="auto"/>
            </w:tcBorders>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eastAsia="Cambria" w:hAnsi="Cambria"/>
                <w:bCs/>
                <w:sz w:val="20"/>
                <w:szCs w:val="20"/>
              </w:rPr>
              <w:t>Mauricio Alarcón Rojas</w:t>
            </w:r>
          </w:p>
        </w:tc>
      </w:tr>
      <w:tr w:rsidR="00D77183" w:rsidTr="00716936">
        <w:tc>
          <w:tcPr>
            <w:tcW w:w="3600" w:type="dxa"/>
            <w:tcBorders>
              <w:top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Alleged victim:</w:t>
            </w:r>
          </w:p>
        </w:tc>
        <w:tc>
          <w:tcPr>
            <w:tcW w:w="5760" w:type="dxa"/>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eastAsia="Cambria" w:hAnsi="Cambria"/>
                <w:bCs/>
                <w:sz w:val="20"/>
                <w:szCs w:val="20"/>
              </w:rPr>
              <w:t>S.A.S.</w:t>
            </w:r>
          </w:p>
        </w:tc>
      </w:tr>
      <w:tr w:rsidR="00D77183" w:rsidTr="00716936">
        <w:tc>
          <w:tcPr>
            <w:tcW w:w="3600" w:type="dxa"/>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Respondent state: </w:t>
            </w:r>
          </w:p>
        </w:tc>
        <w:tc>
          <w:tcPr>
            <w:tcW w:w="5760" w:type="dxa"/>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Pr>
                    <w:rFonts w:ascii="Cambria" w:eastAsia="Cambria" w:hAnsi="Cambria"/>
                    <w:bCs/>
                    <w:sz w:val="20"/>
                    <w:szCs w:val="20"/>
                  </w:rPr>
                  <w:t>Colombia</w:t>
                </w:r>
              </w:smartTag>
            </w:smartTag>
          </w:p>
        </w:tc>
      </w:tr>
      <w:tr w:rsidR="00D77183" w:rsidTr="00716936">
        <w:tc>
          <w:tcPr>
            <w:tcW w:w="3600" w:type="dxa"/>
            <w:tcBorders>
              <w:bottom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Rights invoked:</w:t>
            </w:r>
          </w:p>
        </w:tc>
        <w:tc>
          <w:tcPr>
            <w:tcW w:w="5760" w:type="dxa"/>
            <w:tcBorders>
              <w:bottom w:val="single" w:sz="4" w:space="0" w:color="auto"/>
            </w:tcBorders>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eastAsia="Cambria" w:hAnsi="Cambria"/>
                <w:bCs/>
                <w:sz w:val="20"/>
                <w:szCs w:val="20"/>
              </w:rPr>
              <w:t>Articles 5 (humane treatment), 7 (personal liberty), 8 (right to a fair trial), 9 (freedom from ex post facto laws), 10 (right to compensation), 11 (right to privacy), 13 (freedom of expression), 22 (movement and residence), 23 (right to participate in government), 24 (right to equal protection), and 25 (judicial protection) of the American Convention on Human Rights</w:t>
            </w:r>
            <w:r>
              <w:rPr>
                <w:rStyle w:val="FootnoteReference"/>
                <w:rFonts w:ascii="Cambria" w:hAnsi="Cambria"/>
                <w:bCs/>
                <w:sz w:val="20"/>
                <w:szCs w:val="20"/>
                <w:lang w:val="es-VE"/>
              </w:rPr>
              <w:footnoteReference w:id="2"/>
            </w:r>
            <w:r>
              <w:rPr>
                <w:rFonts w:ascii="Cambria" w:eastAsia="Cambria" w:hAnsi="Cambria"/>
                <w:bCs/>
                <w:sz w:val="20"/>
                <w:szCs w:val="20"/>
              </w:rPr>
              <w:t xml:space="preserve"> in conjunction with its Articles 1.1 (obligation to respect rights) and 2 (domestic legal effects); and other international treaties.</w:t>
            </w:r>
            <w:r>
              <w:rPr>
                <w:rStyle w:val="FootnoteReference"/>
                <w:rFonts w:ascii="Cambria" w:hAnsi="Cambria"/>
                <w:bCs/>
                <w:sz w:val="20"/>
                <w:szCs w:val="20"/>
                <w:lang w:val="es-VE"/>
              </w:rPr>
              <w:footnoteReference w:id="3"/>
            </w:r>
          </w:p>
        </w:tc>
      </w:tr>
    </w:tbl>
    <w:p w:rsidR="00B00D92" w:rsidRPr="00472CD8" w:rsidRDefault="009F693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eastAsia="Cambria" w:hAnsi="Cambria"/>
          <w:b/>
          <w:bCs/>
          <w:sz w:val="20"/>
          <w:szCs w:val="20"/>
        </w:rPr>
        <w:t xml:space="preserve">II. </w:t>
      </w:r>
      <w:r>
        <w:rPr>
          <w:rFonts w:ascii="Cambria" w:eastAsia="Cambria" w:hAnsi="Cambria"/>
          <w:b/>
          <w:bCs/>
          <w:sz w:val="20"/>
          <w:szCs w:val="20"/>
        </w:rPr>
        <w:tab/>
        <w:t>PROCEEDINGS BEFORE THE IACHR</w:t>
      </w:r>
      <w:r>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77183" w:rsidTr="00716936">
        <w:tc>
          <w:tcPr>
            <w:tcW w:w="3600" w:type="dxa"/>
            <w:tcBorders>
              <w:top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Pr>
                <w:rFonts w:ascii="Cambria" w:eastAsia="Cambria" w:hAnsi="Cambria"/>
                <w:b/>
                <w:bCs/>
                <w:color w:val="FFFFFF"/>
                <w:sz w:val="20"/>
                <w:szCs w:val="20"/>
              </w:rPr>
              <w:t>Filing of the petition:</w:t>
            </w:r>
          </w:p>
        </w:tc>
        <w:tc>
          <w:tcPr>
            <w:tcW w:w="5760" w:type="dxa"/>
            <w:tcBorders>
              <w:top w:val="single" w:sz="4" w:space="0" w:color="auto"/>
            </w:tcBorders>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February 14, 2011</w:t>
            </w:r>
          </w:p>
        </w:tc>
      </w:tr>
      <w:tr w:rsidR="00D77183" w:rsidTr="00716936">
        <w:tc>
          <w:tcPr>
            <w:tcW w:w="3600" w:type="dxa"/>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Additional information received at the stage of initial review: </w:t>
            </w:r>
          </w:p>
        </w:tc>
        <w:tc>
          <w:tcPr>
            <w:tcW w:w="5760" w:type="dxa"/>
            <w:vAlign w:val="center"/>
          </w:tcPr>
          <w:p w:rsidR="00B00D92" w:rsidRPr="0033043B" w:rsidRDefault="009F693E" w:rsidP="00353F9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VE"/>
              </w:rPr>
            </w:pPr>
            <w:r>
              <w:rPr>
                <w:rFonts w:ascii="Cambria" w:eastAsia="Cambria" w:hAnsi="Cambria"/>
                <w:bCs/>
                <w:sz w:val="20"/>
                <w:szCs w:val="20"/>
              </w:rPr>
              <w:t xml:space="preserve">February 18, 2011; </w:t>
            </w:r>
            <w:r>
              <w:rPr>
                <w:rFonts w:ascii="Cambria" w:eastAsia="Cambria" w:hAnsi="Cambria" w:cs="Arial"/>
                <w:bCs/>
                <w:sz w:val="20"/>
                <w:szCs w:val="20"/>
              </w:rPr>
              <w:t>August 15, 2011; August 16, 2011</w:t>
            </w:r>
          </w:p>
        </w:tc>
      </w:tr>
      <w:tr w:rsidR="00D77183" w:rsidTr="00716936">
        <w:tc>
          <w:tcPr>
            <w:tcW w:w="3600" w:type="dxa"/>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Notification of the petition to the State: </w:t>
            </w:r>
          </w:p>
        </w:tc>
        <w:tc>
          <w:tcPr>
            <w:tcW w:w="5760" w:type="dxa"/>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February 8, 2016</w:t>
            </w:r>
          </w:p>
        </w:tc>
      </w:tr>
      <w:tr w:rsidR="00D77183" w:rsidTr="00716936">
        <w:tc>
          <w:tcPr>
            <w:tcW w:w="3600" w:type="dxa"/>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Pr>
                <w:rFonts w:ascii="Cambria" w:eastAsia="Cambria" w:hAnsi="Cambria"/>
                <w:b/>
                <w:bCs/>
                <w:color w:val="FFFFFF"/>
                <w:sz w:val="20"/>
                <w:szCs w:val="20"/>
              </w:rPr>
              <w:t>State’s first response:</w:t>
            </w:r>
          </w:p>
        </w:tc>
        <w:tc>
          <w:tcPr>
            <w:tcW w:w="5760" w:type="dxa"/>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December 20, 2016</w:t>
            </w:r>
          </w:p>
        </w:tc>
      </w:tr>
      <w:tr w:rsidR="00D77183" w:rsidTr="00716936">
        <w:tc>
          <w:tcPr>
            <w:tcW w:w="3600" w:type="dxa"/>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Additional observations from the petitioner:</w:t>
            </w:r>
          </w:p>
        </w:tc>
        <w:tc>
          <w:tcPr>
            <w:tcW w:w="5760" w:type="dxa"/>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May 18, 19, and 22, 2017; and June 23, 2018</w:t>
            </w:r>
          </w:p>
        </w:tc>
      </w:tr>
      <w:tr w:rsidR="00D77183" w:rsidTr="00716936">
        <w:tc>
          <w:tcPr>
            <w:tcW w:w="3600" w:type="dxa"/>
            <w:tcBorders>
              <w:bottom w:val="single" w:sz="4" w:space="0" w:color="auto"/>
            </w:tcBorders>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Additional observations from the State:</w:t>
            </w:r>
          </w:p>
        </w:tc>
        <w:tc>
          <w:tcPr>
            <w:tcW w:w="5760" w:type="dxa"/>
            <w:tcBorders>
              <w:bottom w:val="single" w:sz="4" w:space="0" w:color="auto"/>
            </w:tcBorders>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November 27, 2017; and February 20, 2019</w:t>
            </w:r>
          </w:p>
        </w:tc>
      </w:tr>
    </w:tbl>
    <w:p w:rsidR="00B00D92" w:rsidRPr="003239B8" w:rsidRDefault="009F693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Pr>
          <w:rFonts w:ascii="Cambria" w:eastAsia="Cambria" w:hAnsi="Cambria"/>
          <w:b/>
          <w:bCs/>
          <w:sz w:val="20"/>
          <w:szCs w:val="20"/>
        </w:rPr>
        <w:t xml:space="preserve">III. </w:t>
      </w:r>
      <w:r>
        <w:rPr>
          <w:rFonts w:ascii="Cambria" w:eastAsia="Cambria" w:hAnsi="Cambria"/>
          <w:b/>
          <w:bCs/>
          <w:sz w:val="20"/>
          <w:szCs w:val="20"/>
        </w:rPr>
        <w:tab/>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59"/>
        <w:gridCol w:w="5683"/>
      </w:tblGrid>
      <w:tr w:rsidR="00D77183" w:rsidTr="00716936">
        <w:trPr>
          <w:cantSplit/>
        </w:trPr>
        <w:tc>
          <w:tcPr>
            <w:tcW w:w="3600" w:type="dxa"/>
            <w:tcBorders>
              <w:top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personae:</w:t>
            </w:r>
          </w:p>
        </w:tc>
        <w:tc>
          <w:tcPr>
            <w:tcW w:w="5760" w:type="dxa"/>
            <w:tcBorders>
              <w:top w:val="single" w:sz="4" w:space="0" w:color="auto"/>
            </w:tcBorders>
            <w:vAlign w:val="center"/>
          </w:tcPr>
          <w:p w:rsidR="00B00D92" w:rsidRPr="0033043B" w:rsidRDefault="009F693E"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eastAsia="Cambria" w:hAnsi="Cambria"/>
                <w:bCs/>
                <w:sz w:val="20"/>
                <w:szCs w:val="20"/>
              </w:rPr>
              <w:t>Yes</w:t>
            </w:r>
          </w:p>
        </w:tc>
      </w:tr>
      <w:tr w:rsidR="00D77183" w:rsidTr="00716936">
        <w:trPr>
          <w:cantSplit/>
        </w:trPr>
        <w:tc>
          <w:tcPr>
            <w:tcW w:w="3600" w:type="dxa"/>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loci:</w:t>
            </w:r>
          </w:p>
        </w:tc>
        <w:tc>
          <w:tcPr>
            <w:tcW w:w="5760" w:type="dxa"/>
            <w:vAlign w:val="center"/>
          </w:tcPr>
          <w:p w:rsidR="00B00D92" w:rsidRPr="0033043B" w:rsidRDefault="009F693E"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eastAsia="Cambria" w:hAnsi="Cambria"/>
                <w:bCs/>
                <w:sz w:val="20"/>
                <w:szCs w:val="20"/>
              </w:rPr>
              <w:t>Yes</w:t>
            </w:r>
          </w:p>
        </w:tc>
      </w:tr>
      <w:tr w:rsidR="00D77183" w:rsidTr="00716936">
        <w:trPr>
          <w:cantSplit/>
        </w:trPr>
        <w:tc>
          <w:tcPr>
            <w:tcW w:w="3600" w:type="dxa"/>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temporis:</w:t>
            </w:r>
          </w:p>
        </w:tc>
        <w:tc>
          <w:tcPr>
            <w:tcW w:w="5760" w:type="dxa"/>
            <w:vAlign w:val="center"/>
          </w:tcPr>
          <w:p w:rsidR="00B00D92" w:rsidRPr="0033043B" w:rsidRDefault="009F693E" w:rsidP="00F524A3">
            <w:pPr>
              <w:pBdr>
                <w:top w:val="none" w:sz="0" w:space="0" w:color="auto"/>
                <w:left w:val="none" w:sz="0" w:space="0" w:color="auto"/>
                <w:bottom w:val="none" w:sz="0" w:space="0" w:color="auto"/>
                <w:right w:val="none" w:sz="0" w:space="0" w:color="auto"/>
                <w:bar w:val="none" w:sz="0" w:color="auto"/>
              </w:pBdr>
              <w:rPr>
                <w:bCs/>
                <w:sz w:val="20"/>
                <w:szCs w:val="20"/>
              </w:rPr>
            </w:pPr>
            <w:r>
              <w:rPr>
                <w:rFonts w:ascii="Cambria" w:eastAsia="Cambria" w:hAnsi="Cambria"/>
                <w:bCs/>
                <w:sz w:val="20"/>
                <w:szCs w:val="20"/>
              </w:rPr>
              <w:t>Yes</w:t>
            </w:r>
          </w:p>
        </w:tc>
      </w:tr>
      <w:tr w:rsidR="00D77183" w:rsidTr="00716936">
        <w:trPr>
          <w:cantSplit/>
        </w:trPr>
        <w:tc>
          <w:tcPr>
            <w:tcW w:w="3600" w:type="dxa"/>
            <w:tcBorders>
              <w:bottom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Competence </w:t>
            </w:r>
            <w:r>
              <w:rPr>
                <w:rFonts w:ascii="Cambria" w:eastAsia="Cambria" w:hAnsi="Cambria"/>
                <w:b/>
                <w:bCs/>
                <w:i/>
                <w:iCs/>
                <w:color w:val="FFFFFF"/>
                <w:sz w:val="20"/>
                <w:szCs w:val="20"/>
              </w:rPr>
              <w:t>Ratione materiae:</w:t>
            </w:r>
          </w:p>
        </w:tc>
        <w:tc>
          <w:tcPr>
            <w:tcW w:w="5760" w:type="dxa"/>
            <w:tcBorders>
              <w:bottom w:val="single" w:sz="4" w:space="0" w:color="auto"/>
            </w:tcBorders>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eastAsia="Cambria" w:hAnsi="Cambria"/>
                <w:bCs/>
                <w:sz w:val="20"/>
                <w:szCs w:val="20"/>
              </w:rPr>
              <w:t>Yes, American Convention (deposit of instrument of ratification on April 19, 1978)</w:t>
            </w:r>
          </w:p>
        </w:tc>
      </w:tr>
    </w:tbl>
    <w:p w:rsidR="00B00D92" w:rsidRPr="00472CD8" w:rsidRDefault="009F693E" w:rsidP="00F358E9">
      <w:pPr>
        <w:pBdr>
          <w:top w:val="none" w:sz="0" w:space="0" w:color="auto"/>
          <w:left w:val="none" w:sz="0" w:space="0" w:color="auto"/>
          <w:bottom w:val="none" w:sz="0" w:space="0" w:color="auto"/>
          <w:right w:val="none" w:sz="0" w:space="0" w:color="auto"/>
          <w:bar w:val="none" w:sz="0" w:color="auto"/>
        </w:pBdr>
        <w:spacing w:before="240" w:after="240"/>
        <w:ind w:left="1560" w:hanging="851"/>
        <w:jc w:val="both"/>
        <w:rPr>
          <w:rFonts w:ascii="Cambria" w:hAnsi="Cambria"/>
          <w:b/>
          <w:bCs/>
          <w:sz w:val="20"/>
          <w:szCs w:val="20"/>
        </w:rPr>
      </w:pPr>
      <w:r>
        <w:rPr>
          <w:rFonts w:ascii="Cambria" w:eastAsia="Cambria" w:hAnsi="Cambria"/>
          <w:b/>
          <w:bCs/>
          <w:sz w:val="20"/>
          <w:szCs w:val="20"/>
        </w:rPr>
        <w:t xml:space="preserve">IV. </w:t>
      </w:r>
      <w:r>
        <w:rPr>
          <w:rFonts w:ascii="Cambria" w:eastAsia="Cambria" w:hAnsi="Cambria"/>
          <w:b/>
          <w:bCs/>
          <w:sz w:val="20"/>
          <w:szCs w:val="20"/>
        </w:rPr>
        <w:tab/>
        <w:t>DUPLICATION</w:t>
      </w:r>
      <w:r>
        <w:rPr>
          <w:rFonts w:ascii="Cambria" w:eastAsia="Cambria" w:hAnsi="Cambria"/>
          <w:b/>
          <w:bCs/>
          <w:color w:val="FFFFFF"/>
          <w:sz w:val="20"/>
          <w:szCs w:val="20"/>
        </w:rPr>
        <w:t xml:space="preserve"> </w:t>
      </w:r>
      <w:r>
        <w:rPr>
          <w:rFonts w:ascii="Cambria" w:eastAsia="Cambria" w:hAnsi="Cambria"/>
          <w:b/>
          <w:bCs/>
          <w:sz w:val="20"/>
          <w:szCs w:val="20"/>
        </w:rPr>
        <w:t>OF PROCEDURES AND INTERNATIONAL RES JUDICATA,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D77183" w:rsidTr="00716936">
        <w:trPr>
          <w:cantSplit/>
        </w:trPr>
        <w:tc>
          <w:tcPr>
            <w:tcW w:w="3600" w:type="dxa"/>
            <w:tcBorders>
              <w:top w:val="single" w:sz="4" w:space="0" w:color="auto"/>
            </w:tcBorders>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Duplication of procedures and </w:t>
            </w:r>
            <w:r w:rsidR="00472CD8">
              <w:rPr>
                <w:rFonts w:ascii="Cambria" w:eastAsia="Cambria" w:hAnsi="Cambria"/>
                <w:b/>
                <w:bCs/>
                <w:color w:val="FFFFFF"/>
                <w:sz w:val="20"/>
                <w:szCs w:val="20"/>
              </w:rPr>
              <w:t>i</w:t>
            </w:r>
            <w:r>
              <w:rPr>
                <w:rFonts w:ascii="Cambria" w:eastAsia="Cambria" w:hAnsi="Cambria"/>
                <w:b/>
                <w:bCs/>
                <w:color w:val="FFFFFF"/>
                <w:sz w:val="20"/>
                <w:szCs w:val="20"/>
              </w:rPr>
              <w:t>nternational res judicata:</w:t>
            </w:r>
          </w:p>
        </w:tc>
        <w:tc>
          <w:tcPr>
            <w:tcW w:w="5760" w:type="dxa"/>
            <w:tcBorders>
              <w:top w:val="single" w:sz="4" w:space="0" w:color="auto"/>
            </w:tcBorders>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eastAsia="Cambria" w:hAnsi="Cambria"/>
                <w:bCs/>
                <w:sz w:val="20"/>
                <w:szCs w:val="20"/>
              </w:rPr>
              <w:t>No</w:t>
            </w:r>
          </w:p>
        </w:tc>
      </w:tr>
      <w:tr w:rsidR="00D77183" w:rsidTr="00716936">
        <w:trPr>
          <w:cantSplit/>
        </w:trPr>
        <w:tc>
          <w:tcPr>
            <w:tcW w:w="3600" w:type="dxa"/>
            <w:tcBorders>
              <w:top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Pr>
                <w:rFonts w:ascii="Cambria" w:eastAsia="Cambria" w:hAnsi="Cambria"/>
                <w:b/>
                <w:bCs/>
                <w:color w:val="FFFFFF"/>
                <w:sz w:val="20"/>
                <w:szCs w:val="20"/>
              </w:rPr>
              <w:t>Rights declared admissible:</w:t>
            </w:r>
            <w:r>
              <w:rPr>
                <w:rFonts w:ascii="Cambria" w:eastAsia="Cambria" w:hAnsi="Cambria"/>
                <w:color w:val="FFFFFF"/>
                <w:sz w:val="20"/>
                <w:szCs w:val="20"/>
              </w:rPr>
              <w:t xml:space="preserve"> </w:t>
            </w:r>
          </w:p>
        </w:tc>
        <w:tc>
          <w:tcPr>
            <w:tcW w:w="5760" w:type="dxa"/>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eastAsia="Cambria" w:hAnsi="Cambria"/>
                <w:bCs/>
                <w:sz w:val="20"/>
                <w:szCs w:val="20"/>
              </w:rPr>
              <w:t>Articles 7 (personal liberty), 8 (right to a fair trial), 24 (equal protection), and 25 (judicial protection) of the American Convention</w:t>
            </w:r>
            <w:r w:rsidR="00E91768">
              <w:rPr>
                <w:rFonts w:ascii="Cambria" w:eastAsia="Cambria" w:hAnsi="Cambria"/>
                <w:bCs/>
                <w:sz w:val="20"/>
                <w:szCs w:val="20"/>
              </w:rPr>
              <w:t>,</w:t>
            </w:r>
            <w:r>
              <w:rPr>
                <w:rFonts w:ascii="Cambria" w:eastAsia="Cambria" w:hAnsi="Cambria"/>
                <w:bCs/>
                <w:sz w:val="20"/>
                <w:szCs w:val="20"/>
              </w:rPr>
              <w:t xml:space="preserve"> </w:t>
            </w:r>
            <w:r>
              <w:rPr>
                <w:rFonts w:ascii="Cambria" w:eastAsia="Cambria" w:hAnsi="Cambria" w:cs="Cambria"/>
                <w:bCs/>
                <w:sz w:val="20"/>
                <w:szCs w:val="20"/>
              </w:rPr>
              <w:t>in conjunction with its Articles 1.1 (obligation to respect rights) and 2 (domestic legal effects)</w:t>
            </w:r>
          </w:p>
        </w:tc>
      </w:tr>
      <w:tr w:rsidR="00D77183" w:rsidTr="00716936">
        <w:trPr>
          <w:cantSplit/>
        </w:trPr>
        <w:tc>
          <w:tcPr>
            <w:tcW w:w="3600" w:type="dxa"/>
            <w:shd w:val="clear" w:color="auto" w:fill="67AE3C"/>
            <w:vAlign w:val="center"/>
          </w:tcPr>
          <w:p w:rsidR="00B00D92" w:rsidRPr="00472CD8"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Exhaustion of domestic remedies or applicability of an exception to the rule:</w:t>
            </w:r>
          </w:p>
        </w:tc>
        <w:tc>
          <w:tcPr>
            <w:tcW w:w="5760" w:type="dxa"/>
            <w:vAlign w:val="center"/>
          </w:tcPr>
          <w:p w:rsidR="00B00D92" w:rsidRPr="0033043B" w:rsidRDefault="009F693E"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Pr>
                <w:rFonts w:ascii="Cambria" w:eastAsia="Cambria" w:hAnsi="Cambria"/>
                <w:bCs/>
                <w:sz w:val="20"/>
                <w:szCs w:val="20"/>
              </w:rPr>
              <w:t>Yes, September 24, 2010</w:t>
            </w:r>
          </w:p>
        </w:tc>
      </w:tr>
      <w:tr w:rsidR="00D77183" w:rsidTr="00716936">
        <w:trPr>
          <w:cantSplit/>
        </w:trPr>
        <w:tc>
          <w:tcPr>
            <w:tcW w:w="3600" w:type="dxa"/>
            <w:tcBorders>
              <w:bottom w:val="single" w:sz="4" w:space="0" w:color="auto"/>
            </w:tcBorders>
            <w:shd w:val="clear" w:color="auto" w:fill="67AE3C"/>
            <w:vAlign w:val="center"/>
          </w:tcPr>
          <w:p w:rsidR="00B00D92" w:rsidRPr="0033043B" w:rsidRDefault="009F693E"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eastAsia="Cambria" w:hAnsi="Cambria"/>
                <w:b/>
                <w:bCs/>
                <w:color w:val="FFFFFF"/>
                <w:sz w:val="20"/>
                <w:szCs w:val="20"/>
              </w:rPr>
              <w:t xml:space="preserve">Timeliness of the petition: </w:t>
            </w:r>
          </w:p>
        </w:tc>
        <w:tc>
          <w:tcPr>
            <w:tcW w:w="5760" w:type="dxa"/>
            <w:tcBorders>
              <w:bottom w:val="single" w:sz="4" w:space="0" w:color="auto"/>
            </w:tcBorders>
            <w:vAlign w:val="center"/>
          </w:tcPr>
          <w:p w:rsidR="00B00D92" w:rsidRPr="0033043B" w:rsidRDefault="009F693E" w:rsidP="00F524A3">
            <w:pPr>
              <w:pBdr>
                <w:top w:val="none" w:sz="0" w:space="0" w:color="auto"/>
                <w:left w:val="none" w:sz="0" w:space="0" w:color="auto"/>
                <w:bottom w:val="none" w:sz="0" w:space="0" w:color="auto"/>
                <w:right w:val="none" w:sz="0" w:space="0" w:color="auto"/>
                <w:bar w:val="none" w:sz="0" w:color="auto"/>
              </w:pBdr>
              <w:rPr>
                <w:bCs/>
                <w:sz w:val="20"/>
                <w:szCs w:val="20"/>
              </w:rPr>
            </w:pPr>
            <w:r>
              <w:rPr>
                <w:rFonts w:ascii="Cambria" w:eastAsia="Cambria" w:hAnsi="Cambria"/>
                <w:bCs/>
                <w:sz w:val="20"/>
                <w:szCs w:val="20"/>
              </w:rPr>
              <w:t>Yes, February 14, 2011</w:t>
            </w:r>
          </w:p>
        </w:tc>
      </w:tr>
    </w:tbl>
    <w:p w:rsidR="00B00D92" w:rsidRDefault="009F693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eastAsia="Cambria" w:hAnsi="Cambria"/>
          <w:b/>
          <w:bCs/>
          <w:sz w:val="20"/>
          <w:szCs w:val="20"/>
        </w:rPr>
        <w:lastRenderedPageBreak/>
        <w:t xml:space="preserve">V. </w:t>
      </w:r>
      <w:r>
        <w:rPr>
          <w:rFonts w:ascii="Cambria" w:eastAsia="Cambria" w:hAnsi="Cambria"/>
          <w:b/>
          <w:bCs/>
          <w:sz w:val="20"/>
          <w:szCs w:val="20"/>
        </w:rPr>
        <w:tab/>
        <w:t>ALLEGED FACTS</w:t>
      </w:r>
    </w:p>
    <w:p w:rsidR="00B00D92" w:rsidRPr="00472CD8" w:rsidRDefault="009F693E" w:rsidP="002A349A">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 xml:space="preserve">Mr. Mauricio Alarcón Rojas (hereinafter </w:t>
      </w:r>
      <w:r w:rsidR="00472CD8">
        <w:rPr>
          <w:rFonts w:eastAsia="Cambria" w:cs="Arial"/>
          <w:sz w:val="20"/>
          <w:szCs w:val="20"/>
        </w:rPr>
        <w:t>“</w:t>
      </w:r>
      <w:r>
        <w:rPr>
          <w:rFonts w:eastAsia="Cambria" w:cs="Arial"/>
          <w:sz w:val="20"/>
          <w:szCs w:val="20"/>
        </w:rPr>
        <w:t>the petitioner</w:t>
      </w:r>
      <w:r w:rsidR="00472CD8">
        <w:rPr>
          <w:rFonts w:eastAsia="Cambria" w:cs="Arial"/>
          <w:sz w:val="20"/>
          <w:szCs w:val="20"/>
        </w:rPr>
        <w:t>”</w:t>
      </w:r>
      <w:r>
        <w:rPr>
          <w:rFonts w:eastAsia="Cambria" w:cs="Arial"/>
          <w:sz w:val="20"/>
          <w:szCs w:val="20"/>
        </w:rPr>
        <w:t xml:space="preserve">) claims that the human rights of S.A.S. (hereinafter, </w:t>
      </w:r>
      <w:r w:rsidR="00472CD8">
        <w:rPr>
          <w:rFonts w:eastAsia="Cambria" w:cs="Arial"/>
          <w:sz w:val="20"/>
          <w:szCs w:val="20"/>
        </w:rPr>
        <w:t>“</w:t>
      </w:r>
      <w:r>
        <w:rPr>
          <w:rFonts w:eastAsia="Cambria" w:cs="Arial"/>
          <w:sz w:val="20"/>
          <w:szCs w:val="20"/>
        </w:rPr>
        <w:t>the alleged victim</w:t>
      </w:r>
      <w:r w:rsidR="00472CD8">
        <w:rPr>
          <w:rFonts w:eastAsia="Cambria" w:cs="Arial"/>
          <w:sz w:val="20"/>
          <w:szCs w:val="20"/>
        </w:rPr>
        <w:t>”</w:t>
      </w:r>
      <w:r>
        <w:rPr>
          <w:rFonts w:eastAsia="Cambria" w:cs="Arial"/>
          <w:sz w:val="20"/>
          <w:szCs w:val="20"/>
        </w:rPr>
        <w:t xml:space="preserve">) were violated. He indicates that the Supreme Court of Justice unlawfully and retroactively applied a change of precedent in order to take jurisdiction over a criminal lawsuit against the alleged victim that was being heard in the ordinary justice system; consequently, the alleged victim was submitted to a special single-instance criminal </w:t>
      </w:r>
      <w:r w:rsidR="00312BCD">
        <w:rPr>
          <w:rFonts w:eastAsia="Cambria" w:cs="Arial"/>
          <w:sz w:val="20"/>
          <w:szCs w:val="20"/>
        </w:rPr>
        <w:t>procedure</w:t>
      </w:r>
      <w:r>
        <w:rPr>
          <w:rFonts w:eastAsia="Cambria" w:cs="Arial"/>
          <w:sz w:val="20"/>
          <w:szCs w:val="20"/>
        </w:rPr>
        <w:t xml:space="preserve"> and was deprived of his rights to appeal the judgment before a higher court and to stand trial before a competent and impartial tribunal. </w:t>
      </w:r>
    </w:p>
    <w:p w:rsidR="00B00D92" w:rsidRPr="00472CD8" w:rsidRDefault="00B00D92" w:rsidP="002A349A">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rPr>
          <w:rFonts w:cs="Arial"/>
          <w:sz w:val="20"/>
          <w:szCs w:val="20"/>
        </w:rPr>
      </w:pPr>
    </w:p>
    <w:p w:rsidR="00B00D92" w:rsidRPr="00472CD8" w:rsidRDefault="009F693E" w:rsidP="00323C40">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The petitioner reports that the alleged victim served as governor of the department of Sucre from January 1, 2001</w:t>
      </w:r>
      <w:r w:rsidR="00221293">
        <w:rPr>
          <w:rFonts w:eastAsia="Cambria" w:cs="Arial"/>
          <w:sz w:val="20"/>
          <w:szCs w:val="20"/>
        </w:rPr>
        <w:t>,</w:t>
      </w:r>
      <w:r>
        <w:rPr>
          <w:rFonts w:eastAsia="Cambria" w:cs="Arial"/>
          <w:sz w:val="20"/>
          <w:szCs w:val="20"/>
        </w:rPr>
        <w:t xml:space="preserve"> to December 31, 2003. He indicates that in January 2001 opposition politicians accused the alleged victim of collaborating with and supporting paramilitary groups; the Prosecutor General of the Nation opened an investigation that concluded with the May 6, 2003</w:t>
      </w:r>
      <w:r w:rsidR="00221293">
        <w:rPr>
          <w:rFonts w:eastAsia="Cambria" w:cs="Arial"/>
          <w:sz w:val="20"/>
          <w:szCs w:val="20"/>
        </w:rPr>
        <w:t>,</w:t>
      </w:r>
      <w:r>
        <w:rPr>
          <w:rFonts w:eastAsia="Cambria" w:cs="Arial"/>
          <w:sz w:val="20"/>
          <w:szCs w:val="20"/>
        </w:rPr>
        <w:t xml:space="preserve"> decision against further investigation. The petitioner also reports that while the alleged victim was governor, he suspended then Municipal Mayor of El Roble as ordered by the Office of the Inspector General and the General Accounting Office of the Department of Sucre; that the suspended mayor was found murdered on April 10, 2003; and that </w:t>
      </w:r>
      <w:r w:rsidR="00221293">
        <w:rPr>
          <w:rFonts w:eastAsia="Cambria" w:cs="Arial"/>
          <w:sz w:val="20"/>
          <w:szCs w:val="20"/>
        </w:rPr>
        <w:t>the</w:t>
      </w:r>
      <w:r w:rsidR="005823FD">
        <w:rPr>
          <w:rFonts w:eastAsia="Cambria" w:cs="Arial"/>
          <w:sz w:val="20"/>
          <w:szCs w:val="20"/>
        </w:rPr>
        <w:t xml:space="preserve"> </w:t>
      </w:r>
      <w:r w:rsidR="00221293">
        <w:rPr>
          <w:rFonts w:eastAsia="Cambria" w:cs="Arial"/>
          <w:sz w:val="20"/>
          <w:szCs w:val="20"/>
        </w:rPr>
        <w:t>deceased</w:t>
      </w:r>
      <w:r w:rsidR="00221293" w:rsidRPr="00221293">
        <w:rPr>
          <w:rFonts w:eastAsia="Cambria" w:cs="Arial"/>
          <w:sz w:val="20"/>
          <w:szCs w:val="20"/>
        </w:rPr>
        <w:t>’</w:t>
      </w:r>
      <w:r w:rsidR="00221293">
        <w:rPr>
          <w:rFonts w:eastAsia="Cambria" w:cs="Arial"/>
          <w:sz w:val="20"/>
          <w:szCs w:val="20"/>
        </w:rPr>
        <w:t xml:space="preserve">s </w:t>
      </w:r>
      <w:r>
        <w:rPr>
          <w:rFonts w:eastAsia="Cambria" w:cs="Arial"/>
          <w:sz w:val="20"/>
          <w:szCs w:val="20"/>
        </w:rPr>
        <w:t xml:space="preserve">family members pointed to the alleged victim as one of the potential suspects. </w:t>
      </w:r>
    </w:p>
    <w:p w:rsidR="00B00D92" w:rsidRPr="00472CD8" w:rsidRDefault="00B00D92" w:rsidP="004F688F">
      <w:pPr>
        <w:pStyle w:val="ListParagraph"/>
        <w:pBdr>
          <w:top w:val="none" w:sz="0" w:space="0" w:color="auto"/>
          <w:left w:val="none" w:sz="0" w:space="0" w:color="auto"/>
          <w:bottom w:val="none" w:sz="0" w:space="0" w:color="auto"/>
          <w:right w:val="none" w:sz="0" w:space="0" w:color="auto"/>
          <w:bar w:val="none" w:sz="0" w:color="auto"/>
        </w:pBdr>
        <w:rPr>
          <w:rFonts w:cs="Arial"/>
          <w:sz w:val="20"/>
          <w:szCs w:val="20"/>
        </w:rPr>
      </w:pPr>
    </w:p>
    <w:p w:rsidR="00B00D92" w:rsidRPr="00472CD8" w:rsidRDefault="009F693E" w:rsidP="004F688F">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 xml:space="preserve">The petitioner indicates that the Office of the Prosecutor General assigned the investigation of this homicide to Prosecutor’s Office 29 of the National Unit for Human Rights and International Humanitarian Law (hereinafter </w:t>
      </w:r>
      <w:r w:rsidR="00472CD8">
        <w:rPr>
          <w:rFonts w:eastAsia="Cambria" w:cs="Arial"/>
          <w:sz w:val="20"/>
          <w:szCs w:val="20"/>
        </w:rPr>
        <w:t>“</w:t>
      </w:r>
      <w:r>
        <w:rPr>
          <w:rFonts w:eastAsia="Cambria" w:cs="Arial"/>
          <w:sz w:val="20"/>
          <w:szCs w:val="20"/>
        </w:rPr>
        <w:t>Prosecutor’s Office 29</w:t>
      </w:r>
      <w:r w:rsidR="00472CD8">
        <w:rPr>
          <w:rFonts w:eastAsia="Cambria" w:cs="Arial"/>
          <w:sz w:val="20"/>
          <w:szCs w:val="20"/>
        </w:rPr>
        <w:t>”</w:t>
      </w:r>
      <w:r>
        <w:rPr>
          <w:rFonts w:eastAsia="Cambria" w:cs="Arial"/>
          <w:sz w:val="20"/>
          <w:szCs w:val="20"/>
        </w:rPr>
        <w:t>).</w:t>
      </w:r>
      <w:r w:rsidR="00472CD8">
        <w:rPr>
          <w:rFonts w:eastAsia="Cambria" w:cs="Arial"/>
          <w:sz w:val="20"/>
          <w:szCs w:val="20"/>
        </w:rPr>
        <w:t xml:space="preserve"> </w:t>
      </w:r>
      <w:r>
        <w:rPr>
          <w:rFonts w:eastAsia="Cambria" w:cs="Arial"/>
          <w:sz w:val="20"/>
          <w:szCs w:val="20"/>
        </w:rPr>
        <w:t xml:space="preserve">He also maintains that on November 15, 2006, the Criminal Cassation Division of the Supreme Court of Justice (hereinafter, </w:t>
      </w:r>
      <w:r w:rsidR="00472CD8">
        <w:rPr>
          <w:rFonts w:eastAsia="Cambria" w:cs="Arial"/>
          <w:sz w:val="20"/>
          <w:szCs w:val="20"/>
        </w:rPr>
        <w:t>“</w:t>
      </w:r>
      <w:r>
        <w:rPr>
          <w:rFonts w:eastAsia="Cambria" w:cs="Arial"/>
          <w:sz w:val="20"/>
          <w:szCs w:val="20"/>
        </w:rPr>
        <w:t>Criminal Cassation Division</w:t>
      </w:r>
      <w:r w:rsidR="00472CD8">
        <w:rPr>
          <w:rFonts w:eastAsia="Cambria" w:cs="Arial"/>
          <w:sz w:val="20"/>
          <w:szCs w:val="20"/>
        </w:rPr>
        <w:t>”</w:t>
      </w:r>
      <w:r>
        <w:rPr>
          <w:rFonts w:eastAsia="Cambria" w:cs="Arial"/>
          <w:sz w:val="20"/>
          <w:szCs w:val="20"/>
        </w:rPr>
        <w:t xml:space="preserve">), during proceedings being brought against other individuals, learned of information that in its </w:t>
      </w:r>
      <w:r w:rsidR="00AD1136">
        <w:rPr>
          <w:rFonts w:eastAsia="Cambria" w:cs="Arial"/>
          <w:sz w:val="20"/>
          <w:szCs w:val="20"/>
        </w:rPr>
        <w:t xml:space="preserve">view </w:t>
      </w:r>
      <w:r>
        <w:rPr>
          <w:rFonts w:eastAsia="Cambria" w:cs="Arial"/>
          <w:sz w:val="20"/>
          <w:szCs w:val="20"/>
        </w:rPr>
        <w:t xml:space="preserve">could criminally implicate the alleged victim; and that accordingly, it sent copies thereof to the Prosecutor General of the Nation to have him investigate, </w:t>
      </w:r>
      <w:r w:rsidR="00472CD8">
        <w:rPr>
          <w:rFonts w:eastAsia="Cambria" w:cs="Arial"/>
          <w:sz w:val="20"/>
          <w:szCs w:val="20"/>
        </w:rPr>
        <w:t>“</w:t>
      </w:r>
      <w:r>
        <w:rPr>
          <w:rFonts w:eastAsia="Cambria" w:cs="Arial"/>
          <w:sz w:val="20"/>
          <w:szCs w:val="20"/>
        </w:rPr>
        <w:t>within his authority,</w:t>
      </w:r>
      <w:r w:rsidR="00472CD8">
        <w:rPr>
          <w:rFonts w:eastAsia="Cambria" w:cs="Arial"/>
          <w:sz w:val="20"/>
          <w:szCs w:val="20"/>
        </w:rPr>
        <w:t>”</w:t>
      </w:r>
      <w:r>
        <w:rPr>
          <w:rFonts w:eastAsia="Cambria" w:cs="Arial"/>
          <w:sz w:val="20"/>
          <w:szCs w:val="20"/>
        </w:rPr>
        <w:t xml:space="preserve"> the alleged victim. The petitioner further indicates that on December 1, 2006, Prosecutor's Office 29 revoked the decision not to investigate the acts that took place when the alleged victim was governor of Sucre, previously handed down by the Prosecutor General of the Nation in favor of the alleged victim. He goes on to state that on February 5, 2008, Prosecutor's Office 29 decided to prosecute the alleged victim for the aggravated offences of forced disappearance, murder, and conspiracy, and issued a warrant for his arrest. The petitioner indicates that the criminal proceedings against the alleged victim were conducted in the ordinary justice system, specifically at the First Criminal Court of the Bogotá Specialized Circuit (hereinafter the </w:t>
      </w:r>
      <w:r w:rsidR="00472CD8">
        <w:rPr>
          <w:rFonts w:eastAsia="Cambria" w:cs="Arial"/>
          <w:sz w:val="20"/>
          <w:szCs w:val="20"/>
        </w:rPr>
        <w:t>“</w:t>
      </w:r>
      <w:r>
        <w:rPr>
          <w:rFonts w:eastAsia="Cambria" w:cs="Arial"/>
          <w:sz w:val="20"/>
          <w:szCs w:val="20"/>
        </w:rPr>
        <w:t>First Court</w:t>
      </w:r>
      <w:r w:rsidR="00472CD8">
        <w:rPr>
          <w:rFonts w:eastAsia="Cambria" w:cs="Arial"/>
          <w:sz w:val="20"/>
          <w:szCs w:val="20"/>
        </w:rPr>
        <w:t>”</w:t>
      </w:r>
      <w:r>
        <w:rPr>
          <w:rFonts w:eastAsia="Cambria" w:cs="Arial"/>
          <w:sz w:val="20"/>
          <w:szCs w:val="20"/>
        </w:rPr>
        <w:t xml:space="preserve">), in accordance with the provisions of Article 235 of the Constitution, which establishes that </w:t>
      </w:r>
      <w:r w:rsidR="00F6651A">
        <w:rPr>
          <w:rFonts w:eastAsia="Cambria" w:cs="Arial"/>
          <w:sz w:val="20"/>
          <w:szCs w:val="20"/>
        </w:rPr>
        <w:t>the special privilege granted to officials in criminal matters will, when those officials have ceased to hold office, only apply for punishable offenses associated with their prior role.</w:t>
      </w:r>
      <w:r w:rsidR="00472CD8">
        <w:rPr>
          <w:rFonts w:eastAsia="Cambria" w:cs="Arial"/>
          <w:sz w:val="20"/>
          <w:szCs w:val="20"/>
        </w:rPr>
        <w:t xml:space="preserve"> </w:t>
      </w:r>
      <w:r>
        <w:rPr>
          <w:rFonts w:eastAsia="Cambria" w:cs="Arial"/>
          <w:sz w:val="20"/>
          <w:szCs w:val="20"/>
        </w:rPr>
        <w:t xml:space="preserve"> The petitioner underscores that for over 18 years the Supreme Court of Justice has repeatedly upheld the precedent that it lacks jurisdiction to try, as a single-instance court, individuals who have ceased to hold positions that had granted them special privilege, except for in cases of so-called </w:t>
      </w:r>
      <w:r>
        <w:rPr>
          <w:rFonts w:eastAsia="Cambria" w:cs="Arial"/>
          <w:i/>
          <w:iCs/>
          <w:sz w:val="20"/>
          <w:szCs w:val="20"/>
        </w:rPr>
        <w:t>delitos propios</w:t>
      </w:r>
      <w:r>
        <w:rPr>
          <w:rFonts w:eastAsia="Cambria" w:cs="Arial"/>
          <w:sz w:val="20"/>
          <w:szCs w:val="20"/>
        </w:rPr>
        <w:t xml:space="preserve"> (offenses committed due to, on the occasion of, or in the exercise of their duties).</w:t>
      </w:r>
      <w:r w:rsidR="00472CD8">
        <w:rPr>
          <w:rFonts w:eastAsia="Cambria" w:cs="Arial"/>
          <w:sz w:val="20"/>
          <w:szCs w:val="20"/>
        </w:rPr>
        <w:t xml:space="preserve"> </w:t>
      </w:r>
      <w:smartTag w:uri="urn:schemas-microsoft-com:office:smarttags" w:element="metricconverter">
        <w:smartTagPr>
          <w:attr w:name="ProductID" w:val="29”"/>
        </w:smartTagPr>
      </w:smartTag>
    </w:p>
    <w:p w:rsidR="00B00D92" w:rsidRPr="00472CD8" w:rsidRDefault="00B00D92" w:rsidP="00952485">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rPr>
      </w:pPr>
    </w:p>
    <w:p w:rsidR="00B00D92" w:rsidRPr="00472CD8" w:rsidRDefault="009F693E" w:rsidP="00436B1F">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The petitioner indicates that the suit brought against the alleged victim moved forward in the ordinary justice system and that the examination of evidence, evidentiary hearing, and presentation of the parties’ final arguments were completed</w:t>
      </w:r>
      <w:r w:rsidR="00F7753D">
        <w:rPr>
          <w:rFonts w:eastAsia="Cambria" w:cs="Arial"/>
          <w:sz w:val="20"/>
          <w:szCs w:val="20"/>
        </w:rPr>
        <w:t xml:space="preserve"> in that system</w:t>
      </w:r>
      <w:r>
        <w:rPr>
          <w:rFonts w:eastAsia="Cambria" w:cs="Arial"/>
          <w:sz w:val="20"/>
          <w:szCs w:val="20"/>
        </w:rPr>
        <w:t xml:space="preserve">; </w:t>
      </w:r>
      <w:r w:rsidR="00B86039">
        <w:rPr>
          <w:rFonts w:eastAsia="Cambria" w:cs="Arial"/>
          <w:sz w:val="20"/>
          <w:szCs w:val="20"/>
        </w:rPr>
        <w:t>accordingly</w:t>
      </w:r>
      <w:r>
        <w:rPr>
          <w:rFonts w:eastAsia="Cambria" w:cs="Arial"/>
          <w:sz w:val="20"/>
          <w:szCs w:val="20"/>
        </w:rPr>
        <w:t xml:space="preserve">, everything was in place for the First Court to issue its first-instance judgment. However, on September 1, 2009, the Criminal Cassation Division, in a suit brought against a different individual, changed precedent, deeming that it did have the authority to hear cases against privilege-enjoying persons accused of aggravated conspiracy due to their potential ties to members of the self-defense forces, even when they no longer held the office through which they had been granted the privilege. The petitioner indicates that when it learned of this new precedent, on September 7, 2009, the First Court transferred </w:t>
      </w:r>
      <w:r w:rsidR="00AD1136">
        <w:rPr>
          <w:rFonts w:eastAsia="Cambria" w:cs="Arial"/>
          <w:sz w:val="20"/>
          <w:szCs w:val="20"/>
        </w:rPr>
        <w:t xml:space="preserve">the criminal suit </w:t>
      </w:r>
      <w:r>
        <w:rPr>
          <w:rFonts w:eastAsia="Cambria" w:cs="Arial"/>
          <w:sz w:val="20"/>
          <w:szCs w:val="20"/>
        </w:rPr>
        <w:t xml:space="preserve">against the alleged victim to the Criminal Cassation Division, which assumed jurisdiction over it on September 28, 2009, despite the dissenting vote of two members of the Division who considered that it lacked jurisdiction. The petitioner emphasizes that the Office of the Attorney General called for the decision to be nullified, but </w:t>
      </w:r>
      <w:r w:rsidR="00F7753D">
        <w:rPr>
          <w:rFonts w:eastAsia="Cambria" w:cs="Arial"/>
          <w:sz w:val="20"/>
          <w:szCs w:val="20"/>
        </w:rPr>
        <w:t>the action for nullification</w:t>
      </w:r>
      <w:r>
        <w:rPr>
          <w:rFonts w:eastAsia="Cambria" w:cs="Arial"/>
          <w:sz w:val="20"/>
          <w:szCs w:val="20"/>
        </w:rPr>
        <w:t xml:space="preserve"> was disallowed and the subsequent motion for reconsideration declared void.</w:t>
      </w:r>
      <w:r w:rsidR="00472CD8">
        <w:rPr>
          <w:rFonts w:eastAsia="Cambria" w:cs="Arial"/>
          <w:sz w:val="20"/>
          <w:szCs w:val="20"/>
        </w:rPr>
        <w:t xml:space="preserve"> </w:t>
      </w:r>
      <w:r>
        <w:rPr>
          <w:rFonts w:eastAsia="Cambria" w:cs="Arial"/>
          <w:sz w:val="20"/>
          <w:szCs w:val="20"/>
        </w:rPr>
        <w:t>On December 3, 2009, the Criminal Cassation Division then handed down a single-instance judgment sentencing the alleged victim to 40 years in prison.</w:t>
      </w:r>
      <w:r w:rsidR="00472CD8">
        <w:rPr>
          <w:rFonts w:eastAsia="Cambria" w:cs="Arial"/>
          <w:sz w:val="20"/>
          <w:szCs w:val="20"/>
        </w:rPr>
        <w:t xml:space="preserve"> </w:t>
      </w:r>
      <w:r>
        <w:rPr>
          <w:rFonts w:eastAsia="Cambria" w:cs="Arial"/>
          <w:sz w:val="20"/>
          <w:szCs w:val="20"/>
        </w:rPr>
        <w:t>The petitioner adds that the alleged victim filed actions for the enforcement of his constitutional rights [</w:t>
      </w:r>
      <w:r>
        <w:rPr>
          <w:rFonts w:eastAsia="Cambria" w:cs="Arial"/>
          <w:i/>
          <w:iCs/>
          <w:sz w:val="20"/>
          <w:szCs w:val="20"/>
        </w:rPr>
        <w:t xml:space="preserve">tutela </w:t>
      </w:r>
      <w:r>
        <w:rPr>
          <w:rFonts w:eastAsia="Cambria" w:cs="Arial"/>
          <w:sz w:val="20"/>
          <w:szCs w:val="20"/>
        </w:rPr>
        <w:t xml:space="preserve">actions] but they were found inadmissible. This led him to bring the second-instance judgment to the Constitutional Court, which did not </w:t>
      </w:r>
      <w:r>
        <w:rPr>
          <w:rFonts w:eastAsia="Cambria" w:cs="Arial"/>
          <w:sz w:val="20"/>
          <w:szCs w:val="20"/>
        </w:rPr>
        <w:lastRenderedPageBreak/>
        <w:t>select it for review and further, rejected the request submitted to insist on review. The petitioner underscores that th</w:t>
      </w:r>
      <w:r w:rsidR="006F51E0">
        <w:rPr>
          <w:rFonts w:eastAsia="Cambria" w:cs="Arial"/>
          <w:sz w:val="20"/>
          <w:szCs w:val="20"/>
        </w:rPr>
        <w:t>e alleged victim’s representative was notified of this decision</w:t>
      </w:r>
      <w:r>
        <w:rPr>
          <w:rFonts w:eastAsia="Cambria" w:cs="Arial"/>
          <w:sz w:val="20"/>
          <w:szCs w:val="20"/>
        </w:rPr>
        <w:t xml:space="preserve"> on September 24, 2010.</w:t>
      </w:r>
    </w:p>
    <w:p w:rsidR="00B00D92" w:rsidRPr="00472CD8" w:rsidRDefault="00B00D92" w:rsidP="00C75C1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rPr>
      </w:pPr>
    </w:p>
    <w:p w:rsidR="00B00D92" w:rsidRPr="00472CD8" w:rsidRDefault="009F693E" w:rsidP="00A07453">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The petitioner considers that the alleged victim’s rights were violated, as although the Supreme Court of Justice can leg</w:t>
      </w:r>
      <w:r w:rsidR="0027578F">
        <w:rPr>
          <w:rFonts w:eastAsia="Cambria" w:cs="Arial"/>
          <w:sz w:val="20"/>
          <w:szCs w:val="20"/>
        </w:rPr>
        <w:t>ally</w:t>
      </w:r>
      <w:r>
        <w:rPr>
          <w:rFonts w:eastAsia="Cambria" w:cs="Arial"/>
          <w:sz w:val="20"/>
          <w:szCs w:val="20"/>
        </w:rPr>
        <w:t xml:space="preserve"> change precedent, it did not have the authority to once again take up a criminal action that it had previously sent to the ordinary justice system in compliance with the case law in force at the time. He emphasizes that when </w:t>
      </w:r>
      <w:r w:rsidR="00221293">
        <w:rPr>
          <w:rFonts w:eastAsia="Cambria" w:cs="Arial"/>
          <w:sz w:val="20"/>
          <w:szCs w:val="20"/>
        </w:rPr>
        <w:t>the Supreme Court of Justice</w:t>
      </w:r>
      <w:r>
        <w:rPr>
          <w:rFonts w:eastAsia="Cambria" w:cs="Arial"/>
          <w:sz w:val="20"/>
          <w:szCs w:val="20"/>
        </w:rPr>
        <w:t xml:space="preserve"> took jurisdiction over the case, the ordinary justice system court had already overseen the entire trial stage. He also alleges that the single-instance process before the Criminal Cassation Division is incompatible with Articles 8 and 25 of the American Convention because under it the alleged victim was unable to submit motions for reconsideration and appeals against the conviction. The petitioner argues that the possibilities of challenging the Division’s decision through a motion to vacate the unappealable conviction or through a </w:t>
      </w:r>
      <w:r>
        <w:rPr>
          <w:rFonts w:eastAsia="Cambria" w:cs="Arial"/>
          <w:i/>
          <w:iCs/>
          <w:sz w:val="20"/>
          <w:szCs w:val="20"/>
        </w:rPr>
        <w:t>tutela</w:t>
      </w:r>
      <w:r>
        <w:rPr>
          <w:rFonts w:eastAsia="Cambria" w:cs="Arial"/>
          <w:sz w:val="20"/>
          <w:szCs w:val="20"/>
        </w:rPr>
        <w:t xml:space="preserve"> action do not fulfill the requirements of Article 8.2(h) of the American Convention, because they would not lead to a new, comprehensive examination of the case but rather only to an anlaysis of the judicial decision being appealed based on a closed, very restrictive set of </w:t>
      </w:r>
      <w:r w:rsidR="0027578F">
        <w:rPr>
          <w:rFonts w:eastAsia="Cambria" w:cs="Arial"/>
          <w:sz w:val="20"/>
          <w:szCs w:val="20"/>
        </w:rPr>
        <w:t xml:space="preserve">flaws </w:t>
      </w:r>
      <w:r>
        <w:rPr>
          <w:rFonts w:eastAsia="Cambria" w:cs="Arial"/>
          <w:sz w:val="20"/>
          <w:szCs w:val="20"/>
        </w:rPr>
        <w:t>previously established in positive law. He maintains that the Division’s retroactive application of a new legal precedent</w:t>
      </w:r>
      <w:r w:rsidR="00446E1A">
        <w:rPr>
          <w:rFonts w:eastAsia="Cambria" w:cs="Arial"/>
          <w:sz w:val="20"/>
          <w:szCs w:val="20"/>
        </w:rPr>
        <w:t>—</w:t>
      </w:r>
      <w:r>
        <w:rPr>
          <w:rFonts w:eastAsia="Cambria" w:cs="Arial"/>
          <w:sz w:val="20"/>
          <w:szCs w:val="20"/>
        </w:rPr>
        <w:t>to subject the alleged victim to a process that w</w:t>
      </w:r>
      <w:r w:rsidR="00221293">
        <w:rPr>
          <w:rFonts w:eastAsia="Cambria" w:cs="Arial"/>
          <w:sz w:val="20"/>
          <w:szCs w:val="20"/>
        </w:rPr>
        <w:t>ould</w:t>
      </w:r>
      <w:r>
        <w:rPr>
          <w:rFonts w:eastAsia="Cambria" w:cs="Arial"/>
          <w:sz w:val="20"/>
          <w:szCs w:val="20"/>
        </w:rPr>
        <w:t xml:space="preserve"> be even more disadvantageous for him</w:t>
      </w:r>
      <w:r w:rsidR="00446E1A">
        <w:rPr>
          <w:rFonts w:eastAsia="Cambria" w:cs="Arial"/>
          <w:sz w:val="20"/>
          <w:szCs w:val="20"/>
        </w:rPr>
        <w:t>—</w:t>
      </w:r>
      <w:r>
        <w:rPr>
          <w:rFonts w:eastAsia="Cambria" w:cs="Arial"/>
          <w:sz w:val="20"/>
          <w:szCs w:val="20"/>
        </w:rPr>
        <w:t xml:space="preserve">contravenes Article 9 of the American Convention, and highlights that in its judgment C-792 of 2014, the Constitutional Court had established that all criminal convictions can be challenged and had urged Congress to fill the existing </w:t>
      </w:r>
      <w:r w:rsidR="007A23EE">
        <w:rPr>
          <w:rFonts w:eastAsia="Cambria" w:cs="Arial"/>
          <w:sz w:val="20"/>
          <w:szCs w:val="20"/>
        </w:rPr>
        <w:t xml:space="preserve">legal </w:t>
      </w:r>
      <w:r>
        <w:rPr>
          <w:rFonts w:eastAsia="Cambria" w:cs="Arial"/>
          <w:sz w:val="20"/>
          <w:szCs w:val="20"/>
        </w:rPr>
        <w:t xml:space="preserve">gaps on matters of </w:t>
      </w:r>
      <w:r w:rsidR="00946BC5">
        <w:rPr>
          <w:rFonts w:eastAsia="Cambria" w:cs="Arial"/>
          <w:sz w:val="20"/>
          <w:szCs w:val="20"/>
        </w:rPr>
        <w:t>doing so</w:t>
      </w:r>
      <w:r>
        <w:rPr>
          <w:rFonts w:eastAsia="Cambria" w:cs="Arial"/>
          <w:sz w:val="20"/>
          <w:szCs w:val="20"/>
        </w:rPr>
        <w:t xml:space="preserve">. The petitioner considers this to be a tacit recognition by the State </w:t>
      </w:r>
      <w:r w:rsidR="004E4A10">
        <w:rPr>
          <w:rFonts w:eastAsia="Cambria" w:cs="Arial"/>
          <w:sz w:val="20"/>
          <w:szCs w:val="20"/>
        </w:rPr>
        <w:t>of its failure</w:t>
      </w:r>
      <w:r>
        <w:rPr>
          <w:rFonts w:eastAsia="Cambria" w:cs="Arial"/>
          <w:sz w:val="20"/>
          <w:szCs w:val="20"/>
        </w:rPr>
        <w:t xml:space="preserve"> to </w:t>
      </w:r>
      <w:r w:rsidR="00D46687">
        <w:rPr>
          <w:rFonts w:eastAsia="Cambria" w:cs="Arial"/>
          <w:sz w:val="20"/>
          <w:szCs w:val="20"/>
        </w:rPr>
        <w:t>fulfill</w:t>
      </w:r>
      <w:r>
        <w:rPr>
          <w:rFonts w:eastAsia="Cambria" w:cs="Arial"/>
          <w:sz w:val="20"/>
          <w:szCs w:val="20"/>
        </w:rPr>
        <w:t xml:space="preserve"> its international obligations </w:t>
      </w:r>
      <w:r w:rsidR="00085D8A">
        <w:rPr>
          <w:rFonts w:eastAsia="Cambria" w:cs="Arial"/>
          <w:sz w:val="20"/>
          <w:szCs w:val="20"/>
        </w:rPr>
        <w:t>in this regard</w:t>
      </w:r>
      <w:r>
        <w:rPr>
          <w:rFonts w:eastAsia="Cambria" w:cs="Arial"/>
          <w:sz w:val="20"/>
          <w:szCs w:val="20"/>
        </w:rPr>
        <w:t xml:space="preserve">. </w:t>
      </w:r>
    </w:p>
    <w:p w:rsidR="00B00D92" w:rsidRPr="00472CD8" w:rsidRDefault="00B00D92" w:rsidP="00E32D21">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rPr>
      </w:pPr>
    </w:p>
    <w:p w:rsidR="00B00D92" w:rsidRPr="00472CD8" w:rsidRDefault="009F693E"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 xml:space="preserve">The petitioner also alleges that the alleged victim’s right to a competent tribunal was violated, as the Supreme Court did not have jurisdiction to prosecute him given that the crime he was accused of was a </w:t>
      </w:r>
      <w:r w:rsidR="00AD1136">
        <w:rPr>
          <w:rFonts w:eastAsia="Cambria" w:cs="Arial"/>
          <w:sz w:val="20"/>
          <w:szCs w:val="20"/>
        </w:rPr>
        <w:t>common crime</w:t>
      </w:r>
      <w:r>
        <w:rPr>
          <w:rFonts w:eastAsia="Cambria" w:cs="Arial"/>
          <w:sz w:val="20"/>
          <w:szCs w:val="20"/>
        </w:rPr>
        <w:t>, and because according to Article 235(4) of the Constitution, the Supreme Court’s authority to try governors required prior indictment by the Prosecutor General of the Nation, but the only accusation against the alleged victim had been made by Prosecutor's Office 29. He emphasizes that it was not until November 2011, after the alleged victim had already been convicted, that Article 235 of the Constitution was modified to extend, to the Deputy Prosecutor General of the Nation and to the local prosecutors, the authority to accuse privilege-enjoying individuals before the Supreme Court of Justice. He further a</w:t>
      </w:r>
      <w:r w:rsidR="00346856">
        <w:rPr>
          <w:rFonts w:eastAsia="Cambria" w:cs="Arial"/>
          <w:sz w:val="20"/>
          <w:szCs w:val="20"/>
        </w:rPr>
        <w:t>rgues</w:t>
      </w:r>
      <w:r>
        <w:rPr>
          <w:rFonts w:eastAsia="Cambria" w:cs="Arial"/>
          <w:sz w:val="20"/>
          <w:szCs w:val="20"/>
        </w:rPr>
        <w:t xml:space="preserve"> that </w:t>
      </w:r>
      <w:r w:rsidR="002F51B7">
        <w:rPr>
          <w:rFonts w:eastAsia="Cambria" w:cs="Arial"/>
          <w:sz w:val="20"/>
          <w:szCs w:val="20"/>
        </w:rPr>
        <w:t xml:space="preserve">the </w:t>
      </w:r>
      <w:r>
        <w:rPr>
          <w:rFonts w:eastAsia="Cambria" w:cs="Arial"/>
          <w:sz w:val="20"/>
          <w:szCs w:val="20"/>
        </w:rPr>
        <w:t xml:space="preserve">alleged victim’s right to a competent tribunal was violated during the investigation stage, given that the investigation was </w:t>
      </w:r>
      <w:r w:rsidR="00E15E66">
        <w:rPr>
          <w:rFonts w:eastAsia="Cambria" w:cs="Arial"/>
          <w:sz w:val="20"/>
          <w:szCs w:val="20"/>
        </w:rPr>
        <w:t>advanced</w:t>
      </w:r>
      <w:r>
        <w:rPr>
          <w:rFonts w:eastAsia="Cambria" w:cs="Arial"/>
          <w:sz w:val="20"/>
          <w:szCs w:val="20"/>
        </w:rPr>
        <w:t xml:space="preserve"> by Prosecutor's Office 29 when the competent tribunal was in fact the Pr</w:t>
      </w:r>
      <w:r w:rsidR="00AD1136">
        <w:rPr>
          <w:rFonts w:eastAsia="Cambria" w:cs="Arial"/>
          <w:sz w:val="20"/>
          <w:szCs w:val="20"/>
        </w:rPr>
        <w:t>osecutor General of the Nation, accepting the alleged victim’s</w:t>
      </w:r>
      <w:r>
        <w:rPr>
          <w:rFonts w:eastAsia="Cambria" w:cs="Arial"/>
          <w:sz w:val="20"/>
          <w:szCs w:val="20"/>
        </w:rPr>
        <w:t xml:space="preserve"> privilege</w:t>
      </w:r>
      <w:r w:rsidR="00E15E66">
        <w:rPr>
          <w:rFonts w:eastAsia="Cambria" w:cs="Arial"/>
          <w:sz w:val="20"/>
          <w:szCs w:val="20"/>
        </w:rPr>
        <w:t>d status</w:t>
      </w:r>
      <w:r>
        <w:rPr>
          <w:rFonts w:eastAsia="Cambria" w:cs="Arial"/>
          <w:sz w:val="20"/>
          <w:szCs w:val="20"/>
        </w:rPr>
        <w:t>. The petitioner adds that Prosecutor's Office 29 acted illegally as it did not have the authority to revoke the decision not to investigate handed down by the higher</w:t>
      </w:r>
      <w:r w:rsidR="00BF0834">
        <w:rPr>
          <w:rFonts w:eastAsia="Cambria" w:cs="Arial"/>
          <w:sz w:val="20"/>
          <w:szCs w:val="20"/>
        </w:rPr>
        <w:noBreakHyphen/>
      </w:r>
      <w:r>
        <w:rPr>
          <w:rFonts w:eastAsia="Cambria" w:cs="Arial"/>
          <w:sz w:val="20"/>
          <w:szCs w:val="20"/>
        </w:rPr>
        <w:t>level Prosecutor General of the Nation. He also argues that the alleged victim’s right to an impartial court was violated, because six of the Criminal Cassation Division judges had alread</w:t>
      </w:r>
      <w:r w:rsidR="00AD1136">
        <w:rPr>
          <w:rFonts w:eastAsia="Cambria" w:cs="Arial"/>
          <w:sz w:val="20"/>
          <w:szCs w:val="20"/>
        </w:rPr>
        <w:t>y</w:t>
      </w:r>
      <w:r>
        <w:rPr>
          <w:rFonts w:eastAsia="Cambria" w:cs="Arial"/>
          <w:sz w:val="20"/>
          <w:szCs w:val="20"/>
        </w:rPr>
        <w:t xml:space="preserve"> issued opinions against him when they sent </w:t>
      </w:r>
      <w:r w:rsidR="00560340">
        <w:rPr>
          <w:rFonts w:eastAsia="Cambria" w:cs="Arial"/>
          <w:sz w:val="20"/>
          <w:szCs w:val="20"/>
        </w:rPr>
        <w:t>document</w:t>
      </w:r>
      <w:r>
        <w:rPr>
          <w:rFonts w:eastAsia="Cambria" w:cs="Arial"/>
          <w:sz w:val="20"/>
          <w:szCs w:val="20"/>
        </w:rPr>
        <w:t>s to the Prosecutor General requesting that he be investigated.</w:t>
      </w:r>
      <w:r w:rsidR="00472CD8">
        <w:rPr>
          <w:rFonts w:eastAsia="Cambria" w:cs="Arial"/>
          <w:sz w:val="20"/>
          <w:szCs w:val="20"/>
        </w:rPr>
        <w:t xml:space="preserve"> </w:t>
      </w:r>
    </w:p>
    <w:p w:rsidR="00B00D92" w:rsidRPr="00472CD8" w:rsidRDefault="00B00D92" w:rsidP="00F5205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rPr>
      </w:pPr>
    </w:p>
    <w:p w:rsidR="00B00D92" w:rsidRPr="00472CD8" w:rsidRDefault="009F693E"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cs="Arial"/>
          <w:sz w:val="20"/>
          <w:szCs w:val="20"/>
        </w:rPr>
        <w:t xml:space="preserve">The petitioner considers the domestic remedies to have been exhausted with the Constitutional Court’s refusal to accept the follow-up request for review of the second-instance judgment that had confirmed the inadmissibility of the </w:t>
      </w:r>
      <w:r>
        <w:rPr>
          <w:rFonts w:eastAsia="Cambria" w:cs="Arial"/>
          <w:i/>
          <w:iCs/>
          <w:sz w:val="20"/>
          <w:szCs w:val="20"/>
        </w:rPr>
        <w:t>tutela</w:t>
      </w:r>
      <w:r>
        <w:rPr>
          <w:rFonts w:eastAsia="Cambria" w:cs="Arial"/>
          <w:sz w:val="20"/>
          <w:szCs w:val="20"/>
        </w:rPr>
        <w:t xml:space="preserve"> action brought by the alleged victim. He maintains that the remedy of a direct compensation claim </w:t>
      </w:r>
      <w:r w:rsidR="00FE6BE5">
        <w:rPr>
          <w:rFonts w:eastAsia="Cambria" w:cs="Arial"/>
          <w:sz w:val="20"/>
          <w:szCs w:val="20"/>
        </w:rPr>
        <w:t>against</w:t>
      </w:r>
      <w:r>
        <w:rPr>
          <w:rFonts w:eastAsia="Cambria" w:cs="Arial"/>
          <w:sz w:val="20"/>
          <w:szCs w:val="20"/>
        </w:rPr>
        <w:t xml:space="preserve"> the acts of a legislator was not one that needed to be exhausted before turning to the Inter-American system, because its only purpose is to provide financial compensation rather than to reestablish the violated rights. With regard to the violation of the alleged victim’s right to an impartial judge, the petitioner indicates that the Criminal Cassation Division justices were obliged to disqualify themselves </w:t>
      </w:r>
      <w:r w:rsidRPr="00FE6BE5">
        <w:rPr>
          <w:rFonts w:eastAsia="Cambria" w:cs="Arial"/>
          <w:i/>
          <w:iCs/>
          <w:sz w:val="20"/>
          <w:szCs w:val="20"/>
        </w:rPr>
        <w:t>sua sponte</w:t>
      </w:r>
      <w:r>
        <w:rPr>
          <w:rFonts w:eastAsia="Cambria" w:cs="Arial"/>
          <w:sz w:val="20"/>
          <w:szCs w:val="20"/>
        </w:rPr>
        <w:t xml:space="preserve">. He likewise indicates that this Division was obliged to nullify </w:t>
      </w:r>
      <w:r w:rsidRPr="00FE6BE5">
        <w:rPr>
          <w:rFonts w:eastAsia="Cambria" w:cs="Arial"/>
          <w:i/>
          <w:iCs/>
          <w:sz w:val="20"/>
          <w:szCs w:val="20"/>
        </w:rPr>
        <w:t>sua sponte</w:t>
      </w:r>
      <w:r>
        <w:rPr>
          <w:rFonts w:eastAsia="Cambria" w:cs="Arial"/>
          <w:sz w:val="20"/>
          <w:szCs w:val="20"/>
        </w:rPr>
        <w:t xml:space="preserve"> the actions of the prosecutor's office that did not have jurisdiction over the matter. </w:t>
      </w:r>
    </w:p>
    <w:p w:rsidR="00B00D92" w:rsidRPr="00472CD8" w:rsidRDefault="00B00D92" w:rsidP="00953EC2">
      <w:pPr>
        <w:pStyle w:val="ListParagraph"/>
        <w:pBdr>
          <w:top w:val="none" w:sz="0" w:space="0" w:color="auto"/>
          <w:left w:val="none" w:sz="0" w:space="0" w:color="auto"/>
          <w:bottom w:val="none" w:sz="0" w:space="0" w:color="auto"/>
          <w:right w:val="none" w:sz="0" w:space="0" w:color="auto"/>
          <w:bar w:val="none" w:sz="0" w:color="auto"/>
        </w:pBdr>
        <w:rPr>
          <w:rFonts w:cs="Arial"/>
          <w:sz w:val="20"/>
          <w:szCs w:val="20"/>
        </w:rPr>
      </w:pPr>
    </w:p>
    <w:p w:rsidR="00B00D92" w:rsidRPr="00472CD8" w:rsidRDefault="009F693E"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sz w:val="20"/>
          <w:szCs w:val="20"/>
        </w:rPr>
        <w:t>The State, in turn, requests that the petition be denied based on Article 47 of the American Convention because the acts set forth therein do not amount to human rights violations.</w:t>
      </w:r>
      <w:r w:rsidR="00472CD8">
        <w:rPr>
          <w:rFonts w:eastAsia="Cambria"/>
          <w:sz w:val="20"/>
          <w:szCs w:val="20"/>
        </w:rPr>
        <w:t xml:space="preserve"> </w:t>
      </w:r>
      <w:r>
        <w:rPr>
          <w:rFonts w:eastAsia="Cambria"/>
          <w:sz w:val="20"/>
          <w:szCs w:val="20"/>
        </w:rPr>
        <w:t>It considers that the petitioner wrongly intends to use the Commission as a fourth-instance court for the review of domestic decisions handed down by competent courts that provided due grounds for their decisions.</w:t>
      </w:r>
      <w:r w:rsidR="00472CD8">
        <w:rPr>
          <w:rFonts w:eastAsia="Cambria"/>
          <w:sz w:val="20"/>
          <w:szCs w:val="20"/>
        </w:rPr>
        <w:t xml:space="preserve"> </w:t>
      </w:r>
    </w:p>
    <w:p w:rsidR="00B00D92" w:rsidRPr="00472CD8" w:rsidRDefault="00B00D92" w:rsidP="00244416">
      <w:pPr>
        <w:pStyle w:val="ListParagraph"/>
        <w:pBdr>
          <w:top w:val="none" w:sz="0" w:space="0" w:color="auto"/>
          <w:left w:val="none" w:sz="0" w:space="0" w:color="auto"/>
          <w:bottom w:val="none" w:sz="0" w:space="0" w:color="auto"/>
          <w:right w:val="none" w:sz="0" w:space="0" w:color="auto"/>
          <w:bar w:val="none" w:sz="0" w:color="auto"/>
        </w:pBdr>
        <w:rPr>
          <w:sz w:val="20"/>
          <w:szCs w:val="20"/>
        </w:rPr>
      </w:pPr>
    </w:p>
    <w:p w:rsidR="00B00D92" w:rsidRPr="00472CD8" w:rsidRDefault="009F693E" w:rsidP="0024441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sz w:val="20"/>
          <w:szCs w:val="20"/>
        </w:rPr>
        <w:t xml:space="preserve">The State notes that </w:t>
      </w:r>
      <w:r w:rsidR="00384414">
        <w:rPr>
          <w:rFonts w:eastAsia="Cambria"/>
          <w:sz w:val="20"/>
          <w:szCs w:val="20"/>
        </w:rPr>
        <w:t>for</w:t>
      </w:r>
      <w:r>
        <w:rPr>
          <w:rFonts w:eastAsia="Cambria"/>
          <w:sz w:val="20"/>
          <w:szCs w:val="20"/>
        </w:rPr>
        <w:t xml:space="preserve"> special criminal proceedings for privilege-enjoying officials held </w:t>
      </w:r>
      <w:r w:rsidR="00384414">
        <w:rPr>
          <w:rFonts w:eastAsia="Cambria"/>
          <w:sz w:val="20"/>
          <w:szCs w:val="20"/>
        </w:rPr>
        <w:t>in</w:t>
      </w:r>
      <w:r>
        <w:rPr>
          <w:rFonts w:eastAsia="Cambria"/>
          <w:sz w:val="20"/>
          <w:szCs w:val="20"/>
        </w:rPr>
        <w:t xml:space="preserve"> the </w:t>
      </w:r>
      <w:r w:rsidR="00384414">
        <w:rPr>
          <w:rFonts w:eastAsia="Cambria"/>
          <w:sz w:val="20"/>
          <w:szCs w:val="20"/>
        </w:rPr>
        <w:t>jurisdiction’s final</w:t>
      </w:r>
      <w:r>
        <w:rPr>
          <w:rFonts w:eastAsia="Cambria"/>
          <w:sz w:val="20"/>
          <w:szCs w:val="20"/>
        </w:rPr>
        <w:t xml:space="preserve"> courts, </w:t>
      </w:r>
      <w:r w:rsidR="00384414">
        <w:rPr>
          <w:rFonts w:eastAsia="Cambria"/>
          <w:sz w:val="20"/>
          <w:szCs w:val="20"/>
        </w:rPr>
        <w:t xml:space="preserve">the convicted party’s right to </w:t>
      </w:r>
      <w:r w:rsidR="002E3431">
        <w:rPr>
          <w:rFonts w:eastAsia="Cambria"/>
          <w:sz w:val="20"/>
          <w:szCs w:val="20"/>
        </w:rPr>
        <w:t>challenge</w:t>
      </w:r>
      <w:r>
        <w:rPr>
          <w:rFonts w:eastAsia="Cambria"/>
          <w:sz w:val="20"/>
          <w:szCs w:val="20"/>
        </w:rPr>
        <w:t xml:space="preserve"> the decision is honored </w:t>
      </w:r>
      <w:r w:rsidR="00384414">
        <w:rPr>
          <w:rFonts w:eastAsia="Cambria"/>
          <w:sz w:val="20"/>
          <w:szCs w:val="20"/>
        </w:rPr>
        <w:t>through</w:t>
      </w:r>
      <w:r>
        <w:rPr>
          <w:rFonts w:eastAsia="Cambria"/>
          <w:sz w:val="20"/>
          <w:szCs w:val="20"/>
        </w:rPr>
        <w:t xml:space="preserve"> the establishment of a judicial remedy </w:t>
      </w:r>
      <w:r w:rsidR="00384414">
        <w:rPr>
          <w:rFonts w:eastAsia="Cambria"/>
          <w:sz w:val="20"/>
          <w:szCs w:val="20"/>
        </w:rPr>
        <w:t>that</w:t>
      </w:r>
      <w:r>
        <w:rPr>
          <w:rFonts w:eastAsia="Cambria"/>
          <w:sz w:val="20"/>
          <w:szCs w:val="20"/>
        </w:rPr>
        <w:t xml:space="preserve"> </w:t>
      </w:r>
      <w:r w:rsidR="00384414">
        <w:rPr>
          <w:rFonts w:eastAsia="Cambria"/>
          <w:sz w:val="20"/>
          <w:szCs w:val="20"/>
        </w:rPr>
        <w:t>ensures the convicted party’s rights are protected but does not</w:t>
      </w:r>
      <w:r>
        <w:rPr>
          <w:rFonts w:eastAsia="Cambria"/>
          <w:sz w:val="20"/>
          <w:szCs w:val="20"/>
        </w:rPr>
        <w:t xml:space="preserve"> strictly </w:t>
      </w:r>
      <w:r w:rsidR="00384414">
        <w:rPr>
          <w:rFonts w:eastAsia="Cambria"/>
          <w:sz w:val="20"/>
          <w:szCs w:val="20"/>
        </w:rPr>
        <w:lastRenderedPageBreak/>
        <w:t xml:space="preserve">require </w:t>
      </w:r>
      <w:r>
        <w:rPr>
          <w:rFonts w:eastAsia="Cambria"/>
          <w:sz w:val="20"/>
          <w:szCs w:val="20"/>
        </w:rPr>
        <w:t xml:space="preserve">that the </w:t>
      </w:r>
      <w:r w:rsidR="002E3431">
        <w:rPr>
          <w:rFonts w:eastAsia="Cambria"/>
          <w:sz w:val="20"/>
          <w:szCs w:val="20"/>
        </w:rPr>
        <w:t>challenge</w:t>
      </w:r>
      <w:r>
        <w:rPr>
          <w:rFonts w:eastAsia="Cambria"/>
          <w:sz w:val="20"/>
          <w:szCs w:val="20"/>
        </w:rPr>
        <w:t xml:space="preserve"> be heard and decided on by a higher court.</w:t>
      </w:r>
      <w:r w:rsidR="00472CD8">
        <w:rPr>
          <w:rFonts w:eastAsia="Cambria"/>
          <w:sz w:val="20"/>
          <w:szCs w:val="20"/>
        </w:rPr>
        <w:t xml:space="preserve"> </w:t>
      </w:r>
      <w:r>
        <w:rPr>
          <w:rFonts w:eastAsia="Cambria"/>
          <w:sz w:val="20"/>
          <w:szCs w:val="20"/>
        </w:rPr>
        <w:t xml:space="preserve">The State </w:t>
      </w:r>
      <w:r w:rsidR="002E3431">
        <w:rPr>
          <w:rFonts w:eastAsia="Cambria"/>
          <w:sz w:val="20"/>
          <w:szCs w:val="20"/>
        </w:rPr>
        <w:t xml:space="preserve">further </w:t>
      </w:r>
      <w:r>
        <w:rPr>
          <w:rFonts w:eastAsia="Cambria"/>
          <w:sz w:val="20"/>
          <w:szCs w:val="20"/>
        </w:rPr>
        <w:t xml:space="preserve">maintains that the principle of the right of appeal is not absolute and that it can be subject to restrictions that are evaluated to ensure their reasonability and proportionality. It affirms that </w:t>
      </w:r>
      <w:r w:rsidR="002E3431">
        <w:rPr>
          <w:rFonts w:eastAsia="Cambria"/>
          <w:sz w:val="20"/>
          <w:szCs w:val="20"/>
        </w:rPr>
        <w:t>a party’s</w:t>
      </w:r>
      <w:r>
        <w:rPr>
          <w:rFonts w:eastAsia="Cambria"/>
          <w:sz w:val="20"/>
          <w:szCs w:val="20"/>
        </w:rPr>
        <w:t xml:space="preserve"> right to challenge a decision can be satisfied not only through an appeal, but also through other mechanisms like the </w:t>
      </w:r>
      <w:r>
        <w:rPr>
          <w:rFonts w:eastAsia="Cambria"/>
          <w:i/>
          <w:iCs/>
          <w:sz w:val="20"/>
          <w:szCs w:val="20"/>
        </w:rPr>
        <w:t xml:space="preserve">tutela </w:t>
      </w:r>
      <w:r>
        <w:rPr>
          <w:rFonts w:eastAsia="Cambria"/>
          <w:sz w:val="20"/>
          <w:szCs w:val="20"/>
        </w:rPr>
        <w:t>action against court orders or an action for review, which are suitable, effective procedural channels</w:t>
      </w:r>
      <w:r w:rsidR="002E3431">
        <w:rPr>
          <w:rFonts w:eastAsia="Cambria"/>
          <w:sz w:val="20"/>
          <w:szCs w:val="20"/>
        </w:rPr>
        <w:t xml:space="preserve"> to that end</w:t>
      </w:r>
      <w:r>
        <w:rPr>
          <w:rFonts w:eastAsia="Cambria"/>
          <w:sz w:val="20"/>
          <w:szCs w:val="20"/>
        </w:rPr>
        <w:t xml:space="preserve">. It highlights that domestic case law has recognized the </w:t>
      </w:r>
      <w:r>
        <w:rPr>
          <w:rFonts w:eastAsia="Cambria"/>
          <w:i/>
          <w:iCs/>
          <w:sz w:val="20"/>
          <w:szCs w:val="20"/>
        </w:rPr>
        <w:t xml:space="preserve">tutela </w:t>
      </w:r>
      <w:r>
        <w:rPr>
          <w:rFonts w:eastAsia="Cambria"/>
          <w:sz w:val="20"/>
          <w:szCs w:val="20"/>
        </w:rPr>
        <w:t xml:space="preserve">action as valid against convictions handed down in single-instance cases, whenever there appear to have been flaws committed therein. It also affirms that according to domestic constitutional case law, the prosecution of high-level State dignitaries in single-instance proceedings does not entail a violation of due process; and that such individuals have access to other means of judicial defense to challenge decisions contrary to their interests. The State also underscores that the alleged victim did file a </w:t>
      </w:r>
      <w:r>
        <w:rPr>
          <w:rFonts w:eastAsia="Cambria"/>
          <w:i/>
          <w:iCs/>
          <w:sz w:val="20"/>
          <w:szCs w:val="20"/>
        </w:rPr>
        <w:t xml:space="preserve">tutela </w:t>
      </w:r>
      <w:r>
        <w:rPr>
          <w:rFonts w:eastAsia="Cambria"/>
          <w:sz w:val="20"/>
          <w:szCs w:val="20"/>
        </w:rPr>
        <w:t>action against the Supreme Court of Justice and as a result the competent judges clarified the grounds for their claims.</w:t>
      </w:r>
      <w:r w:rsidR="00472CD8">
        <w:rPr>
          <w:rFonts w:eastAsia="Cambria"/>
          <w:sz w:val="20"/>
          <w:szCs w:val="20"/>
        </w:rPr>
        <w:t xml:space="preserve"> </w:t>
      </w:r>
      <w:r>
        <w:rPr>
          <w:rFonts w:eastAsia="Cambria"/>
          <w:sz w:val="20"/>
          <w:szCs w:val="20"/>
        </w:rPr>
        <w:t xml:space="preserve">Regarding the statement that Constitutional Court judgment C-792 implies a tacit recognition of the State’s responsibility, it holds that this is merely the petitioner’s interpretation, as the implementation of a legal reform does not definitively imply that </w:t>
      </w:r>
      <w:r w:rsidR="00AD1136">
        <w:rPr>
          <w:rFonts w:eastAsia="Cambria"/>
          <w:sz w:val="20"/>
          <w:szCs w:val="20"/>
        </w:rPr>
        <w:t>the approach previously applied</w:t>
      </w:r>
      <w:r>
        <w:rPr>
          <w:rFonts w:eastAsia="Cambria"/>
          <w:sz w:val="20"/>
          <w:szCs w:val="20"/>
        </w:rPr>
        <w:t xml:space="preserve"> violated international human rights law. It further indicates that in any case, such allegations pertain to the merits of the issue and therefore should not be analyzed in the admissibility stage.</w:t>
      </w:r>
    </w:p>
    <w:p w:rsidR="00B00D92" w:rsidRPr="00472CD8" w:rsidRDefault="00B00D92" w:rsidP="00C31C00">
      <w:pPr>
        <w:pStyle w:val="Default"/>
        <w:ind w:left="720"/>
        <w:jc w:val="both"/>
        <w:rPr>
          <w:rFonts w:ascii="Cambria" w:hAnsi="Cambria" w:cs="Arial"/>
          <w:sz w:val="20"/>
          <w:szCs w:val="20"/>
          <w:lang w:eastAsia="es-ES"/>
        </w:rPr>
      </w:pPr>
    </w:p>
    <w:p w:rsidR="00B00D92" w:rsidRPr="00472CD8" w:rsidRDefault="009F693E" w:rsidP="009D6391">
      <w:pPr>
        <w:pStyle w:val="Default"/>
        <w:numPr>
          <w:ilvl w:val="0"/>
          <w:numId w:val="55"/>
        </w:numPr>
        <w:jc w:val="both"/>
        <w:rPr>
          <w:rFonts w:ascii="Cambria" w:hAnsi="Cambria" w:cs="Arial"/>
          <w:sz w:val="20"/>
          <w:szCs w:val="20"/>
          <w:lang w:eastAsia="es-ES"/>
        </w:rPr>
      </w:pPr>
      <w:r>
        <w:rPr>
          <w:rFonts w:ascii="Cambria" w:eastAsia="Cambria" w:hAnsi="Cambria"/>
          <w:sz w:val="20"/>
          <w:szCs w:val="20"/>
        </w:rPr>
        <w:t>The State also alleges that the legitimate change of a legal precedent and its application to an ongoing process does not constitute a violation of the principles of legality or nonretroactivity, given that the courts do not produce criminal law. Therefore, if a court reinterprets a regulation developed in a prior case, the accused must accept it, as the new intepretation is not intended to be a retroactive punishment or intensification</w:t>
      </w:r>
      <w:r w:rsidR="005333E9">
        <w:rPr>
          <w:rFonts w:ascii="Cambria" w:eastAsia="Cambria" w:hAnsi="Cambria"/>
          <w:sz w:val="20"/>
          <w:szCs w:val="20"/>
        </w:rPr>
        <w:t xml:space="preserve"> of previous measures</w:t>
      </w:r>
      <w:r>
        <w:rPr>
          <w:rFonts w:ascii="Cambria" w:eastAsia="Cambria" w:hAnsi="Cambria"/>
          <w:sz w:val="20"/>
          <w:szCs w:val="20"/>
        </w:rPr>
        <w:t xml:space="preserve">, but rather the manifestation of the will of the law, which had always existed but had not been correctly intepreted until then. </w:t>
      </w:r>
      <w:r w:rsidR="00CA1475">
        <w:rPr>
          <w:rFonts w:ascii="Cambria" w:eastAsia="Cambria" w:hAnsi="Cambria"/>
          <w:sz w:val="20"/>
          <w:szCs w:val="20"/>
        </w:rPr>
        <w:t>The State</w:t>
      </w:r>
      <w:r>
        <w:rPr>
          <w:rFonts w:ascii="Cambria" w:eastAsia="Cambria" w:hAnsi="Cambria"/>
          <w:sz w:val="20"/>
          <w:szCs w:val="20"/>
        </w:rPr>
        <w:t xml:space="preserve"> also notes that the domestic system allows the highest-instance courts of the different jurisdictions</w:t>
      </w:r>
      <w:r w:rsidR="005333E9">
        <w:rPr>
          <w:rFonts w:ascii="Cambria" w:eastAsia="Cambria" w:hAnsi="Cambria"/>
          <w:sz w:val="20"/>
          <w:szCs w:val="20"/>
        </w:rPr>
        <w:t>—</w:t>
      </w:r>
      <w:r>
        <w:rPr>
          <w:rFonts w:ascii="Cambria" w:eastAsia="Cambria" w:hAnsi="Cambria"/>
          <w:sz w:val="20"/>
          <w:szCs w:val="20"/>
        </w:rPr>
        <w:t>such as the Criminal Cassation Division</w:t>
      </w:r>
      <w:r w:rsidR="005333E9">
        <w:rPr>
          <w:rFonts w:ascii="Cambria" w:eastAsia="Cambria" w:hAnsi="Cambria"/>
          <w:sz w:val="20"/>
          <w:szCs w:val="20"/>
        </w:rPr>
        <w:t>—</w:t>
      </w:r>
      <w:r>
        <w:rPr>
          <w:rFonts w:ascii="Cambria" w:eastAsia="Cambria" w:hAnsi="Cambria"/>
          <w:sz w:val="20"/>
          <w:szCs w:val="20"/>
        </w:rPr>
        <w:t xml:space="preserve">to vary their jurisprudential criteria as long as they provide due grounds for their decisions. The State emphasizes that the Criminal Cassation Division broadly explained the reasons why it had to change its </w:t>
      </w:r>
      <w:r w:rsidR="00CA1475">
        <w:rPr>
          <w:rFonts w:ascii="Cambria" w:eastAsia="Cambria" w:hAnsi="Cambria"/>
          <w:sz w:val="20"/>
          <w:szCs w:val="20"/>
        </w:rPr>
        <w:t>precedent</w:t>
      </w:r>
      <w:r>
        <w:rPr>
          <w:rFonts w:ascii="Cambria" w:eastAsia="Cambria" w:hAnsi="Cambria"/>
          <w:sz w:val="20"/>
          <w:szCs w:val="20"/>
        </w:rPr>
        <w:t xml:space="preserve">; and that it justified the failure to nullify the proceedings held by the </w:t>
      </w:r>
      <w:r w:rsidR="00AD1136">
        <w:rPr>
          <w:rFonts w:ascii="Cambria" w:eastAsia="Cambria" w:hAnsi="Cambria"/>
          <w:sz w:val="20"/>
          <w:szCs w:val="20"/>
        </w:rPr>
        <w:t>prosecutors</w:t>
      </w:r>
      <w:r>
        <w:rPr>
          <w:rFonts w:ascii="Cambria" w:eastAsia="Cambria" w:hAnsi="Cambria"/>
          <w:sz w:val="20"/>
          <w:szCs w:val="20"/>
        </w:rPr>
        <w:t xml:space="preserve"> and the judges in the ordinary justice system </w:t>
      </w:r>
      <w:r w:rsidR="00776543">
        <w:rPr>
          <w:rFonts w:ascii="Cambria" w:eastAsia="Cambria" w:hAnsi="Cambria"/>
          <w:sz w:val="20"/>
          <w:szCs w:val="20"/>
        </w:rPr>
        <w:t>“</w:t>
      </w:r>
      <w:r>
        <w:rPr>
          <w:rFonts w:ascii="Cambria" w:eastAsia="Cambria" w:hAnsi="Cambria"/>
          <w:sz w:val="20"/>
          <w:szCs w:val="20"/>
        </w:rPr>
        <w:t xml:space="preserve">as they were all </w:t>
      </w:r>
      <w:r w:rsidR="00776543">
        <w:rPr>
          <w:rFonts w:ascii="Cambria" w:eastAsia="Cambria" w:hAnsi="Cambria"/>
          <w:sz w:val="20"/>
          <w:szCs w:val="20"/>
        </w:rPr>
        <w:t>conducted</w:t>
      </w:r>
      <w:r>
        <w:rPr>
          <w:rFonts w:ascii="Cambria" w:eastAsia="Cambria" w:hAnsi="Cambria"/>
          <w:sz w:val="20"/>
          <w:szCs w:val="20"/>
        </w:rPr>
        <w:t xml:space="preserve"> </w:t>
      </w:r>
      <w:r w:rsidR="00AD1136">
        <w:rPr>
          <w:rFonts w:ascii="Cambria" w:eastAsia="Cambria" w:hAnsi="Cambria"/>
          <w:sz w:val="20"/>
          <w:szCs w:val="20"/>
        </w:rPr>
        <w:t xml:space="preserve">in exercise of a jurisdiction that at that time been granted to them by the court”. </w:t>
      </w:r>
      <w:r>
        <w:rPr>
          <w:rFonts w:ascii="Cambria" w:eastAsia="Cambria" w:hAnsi="Cambria"/>
          <w:sz w:val="20"/>
          <w:szCs w:val="20"/>
        </w:rPr>
        <w:t xml:space="preserve">The State maintains that these hearings can be presumed legal as they were held with full respect for due process and </w:t>
      </w:r>
      <w:r w:rsidR="000F7AF4">
        <w:rPr>
          <w:rFonts w:ascii="Cambria" w:eastAsia="Cambria" w:hAnsi="Cambria"/>
          <w:sz w:val="20"/>
          <w:szCs w:val="20"/>
        </w:rPr>
        <w:t>the rules of jurisdiction then applicable</w:t>
      </w:r>
      <w:r>
        <w:rPr>
          <w:rFonts w:ascii="Cambria" w:eastAsia="Cambria" w:hAnsi="Cambria"/>
          <w:sz w:val="20"/>
          <w:szCs w:val="20"/>
        </w:rPr>
        <w:t>, which allowed the Supreme Court to proceed with the process</w:t>
      </w:r>
      <w:r w:rsidR="000F7AF4">
        <w:rPr>
          <w:rFonts w:ascii="Cambria" w:eastAsia="Cambria" w:hAnsi="Cambria"/>
          <w:sz w:val="20"/>
          <w:szCs w:val="20"/>
        </w:rPr>
        <w:t xml:space="preserve"> at the procedural stage it had already reached</w:t>
      </w:r>
      <w:r>
        <w:rPr>
          <w:rFonts w:ascii="Cambria" w:eastAsia="Cambria" w:hAnsi="Cambria"/>
          <w:sz w:val="20"/>
          <w:szCs w:val="20"/>
        </w:rPr>
        <w:t xml:space="preserve"> </w:t>
      </w:r>
      <w:r w:rsidR="000F7AF4">
        <w:rPr>
          <w:rFonts w:ascii="Cambria" w:eastAsia="Cambria" w:hAnsi="Cambria"/>
          <w:sz w:val="20"/>
          <w:szCs w:val="20"/>
        </w:rPr>
        <w:t>once</w:t>
      </w:r>
      <w:r>
        <w:rPr>
          <w:rFonts w:ascii="Cambria" w:eastAsia="Cambria" w:hAnsi="Cambria"/>
          <w:sz w:val="20"/>
          <w:szCs w:val="20"/>
        </w:rPr>
        <w:t xml:space="preserve"> it resumed jurisdiction over the case due to the legitimate change in precedent.</w:t>
      </w:r>
    </w:p>
    <w:p w:rsidR="00B00D92" w:rsidRPr="00472CD8" w:rsidRDefault="009F693E" w:rsidP="000912F0">
      <w:pPr>
        <w:pStyle w:val="Default"/>
        <w:ind w:left="720"/>
        <w:jc w:val="both"/>
        <w:rPr>
          <w:rFonts w:ascii="Cambria" w:hAnsi="Cambria" w:cs="Arial"/>
          <w:sz w:val="20"/>
          <w:szCs w:val="20"/>
          <w:lang w:eastAsia="es-ES"/>
        </w:rPr>
      </w:pPr>
      <w:r w:rsidRPr="00472CD8">
        <w:rPr>
          <w:rFonts w:ascii="Cambria" w:hAnsi="Cambria"/>
          <w:sz w:val="20"/>
          <w:szCs w:val="20"/>
        </w:rPr>
        <w:t xml:space="preserve"> </w:t>
      </w:r>
    </w:p>
    <w:p w:rsidR="00B00D92" w:rsidRPr="00472CD8" w:rsidRDefault="009F693E" w:rsidP="00BD5999">
      <w:pPr>
        <w:pStyle w:val="Default"/>
        <w:numPr>
          <w:ilvl w:val="0"/>
          <w:numId w:val="55"/>
        </w:numPr>
        <w:jc w:val="both"/>
        <w:rPr>
          <w:rFonts w:ascii="Cambria" w:hAnsi="Cambria" w:cs="Arial"/>
          <w:sz w:val="20"/>
          <w:szCs w:val="20"/>
        </w:rPr>
      </w:pPr>
      <w:r>
        <w:rPr>
          <w:rFonts w:ascii="Cambria" w:eastAsia="Cambria" w:hAnsi="Cambria" w:cs="Arial"/>
          <w:sz w:val="20"/>
          <w:szCs w:val="20"/>
          <w:lang w:eastAsia="es-ES"/>
        </w:rPr>
        <w:t xml:space="preserve">The State adds that the petition should be declared inadmissible with regard to the alleged victims’ claims for </w:t>
      </w:r>
      <w:r w:rsidR="008F46D3">
        <w:rPr>
          <w:rFonts w:ascii="Cambria" w:eastAsia="Cambria" w:hAnsi="Cambria" w:cs="Arial"/>
          <w:sz w:val="20"/>
          <w:szCs w:val="20"/>
          <w:lang w:eastAsia="es-ES"/>
        </w:rPr>
        <w:t>reparation,</w:t>
      </w:r>
      <w:r w:rsidR="00472CD8">
        <w:rPr>
          <w:rFonts w:ascii="Cambria" w:eastAsia="Cambria" w:hAnsi="Cambria" w:cs="Arial"/>
          <w:sz w:val="20"/>
          <w:szCs w:val="20"/>
          <w:lang w:eastAsia="es-ES"/>
        </w:rPr>
        <w:t xml:space="preserve"> </w:t>
      </w:r>
      <w:r>
        <w:rPr>
          <w:rFonts w:ascii="Cambria" w:eastAsia="Cambria" w:hAnsi="Cambria" w:cs="Arial"/>
          <w:sz w:val="20"/>
          <w:szCs w:val="20"/>
          <w:lang w:eastAsia="es-ES"/>
        </w:rPr>
        <w:t>because he did not exhaust the remedy of a direct compensation claim against the act of a legislator, which would have been the appropriate, effective domestic remedy for the supposed alleged violations with regard to the regulatory establishment of a single-instance process for individuals with constitutional privilege. The State considers this remedy to have been appropriate because</w:t>
      </w:r>
      <w:r w:rsidR="008F46D3">
        <w:rPr>
          <w:rFonts w:ascii="Cambria" w:eastAsia="Cambria" w:hAnsi="Cambria" w:cs="Arial"/>
          <w:sz w:val="20"/>
          <w:szCs w:val="20"/>
          <w:lang w:eastAsia="es-ES"/>
        </w:rPr>
        <w:t>—</w:t>
      </w:r>
      <w:r>
        <w:rPr>
          <w:rFonts w:ascii="Cambria" w:eastAsia="Cambria" w:hAnsi="Cambria" w:cs="Arial"/>
          <w:sz w:val="20"/>
          <w:szCs w:val="20"/>
          <w:lang w:eastAsia="es-ES"/>
        </w:rPr>
        <w:t>as set forth by the petitioner</w:t>
      </w:r>
      <w:r w:rsidR="008F46D3">
        <w:rPr>
          <w:rFonts w:ascii="Cambria" w:eastAsia="Cambria" w:hAnsi="Cambria" w:cs="Arial"/>
          <w:sz w:val="20"/>
          <w:szCs w:val="20"/>
          <w:lang w:eastAsia="es-ES"/>
        </w:rPr>
        <w:t>—</w:t>
      </w:r>
      <w:r>
        <w:rPr>
          <w:rFonts w:ascii="Cambria" w:eastAsia="Cambria" w:hAnsi="Cambria" w:cs="Arial"/>
          <w:sz w:val="20"/>
          <w:szCs w:val="20"/>
          <w:lang w:eastAsia="es-ES"/>
        </w:rPr>
        <w:t xml:space="preserve">the alleged damages requested </w:t>
      </w:r>
      <w:r w:rsidR="008F46D3">
        <w:rPr>
          <w:rFonts w:ascii="Cambria" w:eastAsia="Cambria" w:hAnsi="Cambria" w:cs="Arial"/>
          <w:sz w:val="20"/>
          <w:szCs w:val="20"/>
          <w:lang w:eastAsia="es-ES"/>
        </w:rPr>
        <w:t>resulted</w:t>
      </w:r>
      <w:r>
        <w:rPr>
          <w:rFonts w:ascii="Cambria" w:eastAsia="Cambria" w:hAnsi="Cambria" w:cs="Arial"/>
          <w:sz w:val="20"/>
          <w:szCs w:val="20"/>
          <w:lang w:eastAsia="es-ES"/>
        </w:rPr>
        <w:t xml:space="preserve"> from an error in the exercise of a legislative duty; and because</w:t>
      </w:r>
      <w:r>
        <w:rPr>
          <w:rFonts w:ascii="Cambria" w:eastAsia="Cambria" w:hAnsi="Cambria"/>
          <w:sz w:val="20"/>
          <w:szCs w:val="20"/>
          <w:lang w:eastAsia="es-ES"/>
        </w:rPr>
        <w:t xml:space="preserve"> a regulation does not have to</w:t>
      </w:r>
      <w:r w:rsidR="000F7AF4">
        <w:rPr>
          <w:rFonts w:ascii="Cambria" w:eastAsia="Cambria" w:hAnsi="Cambria"/>
          <w:sz w:val="20"/>
          <w:szCs w:val="20"/>
          <w:lang w:eastAsia="es-ES"/>
        </w:rPr>
        <w:t xml:space="preserve"> have</w:t>
      </w:r>
      <w:r>
        <w:rPr>
          <w:rFonts w:ascii="Cambria" w:eastAsia="Cambria" w:hAnsi="Cambria"/>
          <w:sz w:val="20"/>
          <w:szCs w:val="20"/>
          <w:lang w:eastAsia="es-ES"/>
        </w:rPr>
        <w:t xml:space="preserve"> be</w:t>
      </w:r>
      <w:r w:rsidR="000F7AF4">
        <w:rPr>
          <w:rFonts w:ascii="Cambria" w:eastAsia="Cambria" w:hAnsi="Cambria"/>
          <w:sz w:val="20"/>
          <w:szCs w:val="20"/>
          <w:lang w:eastAsia="es-ES"/>
        </w:rPr>
        <w:t>en</w:t>
      </w:r>
      <w:r>
        <w:rPr>
          <w:rFonts w:ascii="Cambria" w:eastAsia="Cambria" w:hAnsi="Cambria"/>
          <w:sz w:val="20"/>
          <w:szCs w:val="20"/>
          <w:lang w:eastAsia="es-ES"/>
        </w:rPr>
        <w:t xml:space="preserve"> declared unconstitutional for a party to seek compensation for damages </w:t>
      </w:r>
      <w:r w:rsidR="00CA1475">
        <w:rPr>
          <w:rFonts w:ascii="Cambria" w:eastAsia="Cambria" w:hAnsi="Cambria"/>
          <w:sz w:val="20"/>
          <w:szCs w:val="20"/>
          <w:lang w:eastAsia="es-ES"/>
        </w:rPr>
        <w:t>it has caused</w:t>
      </w:r>
      <w:r>
        <w:rPr>
          <w:rFonts w:ascii="Cambria" w:eastAsia="Cambria" w:hAnsi="Cambria"/>
          <w:sz w:val="20"/>
          <w:szCs w:val="20"/>
          <w:lang w:eastAsia="es-ES"/>
        </w:rPr>
        <w:t xml:space="preserve">. The State also underscores that this remedy allows for ordering comprehensive reparation for the affected person through the adoption of satisfaction and rehabilitation measures and guarantees of nonrecurrence. It further indicates that the alleged victim did not file a motion for recusal, a mechanism that was applicable </w:t>
      </w:r>
      <w:r w:rsidR="000F7AF4">
        <w:rPr>
          <w:rFonts w:ascii="Cambria" w:eastAsia="Cambria" w:hAnsi="Cambria"/>
          <w:sz w:val="20"/>
          <w:szCs w:val="20"/>
          <w:lang w:eastAsia="es-ES"/>
        </w:rPr>
        <w:t>if he thought</w:t>
      </w:r>
      <w:r>
        <w:rPr>
          <w:rFonts w:ascii="Cambria" w:eastAsia="Cambria" w:hAnsi="Cambria"/>
          <w:sz w:val="20"/>
          <w:szCs w:val="20"/>
          <w:lang w:eastAsia="es-ES"/>
        </w:rPr>
        <w:t xml:space="preserve"> that the prior decisions made by the Supreme Court justices provided sufficient grounds to disqualify them from hearing the case.</w:t>
      </w:r>
    </w:p>
    <w:p w:rsidR="00B00D92" w:rsidRPr="00472CD8" w:rsidRDefault="00B00D92" w:rsidP="006F19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16"/>
          <w:szCs w:val="16"/>
          <w:lang w:eastAsia="es-ES"/>
        </w:rPr>
      </w:pPr>
    </w:p>
    <w:p w:rsidR="00B00D92" w:rsidRPr="00472CD8" w:rsidRDefault="009F693E" w:rsidP="00F358E9">
      <w:pPr>
        <w:pBdr>
          <w:top w:val="none" w:sz="0" w:space="0" w:color="auto"/>
          <w:left w:val="none" w:sz="0" w:space="0" w:color="auto"/>
          <w:bottom w:val="none" w:sz="0" w:space="0" w:color="auto"/>
          <w:right w:val="none" w:sz="0" w:space="0" w:color="auto"/>
          <w:bar w:val="none" w:sz="0" w:color="auto"/>
        </w:pBdr>
        <w:suppressAutoHyphens/>
        <w:spacing w:after="240"/>
        <w:ind w:left="1418" w:hanging="709"/>
        <w:jc w:val="both"/>
        <w:rPr>
          <w:rFonts w:ascii="Cambria" w:hAnsi="Cambria"/>
          <w:sz w:val="20"/>
          <w:szCs w:val="20"/>
        </w:rPr>
      </w:pPr>
      <w:r>
        <w:rPr>
          <w:rFonts w:ascii="Cambria" w:eastAsia="Cambria" w:hAnsi="Cambria" w:cs="Cambria"/>
          <w:b/>
          <w:bCs/>
          <w:color w:val="000000"/>
          <w:sz w:val="20"/>
          <w:szCs w:val="20"/>
          <w:u w:color="000000"/>
          <w:lang w:eastAsia="es-ES"/>
        </w:rPr>
        <w:t>VI.</w:t>
      </w:r>
      <w:r>
        <w:rPr>
          <w:rFonts w:ascii="Cambria" w:eastAsia="Cambria" w:hAnsi="Cambria" w:cs="Cambria"/>
          <w:b/>
          <w:bCs/>
          <w:color w:val="000000"/>
          <w:sz w:val="20"/>
          <w:szCs w:val="20"/>
          <w:u w:color="000000"/>
          <w:lang w:eastAsia="es-ES"/>
        </w:rPr>
        <w:tab/>
      </w:r>
      <w:r>
        <w:rPr>
          <w:rFonts w:ascii="Cambria" w:eastAsia="Cambria" w:hAnsi="Cambria"/>
          <w:b/>
          <w:bCs/>
          <w:sz w:val="20"/>
          <w:szCs w:val="20"/>
          <w:u w:color="000000"/>
          <w:lang w:eastAsia="es-ES"/>
        </w:rPr>
        <w:t>ANALYSIS OF EXHAUSTION OF DOMESTIC REMEDIES AND TIMELINESS OF THE PETITION</w:t>
      </w:r>
    </w:p>
    <w:p w:rsidR="00B00D92" w:rsidRPr="00472CD8" w:rsidRDefault="009F693E" w:rsidP="008A47D5">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rPr>
      </w:pPr>
      <w:r>
        <w:rPr>
          <w:rFonts w:eastAsia="Cambria"/>
          <w:sz w:val="20"/>
          <w:szCs w:val="20"/>
        </w:rPr>
        <w:t xml:space="preserve">The petitioner indicates that the domestic remedies were exhausted with the Constitutional Court decision </w:t>
      </w:r>
      <w:r>
        <w:rPr>
          <w:rFonts w:eastAsia="Cambria" w:cs="Arial"/>
          <w:sz w:val="20"/>
          <w:szCs w:val="20"/>
        </w:rPr>
        <w:t xml:space="preserve">of which the alleged victim’s representative was notified on September 24, 2010, and that the direct compensation claim was not a suitable remedy that the alleged victim </w:t>
      </w:r>
      <w:r w:rsidR="00F85911">
        <w:rPr>
          <w:rFonts w:eastAsia="Cambria" w:cs="Arial"/>
          <w:sz w:val="20"/>
          <w:szCs w:val="20"/>
        </w:rPr>
        <w:t>needed</w:t>
      </w:r>
      <w:r>
        <w:rPr>
          <w:rFonts w:eastAsia="Cambria" w:cs="Arial"/>
          <w:sz w:val="20"/>
          <w:szCs w:val="20"/>
        </w:rPr>
        <w:t xml:space="preserve"> to have exhausted before turning to the Inter-American system.</w:t>
      </w:r>
      <w:r w:rsidR="00472CD8">
        <w:rPr>
          <w:rFonts w:eastAsia="Cambria" w:cs="Arial"/>
          <w:sz w:val="20"/>
          <w:szCs w:val="20"/>
        </w:rPr>
        <w:t xml:space="preserve"> </w:t>
      </w:r>
      <w:r>
        <w:rPr>
          <w:rFonts w:eastAsia="Cambria" w:cs="Arial"/>
          <w:sz w:val="20"/>
          <w:szCs w:val="20"/>
        </w:rPr>
        <w:t xml:space="preserve">The petitioner also notes that the State has indicated that the domestic remedies were not exhausted with respect to the claim for damages because the alleged victim did not file </w:t>
      </w:r>
      <w:r>
        <w:rPr>
          <w:rFonts w:eastAsia="Cambria" w:cs="Arial"/>
          <w:sz w:val="20"/>
          <w:szCs w:val="20"/>
        </w:rPr>
        <w:lastRenderedPageBreak/>
        <w:t>either a direct compensation claim or the applicable motions for recusal against the Criminal Cassation Division judges who, in his judgment, were not impartial.</w:t>
      </w:r>
      <w:r>
        <w:rPr>
          <w:rFonts w:eastAsia="Cambria"/>
          <w:sz w:val="20"/>
          <w:szCs w:val="20"/>
        </w:rPr>
        <w:t xml:space="preserve"> </w:t>
      </w:r>
    </w:p>
    <w:p w:rsidR="00B00D92" w:rsidRPr="00472CD8" w:rsidRDefault="00B00D92" w:rsidP="008A47D5">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rPr>
      </w:pPr>
    </w:p>
    <w:p w:rsidR="00B00D92" w:rsidRPr="00472CD8" w:rsidRDefault="000051A3" w:rsidP="00F512A9">
      <w:pPr>
        <w:pStyle w:val="Default"/>
        <w:numPr>
          <w:ilvl w:val="0"/>
          <w:numId w:val="55"/>
        </w:numPr>
        <w:jc w:val="both"/>
        <w:rPr>
          <w:rFonts w:ascii="Cambria" w:hAnsi="Cambria"/>
          <w:b/>
          <w:color w:val="4F81BD"/>
          <w:sz w:val="20"/>
          <w:szCs w:val="20"/>
        </w:rPr>
      </w:pPr>
      <w:r>
        <w:rPr>
          <w:rFonts w:ascii="Cambria" w:eastAsia="Cambria" w:hAnsi="Cambria" w:cs="Calibri"/>
          <w:sz w:val="20"/>
          <w:szCs w:val="20"/>
        </w:rPr>
        <w:t>In view of</w:t>
      </w:r>
      <w:r w:rsidR="009F693E">
        <w:rPr>
          <w:rFonts w:ascii="Cambria" w:eastAsia="Cambria" w:hAnsi="Cambria" w:cs="Calibri"/>
          <w:sz w:val="20"/>
          <w:szCs w:val="20"/>
        </w:rPr>
        <w:t xml:space="preserve"> the </w:t>
      </w:r>
      <w:r>
        <w:rPr>
          <w:rFonts w:ascii="Cambria" w:eastAsia="Cambria" w:hAnsi="Cambria" w:cs="Calibri"/>
          <w:sz w:val="20"/>
          <w:szCs w:val="20"/>
        </w:rPr>
        <w:t xml:space="preserve">parties’ </w:t>
      </w:r>
      <w:r w:rsidR="009F693E">
        <w:rPr>
          <w:rFonts w:ascii="Cambria" w:eastAsia="Cambria" w:hAnsi="Cambria" w:cs="Calibri"/>
          <w:sz w:val="20"/>
          <w:szCs w:val="20"/>
        </w:rPr>
        <w:t xml:space="preserve">allegations, the Commission reiterates that whenever a State alleges that the petitioners have failed to exhaust the domestic remedies, </w:t>
      </w:r>
      <w:r w:rsidR="00B60C59">
        <w:rPr>
          <w:rFonts w:ascii="Cambria" w:eastAsia="Cambria" w:hAnsi="Cambria" w:cs="Calibri"/>
          <w:sz w:val="20"/>
          <w:szCs w:val="20"/>
        </w:rPr>
        <w:t>the State itself</w:t>
      </w:r>
      <w:r w:rsidR="009F693E">
        <w:rPr>
          <w:rFonts w:ascii="Cambria" w:eastAsia="Cambria" w:hAnsi="Cambria" w:cs="Calibri"/>
          <w:sz w:val="20"/>
          <w:szCs w:val="20"/>
        </w:rPr>
        <w:t xml:space="preserve"> also has the burden of identifying which domestic remedies should have been exhausted and demonstrating that they were appropriate for redressing the alleged violation</w:t>
      </w:r>
      <w:r w:rsidR="00B60C59">
        <w:rPr>
          <w:rFonts w:ascii="Cambria" w:eastAsia="Cambria" w:hAnsi="Cambria" w:cs="Calibri"/>
          <w:sz w:val="20"/>
          <w:szCs w:val="20"/>
        </w:rPr>
        <w:t>—</w:t>
      </w:r>
      <w:r w:rsidR="009F693E">
        <w:rPr>
          <w:rFonts w:ascii="Cambria" w:eastAsia="Cambria" w:hAnsi="Cambria" w:cs="Calibri"/>
          <w:sz w:val="20"/>
          <w:szCs w:val="20"/>
        </w:rPr>
        <w:t>in other words, that the function of those remedies within the national legal system is suitable for protecting the legal right that was infringed.</w:t>
      </w:r>
      <w:r w:rsidR="009F693E">
        <w:rPr>
          <w:rStyle w:val="FootnoteReference"/>
          <w:rFonts w:ascii="Cambria" w:hAnsi="Cambria" w:cs="Calibri"/>
          <w:sz w:val="20"/>
          <w:szCs w:val="20"/>
        </w:rPr>
        <w:footnoteReference w:id="5"/>
      </w:r>
      <w:r w:rsidR="009F693E">
        <w:rPr>
          <w:rFonts w:ascii="Cambria" w:eastAsia="Cambria" w:hAnsi="Cambria" w:cs="Calibri"/>
          <w:sz w:val="20"/>
          <w:szCs w:val="20"/>
        </w:rPr>
        <w:t xml:space="preserve"> The Commission likewise reiterates that in order to determine the appropriate procedural means within the Commission’s internal laws, it is necessary to first determine the purpose of the petition submitted for </w:t>
      </w:r>
      <w:r w:rsidR="000248D9">
        <w:rPr>
          <w:rFonts w:ascii="Cambria" w:eastAsia="Cambria" w:hAnsi="Cambria" w:cs="Calibri"/>
          <w:sz w:val="20"/>
          <w:szCs w:val="20"/>
        </w:rPr>
        <w:t>its review</w:t>
      </w:r>
      <w:r w:rsidR="009F693E">
        <w:rPr>
          <w:rFonts w:ascii="Cambria" w:eastAsia="Cambria" w:hAnsi="Cambria" w:cs="Calibri"/>
          <w:sz w:val="20"/>
          <w:szCs w:val="20"/>
        </w:rPr>
        <w:t>.</w:t>
      </w:r>
      <w:r w:rsidR="009F693E">
        <w:rPr>
          <w:rStyle w:val="FootnoteReference"/>
          <w:rFonts w:ascii="Cambria" w:hAnsi="Cambria" w:cs="Calibri"/>
          <w:sz w:val="20"/>
          <w:szCs w:val="20"/>
        </w:rPr>
        <w:footnoteReference w:id="6"/>
      </w:r>
    </w:p>
    <w:p w:rsidR="00B00D92" w:rsidRPr="00472CD8" w:rsidRDefault="00B00D92" w:rsidP="00FA19E1">
      <w:pPr>
        <w:pStyle w:val="ListParagraph"/>
        <w:pBdr>
          <w:top w:val="none" w:sz="0" w:space="0" w:color="auto"/>
          <w:left w:val="none" w:sz="0" w:space="0" w:color="auto"/>
          <w:bottom w:val="none" w:sz="0" w:space="0" w:color="auto"/>
          <w:right w:val="none" w:sz="0" w:space="0" w:color="auto"/>
          <w:bar w:val="none" w:sz="0" w:color="auto"/>
        </w:pBdr>
        <w:rPr>
          <w:b/>
          <w:color w:val="4F81BD"/>
          <w:sz w:val="20"/>
          <w:szCs w:val="20"/>
        </w:rPr>
      </w:pPr>
    </w:p>
    <w:p w:rsidR="00B00D92" w:rsidRPr="00472CD8" w:rsidRDefault="009F693E" w:rsidP="00F512A9">
      <w:pPr>
        <w:pStyle w:val="Default"/>
        <w:numPr>
          <w:ilvl w:val="0"/>
          <w:numId w:val="55"/>
        </w:numPr>
        <w:jc w:val="both"/>
        <w:rPr>
          <w:rFonts w:ascii="Cambria" w:hAnsi="Cambria"/>
          <w:b/>
          <w:color w:val="4F81BD"/>
          <w:sz w:val="20"/>
          <w:szCs w:val="20"/>
        </w:rPr>
      </w:pPr>
      <w:r>
        <w:rPr>
          <w:rFonts w:ascii="Cambria" w:eastAsia="Cambria" w:hAnsi="Cambria" w:cs="Arial"/>
          <w:sz w:val="20"/>
          <w:szCs w:val="20"/>
        </w:rPr>
        <w:t xml:space="preserve">The Commission considers that the </w:t>
      </w:r>
      <w:r>
        <w:rPr>
          <w:rFonts w:ascii="Cambria" w:eastAsia="Cambria" w:hAnsi="Cambria" w:cs="Arial"/>
          <w:i/>
          <w:iCs/>
          <w:sz w:val="20"/>
          <w:szCs w:val="20"/>
        </w:rPr>
        <w:t xml:space="preserve">tutela </w:t>
      </w:r>
      <w:r>
        <w:rPr>
          <w:rFonts w:ascii="Cambria" w:eastAsia="Cambria" w:hAnsi="Cambria" w:cs="Arial"/>
          <w:sz w:val="20"/>
          <w:szCs w:val="20"/>
        </w:rPr>
        <w:t>action was</w:t>
      </w:r>
      <w:r w:rsidR="000F7AF4">
        <w:rPr>
          <w:rFonts w:ascii="Cambria" w:eastAsia="Cambria" w:hAnsi="Cambria" w:cs="Arial"/>
          <w:sz w:val="20"/>
          <w:szCs w:val="20"/>
        </w:rPr>
        <w:t xml:space="preserve"> an</w:t>
      </w:r>
      <w:r>
        <w:rPr>
          <w:rFonts w:ascii="Cambria" w:eastAsia="Cambria" w:hAnsi="Cambria" w:cs="Arial"/>
          <w:sz w:val="20"/>
          <w:szCs w:val="20"/>
        </w:rPr>
        <w:t xml:space="preserve"> appropriate vehicle </w:t>
      </w:r>
      <w:r w:rsidR="003F2969">
        <w:rPr>
          <w:rFonts w:ascii="Cambria" w:eastAsia="Cambria" w:hAnsi="Cambria" w:cs="Arial"/>
          <w:sz w:val="20"/>
          <w:szCs w:val="20"/>
        </w:rPr>
        <w:t xml:space="preserve">for </w:t>
      </w:r>
      <w:r w:rsidR="00212B95">
        <w:rPr>
          <w:rFonts w:ascii="Cambria" w:eastAsia="Cambria" w:hAnsi="Cambria" w:cs="Arial"/>
          <w:sz w:val="20"/>
          <w:szCs w:val="20"/>
        </w:rPr>
        <w:t>examining, in the domestic system</w:t>
      </w:r>
      <w:r w:rsidR="007F3672">
        <w:rPr>
          <w:rFonts w:ascii="Cambria" w:eastAsia="Cambria" w:hAnsi="Cambria" w:cs="Arial"/>
          <w:sz w:val="20"/>
          <w:szCs w:val="20"/>
        </w:rPr>
        <w:t>,</w:t>
      </w:r>
      <w:r>
        <w:rPr>
          <w:rFonts w:ascii="Cambria" w:eastAsia="Cambria" w:hAnsi="Cambria" w:cs="Arial"/>
          <w:sz w:val="20"/>
          <w:szCs w:val="20"/>
        </w:rPr>
        <w:t xml:space="preserve"> the petitioning party’s claims regarding the human rights violations </w:t>
      </w:r>
      <w:r w:rsidR="007F3672">
        <w:rPr>
          <w:rFonts w:ascii="Cambria" w:eastAsia="Cambria" w:hAnsi="Cambria" w:cs="Arial"/>
          <w:sz w:val="20"/>
          <w:szCs w:val="20"/>
        </w:rPr>
        <w:t xml:space="preserve">that allegedly occurred </w:t>
      </w:r>
      <w:r>
        <w:rPr>
          <w:rFonts w:ascii="Cambria" w:eastAsia="Cambria" w:hAnsi="Cambria" w:cs="Arial"/>
          <w:sz w:val="20"/>
          <w:szCs w:val="20"/>
        </w:rPr>
        <w:t>in the context of the criminal lawsuit brought against the alleged victim.</w:t>
      </w:r>
      <w:r w:rsidR="00472CD8">
        <w:rPr>
          <w:rFonts w:ascii="Cambria" w:eastAsia="Cambria" w:hAnsi="Cambria" w:cs="Arial"/>
          <w:sz w:val="20"/>
          <w:szCs w:val="20"/>
        </w:rPr>
        <w:t xml:space="preserve"> </w:t>
      </w:r>
      <w:r>
        <w:rPr>
          <w:rFonts w:ascii="Cambria" w:eastAsia="Cambria" w:hAnsi="Cambria" w:cs="Arial"/>
          <w:sz w:val="20"/>
          <w:szCs w:val="20"/>
        </w:rPr>
        <w:t>The State has indicated its reasons for considering that a claim for direct compensation for the acts of a legislator would have been the appropriate remedy for the petitioner to present his grievances within the domestic system; in turn, the petitioner has alleged that such a claim was not a suitable remedy as it is geared towards obtaining monetary compensation and not towards reestablishing the right that was violated. The Commission observes that the alleged victim’s primary aim was to have the criminal conviction against him revoked</w:t>
      </w:r>
      <w:r w:rsidR="00212B95">
        <w:rPr>
          <w:rFonts w:ascii="Cambria" w:eastAsia="Cambria" w:hAnsi="Cambria" w:cs="Arial"/>
          <w:sz w:val="20"/>
          <w:szCs w:val="20"/>
        </w:rPr>
        <w:t>, and that h</w:t>
      </w:r>
      <w:r>
        <w:rPr>
          <w:rFonts w:ascii="Cambria" w:eastAsia="Cambria" w:hAnsi="Cambria" w:cs="Arial"/>
          <w:sz w:val="20"/>
          <w:szCs w:val="20"/>
        </w:rPr>
        <w:t xml:space="preserve">e could not have achieved this through a direct compensation claim. Therefore, the Commission considers that the direct compensation claim was not a suitable remedy that the alleged victim </w:t>
      </w:r>
      <w:r w:rsidR="00212B95">
        <w:rPr>
          <w:rFonts w:ascii="Cambria" w:eastAsia="Cambria" w:hAnsi="Cambria" w:cs="Arial"/>
          <w:sz w:val="20"/>
          <w:szCs w:val="20"/>
        </w:rPr>
        <w:t>needed</w:t>
      </w:r>
      <w:r>
        <w:rPr>
          <w:rFonts w:ascii="Cambria" w:eastAsia="Cambria" w:hAnsi="Cambria" w:cs="Arial"/>
          <w:sz w:val="20"/>
          <w:szCs w:val="20"/>
        </w:rPr>
        <w:t xml:space="preserve"> to exhaust in order for the petition submitted to be admissible. According to the State, the failure to exhaust this remedy would make the petition partially inadmissible with regard to claims for reparations. However, the Commission considers that in cases of human rights violations that have not been recognized by the State and that have lingering effects, claims for reparations are ancillary to and indivisible from the pri</w:t>
      </w:r>
      <w:r w:rsidR="00B86039">
        <w:rPr>
          <w:rFonts w:ascii="Cambria" w:eastAsia="Cambria" w:hAnsi="Cambria" w:cs="Arial"/>
          <w:sz w:val="20"/>
          <w:szCs w:val="20"/>
        </w:rPr>
        <w:t xml:space="preserve">mary </w:t>
      </w:r>
      <w:r w:rsidR="00646CE9">
        <w:rPr>
          <w:rFonts w:ascii="Cambria" w:eastAsia="Cambria" w:hAnsi="Cambria" w:cs="Arial"/>
          <w:sz w:val="20"/>
          <w:szCs w:val="20"/>
        </w:rPr>
        <w:t>purpose</w:t>
      </w:r>
      <w:r>
        <w:rPr>
          <w:rFonts w:ascii="Cambria" w:eastAsia="Cambria" w:hAnsi="Cambria" w:cs="Arial"/>
          <w:sz w:val="20"/>
          <w:szCs w:val="20"/>
        </w:rPr>
        <w:t xml:space="preserve"> of the petition, and that it is the remedies associated with the pri</w:t>
      </w:r>
      <w:r w:rsidR="00B86039">
        <w:rPr>
          <w:rFonts w:ascii="Cambria" w:eastAsia="Cambria" w:hAnsi="Cambria" w:cs="Arial"/>
          <w:sz w:val="20"/>
          <w:szCs w:val="20"/>
        </w:rPr>
        <w:t xml:space="preserve">mary </w:t>
      </w:r>
      <w:r w:rsidR="00646CE9">
        <w:rPr>
          <w:rFonts w:ascii="Cambria" w:eastAsia="Cambria" w:hAnsi="Cambria" w:cs="Arial"/>
          <w:sz w:val="20"/>
          <w:szCs w:val="20"/>
        </w:rPr>
        <w:t>purpose</w:t>
      </w:r>
      <w:r>
        <w:rPr>
          <w:rFonts w:ascii="Cambria" w:eastAsia="Cambria" w:hAnsi="Cambria" w:cs="Arial"/>
          <w:sz w:val="20"/>
          <w:szCs w:val="20"/>
        </w:rPr>
        <w:t xml:space="preserve"> that must be exhausted in order for the petition to be admissible.</w:t>
      </w:r>
    </w:p>
    <w:p w:rsidR="00B00D92" w:rsidRPr="00472CD8" w:rsidRDefault="00B00D92" w:rsidP="00954A95">
      <w:pPr>
        <w:pStyle w:val="Default"/>
        <w:ind w:left="720"/>
        <w:jc w:val="both"/>
        <w:rPr>
          <w:rFonts w:ascii="Cambria" w:hAnsi="Cambria"/>
          <w:b/>
          <w:color w:val="4F81BD"/>
          <w:sz w:val="20"/>
          <w:szCs w:val="20"/>
        </w:rPr>
      </w:pPr>
    </w:p>
    <w:p w:rsidR="00B00D92" w:rsidRPr="00472CD8" w:rsidRDefault="009F693E" w:rsidP="00F512A9">
      <w:pPr>
        <w:pStyle w:val="Default"/>
        <w:numPr>
          <w:ilvl w:val="0"/>
          <w:numId w:val="55"/>
        </w:numPr>
        <w:jc w:val="both"/>
        <w:rPr>
          <w:rFonts w:ascii="Cambria" w:hAnsi="Cambria"/>
          <w:b/>
          <w:color w:val="4F81BD"/>
          <w:sz w:val="20"/>
          <w:szCs w:val="20"/>
        </w:rPr>
      </w:pPr>
      <w:r>
        <w:rPr>
          <w:rFonts w:ascii="Cambria" w:eastAsia="Cambria" w:hAnsi="Cambria"/>
          <w:color w:val="auto"/>
          <w:sz w:val="20"/>
          <w:szCs w:val="20"/>
        </w:rPr>
        <w:t>Regarding the failure to bring a motion for recusal against the Criminal Cassation Division judges</w:t>
      </w:r>
      <w:r w:rsidR="00D05BEC">
        <w:rPr>
          <w:rFonts w:ascii="Cambria" w:eastAsia="Cambria" w:hAnsi="Cambria"/>
          <w:color w:val="auto"/>
          <w:sz w:val="20"/>
          <w:szCs w:val="20"/>
        </w:rPr>
        <w:t xml:space="preserve"> that in his view had</w:t>
      </w:r>
      <w:r>
        <w:rPr>
          <w:rFonts w:ascii="Cambria" w:eastAsia="Cambria" w:hAnsi="Cambria"/>
          <w:color w:val="auto"/>
          <w:sz w:val="20"/>
          <w:szCs w:val="20"/>
        </w:rPr>
        <w:t xml:space="preserve"> already issued a judgment against him, the Commission deems that such a motion could have been, </w:t>
      </w:r>
      <w:r>
        <w:rPr>
          <w:rFonts w:ascii="Cambria" w:eastAsia="Cambria" w:hAnsi="Cambria"/>
          <w:i/>
          <w:iCs/>
          <w:color w:val="auto"/>
          <w:sz w:val="20"/>
          <w:szCs w:val="20"/>
        </w:rPr>
        <w:t>prima facie</w:t>
      </w:r>
      <w:r>
        <w:rPr>
          <w:rFonts w:ascii="Cambria" w:eastAsia="Cambria" w:hAnsi="Cambria"/>
          <w:color w:val="auto"/>
          <w:sz w:val="20"/>
          <w:szCs w:val="20"/>
        </w:rPr>
        <w:t>, a suitable remedy for the aforementioned offense.</w:t>
      </w:r>
      <w:r w:rsidR="00472CD8">
        <w:rPr>
          <w:rFonts w:ascii="Cambria" w:eastAsia="Cambria" w:hAnsi="Cambria"/>
          <w:color w:val="auto"/>
          <w:sz w:val="20"/>
          <w:szCs w:val="20"/>
        </w:rPr>
        <w:t xml:space="preserve"> </w:t>
      </w:r>
      <w:r>
        <w:rPr>
          <w:rFonts w:ascii="Cambria" w:eastAsia="Cambria" w:hAnsi="Cambria"/>
          <w:color w:val="auto"/>
          <w:sz w:val="20"/>
          <w:szCs w:val="20"/>
        </w:rPr>
        <w:t xml:space="preserve">The petitioner has not submitted any information that would indicate that the alleged victim did not have access to this remedy or that he would have been prevented from exercising it; neither does the case record show this. </w:t>
      </w:r>
    </w:p>
    <w:p w:rsidR="00B00D92" w:rsidRPr="00472CD8" w:rsidRDefault="00B00D92" w:rsidP="00954A95">
      <w:pPr>
        <w:pStyle w:val="ListParagraph"/>
        <w:pBdr>
          <w:top w:val="none" w:sz="0" w:space="0" w:color="auto"/>
          <w:left w:val="none" w:sz="0" w:space="0" w:color="auto"/>
          <w:bottom w:val="none" w:sz="0" w:space="0" w:color="auto"/>
          <w:right w:val="none" w:sz="0" w:space="0" w:color="auto"/>
          <w:bar w:val="none" w:sz="0" w:color="auto"/>
        </w:pBdr>
        <w:rPr>
          <w:b/>
          <w:color w:val="4F81BD"/>
          <w:sz w:val="20"/>
          <w:szCs w:val="20"/>
        </w:rPr>
      </w:pPr>
    </w:p>
    <w:p w:rsidR="00B00D92" w:rsidRPr="00472CD8" w:rsidRDefault="009F693E" w:rsidP="00F512A9">
      <w:pPr>
        <w:pStyle w:val="Default"/>
        <w:numPr>
          <w:ilvl w:val="0"/>
          <w:numId w:val="55"/>
        </w:numPr>
        <w:jc w:val="both"/>
        <w:rPr>
          <w:rFonts w:ascii="Cambria" w:hAnsi="Cambria"/>
          <w:b/>
          <w:color w:val="4F81BD"/>
          <w:sz w:val="20"/>
          <w:szCs w:val="20"/>
        </w:rPr>
      </w:pPr>
      <w:r>
        <w:rPr>
          <w:rFonts w:ascii="Cambria" w:eastAsia="Cambria" w:hAnsi="Cambria"/>
          <w:color w:val="auto"/>
          <w:sz w:val="20"/>
          <w:szCs w:val="20"/>
        </w:rPr>
        <w:t xml:space="preserve">Accordingly, the Commission considers that the domestic remedies with respect to this petition were exhausted with the Constitutional Court’s refusal to accept the follow-up request for review of the second-instance judgment that had confirmed the disallowal of the </w:t>
      </w:r>
      <w:r>
        <w:rPr>
          <w:rFonts w:ascii="Cambria" w:eastAsia="Cambria" w:hAnsi="Cambria"/>
          <w:i/>
          <w:iCs/>
          <w:color w:val="auto"/>
          <w:sz w:val="20"/>
          <w:szCs w:val="20"/>
        </w:rPr>
        <w:t>tutela</w:t>
      </w:r>
      <w:r>
        <w:rPr>
          <w:rFonts w:ascii="Cambria" w:eastAsia="Cambria" w:hAnsi="Cambria"/>
          <w:color w:val="auto"/>
          <w:sz w:val="20"/>
          <w:szCs w:val="20"/>
        </w:rPr>
        <w:t xml:space="preserve"> action brought by the alleged victim. Since this decision was reported on </w:t>
      </w:r>
      <w:r>
        <w:rPr>
          <w:rFonts w:ascii="Cambria" w:eastAsia="Cambria" w:hAnsi="Cambria" w:cs="Arial"/>
          <w:sz w:val="20"/>
          <w:szCs w:val="20"/>
        </w:rPr>
        <w:t>September 24, 2010</w:t>
      </w:r>
      <w:r w:rsidR="00DF7F52">
        <w:rPr>
          <w:rFonts w:ascii="Cambria" w:eastAsia="Cambria" w:hAnsi="Cambria" w:cs="Arial"/>
          <w:sz w:val="20"/>
          <w:szCs w:val="20"/>
        </w:rPr>
        <w:t>,</w:t>
      </w:r>
      <w:r>
        <w:rPr>
          <w:rFonts w:ascii="Cambria" w:eastAsia="Cambria" w:hAnsi="Cambria" w:cs="Arial"/>
          <w:sz w:val="20"/>
          <w:szCs w:val="20"/>
        </w:rPr>
        <w:t xml:space="preserve"> and the petition was submitted on February 14, 2011, the Commission concludes that the petition does comply with the requirements of Article</w:t>
      </w:r>
      <w:r w:rsidR="00C02A29">
        <w:rPr>
          <w:rFonts w:ascii="Cambria" w:eastAsia="Cambria" w:hAnsi="Cambria" w:cs="Arial"/>
          <w:sz w:val="20"/>
          <w:szCs w:val="20"/>
        </w:rPr>
        <w:t> </w:t>
      </w:r>
      <w:r>
        <w:rPr>
          <w:rFonts w:ascii="Cambria" w:eastAsia="Cambria" w:hAnsi="Cambria" w:cs="Arial"/>
          <w:sz w:val="20"/>
          <w:szCs w:val="20"/>
        </w:rPr>
        <w:t>46.1(a) and (b) of the American Convention, except with regard to the arguments that the Criminal Cassation Division judges lacked impartiality as they had allegedly already issued a judgment against the alleged victim.</w:t>
      </w:r>
    </w:p>
    <w:p w:rsidR="00B00D92" w:rsidRPr="00472CD8" w:rsidRDefault="00B00D92" w:rsidP="00954A95">
      <w:pPr>
        <w:pStyle w:val="Default"/>
        <w:jc w:val="both"/>
        <w:rPr>
          <w:rFonts w:ascii="Cambria" w:hAnsi="Cambria"/>
          <w:b/>
          <w:color w:val="4F81BD"/>
          <w:sz w:val="20"/>
          <w:szCs w:val="20"/>
        </w:rPr>
      </w:pPr>
    </w:p>
    <w:p w:rsidR="00B00D92" w:rsidRDefault="009F693E" w:rsidP="00F01D9C">
      <w:pPr>
        <w:pStyle w:val="Default"/>
        <w:ind w:left="720"/>
        <w:rPr>
          <w:rFonts w:ascii="Cambria" w:hAnsi="Cambria"/>
          <w:b/>
          <w:bCs/>
          <w:sz w:val="20"/>
          <w:szCs w:val="20"/>
          <w:lang w:val="es-UY"/>
        </w:rPr>
      </w:pPr>
      <w:r>
        <w:rPr>
          <w:rFonts w:ascii="Cambria" w:eastAsia="Cambria" w:hAnsi="Cambria"/>
          <w:b/>
          <w:bCs/>
          <w:sz w:val="20"/>
          <w:szCs w:val="20"/>
        </w:rPr>
        <w:t>VII.</w:t>
      </w:r>
      <w:r>
        <w:rPr>
          <w:rFonts w:ascii="Cambria" w:eastAsia="Cambria" w:hAnsi="Cambria"/>
          <w:b/>
          <w:bCs/>
          <w:sz w:val="20"/>
          <w:szCs w:val="20"/>
        </w:rPr>
        <w:tab/>
        <w:t>ANALYSIS OF COLORABLE CLAIMS</w:t>
      </w:r>
    </w:p>
    <w:p w:rsidR="00B00D92" w:rsidRPr="00F85F69" w:rsidRDefault="00B00D92" w:rsidP="00F85F69">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B00D92" w:rsidRPr="00472CD8" w:rsidRDefault="009F693E" w:rsidP="00C23A3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rPr>
      </w:pPr>
      <w:r>
        <w:rPr>
          <w:rFonts w:eastAsia="Cambria"/>
          <w:color w:val="auto"/>
          <w:sz w:val="20"/>
          <w:szCs w:val="20"/>
        </w:rPr>
        <w:t xml:space="preserve">The Commission observes that the petition includes allegations to the effect that the Supreme Court unlawfully used a change of precedent to retake jurisdiction over a process that it had previously sent to the ordinary justice system, and to take jurisdiction away from the court that had heard all stages up to the parties’ presentation of their closing arguments; that the right to a competent tribunal was violated as the Supreme Court tried the alleged victim without the Prosecutor General of the Nation having </w:t>
      </w:r>
      <w:r w:rsidR="00DE2653">
        <w:rPr>
          <w:rFonts w:eastAsia="Cambria"/>
          <w:color w:val="auto"/>
          <w:sz w:val="20"/>
          <w:szCs w:val="20"/>
        </w:rPr>
        <w:t>formally accused him</w:t>
      </w:r>
      <w:r>
        <w:rPr>
          <w:rFonts w:eastAsia="Cambria"/>
          <w:color w:val="auto"/>
          <w:sz w:val="20"/>
          <w:szCs w:val="20"/>
        </w:rPr>
        <w:t xml:space="preserve">, </w:t>
      </w:r>
      <w:r w:rsidR="007A49D1">
        <w:rPr>
          <w:rFonts w:eastAsia="Cambria"/>
          <w:color w:val="auto"/>
          <w:sz w:val="20"/>
          <w:szCs w:val="20"/>
        </w:rPr>
        <w:t>although</w:t>
      </w:r>
      <w:r>
        <w:rPr>
          <w:rFonts w:eastAsia="Cambria"/>
          <w:color w:val="auto"/>
          <w:sz w:val="20"/>
          <w:szCs w:val="20"/>
        </w:rPr>
        <w:t xml:space="preserve"> the Constitution </w:t>
      </w:r>
      <w:r w:rsidR="007A49D1">
        <w:rPr>
          <w:rFonts w:eastAsia="Cambria"/>
          <w:color w:val="auto"/>
          <w:sz w:val="20"/>
          <w:szCs w:val="20"/>
        </w:rPr>
        <w:t xml:space="preserve">requires such an accusation </w:t>
      </w:r>
      <w:r>
        <w:rPr>
          <w:rFonts w:eastAsia="Cambria"/>
          <w:color w:val="auto"/>
          <w:sz w:val="20"/>
          <w:szCs w:val="20"/>
        </w:rPr>
        <w:t>in order for the Supreme Court to have jurisdiction</w:t>
      </w:r>
      <w:r w:rsidR="00DE2653">
        <w:rPr>
          <w:rFonts w:eastAsia="Cambria"/>
          <w:color w:val="auto"/>
          <w:sz w:val="20"/>
          <w:szCs w:val="20"/>
        </w:rPr>
        <w:t xml:space="preserve"> </w:t>
      </w:r>
      <w:r w:rsidR="00DE2653">
        <w:rPr>
          <w:rFonts w:eastAsia="Cambria"/>
          <w:color w:val="auto"/>
          <w:sz w:val="20"/>
          <w:szCs w:val="20"/>
        </w:rPr>
        <w:lastRenderedPageBreak/>
        <w:t>over the matter</w:t>
      </w:r>
      <w:r>
        <w:rPr>
          <w:rFonts w:eastAsia="Cambria"/>
          <w:color w:val="auto"/>
          <w:sz w:val="20"/>
          <w:szCs w:val="20"/>
        </w:rPr>
        <w:t>; and that the Supreme Court unlawfully handed down its conviction based on proceedings held in the ordinary justice system even though its new precedential position held that</w:t>
      </w:r>
      <w:r w:rsidR="00472CD8">
        <w:rPr>
          <w:rFonts w:eastAsia="Cambria"/>
          <w:color w:val="auto"/>
          <w:sz w:val="20"/>
          <w:szCs w:val="20"/>
        </w:rPr>
        <w:t xml:space="preserve"> </w:t>
      </w:r>
      <w:r w:rsidR="00AF38A7">
        <w:rPr>
          <w:rFonts w:eastAsia="Cambria"/>
          <w:color w:val="auto"/>
          <w:sz w:val="20"/>
          <w:szCs w:val="20"/>
        </w:rPr>
        <w:t>th</w:t>
      </w:r>
      <w:r w:rsidR="00D05BEC">
        <w:rPr>
          <w:rFonts w:eastAsia="Cambria"/>
          <w:color w:val="auto"/>
          <w:sz w:val="20"/>
          <w:szCs w:val="20"/>
        </w:rPr>
        <w:t xml:space="preserve">ose authorities </w:t>
      </w:r>
      <w:r>
        <w:rPr>
          <w:rFonts w:eastAsia="Cambria"/>
          <w:color w:val="auto"/>
          <w:sz w:val="20"/>
          <w:szCs w:val="20"/>
        </w:rPr>
        <w:t xml:space="preserve">did not have the authority to try or investigate the alleged victim; and that the alleged victim did not have access to an effective remedy against the conviction. </w:t>
      </w:r>
    </w:p>
    <w:p w:rsidR="00B00D92" w:rsidRPr="00472CD8" w:rsidRDefault="00B00D92" w:rsidP="00C23A36">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color w:val="auto"/>
          <w:sz w:val="20"/>
          <w:szCs w:val="20"/>
        </w:rPr>
      </w:pPr>
    </w:p>
    <w:p w:rsidR="00B00D92" w:rsidRPr="00472CD8" w:rsidRDefault="009F693E" w:rsidP="00C23A3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rPr>
      </w:pPr>
      <w:r>
        <w:rPr>
          <w:rFonts w:eastAsia="Cambria" w:cs="Arial"/>
          <w:sz w:val="20"/>
          <w:szCs w:val="20"/>
        </w:rPr>
        <w:t xml:space="preserve">In view of such allegations, the Commission considers it appropriate to recall that the </w:t>
      </w:r>
      <w:r>
        <w:rPr>
          <w:rFonts w:eastAsia="Cambria"/>
          <w:color w:val="auto"/>
          <w:sz w:val="20"/>
          <w:szCs w:val="20"/>
        </w:rPr>
        <w:t>Inter</w:t>
      </w:r>
      <w:r w:rsidR="00A93344">
        <w:rPr>
          <w:rFonts w:eastAsia="Cambria"/>
          <w:color w:val="auto"/>
          <w:sz w:val="20"/>
          <w:szCs w:val="20"/>
        </w:rPr>
        <w:noBreakHyphen/>
      </w:r>
      <w:r>
        <w:rPr>
          <w:rFonts w:eastAsia="Cambria"/>
          <w:color w:val="auto"/>
          <w:sz w:val="20"/>
          <w:szCs w:val="20"/>
        </w:rPr>
        <w:t xml:space="preserve">American Court of Human Rights has indicated that </w:t>
      </w:r>
      <w:r w:rsidR="00472CD8">
        <w:rPr>
          <w:rFonts w:eastAsia="Cambria"/>
          <w:color w:val="auto"/>
          <w:sz w:val="20"/>
          <w:szCs w:val="20"/>
        </w:rPr>
        <w:t>“</w:t>
      </w:r>
      <w:r>
        <w:rPr>
          <w:rFonts w:eastAsia="Cambria" w:cs="Arial"/>
          <w:sz w:val="20"/>
          <w:szCs w:val="20"/>
        </w:rPr>
        <w:t>the privilege does not necessarily come into conflict with the right to a competent tribunal, if such privilege is expressly established and defined by the Legislative branch and serves a legitimate purpose, as has been previously indicated. In this way, not only the right in question is respected, but also the jurisdiction court turns into the competent tribunal of the individual who enjoys a privilege. If, however, the law does not provide for privileges but the Executive branch or the Judiciary itself establishes such priviliges, discracting in this way the individual from the court that the law embodies as its competent tribunal, the right to be tried by a competent court would be violated.</w:t>
      </w:r>
      <w:r w:rsidR="00472CD8">
        <w:rPr>
          <w:rFonts w:eastAsia="Cambria" w:cs="Arial"/>
          <w:sz w:val="20"/>
          <w:szCs w:val="20"/>
        </w:rPr>
        <w:t>”</w:t>
      </w:r>
      <w:r>
        <w:rPr>
          <w:rStyle w:val="FootnoteReference"/>
          <w:rFonts w:cs="Cambria"/>
          <w:sz w:val="20"/>
          <w:szCs w:val="20"/>
          <w:lang w:val="es-ES"/>
        </w:rPr>
        <w:footnoteReference w:id="7"/>
      </w:r>
      <w:r>
        <w:rPr>
          <w:rFonts w:eastAsia="Cambria" w:cs="Arial"/>
          <w:sz w:val="20"/>
          <w:szCs w:val="20"/>
        </w:rPr>
        <w:t xml:space="preserve"> </w:t>
      </w:r>
      <w:r w:rsidR="009875BD">
        <w:rPr>
          <w:rFonts w:eastAsia="Cambria" w:cs="Arial"/>
          <w:sz w:val="20"/>
          <w:szCs w:val="20"/>
        </w:rPr>
        <w:t>The Commission also recalls that even though the</w:t>
      </w:r>
      <w:r>
        <w:rPr>
          <w:rFonts w:eastAsia="Cambria" w:cs="Arial"/>
          <w:sz w:val="20"/>
          <w:szCs w:val="20"/>
        </w:rPr>
        <w:t xml:space="preserve"> Inter</w:t>
      </w:r>
      <w:r w:rsidR="00A93344">
        <w:rPr>
          <w:rFonts w:eastAsia="Cambria" w:cs="Arial"/>
          <w:sz w:val="20"/>
          <w:szCs w:val="20"/>
        </w:rPr>
        <w:noBreakHyphen/>
      </w:r>
      <w:r>
        <w:rPr>
          <w:rFonts w:eastAsia="Cambria" w:cs="Arial"/>
          <w:sz w:val="20"/>
          <w:szCs w:val="20"/>
        </w:rPr>
        <w:t xml:space="preserve">American Court has recognized that </w:t>
      </w:r>
      <w:r w:rsidR="00472CD8">
        <w:rPr>
          <w:rFonts w:eastAsia="Cambria" w:cs="Arial"/>
          <w:sz w:val="20"/>
          <w:szCs w:val="20"/>
        </w:rPr>
        <w:t>“</w:t>
      </w:r>
      <w:r>
        <w:rPr>
          <w:rFonts w:eastAsia="Cambria" w:cs="Arial"/>
          <w:sz w:val="20"/>
          <w:szCs w:val="20"/>
        </w:rPr>
        <w:t xml:space="preserve">the designation of the highest body of justice for the criminal prosecution of high-ranking officials is not, </w:t>
      </w:r>
      <w:r>
        <w:rPr>
          <w:rFonts w:eastAsia="Cambria" w:cs="Arial"/>
          <w:b/>
          <w:bCs/>
          <w:i/>
          <w:iCs/>
          <w:sz w:val="20"/>
          <w:szCs w:val="20"/>
        </w:rPr>
        <w:t>per se</w:t>
      </w:r>
      <w:r>
        <w:rPr>
          <w:rFonts w:eastAsia="Cambria" w:cs="Arial"/>
          <w:sz w:val="20"/>
          <w:szCs w:val="20"/>
        </w:rPr>
        <w:t>, contrary to Article 8(2)(h) of the American Convention</w:t>
      </w:r>
      <w:r w:rsidR="00A93344">
        <w:rPr>
          <w:rFonts w:eastAsia="Cambria" w:cs="Arial"/>
          <w:sz w:val="20"/>
          <w:szCs w:val="20"/>
        </w:rPr>
        <w:t>,</w:t>
      </w:r>
      <w:r w:rsidR="00472CD8">
        <w:rPr>
          <w:rFonts w:eastAsia="Cambria" w:cs="Arial"/>
          <w:sz w:val="20"/>
          <w:szCs w:val="20"/>
        </w:rPr>
        <w:t>”</w:t>
      </w:r>
      <w:r>
        <w:rPr>
          <w:rStyle w:val="FootnoteReference"/>
          <w:sz w:val="20"/>
          <w:szCs w:val="20"/>
          <w:lang w:val="es-PA"/>
        </w:rPr>
        <w:footnoteReference w:id="8"/>
      </w:r>
      <w:r w:rsidR="00A93344">
        <w:rPr>
          <w:rFonts w:eastAsia="Cambria" w:cs="Arial"/>
          <w:sz w:val="20"/>
          <w:szCs w:val="20"/>
        </w:rPr>
        <w:t xml:space="preserve"> </w:t>
      </w:r>
      <w:r w:rsidR="009875BD">
        <w:rPr>
          <w:rFonts w:eastAsia="Cambria"/>
          <w:sz w:val="20"/>
          <w:szCs w:val="20"/>
        </w:rPr>
        <w:t>the same tribunal has also</w:t>
      </w:r>
      <w:r>
        <w:rPr>
          <w:rFonts w:eastAsia="Cambria"/>
          <w:sz w:val="20"/>
          <w:szCs w:val="20"/>
        </w:rPr>
        <w:t xml:space="preserve"> warned that </w:t>
      </w:r>
      <w:r w:rsidR="00472CD8">
        <w:rPr>
          <w:rFonts w:eastAsia="Cambria"/>
          <w:sz w:val="20"/>
          <w:szCs w:val="20"/>
        </w:rPr>
        <w:t>“</w:t>
      </w:r>
      <w:r>
        <w:rPr>
          <w:rFonts w:eastAsia="Cambria"/>
          <w:sz w:val="20"/>
          <w:szCs w:val="20"/>
        </w:rPr>
        <w:t>the rank of the adjudicating tribunal cannot guarantee that a judgment in a sole instance will be delivered free of errors or defects</w:t>
      </w:r>
      <w:r w:rsidR="0095181C">
        <w:rPr>
          <w:rFonts w:eastAsia="Cambria"/>
          <w:sz w:val="20"/>
          <w:szCs w:val="20"/>
        </w:rPr>
        <w:t>.</w:t>
      </w:r>
      <w:r w:rsidR="00472CD8">
        <w:rPr>
          <w:rFonts w:eastAsia="Cambria"/>
          <w:sz w:val="20"/>
          <w:szCs w:val="20"/>
        </w:rPr>
        <w:t>”</w:t>
      </w:r>
      <w:r>
        <w:rPr>
          <w:rStyle w:val="FootnoteReference"/>
          <w:sz w:val="20"/>
          <w:szCs w:val="20"/>
          <w:lang w:val="es-PA"/>
        </w:rPr>
        <w:footnoteReference w:id="9"/>
      </w:r>
      <w:r w:rsidR="009875BD">
        <w:rPr>
          <w:rFonts w:eastAsia="Cambria"/>
          <w:sz w:val="20"/>
          <w:szCs w:val="20"/>
        </w:rPr>
        <w:t xml:space="preserve"> In addition, the Commission takes onto account that the Inter-American court</w:t>
      </w:r>
      <w:r>
        <w:rPr>
          <w:rFonts w:eastAsia="Cambria"/>
          <w:sz w:val="20"/>
          <w:szCs w:val="20"/>
        </w:rPr>
        <w:t xml:space="preserve"> </w:t>
      </w:r>
      <w:r w:rsidR="0095181C">
        <w:rPr>
          <w:rFonts w:eastAsia="Cambria"/>
          <w:sz w:val="20"/>
          <w:szCs w:val="20"/>
        </w:rPr>
        <w:t xml:space="preserve">has </w:t>
      </w:r>
      <w:r>
        <w:rPr>
          <w:rFonts w:eastAsia="Cambria"/>
          <w:sz w:val="20"/>
          <w:szCs w:val="20"/>
        </w:rPr>
        <w:t xml:space="preserve">ratified </w:t>
      </w:r>
      <w:r w:rsidR="00472CD8">
        <w:rPr>
          <w:rFonts w:eastAsia="Cambria"/>
          <w:sz w:val="20"/>
          <w:szCs w:val="20"/>
        </w:rPr>
        <w:t>“</w:t>
      </w:r>
      <w:r>
        <w:rPr>
          <w:rFonts w:eastAsia="Cambria"/>
          <w:sz w:val="20"/>
          <w:szCs w:val="20"/>
        </w:rPr>
        <w:t>the importance of the existence of a process allowing the review of a conviction</w:t>
      </w:r>
      <w:r w:rsidR="00472CD8">
        <w:rPr>
          <w:rFonts w:eastAsia="Cambria"/>
          <w:sz w:val="20"/>
          <w:szCs w:val="20"/>
        </w:rPr>
        <w:t>”</w:t>
      </w:r>
      <w:r>
        <w:rPr>
          <w:rStyle w:val="FootnoteReference"/>
          <w:sz w:val="20"/>
          <w:szCs w:val="20"/>
          <w:lang w:val="es-PA"/>
        </w:rPr>
        <w:footnoteReference w:id="10"/>
      </w:r>
      <w:r w:rsidR="009875BD">
        <w:rPr>
          <w:rFonts w:eastAsia="Cambria"/>
          <w:sz w:val="20"/>
          <w:szCs w:val="20"/>
        </w:rPr>
        <w:t xml:space="preserve"> in case of criminal procedures that are decided in the first instance by the highest court of country. The Commission also deems relevant to recall that it has already said that</w:t>
      </w:r>
      <w:r>
        <w:rPr>
          <w:rFonts w:eastAsia="Cambria"/>
          <w:sz w:val="20"/>
          <w:szCs w:val="20"/>
        </w:rPr>
        <w:t xml:space="preserve"> </w:t>
      </w:r>
      <w:r w:rsidR="00472CD8">
        <w:rPr>
          <w:rFonts w:eastAsia="Cambria"/>
          <w:sz w:val="20"/>
          <w:szCs w:val="20"/>
        </w:rPr>
        <w:t>“</w:t>
      </w:r>
      <w:r>
        <w:rPr>
          <w:rFonts w:eastAsia="Cambria"/>
          <w:sz w:val="20"/>
          <w:szCs w:val="20"/>
        </w:rPr>
        <w:t>the logic of the criminal procedure guarantees is bas</w:t>
      </w:r>
      <w:r w:rsidR="00D05BEC">
        <w:rPr>
          <w:rFonts w:eastAsia="Cambria"/>
          <w:sz w:val="20"/>
          <w:szCs w:val="20"/>
        </w:rPr>
        <w:t>e</w:t>
      </w:r>
      <w:r>
        <w:rPr>
          <w:rFonts w:eastAsia="Cambria"/>
          <w:sz w:val="20"/>
          <w:szCs w:val="20"/>
        </w:rPr>
        <w:t>d on the personal involvement of the judge, conceived of as the adequate organ for safeguarding them.</w:t>
      </w:r>
      <w:r w:rsidR="00472CD8">
        <w:rPr>
          <w:rFonts w:eastAsia="Cambria"/>
          <w:sz w:val="20"/>
          <w:szCs w:val="20"/>
        </w:rPr>
        <w:t xml:space="preserve"> </w:t>
      </w:r>
      <w:r>
        <w:rPr>
          <w:rFonts w:eastAsia="Cambria"/>
          <w:sz w:val="20"/>
          <w:szCs w:val="20"/>
        </w:rPr>
        <w:t xml:space="preserve"> The objective of the principle of procedural immediacy is to try to avoid a distancing of the judge from the elements of the process, especially the accused.</w:t>
      </w:r>
      <w:r w:rsidR="00472CD8">
        <w:rPr>
          <w:rFonts w:eastAsia="Cambria"/>
          <w:sz w:val="20"/>
          <w:szCs w:val="20"/>
        </w:rPr>
        <w:t>”</w:t>
      </w:r>
      <w:r>
        <w:rPr>
          <w:rStyle w:val="FootnoteReference"/>
          <w:rFonts w:cs="Cambria"/>
          <w:sz w:val="20"/>
          <w:szCs w:val="20"/>
          <w:lang w:val="es-PA"/>
        </w:rPr>
        <w:footnoteReference w:id="11"/>
      </w:r>
      <w:r>
        <w:rPr>
          <w:rFonts w:eastAsia="Cambria"/>
          <w:color w:val="auto"/>
          <w:sz w:val="20"/>
          <w:szCs w:val="20"/>
        </w:rPr>
        <w:t xml:space="preserve"> </w:t>
      </w:r>
    </w:p>
    <w:p w:rsidR="00B00D92" w:rsidRPr="00472CD8" w:rsidRDefault="00B00D92" w:rsidP="009B7B39">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color w:val="auto"/>
          <w:sz w:val="20"/>
          <w:szCs w:val="20"/>
        </w:rPr>
      </w:pPr>
    </w:p>
    <w:p w:rsidR="00B00D92" w:rsidRPr="00472CD8" w:rsidRDefault="009F693E"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rPr>
      </w:pPr>
      <w:r>
        <w:rPr>
          <w:rFonts w:eastAsia="Cambria"/>
          <w:color w:val="auto"/>
          <w:sz w:val="20"/>
          <w:szCs w:val="20"/>
        </w:rPr>
        <w:t xml:space="preserve">In view of these considerations and after reviewing the elements of fact and law set forth by the parties, the Commission considers that the petitioner’s allegations are not </w:t>
      </w:r>
      <w:r w:rsidR="00D05BEC">
        <w:rPr>
          <w:rFonts w:eastAsia="Cambria"/>
          <w:color w:val="auto"/>
          <w:sz w:val="20"/>
          <w:szCs w:val="20"/>
        </w:rPr>
        <w:t xml:space="preserve">manifestly </w:t>
      </w:r>
      <w:r>
        <w:rPr>
          <w:rFonts w:eastAsia="Cambria"/>
          <w:color w:val="auto"/>
          <w:sz w:val="20"/>
          <w:szCs w:val="20"/>
        </w:rPr>
        <w:t xml:space="preserve">unfounded and </w:t>
      </w:r>
      <w:r w:rsidR="00D05BEC">
        <w:rPr>
          <w:rFonts w:eastAsia="Cambria"/>
          <w:color w:val="auto"/>
          <w:sz w:val="20"/>
          <w:szCs w:val="20"/>
        </w:rPr>
        <w:t>require a study of their merits</w:t>
      </w:r>
      <w:r>
        <w:rPr>
          <w:rFonts w:eastAsia="Cambria"/>
          <w:color w:val="auto"/>
          <w:sz w:val="20"/>
          <w:szCs w:val="20"/>
        </w:rPr>
        <w:t>, as the acts described, if corroborated as true, could represent violations of Articles 7 (personal liberty), 8 (right to a fair trial), 24 (right to equal protection), and 25 (judicial protection) of the American Convention</w:t>
      </w:r>
      <w:r w:rsidR="00E91768">
        <w:rPr>
          <w:rFonts w:eastAsia="Cambria"/>
          <w:color w:val="auto"/>
          <w:sz w:val="20"/>
          <w:szCs w:val="20"/>
        </w:rPr>
        <w:t>,</w:t>
      </w:r>
      <w:r>
        <w:rPr>
          <w:rFonts w:eastAsia="Cambria"/>
          <w:color w:val="auto"/>
          <w:sz w:val="20"/>
          <w:szCs w:val="20"/>
        </w:rPr>
        <w:t xml:space="preserve"> in conjunction with its Articles 1.1 (obligation to respect rights) and 2 (domestic legal effects).</w:t>
      </w:r>
    </w:p>
    <w:p w:rsidR="00B00D92" w:rsidRPr="00472CD8" w:rsidRDefault="00B00D92" w:rsidP="009B7B39">
      <w:pPr>
        <w:pStyle w:val="ListParagraph"/>
        <w:pBdr>
          <w:top w:val="none" w:sz="0" w:space="0" w:color="auto"/>
          <w:left w:val="none" w:sz="0" w:space="0" w:color="auto"/>
          <w:bottom w:val="none" w:sz="0" w:space="0" w:color="auto"/>
          <w:right w:val="none" w:sz="0" w:space="0" w:color="auto"/>
          <w:bar w:val="none" w:sz="0" w:color="auto"/>
        </w:pBdr>
        <w:rPr>
          <w:color w:val="auto"/>
          <w:sz w:val="20"/>
          <w:szCs w:val="20"/>
        </w:rPr>
      </w:pPr>
    </w:p>
    <w:p w:rsidR="00B00D92" w:rsidRPr="00472CD8" w:rsidRDefault="009F693E"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rPr>
      </w:pPr>
      <w:r>
        <w:rPr>
          <w:rFonts w:eastAsia="Cambria"/>
          <w:color w:val="auto"/>
          <w:sz w:val="20"/>
          <w:szCs w:val="20"/>
        </w:rPr>
        <w:t>With regard to the allegations on the violation of Articles 5 (humane treatment), 9 (freedom from ex post facto laws), 10 (right to compensation), 11 (right to privacy), 13 (freedom of expression), 22</w:t>
      </w:r>
      <w:r w:rsidR="00295FE0">
        <w:rPr>
          <w:rFonts w:eastAsia="Cambria"/>
          <w:color w:val="auto"/>
          <w:sz w:val="20"/>
          <w:szCs w:val="20"/>
        </w:rPr>
        <w:t> </w:t>
      </w:r>
      <w:r>
        <w:rPr>
          <w:rFonts w:eastAsia="Cambria"/>
          <w:color w:val="auto"/>
          <w:sz w:val="20"/>
          <w:szCs w:val="20"/>
        </w:rPr>
        <w:t xml:space="preserve">(movement and residence), and 23 (political rights) of the American Convention, the Commission holds that the petitioner did not set forth elements or grounds that would allow it to consider </w:t>
      </w:r>
      <w:r>
        <w:rPr>
          <w:rFonts w:eastAsia="Cambria"/>
          <w:i/>
          <w:iCs/>
          <w:color w:val="auto"/>
          <w:sz w:val="20"/>
          <w:szCs w:val="20"/>
        </w:rPr>
        <w:t xml:space="preserve">prima facie </w:t>
      </w:r>
      <w:r>
        <w:rPr>
          <w:rFonts w:eastAsia="Cambria"/>
          <w:color w:val="auto"/>
          <w:sz w:val="20"/>
          <w:szCs w:val="20"/>
        </w:rPr>
        <w:t>the possibility that they were violated, nor do such elements or grounds follow from the case file.</w:t>
      </w:r>
    </w:p>
    <w:p w:rsidR="00B00D92" w:rsidRPr="00472CD8" w:rsidRDefault="00B00D92" w:rsidP="009B7B39">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sz w:val="20"/>
          <w:szCs w:val="20"/>
        </w:rPr>
      </w:pPr>
    </w:p>
    <w:p w:rsidR="00B00D92" w:rsidRPr="00472CD8" w:rsidRDefault="009F693E"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rPr>
      </w:pPr>
      <w:r>
        <w:rPr>
          <w:rFonts w:eastAsia="Cambria"/>
          <w:color w:val="auto"/>
          <w:sz w:val="20"/>
          <w:szCs w:val="20"/>
        </w:rPr>
        <w:t xml:space="preserve">With regard to the allegations on the violation of the International Covenant on Civil and Political Rights, the Commission does not have the authority to determine whether that instrument was violated. However, pursuant to Article 29 of the American Convention, the Commision will be able to consider it for the purpose of interpeting the American Convention in the merits stage. </w:t>
      </w:r>
    </w:p>
    <w:p w:rsidR="00B00D92" w:rsidRPr="00472CD8" w:rsidRDefault="00B00D92" w:rsidP="009B7B39">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sz w:val="20"/>
          <w:szCs w:val="20"/>
        </w:rPr>
      </w:pPr>
    </w:p>
    <w:p w:rsidR="00B00D92" w:rsidRPr="00472CD8" w:rsidRDefault="009F693E" w:rsidP="00C75C17">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3"/>
        <w:ind w:left="0"/>
        <w:jc w:val="both"/>
        <w:rPr>
          <w:sz w:val="20"/>
          <w:szCs w:val="20"/>
        </w:rPr>
      </w:pPr>
      <w:r>
        <w:rPr>
          <w:rFonts w:eastAsia="Cambria"/>
          <w:sz w:val="20"/>
          <w:szCs w:val="20"/>
        </w:rPr>
        <w:t xml:space="preserve">The Commission will not analyze the colorable claim with regard to aspects of this petition that are inadmissible according to the conclusions set forth in Section VI </w:t>
      </w:r>
      <w:r>
        <w:rPr>
          <w:rFonts w:eastAsia="Cambria"/>
          <w:i/>
          <w:iCs/>
          <w:sz w:val="20"/>
          <w:szCs w:val="20"/>
        </w:rPr>
        <w:t>supra.</w:t>
      </w:r>
    </w:p>
    <w:p w:rsidR="00716936" w:rsidRDefault="00716936" w:rsidP="009624EE">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rFonts w:eastAsia="Cambria"/>
          <w:b/>
          <w:bCs/>
          <w:color w:val="auto"/>
          <w:sz w:val="20"/>
          <w:szCs w:val="20"/>
        </w:rPr>
      </w:pPr>
    </w:p>
    <w:p w:rsidR="00B00D92" w:rsidRPr="00504F0F" w:rsidRDefault="009F693E" w:rsidP="009624EE">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lang w:val="es-ES"/>
        </w:rPr>
      </w:pPr>
      <w:r>
        <w:rPr>
          <w:rFonts w:eastAsia="Cambria"/>
          <w:b/>
          <w:bCs/>
          <w:color w:val="auto"/>
          <w:sz w:val="20"/>
          <w:szCs w:val="20"/>
        </w:rPr>
        <w:lastRenderedPageBreak/>
        <w:t xml:space="preserve">VIII. </w:t>
      </w:r>
      <w:r>
        <w:rPr>
          <w:rFonts w:eastAsia="Cambria"/>
          <w:b/>
          <w:bCs/>
          <w:color w:val="auto"/>
          <w:sz w:val="20"/>
          <w:szCs w:val="20"/>
        </w:rPr>
        <w:tab/>
        <w:t>DECISION</w:t>
      </w:r>
    </w:p>
    <w:p w:rsidR="00B00D92" w:rsidRPr="00013ED9" w:rsidRDefault="009F693E" w:rsidP="009624E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rPr>
      </w:pPr>
      <w:r w:rsidRPr="00013ED9">
        <w:rPr>
          <w:rFonts w:asciiTheme="majorHAnsi" w:eastAsia="Cambria" w:hAnsiTheme="majorHAnsi"/>
          <w:sz w:val="20"/>
          <w:szCs w:val="20"/>
        </w:rPr>
        <w:t xml:space="preserve">Declare this petition admissible with regard to </w:t>
      </w:r>
      <w:r w:rsidRPr="00013ED9">
        <w:rPr>
          <w:rFonts w:asciiTheme="majorHAnsi" w:eastAsia="Cambria" w:hAnsiTheme="majorHAnsi" w:cs="Helvetica"/>
          <w:sz w:val="20"/>
          <w:szCs w:val="20"/>
        </w:rPr>
        <w:t xml:space="preserve">Articles 7, 8, 24, and 25 of the Convention, </w:t>
      </w:r>
      <w:r w:rsidRPr="00013ED9">
        <w:rPr>
          <w:rFonts w:asciiTheme="majorHAnsi" w:eastAsia="Cambria" w:hAnsiTheme="majorHAnsi" w:cs="Cambria"/>
          <w:sz w:val="20"/>
          <w:szCs w:val="20"/>
        </w:rPr>
        <w:t>in conjunction with its Articles 1.1 and 2.</w:t>
      </w:r>
      <w:r w:rsidRPr="00013ED9">
        <w:rPr>
          <w:rFonts w:asciiTheme="majorHAnsi" w:eastAsia="Cambria" w:hAnsiTheme="majorHAnsi"/>
          <w:sz w:val="20"/>
          <w:szCs w:val="20"/>
        </w:rPr>
        <w:t xml:space="preserve"> </w:t>
      </w:r>
    </w:p>
    <w:p w:rsidR="00B00D92" w:rsidRPr="00013ED9" w:rsidRDefault="009F693E" w:rsidP="009624E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rPr>
      </w:pPr>
      <w:r w:rsidRPr="00013ED9">
        <w:rPr>
          <w:rFonts w:asciiTheme="majorHAnsi" w:eastAsia="Times New Roman" w:hAnsiTheme="majorHAnsi"/>
          <w:sz w:val="20"/>
          <w:szCs w:val="20"/>
        </w:rPr>
        <w:t xml:space="preserve">Declare this petition inadmissible with regard the allegations </w:t>
      </w:r>
      <w:r w:rsidRPr="00013ED9">
        <w:rPr>
          <w:rFonts w:asciiTheme="majorHAnsi" w:eastAsia="Cambria" w:hAnsiTheme="majorHAnsi" w:cs="Helvetica"/>
          <w:sz w:val="20"/>
          <w:szCs w:val="20"/>
        </w:rPr>
        <w:t xml:space="preserve">of certain Criminal Cassation Division judges’ lack of impartiality due to them having previously requested an investigation of the alleged victim; </w:t>
      </w:r>
      <w:r w:rsidRPr="00013ED9">
        <w:rPr>
          <w:rFonts w:asciiTheme="majorHAnsi" w:eastAsia="Times New Roman" w:hAnsiTheme="majorHAnsi"/>
          <w:sz w:val="20"/>
          <w:szCs w:val="20"/>
        </w:rPr>
        <w:t>and with regard to Articles 5, 9, 10, 11, 13, 22, and 23 of the American Convention.</w:t>
      </w:r>
    </w:p>
    <w:p w:rsidR="00B00D92" w:rsidRPr="00716936" w:rsidRDefault="009F693E" w:rsidP="00013C45">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rPr>
      </w:pPr>
      <w:r w:rsidRPr="00013ED9">
        <w:rPr>
          <w:rFonts w:asciiTheme="majorHAnsi" w:eastAsia="Cambria" w:hAnsiTheme="majorHAnsi"/>
          <w:sz w:val="20"/>
          <w:szCs w:val="20"/>
        </w:rPr>
        <w:t>Notify the parties of this decision; proceed with an analysis of the merits; and publish this decision and include it in its annual report to the General Assembly of the Organization of American States.</w:t>
      </w:r>
    </w:p>
    <w:p w:rsidR="00716936" w:rsidRDefault="00716936" w:rsidP="0071693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27</w:t>
      </w:r>
      <w:r w:rsidRPr="00716936">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716936" w:rsidRPr="00013ED9" w:rsidRDefault="00716936" w:rsidP="00716936">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Theme="majorHAnsi" w:hAnsiTheme="majorHAnsi"/>
          <w:sz w:val="20"/>
          <w:szCs w:val="20"/>
        </w:rPr>
      </w:pPr>
    </w:p>
    <w:sectPr w:rsidR="00716936" w:rsidRPr="00013ED9"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51" w:rsidRDefault="00ED4E51">
      <w:r>
        <w:separator/>
      </w:r>
    </w:p>
  </w:endnote>
  <w:endnote w:type="continuationSeparator" w:id="0">
    <w:p w:rsidR="00ED4E51" w:rsidRDefault="00ED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563" w:rsidRDefault="0079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Pr="00934A2C" w:rsidRDefault="009F693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97563">
      <w:rPr>
        <w:noProof/>
        <w:sz w:val="16"/>
        <w:szCs w:val="22"/>
      </w:rPr>
      <w:t>3</w:t>
    </w:r>
    <w:r w:rsidRPr="00934A2C">
      <w:rPr>
        <w:sz w:val="16"/>
        <w:szCs w:val="22"/>
      </w:rPr>
      <w:fldChar w:fldCharType="end"/>
    </w:r>
  </w:p>
  <w:p w:rsidR="00B00D92" w:rsidRDefault="00B00D92">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Pr="00934A2C" w:rsidRDefault="00B00D9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B00D92" w:rsidRDefault="00B00D9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51" w:rsidRPr="000F35ED" w:rsidRDefault="00ED4E51">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ED4E51" w:rsidRPr="000F35ED" w:rsidRDefault="00ED4E51"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ED4E51" w:rsidRPr="000F35ED" w:rsidRDefault="00ED4E51"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rsidR="00ED4E51" w:rsidRPr="000F35ED" w:rsidRDefault="00ED4E51"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B00D92" w:rsidRPr="00ED31DD" w:rsidRDefault="009F693E" w:rsidP="00EE28FC">
      <w:pPr>
        <w:pStyle w:val="FootnoteText"/>
        <w:pBdr>
          <w:top w:val="none" w:sz="0" w:space="0" w:color="auto"/>
          <w:left w:val="none" w:sz="0" w:space="0" w:color="auto"/>
          <w:bottom w:val="none" w:sz="0" w:space="0" w:color="auto"/>
          <w:right w:val="none" w:sz="0" w:space="0" w:color="auto"/>
          <w:bar w:val="none" w:sz="0" w:color="auto"/>
        </w:pBdr>
        <w:ind w:left="720"/>
      </w:pPr>
      <w:r w:rsidRPr="004E7C47">
        <w:rPr>
          <w:rStyle w:val="FootnoteReference"/>
          <w:rFonts w:ascii="Cambria" w:hAnsi="Cambria"/>
          <w:sz w:val="16"/>
          <w:szCs w:val="16"/>
        </w:rPr>
        <w:footnoteRef/>
      </w:r>
      <w:r w:rsidR="00472CD8">
        <w:rPr>
          <w:rFonts w:ascii="Cambria" w:eastAsia="Cambria" w:hAnsi="Cambria"/>
          <w:sz w:val="16"/>
          <w:szCs w:val="16"/>
        </w:rPr>
        <w:t xml:space="preserve"> </w:t>
      </w:r>
      <w:r>
        <w:rPr>
          <w:rFonts w:ascii="Cambria" w:eastAsia="Cambria" w:hAnsi="Cambria"/>
          <w:sz w:val="16"/>
          <w:szCs w:val="16"/>
        </w:rPr>
        <w:t xml:space="preserve">Hereinafter </w:t>
      </w:r>
      <w:r w:rsidR="00472CD8">
        <w:rPr>
          <w:rFonts w:ascii="Cambria" w:eastAsia="Cambria" w:hAnsi="Cambria"/>
          <w:sz w:val="16"/>
          <w:szCs w:val="16"/>
        </w:rPr>
        <w:t>“</w:t>
      </w:r>
      <w:r>
        <w:rPr>
          <w:rFonts w:ascii="Cambria" w:eastAsia="Cambria" w:hAnsi="Cambria"/>
          <w:sz w:val="16"/>
          <w:szCs w:val="16"/>
        </w:rPr>
        <w:t>Convention</w:t>
      </w:r>
      <w:r w:rsidR="00472CD8">
        <w:rPr>
          <w:rFonts w:ascii="Cambria" w:eastAsia="Cambria" w:hAnsi="Cambria"/>
          <w:sz w:val="16"/>
          <w:szCs w:val="16"/>
        </w:rPr>
        <w:t>”</w:t>
      </w:r>
      <w:r>
        <w:rPr>
          <w:rFonts w:ascii="Cambria" w:eastAsia="Cambria" w:hAnsi="Cambria"/>
          <w:sz w:val="16"/>
          <w:szCs w:val="16"/>
        </w:rPr>
        <w:t xml:space="preserve"> or </w:t>
      </w:r>
      <w:r w:rsidR="00472CD8">
        <w:rPr>
          <w:rFonts w:ascii="Cambria" w:eastAsia="Cambria" w:hAnsi="Cambria"/>
          <w:sz w:val="16"/>
          <w:szCs w:val="16"/>
        </w:rPr>
        <w:t>“</w:t>
      </w:r>
      <w:r>
        <w:rPr>
          <w:rFonts w:ascii="Cambria" w:eastAsia="Cambria" w:hAnsi="Cambria"/>
          <w:sz w:val="16"/>
          <w:szCs w:val="16"/>
        </w:rPr>
        <w:t>American Convention.</w:t>
      </w:r>
      <w:r w:rsidR="00472CD8">
        <w:rPr>
          <w:rFonts w:ascii="Cambria" w:eastAsia="Cambria" w:hAnsi="Cambria"/>
          <w:sz w:val="16"/>
          <w:szCs w:val="16"/>
        </w:rPr>
        <w:t>”</w:t>
      </w:r>
    </w:p>
  </w:footnote>
  <w:footnote w:id="3">
    <w:p w:rsidR="00B00D92" w:rsidRPr="00ED31DD" w:rsidRDefault="009F693E" w:rsidP="00801BE0">
      <w:pPr>
        <w:pStyle w:val="FootnoteText"/>
        <w:pBdr>
          <w:top w:val="none" w:sz="0" w:space="0" w:color="auto"/>
          <w:left w:val="none" w:sz="0" w:space="0" w:color="auto"/>
          <w:bottom w:val="none" w:sz="0" w:space="0" w:color="auto"/>
          <w:right w:val="none" w:sz="0" w:space="0" w:color="auto"/>
          <w:bar w:val="none" w:sz="0" w:color="auto"/>
        </w:pBdr>
        <w:ind w:left="720"/>
      </w:pPr>
      <w:r w:rsidRPr="00472CD8">
        <w:rPr>
          <w:rStyle w:val="FootnoteReference"/>
          <w:sz w:val="16"/>
          <w:szCs w:val="16"/>
        </w:rPr>
        <w:footnoteRef/>
      </w:r>
      <w:r w:rsidR="00472CD8" w:rsidRPr="00472CD8">
        <w:rPr>
          <w:rFonts w:ascii="Cambria" w:eastAsia="Cambria" w:hAnsi="Cambria"/>
          <w:sz w:val="16"/>
          <w:szCs w:val="16"/>
        </w:rPr>
        <w:t xml:space="preserve"> </w:t>
      </w:r>
      <w:r>
        <w:rPr>
          <w:rFonts w:ascii="Cambria" w:eastAsia="Cambria" w:hAnsi="Cambria"/>
          <w:sz w:val="16"/>
          <w:szCs w:val="16"/>
        </w:rPr>
        <w:t>Article 14 of the International Covenant on Civil and Political Rights</w:t>
      </w:r>
      <w:r w:rsidR="00472CD8">
        <w:rPr>
          <w:rFonts w:ascii="Cambria" w:eastAsia="Cambria" w:hAnsi="Cambria"/>
          <w:sz w:val="16"/>
          <w:szCs w:val="16"/>
        </w:rPr>
        <w:t>.</w:t>
      </w:r>
    </w:p>
  </w:footnote>
  <w:footnote w:id="4">
    <w:p w:rsidR="00B00D92" w:rsidRPr="00ED31DD" w:rsidRDefault="009F693E" w:rsidP="000337E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537490">
        <w:rPr>
          <w:rStyle w:val="FootnoteReference"/>
          <w:rFonts w:ascii="Cambria" w:hAnsi="Cambria"/>
          <w:sz w:val="16"/>
          <w:szCs w:val="16"/>
        </w:rPr>
        <w:footnoteRef/>
      </w:r>
      <w:r w:rsidR="00472CD8">
        <w:rPr>
          <w:rFonts w:ascii="Cambria" w:eastAsia="Cambria" w:hAnsi="Cambria"/>
          <w:sz w:val="16"/>
          <w:szCs w:val="16"/>
        </w:rPr>
        <w:t xml:space="preserve"> </w:t>
      </w:r>
      <w:r>
        <w:rPr>
          <w:rFonts w:ascii="Cambria" w:eastAsia="Cambria" w:hAnsi="Cambria"/>
          <w:sz w:val="16"/>
          <w:szCs w:val="16"/>
        </w:rPr>
        <w:t xml:space="preserve">The observations submitted by each party were duly forwarded to the opposing party. </w:t>
      </w:r>
    </w:p>
  </w:footnote>
  <w:footnote w:id="5">
    <w:p w:rsidR="00B00D92" w:rsidRPr="00ED31DD" w:rsidRDefault="009F693E" w:rsidP="008A47D5">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eastAsia="Cambria" w:hAnsi="Cambria"/>
          <w:sz w:val="16"/>
          <w:szCs w:val="16"/>
        </w:rPr>
        <w:tab/>
      </w:r>
      <w:r w:rsidRPr="006132CC">
        <w:rPr>
          <w:rStyle w:val="FootnoteReference"/>
          <w:rFonts w:ascii="Cambria" w:hAnsi="Cambria"/>
          <w:sz w:val="16"/>
          <w:szCs w:val="16"/>
        </w:rPr>
        <w:footnoteRef/>
      </w:r>
      <w:r>
        <w:rPr>
          <w:rFonts w:ascii="Cambria" w:eastAsia="Cambria" w:hAnsi="Cambria"/>
          <w:sz w:val="16"/>
          <w:szCs w:val="16"/>
        </w:rPr>
        <w:t xml:space="preserve"> IACHR, Report No. 26/16, Petition 932-03. Inadmissibility. </w:t>
      </w:r>
      <w:r w:rsidRPr="00797563">
        <w:rPr>
          <w:rFonts w:ascii="Cambria" w:eastAsia="Cambria" w:hAnsi="Cambria"/>
          <w:sz w:val="16"/>
          <w:szCs w:val="16"/>
          <w:lang w:val="es-US"/>
        </w:rPr>
        <w:t xml:space="preserve">Rómulo Jonás Ponce Santamaría. Peru. </w:t>
      </w:r>
      <w:r>
        <w:rPr>
          <w:rFonts w:ascii="Cambria" w:eastAsia="Cambria" w:hAnsi="Cambria"/>
          <w:sz w:val="16"/>
          <w:szCs w:val="16"/>
        </w:rPr>
        <w:t>April 15, 2016, paragraph</w:t>
      </w:r>
      <w:r w:rsidR="00DF7F52">
        <w:rPr>
          <w:rFonts w:ascii="Cambria" w:eastAsia="Cambria" w:hAnsi="Cambria"/>
          <w:sz w:val="16"/>
          <w:szCs w:val="16"/>
        </w:rPr>
        <w:t> </w:t>
      </w:r>
      <w:r>
        <w:rPr>
          <w:rFonts w:ascii="Cambria" w:eastAsia="Cambria" w:hAnsi="Cambria"/>
          <w:sz w:val="16"/>
          <w:szCs w:val="16"/>
        </w:rPr>
        <w:t>25.</w:t>
      </w:r>
    </w:p>
  </w:footnote>
  <w:footnote w:id="6">
    <w:p w:rsidR="00B00D92" w:rsidRPr="00ED31DD" w:rsidRDefault="009F693E" w:rsidP="008A47D5">
      <w:pPr>
        <w:pBdr>
          <w:top w:val="none" w:sz="0" w:space="0" w:color="auto"/>
          <w:left w:val="none" w:sz="0" w:space="0" w:color="auto"/>
          <w:bottom w:val="none" w:sz="0" w:space="0" w:color="auto"/>
          <w:right w:val="none" w:sz="0" w:space="0" w:color="auto"/>
          <w:bar w:val="none" w:sz="0" w:color="auto"/>
        </w:pBdr>
        <w:ind w:firstLine="720"/>
        <w:contextualSpacing/>
        <w:jc w:val="both"/>
      </w:pPr>
      <w:r w:rsidRPr="006132CC">
        <w:rPr>
          <w:rStyle w:val="FootnoteReference"/>
          <w:rFonts w:ascii="Cambria" w:hAnsi="Cambria" w:cs="Calibri"/>
          <w:sz w:val="16"/>
          <w:szCs w:val="16"/>
        </w:rPr>
        <w:footnoteRef/>
      </w:r>
      <w:r>
        <w:rPr>
          <w:rFonts w:ascii="Cambria" w:eastAsia="Cambria" w:hAnsi="Cambria" w:cs="Calibri"/>
          <w:sz w:val="16"/>
          <w:szCs w:val="16"/>
        </w:rPr>
        <w:t xml:space="preserve"> IACHR, Report No. 56/08, Petition 11.602. Admissibility. Workers dismissed from </w:t>
      </w:r>
      <w:proofErr w:type="spellStart"/>
      <w:r>
        <w:rPr>
          <w:rFonts w:ascii="Cambria" w:eastAsia="Cambria" w:hAnsi="Cambria" w:cs="Calibri"/>
          <w:sz w:val="16"/>
          <w:szCs w:val="16"/>
        </w:rPr>
        <w:t>Petróleos</w:t>
      </w:r>
      <w:proofErr w:type="spellEnd"/>
      <w:r>
        <w:rPr>
          <w:rFonts w:ascii="Cambria" w:eastAsia="Cambria" w:hAnsi="Cambria" w:cs="Calibri"/>
          <w:sz w:val="16"/>
          <w:szCs w:val="16"/>
        </w:rPr>
        <w:t xml:space="preserve"> </w:t>
      </w:r>
      <w:proofErr w:type="gramStart"/>
      <w:r>
        <w:rPr>
          <w:rFonts w:ascii="Cambria" w:eastAsia="Cambria" w:hAnsi="Cambria" w:cs="Calibri"/>
          <w:sz w:val="16"/>
          <w:szCs w:val="16"/>
        </w:rPr>
        <w:t>del</w:t>
      </w:r>
      <w:proofErr w:type="gramEnd"/>
      <w:r>
        <w:rPr>
          <w:rFonts w:ascii="Cambria" w:eastAsia="Cambria" w:hAnsi="Cambria" w:cs="Calibri"/>
          <w:sz w:val="16"/>
          <w:szCs w:val="16"/>
        </w:rPr>
        <w:t xml:space="preserve"> </w:t>
      </w:r>
      <w:proofErr w:type="spellStart"/>
      <w:r>
        <w:rPr>
          <w:rFonts w:ascii="Cambria" w:eastAsia="Cambria" w:hAnsi="Cambria" w:cs="Calibri"/>
          <w:sz w:val="16"/>
          <w:szCs w:val="16"/>
        </w:rPr>
        <w:t>Perú</w:t>
      </w:r>
      <w:proofErr w:type="spellEnd"/>
      <w:r>
        <w:rPr>
          <w:rFonts w:ascii="Cambria" w:eastAsia="Cambria" w:hAnsi="Cambria" w:cs="Calibri"/>
          <w:sz w:val="16"/>
          <w:szCs w:val="16"/>
        </w:rPr>
        <w:t xml:space="preserve"> (</w:t>
      </w:r>
      <w:proofErr w:type="spellStart"/>
      <w:r>
        <w:rPr>
          <w:rFonts w:ascii="Cambria" w:eastAsia="Cambria" w:hAnsi="Cambria" w:cs="Calibri"/>
          <w:sz w:val="16"/>
          <w:szCs w:val="16"/>
        </w:rPr>
        <w:t>Petroperú</w:t>
      </w:r>
      <w:proofErr w:type="spellEnd"/>
      <w:r>
        <w:rPr>
          <w:rFonts w:ascii="Cambria" w:eastAsia="Cambria" w:hAnsi="Cambria" w:cs="Calibri"/>
          <w:sz w:val="16"/>
          <w:szCs w:val="16"/>
        </w:rPr>
        <w:t xml:space="preserve">) Northwest - </w:t>
      </w:r>
      <w:proofErr w:type="spellStart"/>
      <w:r>
        <w:rPr>
          <w:rFonts w:ascii="Cambria" w:eastAsia="Cambria" w:hAnsi="Cambria" w:cs="Calibri"/>
          <w:sz w:val="16"/>
          <w:szCs w:val="16"/>
        </w:rPr>
        <w:t>Talara</w:t>
      </w:r>
      <w:proofErr w:type="spellEnd"/>
      <w:r>
        <w:rPr>
          <w:rFonts w:ascii="Cambria" w:eastAsia="Cambria" w:hAnsi="Cambria" w:cs="Calibri"/>
          <w:sz w:val="16"/>
          <w:szCs w:val="16"/>
        </w:rPr>
        <w:t xml:space="preserve"> Area. Peru. July 24, 2008, paragraph 58.</w:t>
      </w:r>
    </w:p>
  </w:footnote>
  <w:footnote w:id="7">
    <w:p w:rsidR="00B00D92" w:rsidRPr="00ED31DD" w:rsidRDefault="009F693E" w:rsidP="00B93C13">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9B7B39">
        <w:rPr>
          <w:rStyle w:val="FootnoteReference"/>
          <w:rFonts w:ascii="Cambria" w:hAnsi="Cambria"/>
          <w:sz w:val="16"/>
          <w:szCs w:val="16"/>
        </w:rPr>
        <w:footnoteRef/>
      </w:r>
      <w:r>
        <w:rPr>
          <w:rFonts w:ascii="Cambria" w:eastAsia="Cambria" w:hAnsi="Cambria"/>
          <w:sz w:val="16"/>
          <w:szCs w:val="16"/>
        </w:rPr>
        <w:t xml:space="preserve"> Inter-American Court of Human Rights, Case of </w:t>
      </w:r>
      <w:proofErr w:type="spellStart"/>
      <w:r>
        <w:rPr>
          <w:rFonts w:ascii="Cambria" w:eastAsia="Cambria" w:hAnsi="Cambria"/>
          <w:sz w:val="16"/>
          <w:szCs w:val="16"/>
        </w:rPr>
        <w:t>Barreto</w:t>
      </w:r>
      <w:proofErr w:type="spellEnd"/>
      <w:r>
        <w:rPr>
          <w:rFonts w:ascii="Cambria" w:eastAsia="Cambria" w:hAnsi="Cambria"/>
          <w:sz w:val="16"/>
          <w:szCs w:val="16"/>
        </w:rPr>
        <w:t xml:space="preserve"> Leiva v.</w:t>
      </w:r>
      <w:r w:rsidR="00472CD8">
        <w:rPr>
          <w:rFonts w:ascii="Cambria" w:eastAsia="Cambria" w:hAnsi="Cambria"/>
          <w:sz w:val="16"/>
          <w:szCs w:val="16"/>
        </w:rPr>
        <w:t xml:space="preserve"> </w:t>
      </w:r>
      <w:r>
        <w:rPr>
          <w:rFonts w:ascii="Cambria" w:eastAsia="Cambria" w:hAnsi="Cambria"/>
          <w:sz w:val="16"/>
          <w:szCs w:val="16"/>
        </w:rPr>
        <w:t>Venezuela. Merits, Reparations and Costs. Judgment of November 17, 2009, Series C No. 206 paragraph 77.</w:t>
      </w:r>
    </w:p>
  </w:footnote>
  <w:footnote w:id="8">
    <w:p w:rsidR="00B00D92" w:rsidRPr="00ED31DD" w:rsidRDefault="009F693E" w:rsidP="00F713DD">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Case of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v. Surinam. Preliminary Objections, Merits, Reparations, and Costs. Judgment of January 30, 2014 (</w:t>
      </w:r>
      <w:r w:rsidR="00472CD8">
        <w:rPr>
          <w:rFonts w:ascii="Cambria" w:eastAsia="Cambria" w:hAnsi="Cambria"/>
          <w:sz w:val="16"/>
          <w:szCs w:val="16"/>
        </w:rPr>
        <w:t>“</w:t>
      </w:r>
      <w:r>
        <w:rPr>
          <w:rFonts w:ascii="Cambria" w:eastAsia="Cambria" w:hAnsi="Cambria"/>
          <w:sz w:val="16"/>
          <w:szCs w:val="16"/>
        </w:rPr>
        <w:t xml:space="preserve">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w:t>
      </w:r>
      <w:r w:rsidR="00472CD8">
        <w:rPr>
          <w:rFonts w:ascii="Cambria" w:eastAsia="Cambria" w:hAnsi="Cambria"/>
          <w:sz w:val="16"/>
          <w:szCs w:val="16"/>
        </w:rPr>
        <w:t>”</w:t>
      </w:r>
      <w:r>
        <w:rPr>
          <w:rFonts w:ascii="Cambria" w:eastAsia="Cambria" w:hAnsi="Cambria"/>
          <w:sz w:val="16"/>
          <w:szCs w:val="16"/>
        </w:rPr>
        <w:t>), paragraph 88.</w:t>
      </w:r>
    </w:p>
  </w:footnote>
  <w:footnote w:id="9">
    <w:p w:rsidR="00B00D92" w:rsidRPr="00ED31DD" w:rsidRDefault="009F693E" w:rsidP="00F713DD">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 paragraph 103.</w:t>
      </w:r>
    </w:p>
  </w:footnote>
  <w:footnote w:id="10">
    <w:p w:rsidR="00B00D92" w:rsidRPr="00ED31DD" w:rsidRDefault="009F693E" w:rsidP="00F713DD">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 paragraph 104.</w:t>
      </w:r>
    </w:p>
  </w:footnote>
  <w:footnote w:id="11">
    <w:p w:rsidR="00B00D92" w:rsidRPr="00472CD8" w:rsidRDefault="009F693E" w:rsidP="00EC78F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9B7B39">
        <w:rPr>
          <w:rStyle w:val="FootnoteReference"/>
          <w:rFonts w:ascii="Cambria" w:hAnsi="Cambria"/>
          <w:sz w:val="16"/>
          <w:szCs w:val="16"/>
        </w:rPr>
        <w:footnoteRef/>
      </w:r>
      <w:r>
        <w:rPr>
          <w:rFonts w:ascii="Cambria" w:eastAsia="Cambria" w:hAnsi="Cambria"/>
          <w:sz w:val="16"/>
          <w:szCs w:val="16"/>
        </w:rPr>
        <w:t xml:space="preserve"> IACHR, Report No. 2/99, Case 11.509. Merits.</w:t>
      </w:r>
      <w:r w:rsidR="00472CD8">
        <w:rPr>
          <w:rFonts w:ascii="Cambria" w:eastAsia="Cambria" w:hAnsi="Cambria"/>
          <w:sz w:val="16"/>
          <w:szCs w:val="16"/>
        </w:rPr>
        <w:t xml:space="preserve"> </w:t>
      </w:r>
      <w:r w:rsidRPr="00472CD8">
        <w:rPr>
          <w:rFonts w:ascii="Cambria" w:eastAsia="Cambria" w:hAnsi="Cambria"/>
          <w:sz w:val="16"/>
          <w:szCs w:val="16"/>
          <w:lang w:val="es-ES"/>
        </w:rPr>
        <w:t xml:space="preserve">Manuel Manríquez. </w:t>
      </w:r>
      <w:proofErr w:type="spellStart"/>
      <w:r w:rsidRPr="00472CD8">
        <w:rPr>
          <w:rFonts w:ascii="Cambria" w:eastAsia="Cambria" w:hAnsi="Cambria"/>
          <w:sz w:val="16"/>
          <w:szCs w:val="16"/>
          <w:lang w:val="es-ES"/>
        </w:rPr>
        <w:t>Mexico</w:t>
      </w:r>
      <w:proofErr w:type="spellEnd"/>
      <w:r w:rsidRPr="00472CD8">
        <w:rPr>
          <w:rFonts w:ascii="Cambria" w:eastAsia="Cambria" w:hAnsi="Cambria"/>
          <w:sz w:val="16"/>
          <w:szCs w:val="16"/>
          <w:lang w:val="es-ES"/>
        </w:rPr>
        <w:t xml:space="preserve">. </w:t>
      </w:r>
      <w:proofErr w:type="spellStart"/>
      <w:r w:rsidRPr="00472CD8">
        <w:rPr>
          <w:rFonts w:ascii="Cambria" w:eastAsia="Cambria" w:hAnsi="Cambria"/>
          <w:sz w:val="16"/>
          <w:szCs w:val="16"/>
          <w:lang w:val="es-ES"/>
        </w:rPr>
        <w:t>February</w:t>
      </w:r>
      <w:proofErr w:type="spellEnd"/>
      <w:r w:rsidRPr="00472CD8">
        <w:rPr>
          <w:rFonts w:ascii="Cambria" w:eastAsia="Cambria" w:hAnsi="Cambria"/>
          <w:sz w:val="16"/>
          <w:szCs w:val="16"/>
          <w:lang w:val="es-ES"/>
        </w:rPr>
        <w:t xml:space="preserve"> 23, 1999, </w:t>
      </w:r>
      <w:proofErr w:type="spellStart"/>
      <w:r w:rsidRPr="00472CD8">
        <w:rPr>
          <w:rFonts w:ascii="Cambria" w:eastAsia="Cambria" w:hAnsi="Cambria"/>
          <w:sz w:val="16"/>
          <w:szCs w:val="16"/>
          <w:lang w:val="es-ES"/>
        </w:rPr>
        <w:t>paragraph</w:t>
      </w:r>
      <w:proofErr w:type="spellEnd"/>
      <w:r w:rsidRPr="00472CD8">
        <w:rPr>
          <w:rFonts w:ascii="Cambria" w:eastAsia="Cambria" w:hAnsi="Cambria"/>
          <w:sz w:val="16"/>
          <w:szCs w:val="16"/>
          <w:lang w:val="es-ES"/>
        </w:rPr>
        <w:t xml:space="preserve">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Default="009F693E"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B00D92" w:rsidRDefault="00B0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Default="00716936" w:rsidP="00A50FCF">
    <w:pPr>
      <w:pStyle w:val="Header"/>
      <w:tabs>
        <w:tab w:val="clear" w:pos="4320"/>
        <w:tab w:val="clear" w:pos="8640"/>
      </w:tabs>
      <w:jc w:val="center"/>
      <w:rPr>
        <w:sz w:val="22"/>
        <w:szCs w:val="22"/>
      </w:rPr>
    </w:pPr>
    <w:r>
      <w:rPr>
        <w:noProof/>
        <w:sz w:val="22"/>
        <w:szCs w:val="22"/>
      </w:rPr>
      <w:drawing>
        <wp:inline distT="0" distB="0" distL="0" distR="0" wp14:anchorId="3AA684E1" wp14:editId="21447851">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1.jpe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B00D92" w:rsidRPr="00EC7D62" w:rsidRDefault="00ED4E51" w:rsidP="00A50FCF">
    <w:pPr>
      <w:pStyle w:val="Header"/>
      <w:tabs>
        <w:tab w:val="clear" w:pos="4320"/>
        <w:tab w:val="clear" w:pos="8640"/>
      </w:tabs>
      <w:jc w:val="center"/>
      <w:rPr>
        <w:sz w:val="22"/>
        <w:szCs w:val="22"/>
      </w:rPr>
    </w:pPr>
    <w:r>
      <w:rPr>
        <w:sz w:val="22"/>
        <w:szCs w:val="22"/>
      </w:rPr>
      <w:pict w14:anchorId="5CA2FD1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563" w:rsidRDefault="0079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533EFF06"/>
    <w:lvl w:ilvl="0" w:tplc="943E97F2">
      <w:start w:val="1"/>
      <w:numFmt w:val="decimal"/>
      <w:lvlText w:val="%1."/>
      <w:lvlJc w:val="left"/>
      <w:pPr>
        <w:tabs>
          <w:tab w:val="num" w:pos="720"/>
        </w:tabs>
        <w:ind w:firstLine="720"/>
      </w:pPr>
      <w:rPr>
        <w:rFonts w:cs="Times New Roman" w:hint="default"/>
        <w:b w:val="0"/>
        <w:color w:val="auto"/>
        <w:sz w:val="20"/>
        <w:szCs w:val="20"/>
      </w:rPr>
    </w:lvl>
    <w:lvl w:ilvl="1" w:tplc="BD18D088" w:tentative="1">
      <w:start w:val="1"/>
      <w:numFmt w:val="lowerLetter"/>
      <w:lvlText w:val="%2."/>
      <w:lvlJc w:val="left"/>
      <w:pPr>
        <w:tabs>
          <w:tab w:val="num" w:pos="1440"/>
        </w:tabs>
        <w:ind w:left="1440" w:hanging="360"/>
      </w:pPr>
      <w:rPr>
        <w:rFonts w:cs="Times New Roman"/>
      </w:rPr>
    </w:lvl>
    <w:lvl w:ilvl="2" w:tplc="A6AA6D22" w:tentative="1">
      <w:start w:val="1"/>
      <w:numFmt w:val="lowerRoman"/>
      <w:lvlText w:val="%3."/>
      <w:lvlJc w:val="right"/>
      <w:pPr>
        <w:tabs>
          <w:tab w:val="num" w:pos="2160"/>
        </w:tabs>
        <w:ind w:left="2160" w:hanging="180"/>
      </w:pPr>
      <w:rPr>
        <w:rFonts w:cs="Times New Roman"/>
      </w:rPr>
    </w:lvl>
    <w:lvl w:ilvl="3" w:tplc="4BF0C2AC" w:tentative="1">
      <w:start w:val="1"/>
      <w:numFmt w:val="decimal"/>
      <w:lvlText w:val="%4."/>
      <w:lvlJc w:val="left"/>
      <w:pPr>
        <w:tabs>
          <w:tab w:val="num" w:pos="2880"/>
        </w:tabs>
        <w:ind w:left="2880" w:hanging="360"/>
      </w:pPr>
      <w:rPr>
        <w:rFonts w:cs="Times New Roman"/>
      </w:rPr>
    </w:lvl>
    <w:lvl w:ilvl="4" w:tplc="D02CB5B6" w:tentative="1">
      <w:start w:val="1"/>
      <w:numFmt w:val="lowerLetter"/>
      <w:lvlText w:val="%5."/>
      <w:lvlJc w:val="left"/>
      <w:pPr>
        <w:tabs>
          <w:tab w:val="num" w:pos="3600"/>
        </w:tabs>
        <w:ind w:left="3600" w:hanging="360"/>
      </w:pPr>
      <w:rPr>
        <w:rFonts w:cs="Times New Roman"/>
      </w:rPr>
    </w:lvl>
    <w:lvl w:ilvl="5" w:tplc="BC0CCAD4" w:tentative="1">
      <w:start w:val="1"/>
      <w:numFmt w:val="lowerRoman"/>
      <w:lvlText w:val="%6."/>
      <w:lvlJc w:val="right"/>
      <w:pPr>
        <w:tabs>
          <w:tab w:val="num" w:pos="4320"/>
        </w:tabs>
        <w:ind w:left="4320" w:hanging="180"/>
      </w:pPr>
      <w:rPr>
        <w:rFonts w:cs="Times New Roman"/>
      </w:rPr>
    </w:lvl>
    <w:lvl w:ilvl="6" w:tplc="E3E8FE3E" w:tentative="1">
      <w:start w:val="1"/>
      <w:numFmt w:val="decimal"/>
      <w:lvlText w:val="%7."/>
      <w:lvlJc w:val="left"/>
      <w:pPr>
        <w:tabs>
          <w:tab w:val="num" w:pos="5040"/>
        </w:tabs>
        <w:ind w:left="5040" w:hanging="360"/>
      </w:pPr>
      <w:rPr>
        <w:rFonts w:cs="Times New Roman"/>
      </w:rPr>
    </w:lvl>
    <w:lvl w:ilvl="7" w:tplc="2DF456DC" w:tentative="1">
      <w:start w:val="1"/>
      <w:numFmt w:val="lowerLetter"/>
      <w:lvlText w:val="%8."/>
      <w:lvlJc w:val="left"/>
      <w:pPr>
        <w:tabs>
          <w:tab w:val="num" w:pos="5760"/>
        </w:tabs>
        <w:ind w:left="5760" w:hanging="360"/>
      </w:pPr>
      <w:rPr>
        <w:rFonts w:cs="Times New Roman"/>
      </w:rPr>
    </w:lvl>
    <w:lvl w:ilvl="8" w:tplc="87949C96"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8E375B0"/>
    <w:multiLevelType w:val="hybridMultilevel"/>
    <w:tmpl w:val="3990BC18"/>
    <w:lvl w:ilvl="0" w:tplc="E9AC07E4">
      <w:start w:val="1"/>
      <w:numFmt w:val="decimal"/>
      <w:lvlText w:val="%1."/>
      <w:lvlJc w:val="left"/>
      <w:pPr>
        <w:tabs>
          <w:tab w:val="num" w:pos="720"/>
        </w:tabs>
        <w:ind w:firstLine="720"/>
      </w:pPr>
      <w:rPr>
        <w:rFonts w:cs="Times New Roman" w:hint="default"/>
        <w:color w:val="auto"/>
        <w:sz w:val="20"/>
        <w:szCs w:val="20"/>
      </w:rPr>
    </w:lvl>
    <w:lvl w:ilvl="1" w:tplc="0C78B1F0" w:tentative="1">
      <w:start w:val="1"/>
      <w:numFmt w:val="lowerLetter"/>
      <w:lvlText w:val="%2."/>
      <w:lvlJc w:val="left"/>
      <w:pPr>
        <w:tabs>
          <w:tab w:val="num" w:pos="1440"/>
        </w:tabs>
        <w:ind w:left="1440" w:hanging="360"/>
      </w:pPr>
      <w:rPr>
        <w:rFonts w:cs="Times New Roman"/>
      </w:rPr>
    </w:lvl>
    <w:lvl w:ilvl="2" w:tplc="C9126656" w:tentative="1">
      <w:start w:val="1"/>
      <w:numFmt w:val="lowerRoman"/>
      <w:lvlText w:val="%3."/>
      <w:lvlJc w:val="right"/>
      <w:pPr>
        <w:tabs>
          <w:tab w:val="num" w:pos="2160"/>
        </w:tabs>
        <w:ind w:left="2160" w:hanging="180"/>
      </w:pPr>
      <w:rPr>
        <w:rFonts w:cs="Times New Roman"/>
      </w:rPr>
    </w:lvl>
    <w:lvl w:ilvl="3" w:tplc="5DE21F20" w:tentative="1">
      <w:start w:val="1"/>
      <w:numFmt w:val="decimal"/>
      <w:lvlText w:val="%4."/>
      <w:lvlJc w:val="left"/>
      <w:pPr>
        <w:tabs>
          <w:tab w:val="num" w:pos="2880"/>
        </w:tabs>
        <w:ind w:left="2880" w:hanging="360"/>
      </w:pPr>
      <w:rPr>
        <w:rFonts w:cs="Times New Roman"/>
      </w:rPr>
    </w:lvl>
    <w:lvl w:ilvl="4" w:tplc="67C0B3AC" w:tentative="1">
      <w:start w:val="1"/>
      <w:numFmt w:val="lowerLetter"/>
      <w:lvlText w:val="%5."/>
      <w:lvlJc w:val="left"/>
      <w:pPr>
        <w:tabs>
          <w:tab w:val="num" w:pos="3600"/>
        </w:tabs>
        <w:ind w:left="3600" w:hanging="360"/>
      </w:pPr>
      <w:rPr>
        <w:rFonts w:cs="Times New Roman"/>
      </w:rPr>
    </w:lvl>
    <w:lvl w:ilvl="5" w:tplc="767AB7D0" w:tentative="1">
      <w:start w:val="1"/>
      <w:numFmt w:val="lowerRoman"/>
      <w:lvlText w:val="%6."/>
      <w:lvlJc w:val="right"/>
      <w:pPr>
        <w:tabs>
          <w:tab w:val="num" w:pos="4320"/>
        </w:tabs>
        <w:ind w:left="4320" w:hanging="180"/>
      </w:pPr>
      <w:rPr>
        <w:rFonts w:cs="Times New Roman"/>
      </w:rPr>
    </w:lvl>
    <w:lvl w:ilvl="6" w:tplc="2EBC4DFA" w:tentative="1">
      <w:start w:val="1"/>
      <w:numFmt w:val="decimal"/>
      <w:lvlText w:val="%7."/>
      <w:lvlJc w:val="left"/>
      <w:pPr>
        <w:tabs>
          <w:tab w:val="num" w:pos="5040"/>
        </w:tabs>
        <w:ind w:left="5040" w:hanging="360"/>
      </w:pPr>
      <w:rPr>
        <w:rFonts w:cs="Times New Roman"/>
      </w:rPr>
    </w:lvl>
    <w:lvl w:ilvl="7" w:tplc="D22A2106" w:tentative="1">
      <w:start w:val="1"/>
      <w:numFmt w:val="lowerLetter"/>
      <w:lvlText w:val="%8."/>
      <w:lvlJc w:val="left"/>
      <w:pPr>
        <w:tabs>
          <w:tab w:val="num" w:pos="5760"/>
        </w:tabs>
        <w:ind w:left="5760" w:hanging="360"/>
      </w:pPr>
      <w:rPr>
        <w:rFonts w:cs="Times New Roman"/>
      </w:rPr>
    </w:lvl>
    <w:lvl w:ilvl="8" w:tplc="5C5A53C2"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60E281B"/>
    <w:multiLevelType w:val="hybridMultilevel"/>
    <w:tmpl w:val="D4EA90BE"/>
    <w:lvl w:ilvl="0" w:tplc="FF8E95AC">
      <w:start w:val="1"/>
      <w:numFmt w:val="decimal"/>
      <w:lvlText w:val="%1."/>
      <w:lvlJc w:val="left"/>
      <w:pPr>
        <w:tabs>
          <w:tab w:val="num" w:pos="720"/>
        </w:tabs>
        <w:ind w:firstLine="720"/>
      </w:pPr>
      <w:rPr>
        <w:rFonts w:cs="Times New Roman" w:hint="default"/>
        <w:i w:val="0"/>
        <w:color w:val="auto"/>
      </w:rPr>
    </w:lvl>
    <w:lvl w:ilvl="1" w:tplc="4CD4ED2C">
      <w:start w:val="1"/>
      <w:numFmt w:val="lowerLetter"/>
      <w:lvlText w:val="%2."/>
      <w:lvlJc w:val="left"/>
      <w:pPr>
        <w:tabs>
          <w:tab w:val="num" w:pos="1440"/>
        </w:tabs>
        <w:ind w:left="1440" w:hanging="360"/>
      </w:pPr>
      <w:rPr>
        <w:rFonts w:cs="Times New Roman"/>
      </w:rPr>
    </w:lvl>
    <w:lvl w:ilvl="2" w:tplc="3A30C88C" w:tentative="1">
      <w:start w:val="1"/>
      <w:numFmt w:val="lowerRoman"/>
      <w:lvlText w:val="%3."/>
      <w:lvlJc w:val="right"/>
      <w:pPr>
        <w:tabs>
          <w:tab w:val="num" w:pos="2160"/>
        </w:tabs>
        <w:ind w:left="2160" w:hanging="180"/>
      </w:pPr>
      <w:rPr>
        <w:rFonts w:cs="Times New Roman"/>
      </w:rPr>
    </w:lvl>
    <w:lvl w:ilvl="3" w:tplc="595A2CEC" w:tentative="1">
      <w:start w:val="1"/>
      <w:numFmt w:val="decimal"/>
      <w:lvlText w:val="%4."/>
      <w:lvlJc w:val="left"/>
      <w:pPr>
        <w:tabs>
          <w:tab w:val="num" w:pos="2880"/>
        </w:tabs>
        <w:ind w:left="2880" w:hanging="360"/>
      </w:pPr>
      <w:rPr>
        <w:rFonts w:cs="Times New Roman"/>
      </w:rPr>
    </w:lvl>
    <w:lvl w:ilvl="4" w:tplc="E7B81078" w:tentative="1">
      <w:start w:val="1"/>
      <w:numFmt w:val="lowerLetter"/>
      <w:lvlText w:val="%5."/>
      <w:lvlJc w:val="left"/>
      <w:pPr>
        <w:tabs>
          <w:tab w:val="num" w:pos="3600"/>
        </w:tabs>
        <w:ind w:left="3600" w:hanging="360"/>
      </w:pPr>
      <w:rPr>
        <w:rFonts w:cs="Times New Roman"/>
      </w:rPr>
    </w:lvl>
    <w:lvl w:ilvl="5" w:tplc="496E99C8" w:tentative="1">
      <w:start w:val="1"/>
      <w:numFmt w:val="lowerRoman"/>
      <w:lvlText w:val="%6."/>
      <w:lvlJc w:val="right"/>
      <w:pPr>
        <w:tabs>
          <w:tab w:val="num" w:pos="4320"/>
        </w:tabs>
        <w:ind w:left="4320" w:hanging="180"/>
      </w:pPr>
      <w:rPr>
        <w:rFonts w:cs="Times New Roman"/>
      </w:rPr>
    </w:lvl>
    <w:lvl w:ilvl="6" w:tplc="148C9AD4" w:tentative="1">
      <w:start w:val="1"/>
      <w:numFmt w:val="decimal"/>
      <w:lvlText w:val="%7."/>
      <w:lvlJc w:val="left"/>
      <w:pPr>
        <w:tabs>
          <w:tab w:val="num" w:pos="5040"/>
        </w:tabs>
        <w:ind w:left="5040" w:hanging="360"/>
      </w:pPr>
      <w:rPr>
        <w:rFonts w:cs="Times New Roman"/>
      </w:rPr>
    </w:lvl>
    <w:lvl w:ilvl="7" w:tplc="2626E086" w:tentative="1">
      <w:start w:val="1"/>
      <w:numFmt w:val="lowerLetter"/>
      <w:lvlText w:val="%8."/>
      <w:lvlJc w:val="left"/>
      <w:pPr>
        <w:tabs>
          <w:tab w:val="num" w:pos="5760"/>
        </w:tabs>
        <w:ind w:left="5760" w:hanging="360"/>
      </w:pPr>
      <w:rPr>
        <w:rFonts w:cs="Times New Roman"/>
      </w:rPr>
    </w:lvl>
    <w:lvl w:ilvl="8" w:tplc="021C3310"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CB7463"/>
    <w:multiLevelType w:val="hybridMultilevel"/>
    <w:tmpl w:val="3990BC18"/>
    <w:lvl w:ilvl="0" w:tplc="6C568B96">
      <w:start w:val="1"/>
      <w:numFmt w:val="decimal"/>
      <w:lvlText w:val="%1."/>
      <w:lvlJc w:val="left"/>
      <w:pPr>
        <w:tabs>
          <w:tab w:val="num" w:pos="720"/>
        </w:tabs>
        <w:ind w:firstLine="720"/>
      </w:pPr>
      <w:rPr>
        <w:rFonts w:cs="Times New Roman" w:hint="default"/>
        <w:color w:val="auto"/>
        <w:sz w:val="20"/>
        <w:szCs w:val="20"/>
      </w:rPr>
    </w:lvl>
    <w:lvl w:ilvl="1" w:tplc="83FE0D9C" w:tentative="1">
      <w:start w:val="1"/>
      <w:numFmt w:val="lowerLetter"/>
      <w:lvlText w:val="%2."/>
      <w:lvlJc w:val="left"/>
      <w:pPr>
        <w:tabs>
          <w:tab w:val="num" w:pos="1440"/>
        </w:tabs>
        <w:ind w:left="1440" w:hanging="360"/>
      </w:pPr>
      <w:rPr>
        <w:rFonts w:cs="Times New Roman"/>
      </w:rPr>
    </w:lvl>
    <w:lvl w:ilvl="2" w:tplc="876A8892" w:tentative="1">
      <w:start w:val="1"/>
      <w:numFmt w:val="lowerRoman"/>
      <w:lvlText w:val="%3."/>
      <w:lvlJc w:val="right"/>
      <w:pPr>
        <w:tabs>
          <w:tab w:val="num" w:pos="2160"/>
        </w:tabs>
        <w:ind w:left="2160" w:hanging="180"/>
      </w:pPr>
      <w:rPr>
        <w:rFonts w:cs="Times New Roman"/>
      </w:rPr>
    </w:lvl>
    <w:lvl w:ilvl="3" w:tplc="B3265AB8" w:tentative="1">
      <w:start w:val="1"/>
      <w:numFmt w:val="decimal"/>
      <w:lvlText w:val="%4."/>
      <w:lvlJc w:val="left"/>
      <w:pPr>
        <w:tabs>
          <w:tab w:val="num" w:pos="2880"/>
        </w:tabs>
        <w:ind w:left="2880" w:hanging="360"/>
      </w:pPr>
      <w:rPr>
        <w:rFonts w:cs="Times New Roman"/>
      </w:rPr>
    </w:lvl>
    <w:lvl w:ilvl="4" w:tplc="BD0C02F4" w:tentative="1">
      <w:start w:val="1"/>
      <w:numFmt w:val="lowerLetter"/>
      <w:lvlText w:val="%5."/>
      <w:lvlJc w:val="left"/>
      <w:pPr>
        <w:tabs>
          <w:tab w:val="num" w:pos="3600"/>
        </w:tabs>
        <w:ind w:left="3600" w:hanging="360"/>
      </w:pPr>
      <w:rPr>
        <w:rFonts w:cs="Times New Roman"/>
      </w:rPr>
    </w:lvl>
    <w:lvl w:ilvl="5" w:tplc="9D60F24E" w:tentative="1">
      <w:start w:val="1"/>
      <w:numFmt w:val="lowerRoman"/>
      <w:lvlText w:val="%6."/>
      <w:lvlJc w:val="right"/>
      <w:pPr>
        <w:tabs>
          <w:tab w:val="num" w:pos="4320"/>
        </w:tabs>
        <w:ind w:left="4320" w:hanging="180"/>
      </w:pPr>
      <w:rPr>
        <w:rFonts w:cs="Times New Roman"/>
      </w:rPr>
    </w:lvl>
    <w:lvl w:ilvl="6" w:tplc="2946A9D2" w:tentative="1">
      <w:start w:val="1"/>
      <w:numFmt w:val="decimal"/>
      <w:lvlText w:val="%7."/>
      <w:lvlJc w:val="left"/>
      <w:pPr>
        <w:tabs>
          <w:tab w:val="num" w:pos="5040"/>
        </w:tabs>
        <w:ind w:left="5040" w:hanging="360"/>
      </w:pPr>
      <w:rPr>
        <w:rFonts w:cs="Times New Roman"/>
      </w:rPr>
    </w:lvl>
    <w:lvl w:ilvl="7" w:tplc="47AACC1E" w:tentative="1">
      <w:start w:val="1"/>
      <w:numFmt w:val="lowerLetter"/>
      <w:lvlText w:val="%8."/>
      <w:lvlJc w:val="left"/>
      <w:pPr>
        <w:tabs>
          <w:tab w:val="num" w:pos="5760"/>
        </w:tabs>
        <w:ind w:left="5760" w:hanging="360"/>
      </w:pPr>
      <w:rPr>
        <w:rFonts w:cs="Times New Roman"/>
      </w:rPr>
    </w:lvl>
    <w:lvl w:ilvl="8" w:tplc="1FA69430"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410F5D"/>
    <w:multiLevelType w:val="hybridMultilevel"/>
    <w:tmpl w:val="3990BC18"/>
    <w:lvl w:ilvl="0" w:tplc="CD640A24">
      <w:start w:val="1"/>
      <w:numFmt w:val="decimal"/>
      <w:lvlText w:val="%1."/>
      <w:lvlJc w:val="left"/>
      <w:pPr>
        <w:tabs>
          <w:tab w:val="num" w:pos="720"/>
        </w:tabs>
        <w:ind w:firstLine="720"/>
      </w:pPr>
      <w:rPr>
        <w:rFonts w:cs="Times New Roman" w:hint="default"/>
        <w:color w:val="auto"/>
        <w:sz w:val="20"/>
        <w:szCs w:val="20"/>
      </w:rPr>
    </w:lvl>
    <w:lvl w:ilvl="1" w:tplc="590EFA10" w:tentative="1">
      <w:start w:val="1"/>
      <w:numFmt w:val="lowerLetter"/>
      <w:lvlText w:val="%2."/>
      <w:lvlJc w:val="left"/>
      <w:pPr>
        <w:tabs>
          <w:tab w:val="num" w:pos="1440"/>
        </w:tabs>
        <w:ind w:left="1440" w:hanging="360"/>
      </w:pPr>
      <w:rPr>
        <w:rFonts w:cs="Times New Roman"/>
      </w:rPr>
    </w:lvl>
    <w:lvl w:ilvl="2" w:tplc="FA46F3FC" w:tentative="1">
      <w:start w:val="1"/>
      <w:numFmt w:val="lowerRoman"/>
      <w:lvlText w:val="%3."/>
      <w:lvlJc w:val="right"/>
      <w:pPr>
        <w:tabs>
          <w:tab w:val="num" w:pos="2160"/>
        </w:tabs>
        <w:ind w:left="2160" w:hanging="180"/>
      </w:pPr>
      <w:rPr>
        <w:rFonts w:cs="Times New Roman"/>
      </w:rPr>
    </w:lvl>
    <w:lvl w:ilvl="3" w:tplc="989AE2EA" w:tentative="1">
      <w:start w:val="1"/>
      <w:numFmt w:val="decimal"/>
      <w:lvlText w:val="%4."/>
      <w:lvlJc w:val="left"/>
      <w:pPr>
        <w:tabs>
          <w:tab w:val="num" w:pos="2880"/>
        </w:tabs>
        <w:ind w:left="2880" w:hanging="360"/>
      </w:pPr>
      <w:rPr>
        <w:rFonts w:cs="Times New Roman"/>
      </w:rPr>
    </w:lvl>
    <w:lvl w:ilvl="4" w:tplc="CEB6B484" w:tentative="1">
      <w:start w:val="1"/>
      <w:numFmt w:val="lowerLetter"/>
      <w:lvlText w:val="%5."/>
      <w:lvlJc w:val="left"/>
      <w:pPr>
        <w:tabs>
          <w:tab w:val="num" w:pos="3600"/>
        </w:tabs>
        <w:ind w:left="3600" w:hanging="360"/>
      </w:pPr>
      <w:rPr>
        <w:rFonts w:cs="Times New Roman"/>
      </w:rPr>
    </w:lvl>
    <w:lvl w:ilvl="5" w:tplc="9E8612F0" w:tentative="1">
      <w:start w:val="1"/>
      <w:numFmt w:val="lowerRoman"/>
      <w:lvlText w:val="%6."/>
      <w:lvlJc w:val="right"/>
      <w:pPr>
        <w:tabs>
          <w:tab w:val="num" w:pos="4320"/>
        </w:tabs>
        <w:ind w:left="4320" w:hanging="180"/>
      </w:pPr>
      <w:rPr>
        <w:rFonts w:cs="Times New Roman"/>
      </w:rPr>
    </w:lvl>
    <w:lvl w:ilvl="6" w:tplc="D04C6E60" w:tentative="1">
      <w:start w:val="1"/>
      <w:numFmt w:val="decimal"/>
      <w:lvlText w:val="%7."/>
      <w:lvlJc w:val="left"/>
      <w:pPr>
        <w:tabs>
          <w:tab w:val="num" w:pos="5040"/>
        </w:tabs>
        <w:ind w:left="5040" w:hanging="360"/>
      </w:pPr>
      <w:rPr>
        <w:rFonts w:cs="Times New Roman"/>
      </w:rPr>
    </w:lvl>
    <w:lvl w:ilvl="7" w:tplc="DE282BDC" w:tentative="1">
      <w:start w:val="1"/>
      <w:numFmt w:val="lowerLetter"/>
      <w:lvlText w:val="%8."/>
      <w:lvlJc w:val="left"/>
      <w:pPr>
        <w:tabs>
          <w:tab w:val="num" w:pos="5760"/>
        </w:tabs>
        <w:ind w:left="5760" w:hanging="360"/>
      </w:pPr>
      <w:rPr>
        <w:rFonts w:cs="Times New Roman"/>
      </w:rPr>
    </w:lvl>
    <w:lvl w:ilvl="8" w:tplc="EF64721C" w:tentative="1">
      <w:start w:val="1"/>
      <w:numFmt w:val="lowerRoman"/>
      <w:lvlText w:val="%9."/>
      <w:lvlJc w:val="right"/>
      <w:pPr>
        <w:tabs>
          <w:tab w:val="num" w:pos="6480"/>
        </w:tabs>
        <w:ind w:left="6480" w:hanging="180"/>
      </w:pPr>
      <w:rPr>
        <w:rFonts w:cs="Times New Roman"/>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6542631E"/>
    <w:multiLevelType w:val="hybridMultilevel"/>
    <w:tmpl w:val="3990BC18"/>
    <w:lvl w:ilvl="0" w:tplc="17B0402A">
      <w:start w:val="1"/>
      <w:numFmt w:val="decimal"/>
      <w:lvlText w:val="%1."/>
      <w:lvlJc w:val="left"/>
      <w:pPr>
        <w:tabs>
          <w:tab w:val="num" w:pos="720"/>
        </w:tabs>
        <w:ind w:firstLine="720"/>
      </w:pPr>
      <w:rPr>
        <w:rFonts w:cs="Times New Roman" w:hint="default"/>
        <w:color w:val="auto"/>
        <w:sz w:val="20"/>
        <w:szCs w:val="20"/>
      </w:rPr>
    </w:lvl>
    <w:lvl w:ilvl="1" w:tplc="D7B49F3A" w:tentative="1">
      <w:start w:val="1"/>
      <w:numFmt w:val="lowerLetter"/>
      <w:lvlText w:val="%2."/>
      <w:lvlJc w:val="left"/>
      <w:pPr>
        <w:tabs>
          <w:tab w:val="num" w:pos="1440"/>
        </w:tabs>
        <w:ind w:left="1440" w:hanging="360"/>
      </w:pPr>
      <w:rPr>
        <w:rFonts w:cs="Times New Roman"/>
      </w:rPr>
    </w:lvl>
    <w:lvl w:ilvl="2" w:tplc="12827490" w:tentative="1">
      <w:start w:val="1"/>
      <w:numFmt w:val="lowerRoman"/>
      <w:lvlText w:val="%3."/>
      <w:lvlJc w:val="right"/>
      <w:pPr>
        <w:tabs>
          <w:tab w:val="num" w:pos="2160"/>
        </w:tabs>
        <w:ind w:left="2160" w:hanging="180"/>
      </w:pPr>
      <w:rPr>
        <w:rFonts w:cs="Times New Roman"/>
      </w:rPr>
    </w:lvl>
    <w:lvl w:ilvl="3" w:tplc="473C5322" w:tentative="1">
      <w:start w:val="1"/>
      <w:numFmt w:val="decimal"/>
      <w:lvlText w:val="%4."/>
      <w:lvlJc w:val="left"/>
      <w:pPr>
        <w:tabs>
          <w:tab w:val="num" w:pos="2880"/>
        </w:tabs>
        <w:ind w:left="2880" w:hanging="360"/>
      </w:pPr>
      <w:rPr>
        <w:rFonts w:cs="Times New Roman"/>
      </w:rPr>
    </w:lvl>
    <w:lvl w:ilvl="4" w:tplc="CBEC94E6" w:tentative="1">
      <w:start w:val="1"/>
      <w:numFmt w:val="lowerLetter"/>
      <w:lvlText w:val="%5."/>
      <w:lvlJc w:val="left"/>
      <w:pPr>
        <w:tabs>
          <w:tab w:val="num" w:pos="3600"/>
        </w:tabs>
        <w:ind w:left="3600" w:hanging="360"/>
      </w:pPr>
      <w:rPr>
        <w:rFonts w:cs="Times New Roman"/>
      </w:rPr>
    </w:lvl>
    <w:lvl w:ilvl="5" w:tplc="AFD619F4" w:tentative="1">
      <w:start w:val="1"/>
      <w:numFmt w:val="lowerRoman"/>
      <w:lvlText w:val="%6."/>
      <w:lvlJc w:val="right"/>
      <w:pPr>
        <w:tabs>
          <w:tab w:val="num" w:pos="4320"/>
        </w:tabs>
        <w:ind w:left="4320" w:hanging="180"/>
      </w:pPr>
      <w:rPr>
        <w:rFonts w:cs="Times New Roman"/>
      </w:rPr>
    </w:lvl>
    <w:lvl w:ilvl="6" w:tplc="15022C3A" w:tentative="1">
      <w:start w:val="1"/>
      <w:numFmt w:val="decimal"/>
      <w:lvlText w:val="%7."/>
      <w:lvlJc w:val="left"/>
      <w:pPr>
        <w:tabs>
          <w:tab w:val="num" w:pos="5040"/>
        </w:tabs>
        <w:ind w:left="5040" w:hanging="360"/>
      </w:pPr>
      <w:rPr>
        <w:rFonts w:cs="Times New Roman"/>
      </w:rPr>
    </w:lvl>
    <w:lvl w:ilvl="7" w:tplc="003098A4" w:tentative="1">
      <w:start w:val="1"/>
      <w:numFmt w:val="lowerLetter"/>
      <w:lvlText w:val="%8."/>
      <w:lvlJc w:val="left"/>
      <w:pPr>
        <w:tabs>
          <w:tab w:val="num" w:pos="5760"/>
        </w:tabs>
        <w:ind w:left="5760" w:hanging="360"/>
      </w:pPr>
      <w:rPr>
        <w:rFonts w:cs="Times New Roman"/>
      </w:rPr>
    </w:lvl>
    <w:lvl w:ilvl="8" w:tplc="6DF8530C"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15:restartNumberingAfterBreak="0">
    <w:nsid w:val="6CB10352"/>
    <w:multiLevelType w:val="hybridMultilevel"/>
    <w:tmpl w:val="3990BC18"/>
    <w:lvl w:ilvl="0" w:tplc="10BC6D4E">
      <w:start w:val="1"/>
      <w:numFmt w:val="decimal"/>
      <w:lvlText w:val="%1."/>
      <w:lvlJc w:val="left"/>
      <w:pPr>
        <w:tabs>
          <w:tab w:val="num" w:pos="720"/>
        </w:tabs>
        <w:ind w:firstLine="720"/>
      </w:pPr>
      <w:rPr>
        <w:rFonts w:cs="Times New Roman" w:hint="default"/>
        <w:color w:val="auto"/>
        <w:sz w:val="20"/>
        <w:szCs w:val="20"/>
      </w:rPr>
    </w:lvl>
    <w:lvl w:ilvl="1" w:tplc="C6B4A41E" w:tentative="1">
      <w:start w:val="1"/>
      <w:numFmt w:val="lowerLetter"/>
      <w:lvlText w:val="%2."/>
      <w:lvlJc w:val="left"/>
      <w:pPr>
        <w:tabs>
          <w:tab w:val="num" w:pos="1440"/>
        </w:tabs>
        <w:ind w:left="1440" w:hanging="360"/>
      </w:pPr>
      <w:rPr>
        <w:rFonts w:cs="Times New Roman"/>
      </w:rPr>
    </w:lvl>
    <w:lvl w:ilvl="2" w:tplc="B6B4B0BC" w:tentative="1">
      <w:start w:val="1"/>
      <w:numFmt w:val="lowerRoman"/>
      <w:lvlText w:val="%3."/>
      <w:lvlJc w:val="right"/>
      <w:pPr>
        <w:tabs>
          <w:tab w:val="num" w:pos="2160"/>
        </w:tabs>
        <w:ind w:left="2160" w:hanging="180"/>
      </w:pPr>
      <w:rPr>
        <w:rFonts w:cs="Times New Roman"/>
      </w:rPr>
    </w:lvl>
    <w:lvl w:ilvl="3" w:tplc="A52E4024" w:tentative="1">
      <w:start w:val="1"/>
      <w:numFmt w:val="decimal"/>
      <w:lvlText w:val="%4."/>
      <w:lvlJc w:val="left"/>
      <w:pPr>
        <w:tabs>
          <w:tab w:val="num" w:pos="2880"/>
        </w:tabs>
        <w:ind w:left="2880" w:hanging="360"/>
      </w:pPr>
      <w:rPr>
        <w:rFonts w:cs="Times New Roman"/>
      </w:rPr>
    </w:lvl>
    <w:lvl w:ilvl="4" w:tplc="0E24EAB2" w:tentative="1">
      <w:start w:val="1"/>
      <w:numFmt w:val="lowerLetter"/>
      <w:lvlText w:val="%5."/>
      <w:lvlJc w:val="left"/>
      <w:pPr>
        <w:tabs>
          <w:tab w:val="num" w:pos="3600"/>
        </w:tabs>
        <w:ind w:left="3600" w:hanging="360"/>
      </w:pPr>
      <w:rPr>
        <w:rFonts w:cs="Times New Roman"/>
      </w:rPr>
    </w:lvl>
    <w:lvl w:ilvl="5" w:tplc="46B26E18" w:tentative="1">
      <w:start w:val="1"/>
      <w:numFmt w:val="lowerRoman"/>
      <w:lvlText w:val="%6."/>
      <w:lvlJc w:val="right"/>
      <w:pPr>
        <w:tabs>
          <w:tab w:val="num" w:pos="4320"/>
        </w:tabs>
        <w:ind w:left="4320" w:hanging="180"/>
      </w:pPr>
      <w:rPr>
        <w:rFonts w:cs="Times New Roman"/>
      </w:rPr>
    </w:lvl>
    <w:lvl w:ilvl="6" w:tplc="0FC0BEB2" w:tentative="1">
      <w:start w:val="1"/>
      <w:numFmt w:val="decimal"/>
      <w:lvlText w:val="%7."/>
      <w:lvlJc w:val="left"/>
      <w:pPr>
        <w:tabs>
          <w:tab w:val="num" w:pos="5040"/>
        </w:tabs>
        <w:ind w:left="5040" w:hanging="360"/>
      </w:pPr>
      <w:rPr>
        <w:rFonts w:cs="Times New Roman"/>
      </w:rPr>
    </w:lvl>
    <w:lvl w:ilvl="7" w:tplc="2F64739A" w:tentative="1">
      <w:start w:val="1"/>
      <w:numFmt w:val="lowerLetter"/>
      <w:lvlText w:val="%8."/>
      <w:lvlJc w:val="left"/>
      <w:pPr>
        <w:tabs>
          <w:tab w:val="num" w:pos="5760"/>
        </w:tabs>
        <w:ind w:left="5760" w:hanging="360"/>
      </w:pPr>
      <w:rPr>
        <w:rFonts w:cs="Times New Roman"/>
      </w:rPr>
    </w:lvl>
    <w:lvl w:ilvl="8" w:tplc="806423A4" w:tentative="1">
      <w:start w:val="1"/>
      <w:numFmt w:val="lowerRoman"/>
      <w:lvlText w:val="%9."/>
      <w:lvlJc w:val="right"/>
      <w:pPr>
        <w:tabs>
          <w:tab w:val="num" w:pos="6480"/>
        </w:tabs>
        <w:ind w:left="6480" w:hanging="180"/>
      </w:pPr>
      <w:rPr>
        <w:rFonts w:cs="Times New Roman"/>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374A79F4">
      <w:start w:val="1"/>
      <w:numFmt w:val="upperRoman"/>
      <w:pStyle w:val="Heading1"/>
      <w:lvlText w:val="%1."/>
      <w:lvlJc w:val="left"/>
      <w:pPr>
        <w:ind w:left="720" w:hanging="360"/>
      </w:pPr>
      <w:rPr>
        <w:rFonts w:cs="Times New Roman" w:hint="default"/>
      </w:rPr>
    </w:lvl>
    <w:lvl w:ilvl="1" w:tplc="176C1386" w:tentative="1">
      <w:start w:val="1"/>
      <w:numFmt w:val="lowerLetter"/>
      <w:lvlText w:val="%2."/>
      <w:lvlJc w:val="left"/>
      <w:pPr>
        <w:ind w:left="1440" w:hanging="360"/>
      </w:pPr>
      <w:rPr>
        <w:rFonts w:cs="Times New Roman"/>
      </w:rPr>
    </w:lvl>
    <w:lvl w:ilvl="2" w:tplc="7008444E" w:tentative="1">
      <w:start w:val="1"/>
      <w:numFmt w:val="lowerRoman"/>
      <w:lvlText w:val="%3."/>
      <w:lvlJc w:val="right"/>
      <w:pPr>
        <w:ind w:left="2160" w:hanging="180"/>
      </w:pPr>
      <w:rPr>
        <w:rFonts w:cs="Times New Roman"/>
      </w:rPr>
    </w:lvl>
    <w:lvl w:ilvl="3" w:tplc="B0287D7A" w:tentative="1">
      <w:start w:val="1"/>
      <w:numFmt w:val="decimal"/>
      <w:lvlText w:val="%4."/>
      <w:lvlJc w:val="left"/>
      <w:pPr>
        <w:ind w:left="2880" w:hanging="360"/>
      </w:pPr>
      <w:rPr>
        <w:rFonts w:cs="Times New Roman"/>
      </w:rPr>
    </w:lvl>
    <w:lvl w:ilvl="4" w:tplc="585C5B84" w:tentative="1">
      <w:start w:val="1"/>
      <w:numFmt w:val="lowerLetter"/>
      <w:lvlText w:val="%5."/>
      <w:lvlJc w:val="left"/>
      <w:pPr>
        <w:ind w:left="3600" w:hanging="360"/>
      </w:pPr>
      <w:rPr>
        <w:rFonts w:cs="Times New Roman"/>
      </w:rPr>
    </w:lvl>
    <w:lvl w:ilvl="5" w:tplc="6CF67152" w:tentative="1">
      <w:start w:val="1"/>
      <w:numFmt w:val="lowerRoman"/>
      <w:lvlText w:val="%6."/>
      <w:lvlJc w:val="right"/>
      <w:pPr>
        <w:ind w:left="4320" w:hanging="180"/>
      </w:pPr>
      <w:rPr>
        <w:rFonts w:cs="Times New Roman"/>
      </w:rPr>
    </w:lvl>
    <w:lvl w:ilvl="6" w:tplc="E5B4DD52" w:tentative="1">
      <w:start w:val="1"/>
      <w:numFmt w:val="decimal"/>
      <w:lvlText w:val="%7."/>
      <w:lvlJc w:val="left"/>
      <w:pPr>
        <w:ind w:left="5040" w:hanging="360"/>
      </w:pPr>
      <w:rPr>
        <w:rFonts w:cs="Times New Roman"/>
      </w:rPr>
    </w:lvl>
    <w:lvl w:ilvl="7" w:tplc="1A988806" w:tentative="1">
      <w:start w:val="1"/>
      <w:numFmt w:val="lowerLetter"/>
      <w:lvlText w:val="%8."/>
      <w:lvlJc w:val="left"/>
      <w:pPr>
        <w:ind w:left="5760" w:hanging="360"/>
      </w:pPr>
      <w:rPr>
        <w:rFonts w:cs="Times New Roman"/>
      </w:rPr>
    </w:lvl>
    <w:lvl w:ilvl="8" w:tplc="B22E3696"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5"/>
  </w:num>
  <w:num w:numId="4">
    <w:abstractNumId w:val="21"/>
  </w:num>
  <w:num w:numId="5">
    <w:abstractNumId w:val="48"/>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6"/>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39"/>
  </w:num>
  <w:num w:numId="53">
    <w:abstractNumId w:val="52"/>
  </w:num>
  <w:num w:numId="54">
    <w:abstractNumId w:val="45"/>
  </w:num>
  <w:num w:numId="55">
    <w:abstractNumId w:val="4"/>
  </w:num>
  <w:num w:numId="56">
    <w:abstractNumId w:val="41"/>
  </w:num>
  <w:num w:numId="57">
    <w:abstractNumId w:val="6"/>
  </w:num>
  <w:num w:numId="58">
    <w:abstractNumId w:val="44"/>
  </w:num>
  <w:num w:numId="59">
    <w:abstractNumId w:val="47"/>
  </w:num>
  <w:num w:numId="60">
    <w:abstractNumId w:val="50"/>
  </w:num>
  <w:num w:numId="61">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309"/>
    <w:rsid w:val="00001C97"/>
    <w:rsid w:val="000051A3"/>
    <w:rsid w:val="00006E1F"/>
    <w:rsid w:val="000070D7"/>
    <w:rsid w:val="00011C81"/>
    <w:rsid w:val="00013C45"/>
    <w:rsid w:val="00013ED9"/>
    <w:rsid w:val="0001423C"/>
    <w:rsid w:val="00015B5D"/>
    <w:rsid w:val="0001788C"/>
    <w:rsid w:val="000235F2"/>
    <w:rsid w:val="000248D9"/>
    <w:rsid w:val="00024DED"/>
    <w:rsid w:val="00026C65"/>
    <w:rsid w:val="00027A6A"/>
    <w:rsid w:val="000337EF"/>
    <w:rsid w:val="00033F92"/>
    <w:rsid w:val="00034211"/>
    <w:rsid w:val="0003690E"/>
    <w:rsid w:val="00036C4F"/>
    <w:rsid w:val="000406EF"/>
    <w:rsid w:val="00040C3A"/>
    <w:rsid w:val="000419AD"/>
    <w:rsid w:val="000433C9"/>
    <w:rsid w:val="000435CF"/>
    <w:rsid w:val="00051F92"/>
    <w:rsid w:val="00056997"/>
    <w:rsid w:val="00060755"/>
    <w:rsid w:val="000646B7"/>
    <w:rsid w:val="0007005C"/>
    <w:rsid w:val="00070F23"/>
    <w:rsid w:val="000716C5"/>
    <w:rsid w:val="00071ECA"/>
    <w:rsid w:val="00075E23"/>
    <w:rsid w:val="00085D8A"/>
    <w:rsid w:val="00086194"/>
    <w:rsid w:val="00087E8A"/>
    <w:rsid w:val="000900DE"/>
    <w:rsid w:val="000912F0"/>
    <w:rsid w:val="00091E60"/>
    <w:rsid w:val="0009344A"/>
    <w:rsid w:val="00093695"/>
    <w:rsid w:val="000967EE"/>
    <w:rsid w:val="000A0365"/>
    <w:rsid w:val="000A109C"/>
    <w:rsid w:val="000A392E"/>
    <w:rsid w:val="000A575F"/>
    <w:rsid w:val="000A5D12"/>
    <w:rsid w:val="000A7028"/>
    <w:rsid w:val="000B0219"/>
    <w:rsid w:val="000B490E"/>
    <w:rsid w:val="000C445F"/>
    <w:rsid w:val="000C537B"/>
    <w:rsid w:val="000C6080"/>
    <w:rsid w:val="000D10DB"/>
    <w:rsid w:val="000D1721"/>
    <w:rsid w:val="000D67B1"/>
    <w:rsid w:val="000D6EDA"/>
    <w:rsid w:val="000D77ED"/>
    <w:rsid w:val="000E31EC"/>
    <w:rsid w:val="000E5EB5"/>
    <w:rsid w:val="000E660A"/>
    <w:rsid w:val="000F1317"/>
    <w:rsid w:val="000F35ED"/>
    <w:rsid w:val="000F50B3"/>
    <w:rsid w:val="000F58DF"/>
    <w:rsid w:val="000F7AF4"/>
    <w:rsid w:val="000F7CA4"/>
    <w:rsid w:val="001001BA"/>
    <w:rsid w:val="00106400"/>
    <w:rsid w:val="00107131"/>
    <w:rsid w:val="0010736F"/>
    <w:rsid w:val="00110D63"/>
    <w:rsid w:val="00113F73"/>
    <w:rsid w:val="00121CC2"/>
    <w:rsid w:val="00126EFD"/>
    <w:rsid w:val="00127D3C"/>
    <w:rsid w:val="00133EE5"/>
    <w:rsid w:val="00134702"/>
    <w:rsid w:val="00140D7C"/>
    <w:rsid w:val="00151C27"/>
    <w:rsid w:val="001561EA"/>
    <w:rsid w:val="0015756A"/>
    <w:rsid w:val="00157F3E"/>
    <w:rsid w:val="00162711"/>
    <w:rsid w:val="00164F04"/>
    <w:rsid w:val="001652D1"/>
    <w:rsid w:val="00165C3F"/>
    <w:rsid w:val="00167A34"/>
    <w:rsid w:val="001751A7"/>
    <w:rsid w:val="00181439"/>
    <w:rsid w:val="00182F61"/>
    <w:rsid w:val="00183317"/>
    <w:rsid w:val="001842A8"/>
    <w:rsid w:val="001843CF"/>
    <w:rsid w:val="001910CA"/>
    <w:rsid w:val="00192508"/>
    <w:rsid w:val="001927A7"/>
    <w:rsid w:val="001927AB"/>
    <w:rsid w:val="001936FC"/>
    <w:rsid w:val="001A27E5"/>
    <w:rsid w:val="001A396B"/>
    <w:rsid w:val="001A645B"/>
    <w:rsid w:val="001A6462"/>
    <w:rsid w:val="001A7870"/>
    <w:rsid w:val="001B010C"/>
    <w:rsid w:val="001B10D5"/>
    <w:rsid w:val="001B3A00"/>
    <w:rsid w:val="001B690F"/>
    <w:rsid w:val="001B6B4B"/>
    <w:rsid w:val="001C160D"/>
    <w:rsid w:val="001C1B41"/>
    <w:rsid w:val="001C5C39"/>
    <w:rsid w:val="001C5C7F"/>
    <w:rsid w:val="001C6113"/>
    <w:rsid w:val="001C78C0"/>
    <w:rsid w:val="001D62BC"/>
    <w:rsid w:val="001D65EF"/>
    <w:rsid w:val="001E259C"/>
    <w:rsid w:val="001E49E7"/>
    <w:rsid w:val="001E7143"/>
    <w:rsid w:val="001F7201"/>
    <w:rsid w:val="002004C2"/>
    <w:rsid w:val="00200E6D"/>
    <w:rsid w:val="002016B0"/>
    <w:rsid w:val="002052DD"/>
    <w:rsid w:val="00206ACE"/>
    <w:rsid w:val="00212B95"/>
    <w:rsid w:val="002167C8"/>
    <w:rsid w:val="00220D04"/>
    <w:rsid w:val="00220FBB"/>
    <w:rsid w:val="00221293"/>
    <w:rsid w:val="00221753"/>
    <w:rsid w:val="0022230A"/>
    <w:rsid w:val="00223A29"/>
    <w:rsid w:val="00223FAC"/>
    <w:rsid w:val="002250A3"/>
    <w:rsid w:val="00227ABF"/>
    <w:rsid w:val="00230B04"/>
    <w:rsid w:val="00235217"/>
    <w:rsid w:val="00236644"/>
    <w:rsid w:val="00236B3C"/>
    <w:rsid w:val="00242867"/>
    <w:rsid w:val="00244416"/>
    <w:rsid w:val="00246D1F"/>
    <w:rsid w:val="00247347"/>
    <w:rsid w:val="00247403"/>
    <w:rsid w:val="00247542"/>
    <w:rsid w:val="00251139"/>
    <w:rsid w:val="00254453"/>
    <w:rsid w:val="00255D98"/>
    <w:rsid w:val="00263337"/>
    <w:rsid w:val="002638C9"/>
    <w:rsid w:val="00266B61"/>
    <w:rsid w:val="0026712A"/>
    <w:rsid w:val="002704DB"/>
    <w:rsid w:val="002726B3"/>
    <w:rsid w:val="0027578F"/>
    <w:rsid w:val="0028269C"/>
    <w:rsid w:val="002845DA"/>
    <w:rsid w:val="00286AF7"/>
    <w:rsid w:val="0028742F"/>
    <w:rsid w:val="00287580"/>
    <w:rsid w:val="00295FBB"/>
    <w:rsid w:val="00295FE0"/>
    <w:rsid w:val="00296E41"/>
    <w:rsid w:val="002A0AAE"/>
    <w:rsid w:val="002A2238"/>
    <w:rsid w:val="002A349A"/>
    <w:rsid w:val="002A4111"/>
    <w:rsid w:val="002A4CDC"/>
    <w:rsid w:val="002A5820"/>
    <w:rsid w:val="002B08EB"/>
    <w:rsid w:val="002B0DD2"/>
    <w:rsid w:val="002B2004"/>
    <w:rsid w:val="002B2C3C"/>
    <w:rsid w:val="002B6003"/>
    <w:rsid w:val="002B7408"/>
    <w:rsid w:val="002C1ED3"/>
    <w:rsid w:val="002C5663"/>
    <w:rsid w:val="002C6D0F"/>
    <w:rsid w:val="002C73D4"/>
    <w:rsid w:val="002D11B1"/>
    <w:rsid w:val="002D2B26"/>
    <w:rsid w:val="002D7EA2"/>
    <w:rsid w:val="002E05CC"/>
    <w:rsid w:val="002E187C"/>
    <w:rsid w:val="002E3431"/>
    <w:rsid w:val="002E6596"/>
    <w:rsid w:val="002F4300"/>
    <w:rsid w:val="002F51B7"/>
    <w:rsid w:val="002F75F5"/>
    <w:rsid w:val="002F7737"/>
    <w:rsid w:val="00302733"/>
    <w:rsid w:val="003061BF"/>
    <w:rsid w:val="00311EF8"/>
    <w:rsid w:val="00312BCD"/>
    <w:rsid w:val="00314078"/>
    <w:rsid w:val="0031535D"/>
    <w:rsid w:val="003239B8"/>
    <w:rsid w:val="00323C40"/>
    <w:rsid w:val="00324614"/>
    <w:rsid w:val="0033043B"/>
    <w:rsid w:val="0033169F"/>
    <w:rsid w:val="00333C31"/>
    <w:rsid w:val="003377E6"/>
    <w:rsid w:val="00342A24"/>
    <w:rsid w:val="003433A8"/>
    <w:rsid w:val="00344977"/>
    <w:rsid w:val="00346856"/>
    <w:rsid w:val="00346C95"/>
    <w:rsid w:val="00347C86"/>
    <w:rsid w:val="00351CDD"/>
    <w:rsid w:val="00353F90"/>
    <w:rsid w:val="00356185"/>
    <w:rsid w:val="0036010F"/>
    <w:rsid w:val="00360380"/>
    <w:rsid w:val="00362B15"/>
    <w:rsid w:val="0036505C"/>
    <w:rsid w:val="00367F3E"/>
    <w:rsid w:val="0037257F"/>
    <w:rsid w:val="00372A1A"/>
    <w:rsid w:val="0037519E"/>
    <w:rsid w:val="00377D8A"/>
    <w:rsid w:val="0038013D"/>
    <w:rsid w:val="0038030F"/>
    <w:rsid w:val="003812AA"/>
    <w:rsid w:val="00382507"/>
    <w:rsid w:val="003838F5"/>
    <w:rsid w:val="00384414"/>
    <w:rsid w:val="0038651A"/>
    <w:rsid w:val="00386CF0"/>
    <w:rsid w:val="00387813"/>
    <w:rsid w:val="0039394D"/>
    <w:rsid w:val="00395E99"/>
    <w:rsid w:val="00396D28"/>
    <w:rsid w:val="00396D6C"/>
    <w:rsid w:val="00397F8E"/>
    <w:rsid w:val="003A0E82"/>
    <w:rsid w:val="003A202D"/>
    <w:rsid w:val="003B23C6"/>
    <w:rsid w:val="003B31BC"/>
    <w:rsid w:val="003B4475"/>
    <w:rsid w:val="003B5663"/>
    <w:rsid w:val="003B60F7"/>
    <w:rsid w:val="003B70FB"/>
    <w:rsid w:val="003C02DE"/>
    <w:rsid w:val="003C636A"/>
    <w:rsid w:val="003C676B"/>
    <w:rsid w:val="003D1CCC"/>
    <w:rsid w:val="003D1FB2"/>
    <w:rsid w:val="003D228D"/>
    <w:rsid w:val="003D3BC2"/>
    <w:rsid w:val="003D6436"/>
    <w:rsid w:val="003D7C8E"/>
    <w:rsid w:val="003E3E77"/>
    <w:rsid w:val="003E5B3F"/>
    <w:rsid w:val="003E6BE1"/>
    <w:rsid w:val="003E6CA1"/>
    <w:rsid w:val="003F0BF9"/>
    <w:rsid w:val="003F25F9"/>
    <w:rsid w:val="003F2969"/>
    <w:rsid w:val="003F65DA"/>
    <w:rsid w:val="003F7011"/>
    <w:rsid w:val="003F7854"/>
    <w:rsid w:val="00400C84"/>
    <w:rsid w:val="00401920"/>
    <w:rsid w:val="00402F6B"/>
    <w:rsid w:val="00406171"/>
    <w:rsid w:val="004065A8"/>
    <w:rsid w:val="00411DC7"/>
    <w:rsid w:val="00415C22"/>
    <w:rsid w:val="00415D18"/>
    <w:rsid w:val="004165C2"/>
    <w:rsid w:val="00421EFD"/>
    <w:rsid w:val="004247BC"/>
    <w:rsid w:val="00424E62"/>
    <w:rsid w:val="00427A1E"/>
    <w:rsid w:val="004309AF"/>
    <w:rsid w:val="00430BD6"/>
    <w:rsid w:val="0043204B"/>
    <w:rsid w:val="00432C88"/>
    <w:rsid w:val="0043498B"/>
    <w:rsid w:val="00436B1F"/>
    <w:rsid w:val="00441ECB"/>
    <w:rsid w:val="00443144"/>
    <w:rsid w:val="00445193"/>
    <w:rsid w:val="00446E1A"/>
    <w:rsid w:val="00452A11"/>
    <w:rsid w:val="00453596"/>
    <w:rsid w:val="00454643"/>
    <w:rsid w:val="0045656F"/>
    <w:rsid w:val="004573C4"/>
    <w:rsid w:val="004611D5"/>
    <w:rsid w:val="00462C1B"/>
    <w:rsid w:val="00464FDB"/>
    <w:rsid w:val="00467B7E"/>
    <w:rsid w:val="00470F06"/>
    <w:rsid w:val="00472CD8"/>
    <w:rsid w:val="00472EDC"/>
    <w:rsid w:val="004734F1"/>
    <w:rsid w:val="00473833"/>
    <w:rsid w:val="00473BB4"/>
    <w:rsid w:val="00477592"/>
    <w:rsid w:val="00477A92"/>
    <w:rsid w:val="00482064"/>
    <w:rsid w:val="00482AA0"/>
    <w:rsid w:val="00486F1C"/>
    <w:rsid w:val="00491509"/>
    <w:rsid w:val="00491AE3"/>
    <w:rsid w:val="00493D3E"/>
    <w:rsid w:val="0049419D"/>
    <w:rsid w:val="004961A7"/>
    <w:rsid w:val="004A32E4"/>
    <w:rsid w:val="004A4158"/>
    <w:rsid w:val="004A6A54"/>
    <w:rsid w:val="004B66BC"/>
    <w:rsid w:val="004B7215"/>
    <w:rsid w:val="004C0B8C"/>
    <w:rsid w:val="004C20D2"/>
    <w:rsid w:val="004C2312"/>
    <w:rsid w:val="004C4B62"/>
    <w:rsid w:val="004C54C9"/>
    <w:rsid w:val="004C7006"/>
    <w:rsid w:val="004C7A11"/>
    <w:rsid w:val="004D2DC3"/>
    <w:rsid w:val="004D4ABA"/>
    <w:rsid w:val="004D6025"/>
    <w:rsid w:val="004E2649"/>
    <w:rsid w:val="004E4A10"/>
    <w:rsid w:val="004E4E5B"/>
    <w:rsid w:val="004E5942"/>
    <w:rsid w:val="004E7308"/>
    <w:rsid w:val="004E7C47"/>
    <w:rsid w:val="004F2310"/>
    <w:rsid w:val="004F37D9"/>
    <w:rsid w:val="004F4429"/>
    <w:rsid w:val="004F4DB0"/>
    <w:rsid w:val="004F646B"/>
    <w:rsid w:val="004F688F"/>
    <w:rsid w:val="004F7B5B"/>
    <w:rsid w:val="00501399"/>
    <w:rsid w:val="005016B4"/>
    <w:rsid w:val="00503E96"/>
    <w:rsid w:val="00504F0F"/>
    <w:rsid w:val="0050633D"/>
    <w:rsid w:val="00507BC4"/>
    <w:rsid w:val="005128E4"/>
    <w:rsid w:val="005133DB"/>
    <w:rsid w:val="00513771"/>
    <w:rsid w:val="00513BDD"/>
    <w:rsid w:val="00514EEE"/>
    <w:rsid w:val="005170CA"/>
    <w:rsid w:val="005176B9"/>
    <w:rsid w:val="00517FF0"/>
    <w:rsid w:val="00520841"/>
    <w:rsid w:val="00521DC7"/>
    <w:rsid w:val="00522F51"/>
    <w:rsid w:val="00525560"/>
    <w:rsid w:val="005333E9"/>
    <w:rsid w:val="005352E7"/>
    <w:rsid w:val="00535959"/>
    <w:rsid w:val="00537490"/>
    <w:rsid w:val="00540F17"/>
    <w:rsid w:val="00541B79"/>
    <w:rsid w:val="00541FBE"/>
    <w:rsid w:val="00544C49"/>
    <w:rsid w:val="00550EED"/>
    <w:rsid w:val="005516A1"/>
    <w:rsid w:val="005579FD"/>
    <w:rsid w:val="00560340"/>
    <w:rsid w:val="00563557"/>
    <w:rsid w:val="00565027"/>
    <w:rsid w:val="00566A27"/>
    <w:rsid w:val="00566CD4"/>
    <w:rsid w:val="0057037E"/>
    <w:rsid w:val="00572CEE"/>
    <w:rsid w:val="00573B9E"/>
    <w:rsid w:val="0057402A"/>
    <w:rsid w:val="00574FA1"/>
    <w:rsid w:val="0057632F"/>
    <w:rsid w:val="005771D0"/>
    <w:rsid w:val="00581DF6"/>
    <w:rsid w:val="00582373"/>
    <w:rsid w:val="005823FD"/>
    <w:rsid w:val="00586CE6"/>
    <w:rsid w:val="0059191A"/>
    <w:rsid w:val="00591E92"/>
    <w:rsid w:val="00591EFF"/>
    <w:rsid w:val="005921FF"/>
    <w:rsid w:val="005924AD"/>
    <w:rsid w:val="00592DCE"/>
    <w:rsid w:val="005942CB"/>
    <w:rsid w:val="00594C65"/>
    <w:rsid w:val="00595F30"/>
    <w:rsid w:val="0059607C"/>
    <w:rsid w:val="005A24ED"/>
    <w:rsid w:val="005A2F4D"/>
    <w:rsid w:val="005A37EC"/>
    <w:rsid w:val="005A6D0E"/>
    <w:rsid w:val="005B2A97"/>
    <w:rsid w:val="005B52B0"/>
    <w:rsid w:val="005B6806"/>
    <w:rsid w:val="005C0092"/>
    <w:rsid w:val="005C4225"/>
    <w:rsid w:val="005C4B88"/>
    <w:rsid w:val="005D0E5B"/>
    <w:rsid w:val="005D3DE2"/>
    <w:rsid w:val="005D65CE"/>
    <w:rsid w:val="005E3D79"/>
    <w:rsid w:val="005E43EF"/>
    <w:rsid w:val="005E6E7D"/>
    <w:rsid w:val="005E77D1"/>
    <w:rsid w:val="005F0DAD"/>
    <w:rsid w:val="005F0F33"/>
    <w:rsid w:val="005F15A2"/>
    <w:rsid w:val="005F3937"/>
    <w:rsid w:val="005F579D"/>
    <w:rsid w:val="005F57AD"/>
    <w:rsid w:val="005F7633"/>
    <w:rsid w:val="005F7664"/>
    <w:rsid w:val="00600812"/>
    <w:rsid w:val="00600DEB"/>
    <w:rsid w:val="00603BA1"/>
    <w:rsid w:val="00611C3D"/>
    <w:rsid w:val="006132CC"/>
    <w:rsid w:val="00613D10"/>
    <w:rsid w:val="0062639C"/>
    <w:rsid w:val="00627C9F"/>
    <w:rsid w:val="00630BD4"/>
    <w:rsid w:val="006311E9"/>
    <w:rsid w:val="00632354"/>
    <w:rsid w:val="006325B3"/>
    <w:rsid w:val="00632D63"/>
    <w:rsid w:val="00633F2B"/>
    <w:rsid w:val="0063421C"/>
    <w:rsid w:val="0063685A"/>
    <w:rsid w:val="006411FD"/>
    <w:rsid w:val="00641220"/>
    <w:rsid w:val="0064195F"/>
    <w:rsid w:val="00641AFD"/>
    <w:rsid w:val="00641CBA"/>
    <w:rsid w:val="00642810"/>
    <w:rsid w:val="006437B2"/>
    <w:rsid w:val="006453C3"/>
    <w:rsid w:val="00645F00"/>
    <w:rsid w:val="00646CE9"/>
    <w:rsid w:val="00651110"/>
    <w:rsid w:val="00652333"/>
    <w:rsid w:val="00657D63"/>
    <w:rsid w:val="00660612"/>
    <w:rsid w:val="00660F19"/>
    <w:rsid w:val="00662BFE"/>
    <w:rsid w:val="00662EA1"/>
    <w:rsid w:val="006655C5"/>
    <w:rsid w:val="00665ADA"/>
    <w:rsid w:val="00670D03"/>
    <w:rsid w:val="006767CB"/>
    <w:rsid w:val="00676C48"/>
    <w:rsid w:val="0068009E"/>
    <w:rsid w:val="006814C1"/>
    <w:rsid w:val="006817BD"/>
    <w:rsid w:val="00683270"/>
    <w:rsid w:val="00684248"/>
    <w:rsid w:val="006850A4"/>
    <w:rsid w:val="0068567A"/>
    <w:rsid w:val="00692219"/>
    <w:rsid w:val="00692F90"/>
    <w:rsid w:val="00693557"/>
    <w:rsid w:val="00695A16"/>
    <w:rsid w:val="006A1215"/>
    <w:rsid w:val="006A17D2"/>
    <w:rsid w:val="006A22A8"/>
    <w:rsid w:val="006A4A39"/>
    <w:rsid w:val="006A73E6"/>
    <w:rsid w:val="006B1647"/>
    <w:rsid w:val="006B2D5C"/>
    <w:rsid w:val="006B7957"/>
    <w:rsid w:val="006C257D"/>
    <w:rsid w:val="006C2AE6"/>
    <w:rsid w:val="006C397B"/>
    <w:rsid w:val="006C4EB1"/>
    <w:rsid w:val="006C6056"/>
    <w:rsid w:val="006C6FAB"/>
    <w:rsid w:val="006D5423"/>
    <w:rsid w:val="006E0166"/>
    <w:rsid w:val="006E0E0F"/>
    <w:rsid w:val="006E5605"/>
    <w:rsid w:val="006E5FD6"/>
    <w:rsid w:val="006E643F"/>
    <w:rsid w:val="006E7B34"/>
    <w:rsid w:val="006F1994"/>
    <w:rsid w:val="006F2ED2"/>
    <w:rsid w:val="006F51E0"/>
    <w:rsid w:val="0070697F"/>
    <w:rsid w:val="007076D2"/>
    <w:rsid w:val="00710AFB"/>
    <w:rsid w:val="00716936"/>
    <w:rsid w:val="00720EED"/>
    <w:rsid w:val="0072199C"/>
    <w:rsid w:val="007224B3"/>
    <w:rsid w:val="00722C9F"/>
    <w:rsid w:val="00722E31"/>
    <w:rsid w:val="007239AE"/>
    <w:rsid w:val="00723AA4"/>
    <w:rsid w:val="00724053"/>
    <w:rsid w:val="007243A4"/>
    <w:rsid w:val="007253B8"/>
    <w:rsid w:val="0073010D"/>
    <w:rsid w:val="0073486C"/>
    <w:rsid w:val="00735369"/>
    <w:rsid w:val="0073741F"/>
    <w:rsid w:val="007428E0"/>
    <w:rsid w:val="00744E2E"/>
    <w:rsid w:val="0074608C"/>
    <w:rsid w:val="00753371"/>
    <w:rsid w:val="007550F0"/>
    <w:rsid w:val="00761729"/>
    <w:rsid w:val="00762BD0"/>
    <w:rsid w:val="00765D63"/>
    <w:rsid w:val="0076643F"/>
    <w:rsid w:val="0076721C"/>
    <w:rsid w:val="0077199D"/>
    <w:rsid w:val="00774F93"/>
    <w:rsid w:val="00776543"/>
    <w:rsid w:val="00776A99"/>
    <w:rsid w:val="007774A4"/>
    <w:rsid w:val="00777F63"/>
    <w:rsid w:val="0078041D"/>
    <w:rsid w:val="00781C96"/>
    <w:rsid w:val="00782808"/>
    <w:rsid w:val="007831C2"/>
    <w:rsid w:val="007849BF"/>
    <w:rsid w:val="00795906"/>
    <w:rsid w:val="00797563"/>
    <w:rsid w:val="007A23EE"/>
    <w:rsid w:val="007A3483"/>
    <w:rsid w:val="007A49D1"/>
    <w:rsid w:val="007A5817"/>
    <w:rsid w:val="007B05C4"/>
    <w:rsid w:val="007B3BCC"/>
    <w:rsid w:val="007B4636"/>
    <w:rsid w:val="007B60E9"/>
    <w:rsid w:val="007B6CC3"/>
    <w:rsid w:val="007B76D3"/>
    <w:rsid w:val="007C0269"/>
    <w:rsid w:val="007C3334"/>
    <w:rsid w:val="007C4826"/>
    <w:rsid w:val="007C5F6E"/>
    <w:rsid w:val="007D0183"/>
    <w:rsid w:val="007D01CE"/>
    <w:rsid w:val="007D1236"/>
    <w:rsid w:val="007D1C44"/>
    <w:rsid w:val="007D2B98"/>
    <w:rsid w:val="007D4201"/>
    <w:rsid w:val="007E21BC"/>
    <w:rsid w:val="007E2C44"/>
    <w:rsid w:val="007E4495"/>
    <w:rsid w:val="007E517A"/>
    <w:rsid w:val="007E7C82"/>
    <w:rsid w:val="007F1AF5"/>
    <w:rsid w:val="007F1F83"/>
    <w:rsid w:val="007F3672"/>
    <w:rsid w:val="007F50E3"/>
    <w:rsid w:val="007F588D"/>
    <w:rsid w:val="00801BE0"/>
    <w:rsid w:val="008034E0"/>
    <w:rsid w:val="00803F1C"/>
    <w:rsid w:val="0080473C"/>
    <w:rsid w:val="0080600E"/>
    <w:rsid w:val="0080640F"/>
    <w:rsid w:val="00810E6B"/>
    <w:rsid w:val="0081589B"/>
    <w:rsid w:val="00817612"/>
    <w:rsid w:val="00820215"/>
    <w:rsid w:val="0082172A"/>
    <w:rsid w:val="008238C2"/>
    <w:rsid w:val="00827E70"/>
    <w:rsid w:val="008338A4"/>
    <w:rsid w:val="00834D49"/>
    <w:rsid w:val="00835DC8"/>
    <w:rsid w:val="00837C45"/>
    <w:rsid w:val="00844730"/>
    <w:rsid w:val="008457C2"/>
    <w:rsid w:val="00850ED1"/>
    <w:rsid w:val="00852DE8"/>
    <w:rsid w:val="00857A82"/>
    <w:rsid w:val="008629B7"/>
    <w:rsid w:val="00870129"/>
    <w:rsid w:val="00872CC8"/>
    <w:rsid w:val="00873836"/>
    <w:rsid w:val="0088168E"/>
    <w:rsid w:val="008818A2"/>
    <w:rsid w:val="00885737"/>
    <w:rsid w:val="00890650"/>
    <w:rsid w:val="008919E0"/>
    <w:rsid w:val="00893E94"/>
    <w:rsid w:val="00894166"/>
    <w:rsid w:val="00894D09"/>
    <w:rsid w:val="00895759"/>
    <w:rsid w:val="00897E12"/>
    <w:rsid w:val="008A2A1D"/>
    <w:rsid w:val="008A406F"/>
    <w:rsid w:val="008A47D5"/>
    <w:rsid w:val="008A4C14"/>
    <w:rsid w:val="008A7E0F"/>
    <w:rsid w:val="008B12F5"/>
    <w:rsid w:val="008B16B6"/>
    <w:rsid w:val="008B1D14"/>
    <w:rsid w:val="008B2817"/>
    <w:rsid w:val="008B5E9C"/>
    <w:rsid w:val="008B6658"/>
    <w:rsid w:val="008C68B5"/>
    <w:rsid w:val="008D768D"/>
    <w:rsid w:val="008E0A28"/>
    <w:rsid w:val="008E1653"/>
    <w:rsid w:val="008E288F"/>
    <w:rsid w:val="008E3759"/>
    <w:rsid w:val="008E3BFE"/>
    <w:rsid w:val="008F0678"/>
    <w:rsid w:val="008F12CE"/>
    <w:rsid w:val="008F1912"/>
    <w:rsid w:val="008F2441"/>
    <w:rsid w:val="008F46D3"/>
    <w:rsid w:val="0090270B"/>
    <w:rsid w:val="0090285C"/>
    <w:rsid w:val="009040AF"/>
    <w:rsid w:val="009041DC"/>
    <w:rsid w:val="009111F2"/>
    <w:rsid w:val="009126BC"/>
    <w:rsid w:val="00915054"/>
    <w:rsid w:val="00917B5A"/>
    <w:rsid w:val="00920A2D"/>
    <w:rsid w:val="00920A58"/>
    <w:rsid w:val="00920A8C"/>
    <w:rsid w:val="00922AE0"/>
    <w:rsid w:val="00933F5F"/>
    <w:rsid w:val="009342D2"/>
    <w:rsid w:val="00934A2C"/>
    <w:rsid w:val="009368A2"/>
    <w:rsid w:val="00936FAC"/>
    <w:rsid w:val="00937FB3"/>
    <w:rsid w:val="00946BC5"/>
    <w:rsid w:val="0095181C"/>
    <w:rsid w:val="00952485"/>
    <w:rsid w:val="00953EC2"/>
    <w:rsid w:val="009549C1"/>
    <w:rsid w:val="00954A95"/>
    <w:rsid w:val="00957D66"/>
    <w:rsid w:val="00961158"/>
    <w:rsid w:val="009624EE"/>
    <w:rsid w:val="009665A1"/>
    <w:rsid w:val="0096706E"/>
    <w:rsid w:val="00974491"/>
    <w:rsid w:val="00975C4E"/>
    <w:rsid w:val="00981FBA"/>
    <w:rsid w:val="00983039"/>
    <w:rsid w:val="009830D7"/>
    <w:rsid w:val="009857EE"/>
    <w:rsid w:val="009875BD"/>
    <w:rsid w:val="00996F7F"/>
    <w:rsid w:val="00997BC5"/>
    <w:rsid w:val="009A4F41"/>
    <w:rsid w:val="009A5026"/>
    <w:rsid w:val="009A7192"/>
    <w:rsid w:val="009A7641"/>
    <w:rsid w:val="009B1A39"/>
    <w:rsid w:val="009B2432"/>
    <w:rsid w:val="009B381B"/>
    <w:rsid w:val="009B3BB8"/>
    <w:rsid w:val="009B5848"/>
    <w:rsid w:val="009B7B39"/>
    <w:rsid w:val="009C0871"/>
    <w:rsid w:val="009C5F11"/>
    <w:rsid w:val="009D1753"/>
    <w:rsid w:val="009D4AC4"/>
    <w:rsid w:val="009D51C5"/>
    <w:rsid w:val="009D6391"/>
    <w:rsid w:val="009D7611"/>
    <w:rsid w:val="009E0B61"/>
    <w:rsid w:val="009E213F"/>
    <w:rsid w:val="009E2517"/>
    <w:rsid w:val="009E4CB8"/>
    <w:rsid w:val="009E53DE"/>
    <w:rsid w:val="009F14AA"/>
    <w:rsid w:val="009F1817"/>
    <w:rsid w:val="009F44F5"/>
    <w:rsid w:val="009F455E"/>
    <w:rsid w:val="009F693E"/>
    <w:rsid w:val="009F6DCD"/>
    <w:rsid w:val="00A01AB4"/>
    <w:rsid w:val="00A05860"/>
    <w:rsid w:val="00A06574"/>
    <w:rsid w:val="00A07453"/>
    <w:rsid w:val="00A11212"/>
    <w:rsid w:val="00A11E44"/>
    <w:rsid w:val="00A12197"/>
    <w:rsid w:val="00A136E9"/>
    <w:rsid w:val="00A13EB7"/>
    <w:rsid w:val="00A14642"/>
    <w:rsid w:val="00A328B3"/>
    <w:rsid w:val="00A32C39"/>
    <w:rsid w:val="00A367AD"/>
    <w:rsid w:val="00A3704E"/>
    <w:rsid w:val="00A404A3"/>
    <w:rsid w:val="00A431C9"/>
    <w:rsid w:val="00A43E4B"/>
    <w:rsid w:val="00A50FCF"/>
    <w:rsid w:val="00A528D1"/>
    <w:rsid w:val="00A5580E"/>
    <w:rsid w:val="00A610CD"/>
    <w:rsid w:val="00A61ECA"/>
    <w:rsid w:val="00A61EFF"/>
    <w:rsid w:val="00A65363"/>
    <w:rsid w:val="00A65B1F"/>
    <w:rsid w:val="00A669B8"/>
    <w:rsid w:val="00A66F12"/>
    <w:rsid w:val="00A73556"/>
    <w:rsid w:val="00A7510C"/>
    <w:rsid w:val="00A758AA"/>
    <w:rsid w:val="00A8196D"/>
    <w:rsid w:val="00A84419"/>
    <w:rsid w:val="00A86FBB"/>
    <w:rsid w:val="00A9096D"/>
    <w:rsid w:val="00A92507"/>
    <w:rsid w:val="00A92661"/>
    <w:rsid w:val="00A93344"/>
    <w:rsid w:val="00A9425A"/>
    <w:rsid w:val="00A95551"/>
    <w:rsid w:val="00A977BE"/>
    <w:rsid w:val="00AA09A2"/>
    <w:rsid w:val="00AA2940"/>
    <w:rsid w:val="00AA4598"/>
    <w:rsid w:val="00AA54AE"/>
    <w:rsid w:val="00AA6A05"/>
    <w:rsid w:val="00AA6EA4"/>
    <w:rsid w:val="00AA7330"/>
    <w:rsid w:val="00AA778A"/>
    <w:rsid w:val="00AA7996"/>
    <w:rsid w:val="00AB5957"/>
    <w:rsid w:val="00AB5D04"/>
    <w:rsid w:val="00AB6A3D"/>
    <w:rsid w:val="00AC19CB"/>
    <w:rsid w:val="00AC1F64"/>
    <w:rsid w:val="00AD1136"/>
    <w:rsid w:val="00AD58D6"/>
    <w:rsid w:val="00AD5B51"/>
    <w:rsid w:val="00AD629E"/>
    <w:rsid w:val="00AE19FB"/>
    <w:rsid w:val="00AE5019"/>
    <w:rsid w:val="00AE543D"/>
    <w:rsid w:val="00AE5488"/>
    <w:rsid w:val="00AE5E85"/>
    <w:rsid w:val="00AE629D"/>
    <w:rsid w:val="00AE6AE2"/>
    <w:rsid w:val="00AE6F91"/>
    <w:rsid w:val="00AE7F89"/>
    <w:rsid w:val="00AF3381"/>
    <w:rsid w:val="00AF38A7"/>
    <w:rsid w:val="00AF38C8"/>
    <w:rsid w:val="00AF5571"/>
    <w:rsid w:val="00AF658F"/>
    <w:rsid w:val="00AF6D82"/>
    <w:rsid w:val="00B00D92"/>
    <w:rsid w:val="00B00E37"/>
    <w:rsid w:val="00B01B2F"/>
    <w:rsid w:val="00B02429"/>
    <w:rsid w:val="00B0351D"/>
    <w:rsid w:val="00B03601"/>
    <w:rsid w:val="00B03BC7"/>
    <w:rsid w:val="00B07341"/>
    <w:rsid w:val="00B102B1"/>
    <w:rsid w:val="00B15442"/>
    <w:rsid w:val="00B163F0"/>
    <w:rsid w:val="00B2155F"/>
    <w:rsid w:val="00B23DF7"/>
    <w:rsid w:val="00B24D7E"/>
    <w:rsid w:val="00B30539"/>
    <w:rsid w:val="00B314DB"/>
    <w:rsid w:val="00B32AF4"/>
    <w:rsid w:val="00B331B2"/>
    <w:rsid w:val="00B34020"/>
    <w:rsid w:val="00B34F7B"/>
    <w:rsid w:val="00B361F2"/>
    <w:rsid w:val="00B367D3"/>
    <w:rsid w:val="00B3718B"/>
    <w:rsid w:val="00B40E84"/>
    <w:rsid w:val="00B4632A"/>
    <w:rsid w:val="00B470B7"/>
    <w:rsid w:val="00B530F1"/>
    <w:rsid w:val="00B5700A"/>
    <w:rsid w:val="00B571DA"/>
    <w:rsid w:val="00B60C59"/>
    <w:rsid w:val="00B64CD5"/>
    <w:rsid w:val="00B67625"/>
    <w:rsid w:val="00B71122"/>
    <w:rsid w:val="00B73DE9"/>
    <w:rsid w:val="00B75AC3"/>
    <w:rsid w:val="00B77234"/>
    <w:rsid w:val="00B85616"/>
    <w:rsid w:val="00B86039"/>
    <w:rsid w:val="00B871A1"/>
    <w:rsid w:val="00B87ECE"/>
    <w:rsid w:val="00B91428"/>
    <w:rsid w:val="00B919AB"/>
    <w:rsid w:val="00B93C13"/>
    <w:rsid w:val="00BA276C"/>
    <w:rsid w:val="00BB306F"/>
    <w:rsid w:val="00BB544C"/>
    <w:rsid w:val="00BB7602"/>
    <w:rsid w:val="00BC3C4D"/>
    <w:rsid w:val="00BC3CAC"/>
    <w:rsid w:val="00BC5A3E"/>
    <w:rsid w:val="00BC7663"/>
    <w:rsid w:val="00BD1591"/>
    <w:rsid w:val="00BD4B89"/>
    <w:rsid w:val="00BD5922"/>
    <w:rsid w:val="00BD5999"/>
    <w:rsid w:val="00BD5E69"/>
    <w:rsid w:val="00BE25F0"/>
    <w:rsid w:val="00BE3664"/>
    <w:rsid w:val="00BE4212"/>
    <w:rsid w:val="00BE5912"/>
    <w:rsid w:val="00BF02CB"/>
    <w:rsid w:val="00BF0834"/>
    <w:rsid w:val="00BF129F"/>
    <w:rsid w:val="00BF1BCA"/>
    <w:rsid w:val="00BF6FD8"/>
    <w:rsid w:val="00BF7C2B"/>
    <w:rsid w:val="00C00A15"/>
    <w:rsid w:val="00C01A95"/>
    <w:rsid w:val="00C02A29"/>
    <w:rsid w:val="00C03680"/>
    <w:rsid w:val="00C054DF"/>
    <w:rsid w:val="00C059DB"/>
    <w:rsid w:val="00C10222"/>
    <w:rsid w:val="00C14E35"/>
    <w:rsid w:val="00C14E8E"/>
    <w:rsid w:val="00C17FF3"/>
    <w:rsid w:val="00C20A16"/>
    <w:rsid w:val="00C21762"/>
    <w:rsid w:val="00C21FEF"/>
    <w:rsid w:val="00C22D5E"/>
    <w:rsid w:val="00C2348C"/>
    <w:rsid w:val="00C23A36"/>
    <w:rsid w:val="00C24543"/>
    <w:rsid w:val="00C25024"/>
    <w:rsid w:val="00C256A2"/>
    <w:rsid w:val="00C30CD3"/>
    <w:rsid w:val="00C31A8A"/>
    <w:rsid w:val="00C31C00"/>
    <w:rsid w:val="00C33474"/>
    <w:rsid w:val="00C33B09"/>
    <w:rsid w:val="00C34491"/>
    <w:rsid w:val="00C34F74"/>
    <w:rsid w:val="00C37613"/>
    <w:rsid w:val="00C40306"/>
    <w:rsid w:val="00C40D75"/>
    <w:rsid w:val="00C42159"/>
    <w:rsid w:val="00C43646"/>
    <w:rsid w:val="00C4630A"/>
    <w:rsid w:val="00C51515"/>
    <w:rsid w:val="00C5660B"/>
    <w:rsid w:val="00C61267"/>
    <w:rsid w:val="00C66B72"/>
    <w:rsid w:val="00C75C17"/>
    <w:rsid w:val="00C76002"/>
    <w:rsid w:val="00C80E3E"/>
    <w:rsid w:val="00C82EDF"/>
    <w:rsid w:val="00C84A30"/>
    <w:rsid w:val="00C85A2F"/>
    <w:rsid w:val="00C86433"/>
    <w:rsid w:val="00C87AC4"/>
    <w:rsid w:val="00C9060B"/>
    <w:rsid w:val="00C908DA"/>
    <w:rsid w:val="00C9518F"/>
    <w:rsid w:val="00C9567A"/>
    <w:rsid w:val="00CA0872"/>
    <w:rsid w:val="00CA0B1B"/>
    <w:rsid w:val="00CA1475"/>
    <w:rsid w:val="00CA76B4"/>
    <w:rsid w:val="00CB14EE"/>
    <w:rsid w:val="00CB212D"/>
    <w:rsid w:val="00CB2660"/>
    <w:rsid w:val="00CB2A8B"/>
    <w:rsid w:val="00CB6D32"/>
    <w:rsid w:val="00CB7A40"/>
    <w:rsid w:val="00CC38B7"/>
    <w:rsid w:val="00CC5E90"/>
    <w:rsid w:val="00CC677A"/>
    <w:rsid w:val="00CC798E"/>
    <w:rsid w:val="00CD046C"/>
    <w:rsid w:val="00CD3A12"/>
    <w:rsid w:val="00CD5BDF"/>
    <w:rsid w:val="00CE00EE"/>
    <w:rsid w:val="00CE076C"/>
    <w:rsid w:val="00CE42D9"/>
    <w:rsid w:val="00CE5199"/>
    <w:rsid w:val="00CE6459"/>
    <w:rsid w:val="00CE66D5"/>
    <w:rsid w:val="00CE738D"/>
    <w:rsid w:val="00CE7775"/>
    <w:rsid w:val="00CF0D5F"/>
    <w:rsid w:val="00CF4FD7"/>
    <w:rsid w:val="00CF560A"/>
    <w:rsid w:val="00CF637A"/>
    <w:rsid w:val="00CF7A44"/>
    <w:rsid w:val="00D03B85"/>
    <w:rsid w:val="00D059DE"/>
    <w:rsid w:val="00D05ABD"/>
    <w:rsid w:val="00D05BEC"/>
    <w:rsid w:val="00D071E8"/>
    <w:rsid w:val="00D073D3"/>
    <w:rsid w:val="00D12976"/>
    <w:rsid w:val="00D13FCE"/>
    <w:rsid w:val="00D165FF"/>
    <w:rsid w:val="00D20A56"/>
    <w:rsid w:val="00D21269"/>
    <w:rsid w:val="00D25A9E"/>
    <w:rsid w:val="00D26118"/>
    <w:rsid w:val="00D277C7"/>
    <w:rsid w:val="00D30639"/>
    <w:rsid w:val="00D306D1"/>
    <w:rsid w:val="00D30800"/>
    <w:rsid w:val="00D339AD"/>
    <w:rsid w:val="00D34786"/>
    <w:rsid w:val="00D35A91"/>
    <w:rsid w:val="00D372AB"/>
    <w:rsid w:val="00D372C8"/>
    <w:rsid w:val="00D37BFC"/>
    <w:rsid w:val="00D40981"/>
    <w:rsid w:val="00D46687"/>
    <w:rsid w:val="00D47A8E"/>
    <w:rsid w:val="00D5254B"/>
    <w:rsid w:val="00D5273B"/>
    <w:rsid w:val="00D52D14"/>
    <w:rsid w:val="00D535F7"/>
    <w:rsid w:val="00D632B2"/>
    <w:rsid w:val="00D712D3"/>
    <w:rsid w:val="00D71422"/>
    <w:rsid w:val="00D72DC6"/>
    <w:rsid w:val="00D7558D"/>
    <w:rsid w:val="00D75D24"/>
    <w:rsid w:val="00D76C06"/>
    <w:rsid w:val="00D77183"/>
    <w:rsid w:val="00D774D7"/>
    <w:rsid w:val="00D77737"/>
    <w:rsid w:val="00D81D92"/>
    <w:rsid w:val="00D876F9"/>
    <w:rsid w:val="00D92B1C"/>
    <w:rsid w:val="00D93BE6"/>
    <w:rsid w:val="00D970AD"/>
    <w:rsid w:val="00D97C8E"/>
    <w:rsid w:val="00DA2C16"/>
    <w:rsid w:val="00DA4FCD"/>
    <w:rsid w:val="00DA58AD"/>
    <w:rsid w:val="00DA7B5F"/>
    <w:rsid w:val="00DB2C06"/>
    <w:rsid w:val="00DB5B11"/>
    <w:rsid w:val="00DC11E7"/>
    <w:rsid w:val="00DC5F5C"/>
    <w:rsid w:val="00DC66E0"/>
    <w:rsid w:val="00DC7023"/>
    <w:rsid w:val="00DC769A"/>
    <w:rsid w:val="00DC79A5"/>
    <w:rsid w:val="00DC7E31"/>
    <w:rsid w:val="00DD3D86"/>
    <w:rsid w:val="00DD41D0"/>
    <w:rsid w:val="00DD4AD2"/>
    <w:rsid w:val="00DD59EB"/>
    <w:rsid w:val="00DD612D"/>
    <w:rsid w:val="00DE0A37"/>
    <w:rsid w:val="00DE1A39"/>
    <w:rsid w:val="00DE1C60"/>
    <w:rsid w:val="00DE2653"/>
    <w:rsid w:val="00DE339D"/>
    <w:rsid w:val="00DE4EE3"/>
    <w:rsid w:val="00DE513E"/>
    <w:rsid w:val="00DF0A62"/>
    <w:rsid w:val="00DF1C47"/>
    <w:rsid w:val="00DF1CB4"/>
    <w:rsid w:val="00DF1EC4"/>
    <w:rsid w:val="00DF35E6"/>
    <w:rsid w:val="00DF7F52"/>
    <w:rsid w:val="00E0323B"/>
    <w:rsid w:val="00E0340B"/>
    <w:rsid w:val="00E0461B"/>
    <w:rsid w:val="00E04A90"/>
    <w:rsid w:val="00E04E36"/>
    <w:rsid w:val="00E0551F"/>
    <w:rsid w:val="00E06414"/>
    <w:rsid w:val="00E0682B"/>
    <w:rsid w:val="00E0702A"/>
    <w:rsid w:val="00E07B5D"/>
    <w:rsid w:val="00E15E66"/>
    <w:rsid w:val="00E1759A"/>
    <w:rsid w:val="00E20A87"/>
    <w:rsid w:val="00E219C7"/>
    <w:rsid w:val="00E246E0"/>
    <w:rsid w:val="00E253D6"/>
    <w:rsid w:val="00E258D9"/>
    <w:rsid w:val="00E30D9D"/>
    <w:rsid w:val="00E30E64"/>
    <w:rsid w:val="00E32153"/>
    <w:rsid w:val="00E32D21"/>
    <w:rsid w:val="00E40271"/>
    <w:rsid w:val="00E4118C"/>
    <w:rsid w:val="00E41D5B"/>
    <w:rsid w:val="00E43157"/>
    <w:rsid w:val="00E43199"/>
    <w:rsid w:val="00E44149"/>
    <w:rsid w:val="00E461CE"/>
    <w:rsid w:val="00E50317"/>
    <w:rsid w:val="00E5195B"/>
    <w:rsid w:val="00E528EC"/>
    <w:rsid w:val="00E53DE5"/>
    <w:rsid w:val="00E62846"/>
    <w:rsid w:val="00E62B96"/>
    <w:rsid w:val="00E6420B"/>
    <w:rsid w:val="00E71FC3"/>
    <w:rsid w:val="00E720CA"/>
    <w:rsid w:val="00E72817"/>
    <w:rsid w:val="00E731D8"/>
    <w:rsid w:val="00E73376"/>
    <w:rsid w:val="00E80101"/>
    <w:rsid w:val="00E84EB5"/>
    <w:rsid w:val="00E85662"/>
    <w:rsid w:val="00E8789F"/>
    <w:rsid w:val="00E91768"/>
    <w:rsid w:val="00E97B71"/>
    <w:rsid w:val="00E97BA2"/>
    <w:rsid w:val="00EA045A"/>
    <w:rsid w:val="00EA12DF"/>
    <w:rsid w:val="00EA23F8"/>
    <w:rsid w:val="00EA2808"/>
    <w:rsid w:val="00EA2B56"/>
    <w:rsid w:val="00EA3BEA"/>
    <w:rsid w:val="00EA3D34"/>
    <w:rsid w:val="00EA473B"/>
    <w:rsid w:val="00EA7F38"/>
    <w:rsid w:val="00EB28B6"/>
    <w:rsid w:val="00EB300F"/>
    <w:rsid w:val="00EB454D"/>
    <w:rsid w:val="00EB45AA"/>
    <w:rsid w:val="00EB675C"/>
    <w:rsid w:val="00EC1D23"/>
    <w:rsid w:val="00EC6D1A"/>
    <w:rsid w:val="00EC78FE"/>
    <w:rsid w:val="00EC7D62"/>
    <w:rsid w:val="00ED31DD"/>
    <w:rsid w:val="00ED4E51"/>
    <w:rsid w:val="00ED549D"/>
    <w:rsid w:val="00ED69CD"/>
    <w:rsid w:val="00ED76BE"/>
    <w:rsid w:val="00EE00E9"/>
    <w:rsid w:val="00EE28FC"/>
    <w:rsid w:val="00EF619B"/>
    <w:rsid w:val="00EF6E22"/>
    <w:rsid w:val="00F00B55"/>
    <w:rsid w:val="00F01362"/>
    <w:rsid w:val="00F01D9C"/>
    <w:rsid w:val="00F02AD1"/>
    <w:rsid w:val="00F13477"/>
    <w:rsid w:val="00F227D7"/>
    <w:rsid w:val="00F2475E"/>
    <w:rsid w:val="00F253CC"/>
    <w:rsid w:val="00F33BAC"/>
    <w:rsid w:val="00F358E9"/>
    <w:rsid w:val="00F37106"/>
    <w:rsid w:val="00F43AA9"/>
    <w:rsid w:val="00F46705"/>
    <w:rsid w:val="00F512A9"/>
    <w:rsid w:val="00F519CF"/>
    <w:rsid w:val="00F51ED8"/>
    <w:rsid w:val="00F52057"/>
    <w:rsid w:val="00F52374"/>
    <w:rsid w:val="00F524A3"/>
    <w:rsid w:val="00F52BC5"/>
    <w:rsid w:val="00F56BA5"/>
    <w:rsid w:val="00F60E22"/>
    <w:rsid w:val="00F61E47"/>
    <w:rsid w:val="00F6651A"/>
    <w:rsid w:val="00F675C4"/>
    <w:rsid w:val="00F713DD"/>
    <w:rsid w:val="00F7143E"/>
    <w:rsid w:val="00F748F0"/>
    <w:rsid w:val="00F7733E"/>
    <w:rsid w:val="00F7753D"/>
    <w:rsid w:val="00F809C6"/>
    <w:rsid w:val="00F81395"/>
    <w:rsid w:val="00F81BB8"/>
    <w:rsid w:val="00F84508"/>
    <w:rsid w:val="00F84E85"/>
    <w:rsid w:val="00F85733"/>
    <w:rsid w:val="00F85911"/>
    <w:rsid w:val="00F85F69"/>
    <w:rsid w:val="00F8754D"/>
    <w:rsid w:val="00F90ABE"/>
    <w:rsid w:val="00F90ACC"/>
    <w:rsid w:val="00F917D1"/>
    <w:rsid w:val="00F91F8B"/>
    <w:rsid w:val="00F96359"/>
    <w:rsid w:val="00F9653B"/>
    <w:rsid w:val="00F96DCF"/>
    <w:rsid w:val="00FA19E1"/>
    <w:rsid w:val="00FA49FF"/>
    <w:rsid w:val="00FA5072"/>
    <w:rsid w:val="00FA7C8F"/>
    <w:rsid w:val="00FB1FFC"/>
    <w:rsid w:val="00FB4522"/>
    <w:rsid w:val="00FB62CF"/>
    <w:rsid w:val="00FC06DD"/>
    <w:rsid w:val="00FC2B4A"/>
    <w:rsid w:val="00FC6513"/>
    <w:rsid w:val="00FD3C3B"/>
    <w:rsid w:val="00FD7800"/>
    <w:rsid w:val="00FE07DD"/>
    <w:rsid w:val="00FE6B45"/>
    <w:rsid w:val="00FE6BE5"/>
    <w:rsid w:val="00FE720A"/>
    <w:rsid w:val="00FE7971"/>
    <w:rsid w:val="00FF55F3"/>
    <w:rsid w:val="00FF5851"/>
    <w:rsid w:val="00FF7B79"/>
    <w:rsid w:val="00FF7C3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6B"/>
    <w:pPr>
      <w:pBdr>
        <w:top w:val="nil"/>
        <w:left w:val="nil"/>
        <w:bottom w:val="nil"/>
        <w:right w:val="nil"/>
        <w:bar w:val="nil"/>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402F6B"/>
    <w:rPr>
      <w:rFonts w:cs="Times New Roman"/>
      <w:u w:val="single"/>
    </w:rPr>
  </w:style>
  <w:style w:type="paragraph" w:customStyle="1" w:styleId="Cabeceraypie">
    <w:name w:val="Cabecera y pie"/>
    <w:uiPriority w:val="99"/>
    <w:rsid w:val="00402F6B"/>
    <w:pPr>
      <w:pBdr>
        <w:top w:val="nil"/>
        <w:left w:val="nil"/>
        <w:bottom w:val="nil"/>
        <w:right w:val="nil"/>
        <w:bar w:val="nil"/>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402F6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402F6B"/>
    <w:pPr>
      <w:pBdr>
        <w:top w:val="nil"/>
        <w:left w:val="nil"/>
        <w:bottom w:val="nil"/>
        <w:right w:val="nil"/>
        <w:bar w:val="nil"/>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02F6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402F6B"/>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rsid w:val="00402F6B"/>
    <w:rPr>
      <w:rFonts w:ascii="Calibri" w:eastAsia="Times New Roman" w:hAnsi="Calibri"/>
      <w:color w:val="000000"/>
      <w:sz w:val="20"/>
      <w:szCs w:val="20"/>
      <w:u w:color="000000"/>
      <w:lang w:eastAsia="es-ES"/>
    </w:rPr>
  </w:style>
  <w:style w:type="character" w:customStyle="1" w:styleId="FootnoteTextChar">
    <w:name w:val="Footnote Text Char"/>
    <w:aliases w:val="Ca Char,FA Fu Char,FA Fußnotentext Char,FA Fuﬂnotentext Char,Footnote Text Cha Char,Footnote Text Char Char Char Char Char Char,Footnote Text Char Char Char Char Char1,Footnote Text Char Char Char Char1,Footnote reference Char,f Char"/>
    <w:basedOn w:val="DefaultParagraphFont"/>
    <w:uiPriority w:val="99"/>
    <w:semiHidden/>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1,Footnote Text Char Char Char Char2,Footnote Text Char Char Char Char Char2,Footnote reference Char1,f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06171"/>
    <w:rPr>
      <w:rFonts w:cs="Times New Roman"/>
      <w:sz w:val="16"/>
      <w:szCs w:val="16"/>
    </w:rPr>
  </w:style>
  <w:style w:type="paragraph" w:styleId="CommentText">
    <w:name w:val="annotation text"/>
    <w:basedOn w:val="Normal"/>
    <w:link w:val="CommentTextChar"/>
    <w:uiPriority w:val="99"/>
    <w:semiHidden/>
    <w:rsid w:val="00406171"/>
    <w:rPr>
      <w:sz w:val="20"/>
      <w:szCs w:val="20"/>
    </w:rPr>
  </w:style>
  <w:style w:type="character" w:customStyle="1" w:styleId="CommentTextChar">
    <w:name w:val="Comment Text Char"/>
    <w:basedOn w:val="DefaultParagraphFont"/>
    <w:link w:val="CommentText"/>
    <w:uiPriority w:val="99"/>
    <w:semiHidden/>
    <w:locked/>
    <w:rsid w:val="00406171"/>
    <w:rPr>
      <w:rFonts w:cs="Times New Roman"/>
      <w:lang w:val="en-US" w:eastAsia="en-US"/>
    </w:rPr>
  </w:style>
  <w:style w:type="paragraph" w:styleId="CommentSubject">
    <w:name w:val="annotation subject"/>
    <w:basedOn w:val="CommentText"/>
    <w:next w:val="CommentText"/>
    <w:link w:val="CommentSubjectChar"/>
    <w:uiPriority w:val="99"/>
    <w:semiHidden/>
    <w:rsid w:val="00406171"/>
    <w:rPr>
      <w:b/>
      <w:bCs/>
    </w:rPr>
  </w:style>
  <w:style w:type="character" w:customStyle="1" w:styleId="CommentSubjectChar">
    <w:name w:val="Comment Subject Char"/>
    <w:basedOn w:val="CommentTextChar"/>
    <w:link w:val="CommentSubject"/>
    <w:uiPriority w:val="99"/>
    <w:semiHidden/>
    <w:locked/>
    <w:rsid w:val="00406171"/>
    <w:rPr>
      <w:rFonts w:cs="Times New Roman"/>
      <w:b/>
      <w:bCs/>
      <w:lang w:val="en-US" w:eastAsia="en-US"/>
    </w:rPr>
  </w:style>
  <w:style w:type="paragraph" w:styleId="Revision">
    <w:name w:val="Revision"/>
    <w:hidden/>
    <w:uiPriority w:val="99"/>
    <w:semiHidden/>
    <w:rsid w:val="00436B1F"/>
    <w:rPr>
      <w:sz w:val="24"/>
      <w:szCs w:val="24"/>
      <w:lang w:val="en-US" w:eastAsia="en-US"/>
    </w:rPr>
  </w:style>
  <w:style w:type="numbering" w:customStyle="1" w:styleId="List16">
    <w:name w:val="List 16"/>
    <w:rsid w:val="0087058F"/>
    <w:pPr>
      <w:numPr>
        <w:numId w:val="10"/>
      </w:numPr>
    </w:pPr>
  </w:style>
  <w:style w:type="numbering" w:customStyle="1" w:styleId="List36">
    <w:name w:val="List 36"/>
    <w:rsid w:val="0087058F"/>
    <w:pPr>
      <w:numPr>
        <w:numId w:val="14"/>
      </w:numPr>
    </w:pPr>
  </w:style>
  <w:style w:type="numbering" w:customStyle="1" w:styleId="List25">
    <w:name w:val="List 25"/>
    <w:rsid w:val="0087058F"/>
    <w:pPr>
      <w:numPr>
        <w:numId w:val="15"/>
      </w:numPr>
    </w:pPr>
  </w:style>
  <w:style w:type="numbering" w:customStyle="1" w:styleId="List1">
    <w:name w:val="List 1"/>
    <w:rsid w:val="0087058F"/>
    <w:pPr>
      <w:numPr>
        <w:numId w:val="1"/>
      </w:numPr>
    </w:pPr>
  </w:style>
  <w:style w:type="numbering" w:customStyle="1" w:styleId="List11">
    <w:name w:val="List 11"/>
    <w:rsid w:val="0087058F"/>
    <w:pPr>
      <w:numPr>
        <w:numId w:val="7"/>
      </w:numPr>
    </w:pPr>
  </w:style>
  <w:style w:type="numbering" w:customStyle="1" w:styleId="List15">
    <w:name w:val="List 15"/>
    <w:rsid w:val="0087058F"/>
    <w:pPr>
      <w:numPr>
        <w:numId w:val="16"/>
      </w:numPr>
    </w:pPr>
  </w:style>
  <w:style w:type="numbering" w:customStyle="1" w:styleId="List14">
    <w:name w:val="List 14"/>
    <w:rsid w:val="0087058F"/>
    <w:pPr>
      <w:numPr>
        <w:numId w:val="17"/>
      </w:numPr>
    </w:pPr>
  </w:style>
  <w:style w:type="numbering" w:customStyle="1" w:styleId="List23">
    <w:name w:val="List 23"/>
    <w:rsid w:val="0087058F"/>
    <w:pPr>
      <w:numPr>
        <w:numId w:val="18"/>
      </w:numPr>
    </w:pPr>
  </w:style>
  <w:style w:type="numbering" w:customStyle="1" w:styleId="List19">
    <w:name w:val="List 19"/>
    <w:rsid w:val="0087058F"/>
    <w:pPr>
      <w:numPr>
        <w:numId w:val="19"/>
      </w:numPr>
    </w:pPr>
  </w:style>
  <w:style w:type="numbering" w:customStyle="1" w:styleId="List45">
    <w:name w:val="List 45"/>
    <w:rsid w:val="0087058F"/>
    <w:pPr>
      <w:numPr>
        <w:numId w:val="20"/>
      </w:numPr>
    </w:pPr>
  </w:style>
  <w:style w:type="numbering" w:customStyle="1" w:styleId="List40">
    <w:name w:val="List 40"/>
    <w:rsid w:val="0087058F"/>
    <w:pPr>
      <w:numPr>
        <w:numId w:val="21"/>
      </w:numPr>
    </w:pPr>
  </w:style>
  <w:style w:type="numbering" w:customStyle="1" w:styleId="List9">
    <w:name w:val="List 9"/>
    <w:rsid w:val="0087058F"/>
    <w:pPr>
      <w:numPr>
        <w:numId w:val="22"/>
      </w:numPr>
    </w:pPr>
  </w:style>
  <w:style w:type="numbering" w:customStyle="1" w:styleId="List43">
    <w:name w:val="List 43"/>
    <w:rsid w:val="0087058F"/>
    <w:pPr>
      <w:numPr>
        <w:numId w:val="23"/>
      </w:numPr>
    </w:pPr>
  </w:style>
  <w:style w:type="numbering" w:customStyle="1" w:styleId="List46">
    <w:name w:val="List 46"/>
    <w:rsid w:val="0087058F"/>
    <w:pPr>
      <w:numPr>
        <w:numId w:val="24"/>
      </w:numPr>
    </w:pPr>
  </w:style>
  <w:style w:type="numbering" w:customStyle="1" w:styleId="List35">
    <w:name w:val="List 35"/>
    <w:rsid w:val="0087058F"/>
    <w:pPr>
      <w:numPr>
        <w:numId w:val="8"/>
      </w:numPr>
    </w:pPr>
  </w:style>
  <w:style w:type="numbering" w:customStyle="1" w:styleId="List17">
    <w:name w:val="List 17"/>
    <w:rsid w:val="0087058F"/>
    <w:pPr>
      <w:numPr>
        <w:numId w:val="25"/>
      </w:numPr>
    </w:pPr>
  </w:style>
  <w:style w:type="numbering" w:customStyle="1" w:styleId="List33">
    <w:name w:val="List 33"/>
    <w:rsid w:val="0087058F"/>
    <w:pPr>
      <w:numPr>
        <w:numId w:val="26"/>
      </w:numPr>
    </w:pPr>
  </w:style>
  <w:style w:type="numbering" w:customStyle="1" w:styleId="List7">
    <w:name w:val="List 7"/>
    <w:rsid w:val="0087058F"/>
    <w:pPr>
      <w:numPr>
        <w:numId w:val="4"/>
      </w:numPr>
    </w:pPr>
  </w:style>
  <w:style w:type="numbering" w:customStyle="1" w:styleId="List18">
    <w:name w:val="List 18"/>
    <w:rsid w:val="0087058F"/>
    <w:pPr>
      <w:numPr>
        <w:numId w:val="27"/>
      </w:numPr>
    </w:pPr>
  </w:style>
  <w:style w:type="numbering" w:customStyle="1" w:styleId="List22">
    <w:name w:val="List 22"/>
    <w:rsid w:val="0087058F"/>
    <w:pPr>
      <w:numPr>
        <w:numId w:val="28"/>
      </w:numPr>
    </w:pPr>
  </w:style>
  <w:style w:type="numbering" w:customStyle="1" w:styleId="List47">
    <w:name w:val="List 47"/>
    <w:rsid w:val="0087058F"/>
    <w:pPr>
      <w:numPr>
        <w:numId w:val="29"/>
      </w:numPr>
    </w:pPr>
  </w:style>
  <w:style w:type="numbering" w:customStyle="1" w:styleId="List28">
    <w:name w:val="List 28"/>
    <w:rsid w:val="0087058F"/>
    <w:pPr>
      <w:numPr>
        <w:numId w:val="30"/>
      </w:numPr>
    </w:pPr>
  </w:style>
  <w:style w:type="numbering" w:customStyle="1" w:styleId="List10">
    <w:name w:val="List 10"/>
    <w:rsid w:val="0087058F"/>
    <w:pPr>
      <w:numPr>
        <w:numId w:val="6"/>
      </w:numPr>
    </w:pPr>
  </w:style>
  <w:style w:type="numbering" w:customStyle="1" w:styleId="List0">
    <w:name w:val="List 0"/>
    <w:rsid w:val="0087058F"/>
    <w:pPr>
      <w:numPr>
        <w:numId w:val="31"/>
      </w:numPr>
    </w:pPr>
  </w:style>
  <w:style w:type="numbering" w:customStyle="1" w:styleId="List30">
    <w:name w:val="List 30"/>
    <w:rsid w:val="0087058F"/>
    <w:pPr>
      <w:numPr>
        <w:numId w:val="32"/>
      </w:numPr>
    </w:pPr>
  </w:style>
  <w:style w:type="numbering" w:customStyle="1" w:styleId="List29">
    <w:name w:val="List 29"/>
    <w:rsid w:val="0087058F"/>
    <w:pPr>
      <w:numPr>
        <w:numId w:val="34"/>
      </w:numPr>
    </w:pPr>
  </w:style>
  <w:style w:type="numbering" w:customStyle="1" w:styleId="List38">
    <w:name w:val="List 38"/>
    <w:rsid w:val="0087058F"/>
    <w:pPr>
      <w:numPr>
        <w:numId w:val="35"/>
      </w:numPr>
    </w:pPr>
  </w:style>
  <w:style w:type="numbering" w:customStyle="1" w:styleId="List12">
    <w:name w:val="List 12"/>
    <w:rsid w:val="0087058F"/>
    <w:pPr>
      <w:numPr>
        <w:numId w:val="36"/>
      </w:numPr>
    </w:pPr>
  </w:style>
  <w:style w:type="numbering" w:customStyle="1" w:styleId="List50">
    <w:name w:val="List 50"/>
    <w:rsid w:val="0087058F"/>
    <w:pPr>
      <w:numPr>
        <w:numId w:val="37"/>
      </w:numPr>
    </w:pPr>
  </w:style>
  <w:style w:type="numbering" w:customStyle="1" w:styleId="List34">
    <w:name w:val="List 34"/>
    <w:rsid w:val="0087058F"/>
    <w:pPr>
      <w:numPr>
        <w:numId w:val="11"/>
      </w:numPr>
    </w:pPr>
  </w:style>
  <w:style w:type="numbering" w:customStyle="1" w:styleId="List42">
    <w:name w:val="List 42"/>
    <w:rsid w:val="0087058F"/>
    <w:pPr>
      <w:numPr>
        <w:numId w:val="12"/>
      </w:numPr>
    </w:pPr>
  </w:style>
  <w:style w:type="numbering" w:customStyle="1" w:styleId="List49">
    <w:name w:val="List 49"/>
    <w:rsid w:val="0087058F"/>
    <w:pPr>
      <w:numPr>
        <w:numId w:val="39"/>
      </w:numPr>
    </w:pPr>
  </w:style>
  <w:style w:type="numbering" w:customStyle="1" w:styleId="List44">
    <w:name w:val="List 44"/>
    <w:rsid w:val="0087058F"/>
    <w:pPr>
      <w:numPr>
        <w:numId w:val="40"/>
      </w:numPr>
    </w:pPr>
  </w:style>
  <w:style w:type="numbering" w:customStyle="1" w:styleId="List21">
    <w:name w:val="List 21"/>
    <w:rsid w:val="0087058F"/>
    <w:pPr>
      <w:numPr>
        <w:numId w:val="52"/>
      </w:numPr>
    </w:pPr>
  </w:style>
  <w:style w:type="numbering" w:customStyle="1" w:styleId="List52">
    <w:name w:val="List 52"/>
    <w:rsid w:val="0087058F"/>
    <w:pPr>
      <w:numPr>
        <w:numId w:val="9"/>
      </w:numPr>
    </w:pPr>
  </w:style>
  <w:style w:type="numbering" w:customStyle="1" w:styleId="List24">
    <w:name w:val="List 24"/>
    <w:rsid w:val="0087058F"/>
    <w:pPr>
      <w:numPr>
        <w:numId w:val="13"/>
      </w:numPr>
    </w:pPr>
  </w:style>
  <w:style w:type="numbering" w:customStyle="1" w:styleId="List51">
    <w:name w:val="List 51"/>
    <w:rsid w:val="0087058F"/>
    <w:pPr>
      <w:numPr>
        <w:numId w:val="54"/>
      </w:numPr>
    </w:pPr>
  </w:style>
  <w:style w:type="numbering" w:customStyle="1" w:styleId="List27">
    <w:name w:val="List 27"/>
    <w:rsid w:val="0087058F"/>
    <w:pPr>
      <w:numPr>
        <w:numId w:val="41"/>
      </w:numPr>
    </w:pPr>
  </w:style>
  <w:style w:type="numbering" w:customStyle="1" w:styleId="List8">
    <w:name w:val="List 8"/>
    <w:rsid w:val="0087058F"/>
    <w:pPr>
      <w:numPr>
        <w:numId w:val="5"/>
      </w:numPr>
    </w:pPr>
  </w:style>
  <w:style w:type="numbering" w:customStyle="1" w:styleId="List13">
    <w:name w:val="List 13"/>
    <w:rsid w:val="0087058F"/>
    <w:pPr>
      <w:numPr>
        <w:numId w:val="42"/>
      </w:numPr>
    </w:pPr>
  </w:style>
  <w:style w:type="numbering" w:customStyle="1" w:styleId="List20">
    <w:name w:val="List 20"/>
    <w:rsid w:val="0087058F"/>
    <w:pPr>
      <w:numPr>
        <w:numId w:val="43"/>
      </w:numPr>
    </w:pPr>
  </w:style>
  <w:style w:type="numbering" w:customStyle="1" w:styleId="List41">
    <w:name w:val="List 41"/>
    <w:rsid w:val="0087058F"/>
    <w:pPr>
      <w:numPr>
        <w:numId w:val="44"/>
      </w:numPr>
    </w:pPr>
  </w:style>
  <w:style w:type="numbering" w:customStyle="1" w:styleId="List31">
    <w:name w:val="List 31"/>
    <w:rsid w:val="0087058F"/>
    <w:pPr>
      <w:numPr>
        <w:numId w:val="45"/>
      </w:numPr>
    </w:pPr>
  </w:style>
  <w:style w:type="numbering" w:customStyle="1" w:styleId="List6">
    <w:name w:val="List 6"/>
    <w:rsid w:val="0087058F"/>
    <w:pPr>
      <w:numPr>
        <w:numId w:val="3"/>
      </w:numPr>
    </w:pPr>
  </w:style>
  <w:style w:type="numbering" w:customStyle="1" w:styleId="List39">
    <w:name w:val="List 39"/>
    <w:rsid w:val="0087058F"/>
    <w:pPr>
      <w:numPr>
        <w:numId w:val="46"/>
      </w:numPr>
    </w:pPr>
  </w:style>
  <w:style w:type="numbering" w:customStyle="1" w:styleId="List37">
    <w:name w:val="List 37"/>
    <w:rsid w:val="0087058F"/>
    <w:pPr>
      <w:numPr>
        <w:numId w:val="47"/>
      </w:numPr>
    </w:pPr>
  </w:style>
  <w:style w:type="numbering" w:customStyle="1" w:styleId="List32">
    <w:name w:val="List 32"/>
    <w:rsid w:val="0087058F"/>
    <w:pPr>
      <w:numPr>
        <w:numId w:val="48"/>
      </w:numPr>
    </w:pPr>
  </w:style>
  <w:style w:type="numbering" w:customStyle="1" w:styleId="List26">
    <w:name w:val="List 26"/>
    <w:rsid w:val="0087058F"/>
    <w:pPr>
      <w:numPr>
        <w:numId w:val="49"/>
      </w:numPr>
    </w:pPr>
  </w:style>
  <w:style w:type="numbering" w:customStyle="1" w:styleId="List48">
    <w:name w:val="List 48"/>
    <w:rsid w:val="0087058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4216</Words>
  <Characters>22983</Characters>
  <Application>Microsoft Office Word</Application>
  <DocSecurity>0</DocSecurity>
  <Lines>489</Lines>
  <Paragraphs>159</Paragraphs>
  <ScaleCrop>false</ScaleCrop>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120/20</dc:title>
  <dc:creator/>
  <cp:lastModifiedBy/>
  <cp:revision>1</cp:revision>
  <dcterms:created xsi:type="dcterms:W3CDTF">2020-07-13T15:14:00Z</dcterms:created>
  <dcterms:modified xsi:type="dcterms:W3CDTF">2020-07-13T15:15:00Z</dcterms:modified>
</cp:coreProperties>
</file>