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CB" w:rsidRPr="003C32BC" w:rsidRDefault="00D43F91" w:rsidP="003C6ECB">
      <w:pPr>
        <w:jc w:val="both"/>
        <w:rPr>
          <w:rFonts w:asciiTheme="majorHAnsi" w:hAnsiTheme="majorHAnsi" w:cs="Univers"/>
          <w:b/>
          <w:bCs/>
          <w:sz w:val="22"/>
          <w:szCs w:val="22"/>
          <w:lang w:val="es-ES_tradnl"/>
        </w:rPr>
      </w:pPr>
      <w:bookmarkStart w:id="0" w:name="_GoBack"/>
      <w:bookmarkEnd w:id="0"/>
      <w:r>
        <w:rPr>
          <w:rFonts w:asciiTheme="majorHAnsi" w:hAnsiTheme="majorHAnsi"/>
          <w:noProof/>
          <w:sz w:val="22"/>
          <w:szCs w:val="22"/>
        </w:rPr>
        <w:pict>
          <v:rect id="Rectangle 1" o:spid="_x0000_s1026" style="position:absolute;left:0;text-align:left;margin-left:-32.75pt;margin-top:-28.1pt;width:111pt;height:706.9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w:r>
      <w:r>
        <w:rPr>
          <w:rFonts w:asciiTheme="majorHAnsi" w:hAnsiTheme="majorHAnsi"/>
          <w:noProof/>
          <w:sz w:val="22"/>
          <w:szCs w:val="22"/>
        </w:rPr>
        <w:pict>
          <v:shapetype id="_x0000_t202" coordsize="21600,21600" o:spt="202" path="m,l,21600r21600,l21600,xe">
            <v:stroke joinstyle="miter"/>
            <v:path gradientshapeok="t" o:connecttype="rect"/>
          </v:shapetype>
          <v:shape id="Text Box 11" o:spid="_x0000_s1030" type="#_x0000_t202" style="position:absolute;left:0;text-align:left;margin-left:90pt;margin-top:-29.25pt;width:353.25pt;height:5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9B7828" w:rsidRDefault="009B7828" w:rsidP="003C6ECB">
                  <w:r>
                    <w:rPr>
                      <w:noProof/>
                    </w:rPr>
                    <w:drawing>
                      <wp:inline distT="0" distB="0" distL="0" distR="0">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w:r>
    </w:p>
    <w:p w:rsidR="003C6ECB" w:rsidRPr="003C32BC" w:rsidRDefault="003C6ECB" w:rsidP="003C6ECB">
      <w:pPr>
        <w:tabs>
          <w:tab w:val="center" w:pos="5400"/>
        </w:tabs>
        <w:suppressAutoHyphens/>
        <w:jc w:val="both"/>
        <w:rPr>
          <w:rFonts w:asciiTheme="majorHAnsi" w:hAnsiTheme="majorHAnsi"/>
          <w:sz w:val="22"/>
          <w:szCs w:val="22"/>
          <w:lang w:val="es-ES"/>
        </w:rPr>
      </w:pPr>
    </w:p>
    <w:p w:rsidR="003C6ECB" w:rsidRPr="003C32BC" w:rsidRDefault="003C6ECB" w:rsidP="003C6ECB">
      <w:pPr>
        <w:tabs>
          <w:tab w:val="center" w:pos="5400"/>
        </w:tabs>
        <w:suppressAutoHyphens/>
        <w:jc w:val="both"/>
        <w:rPr>
          <w:rFonts w:asciiTheme="majorHAnsi" w:hAnsiTheme="majorHAnsi"/>
          <w:sz w:val="22"/>
          <w:szCs w:val="22"/>
          <w:lang w:val="es-ES"/>
        </w:rPr>
      </w:pPr>
    </w:p>
    <w:p w:rsidR="003C6ECB" w:rsidRPr="003C32BC" w:rsidRDefault="003C6ECB" w:rsidP="003C6ECB">
      <w:pPr>
        <w:tabs>
          <w:tab w:val="center" w:pos="5400"/>
        </w:tabs>
        <w:suppressAutoHyphens/>
        <w:rPr>
          <w:rFonts w:asciiTheme="majorHAnsi" w:hAnsiTheme="majorHAnsi"/>
          <w:sz w:val="22"/>
          <w:szCs w:val="22"/>
          <w:lang w:val="es-ES_tradnl"/>
        </w:rPr>
      </w:pPr>
    </w:p>
    <w:p w:rsidR="003C6ECB" w:rsidRPr="003C32BC" w:rsidRDefault="003C6ECB" w:rsidP="003C6ECB">
      <w:pPr>
        <w:tabs>
          <w:tab w:val="center" w:pos="5400"/>
        </w:tabs>
        <w:suppressAutoHyphens/>
        <w:rPr>
          <w:rFonts w:asciiTheme="majorHAnsi" w:hAnsiTheme="majorHAnsi"/>
          <w:sz w:val="22"/>
          <w:szCs w:val="22"/>
          <w:lang w:val="es-ES_tradnl"/>
        </w:rPr>
      </w:pPr>
    </w:p>
    <w:p w:rsidR="003C6ECB" w:rsidRPr="003C32BC" w:rsidRDefault="003C6ECB" w:rsidP="003C6ECB">
      <w:pPr>
        <w:tabs>
          <w:tab w:val="center" w:pos="5400"/>
        </w:tabs>
        <w:suppressAutoHyphens/>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D43F91" w:rsidP="003C6ECB">
      <w:pPr>
        <w:tabs>
          <w:tab w:val="center" w:pos="5400"/>
        </w:tabs>
        <w:suppressAutoHyphens/>
        <w:jc w:val="center"/>
        <w:rPr>
          <w:rFonts w:asciiTheme="majorHAnsi" w:hAnsiTheme="majorHAnsi"/>
          <w:sz w:val="22"/>
          <w:szCs w:val="22"/>
          <w:lang w:val="es-ES_tradnl"/>
        </w:rPr>
      </w:pPr>
      <w:r>
        <w:rPr>
          <w:rFonts w:asciiTheme="majorHAnsi" w:hAnsiTheme="majorHAnsi"/>
          <w:noProof/>
          <w:sz w:val="22"/>
          <w:szCs w:val="22"/>
        </w:rPr>
        <w:pict>
          <v:shape id="Text Box 5" o:spid="_x0000_s1027" type="#_x0000_t202" style="position:absolute;left:0;text-align:left;margin-left:95.25pt;margin-top:6.25pt;width:341.25pt;height:185.1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B7828" w:rsidRPr="004B7EB6" w:rsidRDefault="00A73D48" w:rsidP="003C6ECB">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REPORT No. 157/</w:t>
                  </w:r>
                  <w:r w:rsidR="009B7828">
                    <w:rPr>
                      <w:rFonts w:asciiTheme="majorHAnsi" w:hAnsiTheme="majorHAnsi" w:cs="Arial"/>
                      <w:b/>
                      <w:bCs/>
                      <w:color w:val="0D0D0D" w:themeColor="text1" w:themeTint="F2"/>
                      <w:sz w:val="36"/>
                      <w:szCs w:val="40"/>
                    </w:rPr>
                    <w:t>20</w:t>
                  </w:r>
                </w:p>
                <w:p w:rsidR="009B7828" w:rsidRPr="004B7EB6" w:rsidRDefault="009B7828" w:rsidP="003C6ECB">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1038-13</w:t>
                  </w:r>
                </w:p>
                <w:p w:rsidR="009B7828" w:rsidRPr="004B7EB6" w:rsidRDefault="009B7828" w:rsidP="003C6ECB">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Pr="004B7EB6">
                    <w:rPr>
                      <w:rFonts w:asciiTheme="majorHAnsi" w:hAnsiTheme="majorHAnsi" w:cs="Arial"/>
                      <w:color w:val="0D0D0D" w:themeColor="text1" w:themeTint="F2"/>
                      <w:szCs w:val="22"/>
                    </w:rPr>
                    <w:t xml:space="preserve"> </w:t>
                  </w:r>
                </w:p>
                <w:p w:rsidR="009B7828" w:rsidRPr="004B7EB6" w:rsidRDefault="009B7828" w:rsidP="003C6ECB">
                  <w:pPr>
                    <w:spacing w:line="276" w:lineRule="auto"/>
                    <w:rPr>
                      <w:rFonts w:asciiTheme="majorHAnsi" w:hAnsiTheme="majorHAnsi" w:cs="Arial"/>
                      <w:color w:val="0D0D0D" w:themeColor="text1" w:themeTint="F2"/>
                      <w:szCs w:val="22"/>
                    </w:rPr>
                  </w:pPr>
                </w:p>
                <w:p w:rsidR="009B7828" w:rsidRPr="004B625D" w:rsidRDefault="009B7828" w:rsidP="003C6EC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ALBERTO SAAVEDRA SILVA AND OTHERS</w:t>
                  </w:r>
                </w:p>
                <w:p w:rsidR="009B7828" w:rsidRPr="004B625D" w:rsidRDefault="009B7828" w:rsidP="003C6ECB">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PERU</w:t>
                  </w:r>
                </w:p>
                <w:p w:rsidR="009B7828" w:rsidRPr="000C4365" w:rsidRDefault="009B7828" w:rsidP="003C6ECB">
                  <w:pPr>
                    <w:spacing w:line="276" w:lineRule="auto"/>
                    <w:rPr>
                      <w:rFonts w:asciiTheme="majorHAnsi" w:hAnsiTheme="majorHAnsi"/>
                      <w:color w:val="0D0D0D" w:themeColor="text1" w:themeTint="F2"/>
                    </w:rPr>
                  </w:pPr>
                </w:p>
              </w:txbxContent>
            </v:textbox>
          </v:shape>
        </w:pict>
      </w:r>
      <w:r>
        <w:rPr>
          <w:rFonts w:asciiTheme="majorHAnsi" w:hAnsiTheme="majorHAnsi"/>
          <w:noProof/>
          <w:sz w:val="22"/>
          <w:szCs w:val="22"/>
        </w:rPr>
        <w:pict>
          <v:shape id="Text Box 8" o:spid="_x0000_s1029" type="#_x0000_t202" style="position:absolute;left:0;text-align:left;margin-left:-29.25pt;margin-top:10pt;width:105.05pt;height:108.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9B7828" w:rsidRPr="00466D0B" w:rsidRDefault="009B7828" w:rsidP="003C6ECB">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OAS</w:t>
                  </w:r>
                  <w:r w:rsidRPr="00466D0B">
                    <w:rPr>
                      <w:rFonts w:asciiTheme="minorHAnsi" w:hAnsiTheme="minorHAnsi"/>
                      <w:color w:val="FFFFFF" w:themeColor="background1"/>
                      <w:sz w:val="22"/>
                      <w:lang w:val="pt-BR"/>
                    </w:rPr>
                    <w:t>/Ser.L/V/II.</w:t>
                  </w:r>
                </w:p>
                <w:p w:rsidR="009B7828" w:rsidRPr="00466D0B" w:rsidRDefault="009B7828" w:rsidP="003C6ECB">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A73D48">
                    <w:rPr>
                      <w:rFonts w:asciiTheme="minorHAnsi" w:hAnsiTheme="minorHAnsi"/>
                      <w:color w:val="FFFFFF" w:themeColor="background1"/>
                      <w:sz w:val="22"/>
                      <w:lang w:val="pt-BR"/>
                    </w:rPr>
                    <w:t xml:space="preserve"> 167</w:t>
                  </w:r>
                </w:p>
                <w:p w:rsidR="009B7828" w:rsidRPr="004B7EB6" w:rsidRDefault="00A73D48" w:rsidP="003C6ECB">
                  <w:pPr>
                    <w:jc w:val="right"/>
                    <w:rPr>
                      <w:rFonts w:asciiTheme="minorHAnsi" w:hAnsiTheme="minorHAnsi"/>
                      <w:color w:val="FFFFFF" w:themeColor="background1"/>
                      <w:sz w:val="22"/>
                    </w:rPr>
                  </w:pPr>
                  <w:r>
                    <w:rPr>
                      <w:rFonts w:asciiTheme="minorHAnsi" w:hAnsiTheme="minorHAnsi"/>
                      <w:color w:val="FFFFFF" w:themeColor="background1"/>
                      <w:sz w:val="22"/>
                    </w:rPr>
                    <w:t>9 June</w:t>
                  </w:r>
                  <w:r w:rsidR="009B7828">
                    <w:rPr>
                      <w:rFonts w:asciiTheme="minorHAnsi" w:hAnsiTheme="minorHAnsi"/>
                      <w:color w:val="FFFFFF" w:themeColor="background1"/>
                      <w:sz w:val="22"/>
                    </w:rPr>
                    <w:t xml:space="preserve"> 2020</w:t>
                  </w:r>
                </w:p>
                <w:p w:rsidR="009B7828" w:rsidRPr="004B7EB6" w:rsidRDefault="009B7828" w:rsidP="003C6ECB">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A73D48">
                    <w:rPr>
                      <w:rFonts w:asciiTheme="minorHAnsi" w:hAnsiTheme="minorHAnsi"/>
                      <w:color w:val="FFFFFF" w:themeColor="background1"/>
                      <w:sz w:val="22"/>
                    </w:rPr>
                    <w:t xml:space="preserve"> Spanish</w:t>
                  </w:r>
                  <w:r w:rsidRPr="004B7EB6">
                    <w:rPr>
                      <w:rFonts w:asciiTheme="minorHAnsi" w:hAnsiTheme="minorHAnsi"/>
                      <w:color w:val="FFFFFF" w:themeColor="background1"/>
                      <w:sz w:val="22"/>
                    </w:rPr>
                    <w:t xml:space="preserve"> </w:t>
                  </w:r>
                </w:p>
              </w:txbxContent>
            </v:textbox>
          </v:shape>
        </w:pict>
      </w: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cs="Arial"/>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22"/>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D43F91" w:rsidP="003C6ECB">
      <w:pPr>
        <w:tabs>
          <w:tab w:val="center" w:pos="5400"/>
        </w:tabs>
        <w:suppressAutoHyphens/>
        <w:jc w:val="center"/>
        <w:rPr>
          <w:rFonts w:asciiTheme="majorHAnsi" w:hAnsiTheme="majorHAnsi"/>
          <w:sz w:val="18"/>
          <w:szCs w:val="22"/>
          <w:lang w:val="es-ES_tradnl"/>
        </w:rPr>
      </w:pPr>
      <w:r>
        <w:rPr>
          <w:rFonts w:asciiTheme="majorHAnsi" w:hAnsiTheme="majorHAnsi"/>
          <w:noProof/>
          <w:sz w:val="22"/>
          <w:szCs w:val="22"/>
        </w:rPr>
        <w:pict>
          <v:shape id="Text Box 7" o:spid="_x0000_s1028" type="#_x0000_t202" style="position:absolute;left:0;text-align:left;margin-left:95.05pt;margin-top:8.5pt;width:361.85pt;height:68.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9B7828" w:rsidRDefault="009B7828" w:rsidP="003C6ECB">
                  <w:pPr>
                    <w:tabs>
                      <w:tab w:val="center" w:pos="5400"/>
                    </w:tabs>
                    <w:suppressAutoHyphens/>
                    <w:spacing w:before="60"/>
                    <w:rPr>
                      <w:rFonts w:asciiTheme="majorHAnsi" w:hAnsiTheme="majorHAnsi"/>
                      <w:color w:val="0D0D0D" w:themeColor="text1" w:themeTint="F2"/>
                      <w:sz w:val="18"/>
                      <w:szCs w:val="20"/>
                    </w:rPr>
                  </w:pPr>
                </w:p>
                <w:p w:rsidR="009B7828" w:rsidRPr="003C32BC" w:rsidRDefault="009B7828" w:rsidP="003C6ECB">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A73D48">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A73D48">
                    <w:rPr>
                      <w:rFonts w:asciiTheme="majorHAnsi" w:hAnsiTheme="majorHAnsi"/>
                      <w:color w:val="0D0D0D" w:themeColor="text1" w:themeTint="F2"/>
                      <w:sz w:val="18"/>
                      <w:szCs w:val="20"/>
                    </w:rPr>
                    <w:t>June 9,</w:t>
                  </w:r>
                  <w:r w:rsidR="006F6DE3">
                    <w:rPr>
                      <w:rFonts w:asciiTheme="majorHAnsi" w:hAnsiTheme="majorHAnsi"/>
                      <w:color w:val="0D0D0D" w:themeColor="text1" w:themeTint="F2"/>
                      <w:sz w:val="18"/>
                      <w:szCs w:val="20"/>
                    </w:rPr>
                    <w:t xml:space="preserve"> </w:t>
                  </w:r>
                  <w:r>
                    <w:rPr>
                      <w:rFonts w:asciiTheme="majorHAnsi" w:hAnsiTheme="majorHAnsi"/>
                      <w:color w:val="0D0D0D" w:themeColor="text1" w:themeTint="F2"/>
                      <w:sz w:val="18"/>
                      <w:szCs w:val="20"/>
                    </w:rPr>
                    <w:t>2020</w:t>
                  </w:r>
                  <w:r w:rsidR="006F6DE3">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p>
              </w:txbxContent>
            </v:textbox>
          </v:shape>
        </w:pict>
      </w:r>
    </w:p>
    <w:p w:rsidR="003C6ECB" w:rsidRPr="003C32BC" w:rsidRDefault="003C6ECB" w:rsidP="00D3444F">
      <w:pPr>
        <w:tabs>
          <w:tab w:val="center" w:pos="5400"/>
        </w:tabs>
        <w:suppressAutoHyphens/>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D43F91" w:rsidP="003C6ECB">
      <w:pPr>
        <w:tabs>
          <w:tab w:val="center" w:pos="5400"/>
        </w:tabs>
        <w:suppressAutoHyphens/>
        <w:jc w:val="center"/>
        <w:rPr>
          <w:rFonts w:asciiTheme="majorHAnsi" w:hAnsiTheme="majorHAnsi"/>
          <w:sz w:val="18"/>
          <w:szCs w:val="22"/>
          <w:lang w:val="es-ES_tradnl"/>
        </w:rPr>
      </w:pPr>
      <w:r>
        <w:rPr>
          <w:rFonts w:asciiTheme="majorHAnsi" w:hAnsiTheme="majorHAnsi"/>
          <w:noProof/>
          <w:sz w:val="18"/>
          <w:szCs w:val="22"/>
        </w:rPr>
        <w:pict>
          <v:shape id="Text Box 14" o:spid="_x0000_s1031" type="#_x0000_t202" style="position:absolute;left:0;text-align:left;margin-left:95.25pt;margin-top:7.25pt;width:379.85pt;height:48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9B7828" w:rsidRPr="003C32BC" w:rsidRDefault="009B7828" w:rsidP="003C6ECB">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A73D48">
                    <w:rPr>
                      <w:rFonts w:asciiTheme="majorHAnsi" w:hAnsiTheme="majorHAnsi"/>
                      <w:color w:val="595959" w:themeColor="text1" w:themeTint="A6"/>
                      <w:sz w:val="18"/>
                    </w:rPr>
                    <w:t>157</w:t>
                  </w:r>
                  <w:r>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Petition 1038-13</w:t>
                  </w:r>
                  <w:r w:rsidRPr="003C32BC">
                    <w:rPr>
                      <w:rFonts w:asciiTheme="majorHAnsi" w:hAnsiTheme="majorHAnsi"/>
                      <w:color w:val="595959" w:themeColor="text1" w:themeTint="A6"/>
                      <w:sz w:val="18"/>
                    </w:rPr>
                    <w:t>.</w:t>
                  </w:r>
                  <w:r>
                    <w:rPr>
                      <w:rFonts w:asciiTheme="majorHAnsi" w:hAnsiTheme="majorHAnsi"/>
                      <w:color w:val="595959" w:themeColor="text1" w:themeTint="A6"/>
                      <w:sz w:val="18"/>
                    </w:rPr>
                    <w:t xml:space="preserve"> Admissibility</w:t>
                  </w:r>
                  <w:r w:rsidRPr="003C32BC">
                    <w:rPr>
                      <w:rFonts w:asciiTheme="majorHAnsi" w:hAnsiTheme="majorHAnsi"/>
                      <w:color w:val="595959" w:themeColor="text1" w:themeTint="A6"/>
                      <w:sz w:val="18"/>
                    </w:rPr>
                    <w:t xml:space="preserve">. </w:t>
                  </w:r>
                  <w:r w:rsidR="00A73D48">
                    <w:rPr>
                      <w:rFonts w:asciiTheme="majorHAnsi" w:hAnsiTheme="majorHAnsi"/>
                      <w:color w:val="595959" w:themeColor="text1" w:themeTint="A6"/>
                      <w:sz w:val="18"/>
                    </w:rPr>
                    <w:t>Alberto Saavedra Silva and others. Peru</w:t>
                  </w:r>
                  <w:r>
                    <w:rPr>
                      <w:rFonts w:asciiTheme="majorHAnsi" w:hAnsiTheme="majorHAnsi"/>
                      <w:color w:val="595959" w:themeColor="text1" w:themeTint="A6"/>
                      <w:sz w:val="18"/>
                    </w:rPr>
                    <w:t xml:space="preserve">. </w:t>
                  </w:r>
                  <w:r w:rsidR="00A73D48">
                    <w:rPr>
                      <w:rFonts w:asciiTheme="majorHAnsi" w:hAnsiTheme="majorHAnsi"/>
                      <w:color w:val="595959" w:themeColor="text1" w:themeTint="A6"/>
                      <w:sz w:val="18"/>
                    </w:rPr>
                    <w:t>June 9, 2020.</w:t>
                  </w:r>
                </w:p>
              </w:txbxContent>
            </v:textbox>
          </v:shape>
        </w:pict>
      </w: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lang w:val="es-ES_tradnl"/>
        </w:rPr>
      </w:pPr>
    </w:p>
    <w:p w:rsidR="003C6ECB" w:rsidRPr="003C32BC" w:rsidRDefault="003C6ECB" w:rsidP="003C6ECB">
      <w:pPr>
        <w:tabs>
          <w:tab w:val="center" w:pos="5400"/>
        </w:tabs>
        <w:suppressAutoHyphens/>
        <w:jc w:val="center"/>
        <w:rPr>
          <w:rFonts w:asciiTheme="majorHAnsi" w:hAnsiTheme="majorHAnsi"/>
          <w:sz w:val="18"/>
          <w:szCs w:val="22"/>
        </w:rPr>
      </w:pPr>
    </w:p>
    <w:p w:rsidR="003C6ECB" w:rsidRPr="003C32BC" w:rsidRDefault="00D43F91" w:rsidP="003C6ECB">
      <w:pPr>
        <w:tabs>
          <w:tab w:val="center" w:pos="5400"/>
        </w:tabs>
        <w:suppressAutoHyphens/>
        <w:jc w:val="center"/>
        <w:rPr>
          <w:rFonts w:asciiTheme="majorHAnsi" w:hAnsiTheme="majorHAnsi"/>
          <w:sz w:val="18"/>
          <w:szCs w:val="22"/>
        </w:rPr>
      </w:pPr>
      <w:r>
        <w:rPr>
          <w:rFonts w:asciiTheme="majorHAnsi" w:hAnsiTheme="majorHAnsi"/>
          <w:noProof/>
          <w:sz w:val="22"/>
          <w:szCs w:val="22"/>
        </w:rPr>
        <w:pict>
          <v:shape id="Text Box 3" o:spid="_x0000_s1033" type="#_x0000_t202" style="position:absolute;left:0;text-align:left;margin-left:-23.55pt;margin-top:67.65pt;width:93pt;height:26.2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9B7828" w:rsidRPr="004B7EB6" w:rsidRDefault="009B7828" w:rsidP="003C6ECB">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w:r>
      <w:r>
        <w:rPr>
          <w:rFonts w:asciiTheme="majorHAnsi" w:hAnsiTheme="majorHAnsi"/>
          <w:noProof/>
          <w:sz w:val="22"/>
          <w:szCs w:val="22"/>
        </w:rPr>
        <w:pict>
          <v:shape id="Text Box 2" o:spid="_x0000_s1032" type="#_x0000_t202" style="position:absolute;left:0;text-align:left;margin-left:95.15pt;margin-top:56.9pt;width:164.25pt;height:38.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9B7828" w:rsidRDefault="009B7828" w:rsidP="003C6ECB">
                  <w:r>
                    <w:rPr>
                      <w:noProof/>
                    </w:rPr>
                    <w:drawing>
                      <wp:inline distT="0" distB="0" distL="0" distR="0">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w:r>
    </w:p>
    <w:p w:rsidR="003C6ECB" w:rsidRDefault="003C6ECB" w:rsidP="003C6ECB">
      <w:pPr>
        <w:tabs>
          <w:tab w:val="center" w:pos="5400"/>
        </w:tabs>
        <w:suppressAutoHyphens/>
        <w:jc w:val="center"/>
        <w:rPr>
          <w:rFonts w:asciiTheme="majorHAnsi" w:hAnsiTheme="majorHAnsi"/>
          <w:sz w:val="18"/>
          <w:szCs w:val="22"/>
        </w:rPr>
        <w:sectPr w:rsidR="003C6ECB" w:rsidSect="003C6EC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0"/>
          <w:cols w:space="720"/>
          <w:titlePg/>
          <w:docGrid w:linePitch="326"/>
        </w:sectPr>
      </w:pPr>
    </w:p>
    <w:p w:rsidR="003C6ECB" w:rsidRPr="00466D0B" w:rsidRDefault="003C6ECB" w:rsidP="003C6ECB">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6ECB" w:rsidRPr="006F6DE3" w:rsidTr="002C45A8">
        <w:tc>
          <w:tcPr>
            <w:tcW w:w="3690" w:type="dxa"/>
            <w:tcBorders>
              <w:top w:val="single" w:sz="4"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Petitioner</w:t>
            </w:r>
            <w:proofErr w:type="spellEnd"/>
            <w:r w:rsidRPr="000B6B7A">
              <w:rPr>
                <w:rFonts w:ascii="Cambria" w:hAnsi="Cambria"/>
                <w:b/>
                <w:bCs/>
                <w:color w:val="FFFFFF" w:themeColor="background1"/>
                <w:sz w:val="20"/>
                <w:szCs w:val="20"/>
              </w:rPr>
              <w:t>:</w:t>
            </w:r>
          </w:p>
        </w:tc>
        <w:tc>
          <w:tcPr>
            <w:tcW w:w="5670" w:type="dxa"/>
            <w:vAlign w:val="center"/>
          </w:tcPr>
          <w:p w:rsidR="003C6ECB" w:rsidRPr="000B6B7A" w:rsidRDefault="005E2BE8" w:rsidP="002C45A8">
            <w:pPr>
              <w:jc w:val="both"/>
              <w:rPr>
                <w:rFonts w:ascii="Cambria" w:hAnsi="Cambria"/>
                <w:bCs/>
                <w:sz w:val="20"/>
                <w:szCs w:val="20"/>
              </w:rPr>
            </w:pPr>
            <w:r>
              <w:rPr>
                <w:rFonts w:ascii="Cambria" w:hAnsi="Cambria"/>
                <w:bCs/>
                <w:sz w:val="20"/>
                <w:szCs w:val="20"/>
              </w:rPr>
              <w:t xml:space="preserve">Renata </w:t>
            </w:r>
            <w:proofErr w:type="spellStart"/>
            <w:r>
              <w:rPr>
                <w:rFonts w:ascii="Cambria" w:hAnsi="Cambria"/>
                <w:bCs/>
                <w:sz w:val="20"/>
                <w:szCs w:val="20"/>
              </w:rPr>
              <w:t>Bregaglio</w:t>
            </w:r>
            <w:proofErr w:type="spellEnd"/>
            <w:r>
              <w:rPr>
                <w:rFonts w:ascii="Cambria" w:hAnsi="Cambria"/>
                <w:bCs/>
                <w:sz w:val="20"/>
                <w:szCs w:val="20"/>
              </w:rPr>
              <w:t xml:space="preserve"> Lazarte and Javier Mujica </w:t>
            </w:r>
            <w:proofErr w:type="spellStart"/>
            <w:r>
              <w:rPr>
                <w:rFonts w:ascii="Cambria" w:hAnsi="Cambria"/>
                <w:bCs/>
                <w:sz w:val="20"/>
                <w:szCs w:val="20"/>
              </w:rPr>
              <w:t>Petit</w:t>
            </w:r>
            <w:proofErr w:type="spellEnd"/>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0B6B7A" w:rsidRDefault="00D43F91" w:rsidP="002C45A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60F0B7ED39534C9CB117E0F90849AFCF"/>
                </w:placeholder>
                <w:dropDownList>
                  <w:listItem w:value="Choose an item."/>
                  <w:listItem w:displayText="Alleged victim" w:value="Alleged victim"/>
                  <w:listItem w:displayText="Alleged victims" w:value="Alleged victims"/>
                </w:dropDownList>
              </w:sdtPr>
              <w:sdtEndPr/>
              <w:sdtContent>
                <w:r w:rsidR="003C6ECB">
                  <w:rPr>
                    <w:rFonts w:ascii="Cambria" w:hAnsi="Cambria"/>
                    <w:b/>
                    <w:bCs/>
                    <w:color w:val="FFFFFF" w:themeColor="background1"/>
                    <w:sz w:val="20"/>
                    <w:szCs w:val="20"/>
                  </w:rPr>
                  <w:t>Alleged victim</w:t>
                </w:r>
              </w:sdtContent>
            </w:sdt>
            <w:r w:rsidR="003C6ECB" w:rsidRPr="000C4365">
              <w:rPr>
                <w:rFonts w:ascii="Cambria" w:hAnsi="Cambria"/>
                <w:b/>
                <w:bCs/>
                <w:color w:val="FFFFFF" w:themeColor="background1"/>
                <w:sz w:val="20"/>
                <w:szCs w:val="20"/>
              </w:rPr>
              <w:t>:</w:t>
            </w:r>
          </w:p>
        </w:tc>
        <w:tc>
          <w:tcPr>
            <w:tcW w:w="5670" w:type="dxa"/>
            <w:vAlign w:val="center"/>
          </w:tcPr>
          <w:p w:rsidR="003C6ECB" w:rsidRPr="005E2BE8" w:rsidRDefault="005E2BE8" w:rsidP="002C45A8">
            <w:pPr>
              <w:jc w:val="both"/>
              <w:rPr>
                <w:rFonts w:ascii="Cambria" w:hAnsi="Cambria"/>
                <w:bCs/>
                <w:sz w:val="20"/>
                <w:szCs w:val="20"/>
                <w:vertAlign w:val="superscript"/>
                <w:lang w:val="en-US"/>
              </w:rPr>
            </w:pPr>
            <w:r w:rsidRPr="005E2BE8">
              <w:rPr>
                <w:rFonts w:ascii="Cambria" w:hAnsi="Cambria"/>
                <w:bCs/>
                <w:sz w:val="20"/>
                <w:szCs w:val="20"/>
                <w:lang w:val="en-US"/>
              </w:rPr>
              <w:t>Albert</w:t>
            </w:r>
            <w:r>
              <w:rPr>
                <w:rFonts w:ascii="Cambria" w:hAnsi="Cambria"/>
                <w:bCs/>
                <w:sz w:val="20"/>
                <w:szCs w:val="20"/>
                <w:lang w:val="en-US"/>
              </w:rPr>
              <w:t>o</w:t>
            </w:r>
            <w:r w:rsidRPr="005E2BE8">
              <w:rPr>
                <w:rFonts w:ascii="Cambria" w:hAnsi="Cambria"/>
                <w:bCs/>
                <w:sz w:val="20"/>
                <w:szCs w:val="20"/>
                <w:lang w:val="en-US"/>
              </w:rPr>
              <w:t xml:space="preserve"> Saavedra Silva and </w:t>
            </w:r>
            <w:r>
              <w:rPr>
                <w:rFonts w:ascii="Cambria" w:hAnsi="Cambria"/>
                <w:bCs/>
                <w:sz w:val="20"/>
                <w:szCs w:val="20"/>
                <w:lang w:val="en-US"/>
              </w:rPr>
              <w:t>others</w:t>
            </w:r>
            <w:r>
              <w:rPr>
                <w:rFonts w:ascii="Cambria" w:hAnsi="Cambria"/>
                <w:bCs/>
                <w:sz w:val="20"/>
                <w:szCs w:val="20"/>
                <w:vertAlign w:val="superscript"/>
                <w:lang w:val="en-US"/>
              </w:rPr>
              <w:t>1</w:t>
            </w:r>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Respondent</w:t>
            </w:r>
            <w:proofErr w:type="spellEnd"/>
            <w:r>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State</w:t>
            </w:r>
            <w:proofErr w:type="spellEnd"/>
            <w:r w:rsidRPr="000B6B7A">
              <w:rPr>
                <w:rFonts w:ascii="Cambria" w:hAnsi="Cambria"/>
                <w:b/>
                <w:bCs/>
                <w:color w:val="FFFFFF" w:themeColor="background1"/>
                <w:sz w:val="20"/>
                <w:szCs w:val="20"/>
              </w:rPr>
              <w:t>:</w:t>
            </w:r>
          </w:p>
        </w:tc>
        <w:tc>
          <w:tcPr>
            <w:tcW w:w="5670" w:type="dxa"/>
            <w:vAlign w:val="center"/>
          </w:tcPr>
          <w:p w:rsidR="003C6ECB" w:rsidRPr="005E2BE8" w:rsidRDefault="005E2BE8" w:rsidP="002C45A8">
            <w:pPr>
              <w:jc w:val="both"/>
              <w:rPr>
                <w:rFonts w:ascii="Cambria" w:hAnsi="Cambria"/>
                <w:bCs/>
                <w:sz w:val="20"/>
                <w:szCs w:val="20"/>
                <w:vertAlign w:val="superscript"/>
              </w:rPr>
            </w:pPr>
            <w:r>
              <w:rPr>
                <w:rFonts w:ascii="Cambria" w:hAnsi="Cambria"/>
                <w:bCs/>
                <w:sz w:val="20"/>
                <w:szCs w:val="20"/>
              </w:rPr>
              <w:t>Peru</w:t>
            </w:r>
            <w:r>
              <w:rPr>
                <w:rFonts w:ascii="Cambria" w:hAnsi="Cambria"/>
                <w:bCs/>
                <w:sz w:val="20"/>
                <w:szCs w:val="20"/>
                <w:vertAlign w:val="superscript"/>
              </w:rPr>
              <w:t>2</w:t>
            </w:r>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Rights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invoked</w:t>
            </w:r>
            <w:proofErr w:type="spellEnd"/>
            <w:r>
              <w:rPr>
                <w:rFonts w:ascii="Cambria" w:hAnsi="Cambria"/>
                <w:b/>
                <w:bCs/>
                <w:color w:val="FFFFFF" w:themeColor="background1"/>
                <w:sz w:val="20"/>
                <w:szCs w:val="20"/>
              </w:rPr>
              <w:t>:</w:t>
            </w:r>
          </w:p>
        </w:tc>
        <w:tc>
          <w:tcPr>
            <w:tcW w:w="5670" w:type="dxa"/>
            <w:vAlign w:val="center"/>
          </w:tcPr>
          <w:p w:rsidR="003C6ECB" w:rsidRPr="00D3444F" w:rsidRDefault="00D52918" w:rsidP="000D32B9">
            <w:pPr>
              <w:jc w:val="both"/>
              <w:rPr>
                <w:rFonts w:asciiTheme="majorHAnsi" w:hAnsiTheme="majorHAnsi"/>
                <w:sz w:val="20"/>
                <w:szCs w:val="20"/>
                <w:lang w:val="en-US"/>
              </w:rPr>
            </w:pPr>
            <w:r w:rsidRPr="00D3444F">
              <w:rPr>
                <w:rFonts w:asciiTheme="majorHAnsi" w:hAnsiTheme="majorHAnsi"/>
                <w:sz w:val="20"/>
                <w:szCs w:val="20"/>
                <w:lang w:val="en-US"/>
              </w:rPr>
              <w:t>Articles 8 (right to a fair trial), 9 (principle of legality and retroactivity), 21 (</w:t>
            </w:r>
            <w:r w:rsidR="00E21150">
              <w:rPr>
                <w:rFonts w:asciiTheme="majorHAnsi" w:hAnsiTheme="majorHAnsi"/>
                <w:sz w:val="20"/>
                <w:szCs w:val="20"/>
                <w:lang w:val="en-US"/>
              </w:rPr>
              <w:t>private property), 25 (</w:t>
            </w:r>
            <w:r w:rsidRPr="00D3444F">
              <w:rPr>
                <w:rFonts w:asciiTheme="majorHAnsi" w:hAnsiTheme="majorHAnsi"/>
                <w:sz w:val="20"/>
                <w:szCs w:val="20"/>
                <w:lang w:val="en-US"/>
              </w:rPr>
              <w:t>judicial protection) and 26 (economic, social and cultural rights) of the American Convention on Human Rights</w:t>
            </w:r>
            <w:r w:rsidRPr="00D3444F">
              <w:rPr>
                <w:rFonts w:asciiTheme="majorHAnsi" w:hAnsiTheme="majorHAnsi"/>
                <w:sz w:val="20"/>
                <w:szCs w:val="20"/>
                <w:vertAlign w:val="superscript"/>
                <w:lang w:val="en-US"/>
              </w:rPr>
              <w:t>3</w:t>
            </w:r>
            <w:r w:rsidRPr="00D3444F">
              <w:rPr>
                <w:rFonts w:asciiTheme="majorHAnsi" w:hAnsiTheme="majorHAnsi"/>
                <w:sz w:val="20"/>
                <w:szCs w:val="20"/>
                <w:lang w:val="en-US"/>
              </w:rPr>
              <w:t>, in relation to its Articles 1.1 (obligation to respect rights) a</w:t>
            </w:r>
            <w:r w:rsidR="000D32B9">
              <w:rPr>
                <w:rFonts w:asciiTheme="majorHAnsi" w:hAnsiTheme="majorHAnsi"/>
                <w:sz w:val="20"/>
                <w:szCs w:val="20"/>
                <w:lang w:val="en-US"/>
              </w:rPr>
              <w:t>nd 2 (obligation to adopt provisi</w:t>
            </w:r>
            <w:r w:rsidRPr="00D3444F">
              <w:rPr>
                <w:rFonts w:asciiTheme="majorHAnsi" w:hAnsiTheme="majorHAnsi"/>
                <w:sz w:val="20"/>
                <w:szCs w:val="20"/>
                <w:lang w:val="en-US"/>
              </w:rPr>
              <w:t>ons of</w:t>
            </w:r>
            <w:r w:rsidR="000D32B9">
              <w:rPr>
                <w:rFonts w:asciiTheme="majorHAnsi" w:hAnsiTheme="majorHAnsi"/>
                <w:sz w:val="20"/>
                <w:szCs w:val="20"/>
                <w:lang w:val="en-US"/>
              </w:rPr>
              <w:t xml:space="preserve"> domestic</w:t>
            </w:r>
            <w:r w:rsidRPr="00D3444F">
              <w:rPr>
                <w:rFonts w:asciiTheme="majorHAnsi" w:hAnsiTheme="majorHAnsi"/>
                <w:sz w:val="20"/>
                <w:szCs w:val="20"/>
                <w:lang w:val="en-US"/>
              </w:rPr>
              <w:t xml:space="preserve"> law)</w:t>
            </w:r>
          </w:p>
        </w:tc>
      </w:tr>
    </w:tbl>
    <w:p w:rsidR="003C6ECB" w:rsidRPr="0065282D" w:rsidRDefault="003C6ECB" w:rsidP="003C6ECB">
      <w:pPr>
        <w:spacing w:before="240" w:after="240"/>
        <w:ind w:firstLine="720"/>
        <w:jc w:val="both"/>
        <w:rPr>
          <w:rFonts w:asciiTheme="majorHAnsi" w:hAnsiTheme="majorHAnsi"/>
          <w:b/>
          <w:bCs/>
          <w:sz w:val="20"/>
          <w:szCs w:val="20"/>
          <w:vertAlign w:val="superscript"/>
        </w:rPr>
      </w:pPr>
      <w:r w:rsidRPr="000B6B7A">
        <w:rPr>
          <w:rFonts w:asciiTheme="majorHAnsi" w:hAnsiTheme="majorHAnsi"/>
          <w:b/>
          <w:bCs/>
          <w:sz w:val="20"/>
          <w:szCs w:val="20"/>
        </w:rPr>
        <w:t>II.</w:t>
      </w:r>
      <w:r w:rsidRPr="000B6B7A">
        <w:rPr>
          <w:rFonts w:asciiTheme="majorHAnsi" w:hAnsiTheme="majorHAnsi"/>
          <w:b/>
          <w:bCs/>
          <w:sz w:val="20"/>
          <w:szCs w:val="20"/>
        </w:rPr>
        <w:tab/>
        <w:t>PROCE</w:t>
      </w:r>
      <w:r>
        <w:rPr>
          <w:rFonts w:asciiTheme="majorHAnsi" w:hAnsiTheme="majorHAnsi"/>
          <w:b/>
          <w:bCs/>
          <w:sz w:val="20"/>
          <w:szCs w:val="20"/>
        </w:rPr>
        <w:t>EDINGS</w:t>
      </w:r>
      <w:r w:rsidRPr="000B6B7A">
        <w:rPr>
          <w:rFonts w:asciiTheme="majorHAnsi" w:hAnsiTheme="majorHAnsi"/>
          <w:b/>
          <w:bCs/>
          <w:sz w:val="20"/>
          <w:szCs w:val="20"/>
        </w:rPr>
        <w:t xml:space="preserve"> BEFORE THE IACHR</w:t>
      </w:r>
      <w:r w:rsidR="0065282D">
        <w:rPr>
          <w:rFonts w:ascii="Cambria" w:hAnsi="Cambria"/>
          <w:b/>
          <w:sz w:val="20"/>
          <w:szCs w:val="20"/>
          <w:vertAlign w:val="superscript"/>
        </w:rPr>
        <w:t>4</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Filing</w:t>
            </w:r>
            <w:proofErr w:type="spellEnd"/>
            <w:r>
              <w:rPr>
                <w:rFonts w:ascii="Cambria" w:hAnsi="Cambria"/>
                <w:b/>
                <w:bCs/>
                <w:color w:val="FFFFFF" w:themeColor="background1"/>
                <w:sz w:val="20"/>
                <w:szCs w:val="20"/>
              </w:rPr>
              <w:t xml:space="preserve"> of </w:t>
            </w:r>
            <w:proofErr w:type="spellStart"/>
            <w:r>
              <w:rPr>
                <w:rFonts w:ascii="Cambria" w:hAnsi="Cambria"/>
                <w:b/>
                <w:bCs/>
                <w:color w:val="FFFFFF" w:themeColor="background1"/>
                <w:sz w:val="20"/>
                <w:szCs w:val="20"/>
              </w:rPr>
              <w:t>the</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3C6ECB" w:rsidRPr="000B6B7A" w:rsidRDefault="00D52918" w:rsidP="002C45A8">
            <w:pPr>
              <w:jc w:val="both"/>
              <w:rPr>
                <w:rFonts w:ascii="Cambria" w:hAnsi="Cambria"/>
                <w:bCs/>
                <w:sz w:val="20"/>
                <w:szCs w:val="20"/>
              </w:rPr>
            </w:pPr>
            <w:r>
              <w:rPr>
                <w:rFonts w:ascii="Cambria" w:hAnsi="Cambria"/>
                <w:bCs/>
                <w:sz w:val="20"/>
                <w:szCs w:val="20"/>
              </w:rPr>
              <w:t>June 24, 2013</w:t>
            </w:r>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3C6ECB" w:rsidRDefault="003C6ECB" w:rsidP="002C45A8">
            <w:pPr>
              <w:jc w:val="center"/>
              <w:rPr>
                <w:rFonts w:ascii="Cambria" w:hAnsi="Cambria"/>
                <w:b/>
                <w:color w:val="FFFFFF" w:themeColor="background1"/>
                <w:sz w:val="20"/>
                <w:szCs w:val="20"/>
                <w:lang w:val="en-US"/>
              </w:rPr>
            </w:pPr>
            <w:r w:rsidRPr="003C6ECB">
              <w:rPr>
                <w:rFonts w:ascii="Cambria" w:hAnsi="Cambria"/>
                <w:b/>
                <w:color w:val="FFFFFF" w:themeColor="background1"/>
                <w:sz w:val="20"/>
                <w:szCs w:val="20"/>
                <w:lang w:val="en-US"/>
              </w:rPr>
              <w:t>Additional information received at the stage of initial review:</w:t>
            </w:r>
          </w:p>
        </w:tc>
        <w:tc>
          <w:tcPr>
            <w:tcW w:w="5670" w:type="dxa"/>
            <w:vAlign w:val="center"/>
          </w:tcPr>
          <w:p w:rsidR="003C6ECB" w:rsidRPr="003C6ECB" w:rsidRDefault="00D52918" w:rsidP="002C45A8">
            <w:pPr>
              <w:jc w:val="both"/>
              <w:rPr>
                <w:rFonts w:ascii="Cambria" w:hAnsi="Cambria"/>
                <w:bCs/>
                <w:sz w:val="20"/>
                <w:szCs w:val="20"/>
                <w:lang w:val="en-US"/>
              </w:rPr>
            </w:pPr>
            <w:r>
              <w:rPr>
                <w:rFonts w:ascii="Cambria" w:hAnsi="Cambria"/>
                <w:bCs/>
                <w:sz w:val="20"/>
                <w:szCs w:val="20"/>
                <w:lang w:val="en-US"/>
              </w:rPr>
              <w:t>October 28, 2013, November 3, 2015, and September 9, 2016</w:t>
            </w:r>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3C6ECB" w:rsidRDefault="003C6ECB" w:rsidP="002C45A8">
            <w:pPr>
              <w:jc w:val="center"/>
              <w:rPr>
                <w:rFonts w:ascii="Cambria" w:hAnsi="Cambria"/>
                <w:b/>
                <w:bCs/>
                <w:color w:val="FFFFFF" w:themeColor="background1"/>
                <w:sz w:val="20"/>
                <w:szCs w:val="20"/>
                <w:lang w:val="en-US"/>
              </w:rPr>
            </w:pPr>
            <w:r w:rsidRPr="003C6ECB">
              <w:rPr>
                <w:rFonts w:ascii="Cambria" w:hAnsi="Cambria"/>
                <w:b/>
                <w:color w:val="FFFFFF" w:themeColor="background1"/>
                <w:sz w:val="20"/>
                <w:szCs w:val="20"/>
                <w:lang w:val="en-US"/>
              </w:rPr>
              <w:t>Notification of the petition to the State:</w:t>
            </w:r>
          </w:p>
        </w:tc>
        <w:tc>
          <w:tcPr>
            <w:tcW w:w="5670" w:type="dxa"/>
            <w:vAlign w:val="center"/>
          </w:tcPr>
          <w:p w:rsidR="003C6ECB" w:rsidRPr="003C6ECB" w:rsidRDefault="00D52918" w:rsidP="002C45A8">
            <w:pPr>
              <w:jc w:val="both"/>
              <w:rPr>
                <w:rFonts w:ascii="Cambria" w:hAnsi="Cambria"/>
                <w:bCs/>
                <w:sz w:val="20"/>
                <w:szCs w:val="20"/>
                <w:lang w:val="en-US"/>
              </w:rPr>
            </w:pPr>
            <w:r>
              <w:rPr>
                <w:rFonts w:ascii="Cambria" w:hAnsi="Cambria"/>
                <w:bCs/>
                <w:sz w:val="20"/>
                <w:szCs w:val="20"/>
                <w:lang w:val="en-US"/>
              </w:rPr>
              <w:t>November 11, 2016</w:t>
            </w:r>
          </w:p>
        </w:tc>
      </w:tr>
      <w:tr w:rsidR="003C6ECB" w:rsidRPr="000B6B7A" w:rsidTr="002C45A8">
        <w:trPr>
          <w:trHeight w:val="264"/>
        </w:trPr>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sidRPr="000B6B7A">
              <w:rPr>
                <w:rFonts w:ascii="Cambria" w:hAnsi="Cambria"/>
                <w:b/>
                <w:color w:val="FFFFFF" w:themeColor="background1"/>
                <w:sz w:val="20"/>
                <w:szCs w:val="20"/>
              </w:rPr>
              <w:t>State’s</w:t>
            </w:r>
            <w:proofErr w:type="spellEnd"/>
            <w:r w:rsidRPr="000B6B7A">
              <w:rPr>
                <w:rFonts w:ascii="Cambria" w:hAnsi="Cambria"/>
                <w:b/>
                <w:color w:val="FFFFFF" w:themeColor="background1"/>
                <w:sz w:val="20"/>
                <w:szCs w:val="20"/>
              </w:rPr>
              <w:t xml:space="preserve"> </w:t>
            </w:r>
            <w:proofErr w:type="spellStart"/>
            <w:r w:rsidRPr="000B6B7A">
              <w:rPr>
                <w:rFonts w:ascii="Cambria" w:hAnsi="Cambria"/>
                <w:b/>
                <w:color w:val="FFFFFF" w:themeColor="background1"/>
                <w:sz w:val="20"/>
                <w:szCs w:val="20"/>
              </w:rPr>
              <w:t>first</w:t>
            </w:r>
            <w:proofErr w:type="spellEnd"/>
            <w:r w:rsidRPr="000B6B7A">
              <w:rPr>
                <w:rFonts w:ascii="Cambria" w:hAnsi="Cambria"/>
                <w:b/>
                <w:color w:val="FFFFFF" w:themeColor="background1"/>
                <w:sz w:val="20"/>
                <w:szCs w:val="20"/>
              </w:rPr>
              <w:t xml:space="preserve"> response:</w:t>
            </w:r>
          </w:p>
        </w:tc>
        <w:tc>
          <w:tcPr>
            <w:tcW w:w="5670" w:type="dxa"/>
            <w:vAlign w:val="center"/>
          </w:tcPr>
          <w:p w:rsidR="003C6ECB" w:rsidRPr="000B6B7A" w:rsidRDefault="00D52918" w:rsidP="002C45A8">
            <w:pPr>
              <w:jc w:val="both"/>
              <w:rPr>
                <w:rFonts w:ascii="Cambria" w:hAnsi="Cambria"/>
                <w:bCs/>
                <w:sz w:val="20"/>
                <w:szCs w:val="20"/>
              </w:rPr>
            </w:pPr>
            <w:proofErr w:type="spellStart"/>
            <w:r>
              <w:rPr>
                <w:rFonts w:ascii="Cambria" w:hAnsi="Cambria"/>
                <w:bCs/>
                <w:sz w:val="20"/>
                <w:szCs w:val="20"/>
              </w:rPr>
              <w:t>February</w:t>
            </w:r>
            <w:proofErr w:type="spellEnd"/>
            <w:r>
              <w:rPr>
                <w:rFonts w:ascii="Cambria" w:hAnsi="Cambria"/>
                <w:bCs/>
                <w:sz w:val="20"/>
                <w:szCs w:val="20"/>
              </w:rPr>
              <w:t xml:space="preserve"> 9, 2017</w:t>
            </w:r>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3C6ECB" w:rsidRDefault="003C6ECB" w:rsidP="002C45A8">
            <w:pPr>
              <w:jc w:val="center"/>
              <w:rPr>
                <w:rFonts w:ascii="Cambria" w:hAnsi="Cambria"/>
                <w:b/>
                <w:bCs/>
                <w:color w:val="FFFFFF" w:themeColor="background1"/>
                <w:sz w:val="20"/>
                <w:szCs w:val="20"/>
                <w:lang w:val="en-US"/>
              </w:rPr>
            </w:pPr>
            <w:r w:rsidRPr="003C6ECB">
              <w:rPr>
                <w:rFonts w:ascii="Cambria" w:hAnsi="Cambria"/>
                <w:b/>
                <w:bCs/>
                <w:color w:val="FFFFFF" w:themeColor="background1"/>
                <w:sz w:val="20"/>
                <w:szCs w:val="20"/>
                <w:lang w:val="en-US"/>
              </w:rPr>
              <w:t>Additional observations from the petitioner:</w:t>
            </w:r>
          </w:p>
        </w:tc>
        <w:tc>
          <w:tcPr>
            <w:tcW w:w="5670" w:type="dxa"/>
            <w:vAlign w:val="center"/>
          </w:tcPr>
          <w:p w:rsidR="003C6ECB" w:rsidRPr="003C6ECB" w:rsidRDefault="00D52918" w:rsidP="002C45A8">
            <w:pPr>
              <w:jc w:val="both"/>
              <w:rPr>
                <w:rFonts w:ascii="Cambria" w:hAnsi="Cambria"/>
                <w:bCs/>
                <w:sz w:val="20"/>
                <w:szCs w:val="20"/>
                <w:lang w:val="en-US"/>
              </w:rPr>
            </w:pPr>
            <w:r>
              <w:rPr>
                <w:rFonts w:ascii="Cambria" w:hAnsi="Cambria"/>
                <w:bCs/>
                <w:sz w:val="20"/>
                <w:szCs w:val="20"/>
                <w:lang w:val="en-US"/>
              </w:rPr>
              <w:t>February 23, 2017</w:t>
            </w:r>
          </w:p>
        </w:tc>
      </w:tr>
      <w:tr w:rsidR="003C6ECB" w:rsidRPr="000B6B7A" w:rsidTr="002C45A8">
        <w:tc>
          <w:tcPr>
            <w:tcW w:w="3690" w:type="dxa"/>
            <w:tcBorders>
              <w:top w:val="single" w:sz="6" w:space="0" w:color="auto"/>
              <w:bottom w:val="single" w:sz="6" w:space="0" w:color="auto"/>
            </w:tcBorders>
            <w:shd w:val="clear" w:color="auto" w:fill="67AE3C"/>
            <w:vAlign w:val="center"/>
          </w:tcPr>
          <w:p w:rsidR="003C6ECB" w:rsidRPr="003C6ECB" w:rsidRDefault="003C6ECB" w:rsidP="002C45A8">
            <w:pPr>
              <w:jc w:val="center"/>
              <w:rPr>
                <w:rFonts w:ascii="Cambria" w:hAnsi="Cambria"/>
                <w:b/>
                <w:bCs/>
                <w:color w:val="FFFFFF" w:themeColor="background1"/>
                <w:sz w:val="20"/>
                <w:szCs w:val="20"/>
                <w:lang w:val="en-US"/>
              </w:rPr>
            </w:pPr>
            <w:r w:rsidRPr="003C6ECB">
              <w:rPr>
                <w:rFonts w:ascii="Cambria" w:hAnsi="Cambria"/>
                <w:b/>
                <w:bCs/>
                <w:color w:val="FFFFFF" w:themeColor="background1"/>
                <w:sz w:val="20"/>
                <w:szCs w:val="20"/>
                <w:lang w:val="en-US"/>
              </w:rPr>
              <w:t>Additional observations from the State:</w:t>
            </w:r>
          </w:p>
        </w:tc>
        <w:tc>
          <w:tcPr>
            <w:tcW w:w="5670" w:type="dxa"/>
            <w:vAlign w:val="center"/>
          </w:tcPr>
          <w:p w:rsidR="003C6ECB" w:rsidRPr="003C6ECB" w:rsidRDefault="00D52918" w:rsidP="002C45A8">
            <w:pPr>
              <w:jc w:val="both"/>
              <w:rPr>
                <w:rFonts w:ascii="Cambria" w:hAnsi="Cambria"/>
                <w:bCs/>
                <w:sz w:val="20"/>
                <w:szCs w:val="20"/>
                <w:lang w:val="en-US"/>
              </w:rPr>
            </w:pPr>
            <w:r>
              <w:rPr>
                <w:rFonts w:ascii="Cambria" w:hAnsi="Cambria"/>
                <w:bCs/>
                <w:sz w:val="20"/>
                <w:szCs w:val="20"/>
                <w:lang w:val="en-US"/>
              </w:rPr>
              <w:t>June 19, 2018</w:t>
            </w:r>
          </w:p>
        </w:tc>
      </w:tr>
    </w:tbl>
    <w:p w:rsidR="003C6ECB" w:rsidRPr="000B6B7A" w:rsidRDefault="003C6ECB" w:rsidP="003C6ECB">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6ECB" w:rsidRPr="000B6B7A" w:rsidTr="002C45A8">
        <w:trPr>
          <w:cantSplit/>
        </w:trPr>
        <w:tc>
          <w:tcPr>
            <w:tcW w:w="3690" w:type="dxa"/>
            <w:tcBorders>
              <w:top w:val="single" w:sz="4" w:space="0" w:color="auto"/>
              <w:bottom w:val="single" w:sz="6" w:space="0" w:color="auto"/>
            </w:tcBorders>
            <w:shd w:val="clear" w:color="auto" w:fill="67AE3C"/>
            <w:vAlign w:val="center"/>
          </w:tcPr>
          <w:p w:rsidR="003C6ECB" w:rsidRPr="000B6B7A" w:rsidRDefault="003C6ECB" w:rsidP="002C45A8">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personae</w:t>
            </w:r>
            <w:proofErr w:type="spellEnd"/>
            <w:r w:rsidRPr="000B6B7A">
              <w:rPr>
                <w:rFonts w:ascii="Cambria" w:hAnsi="Cambria"/>
                <w:b/>
                <w:bCs/>
                <w:i/>
                <w:color w:val="FFFFFF" w:themeColor="background1"/>
                <w:sz w:val="20"/>
                <w:szCs w:val="20"/>
              </w:rPr>
              <w:t>:</w:t>
            </w:r>
          </w:p>
        </w:tc>
        <w:tc>
          <w:tcPr>
            <w:tcW w:w="5670" w:type="dxa"/>
            <w:vAlign w:val="center"/>
          </w:tcPr>
          <w:p w:rsidR="003C6ECB" w:rsidRPr="000B6B7A" w:rsidRDefault="00D52918" w:rsidP="002C45A8">
            <w:pPr>
              <w:rPr>
                <w:rFonts w:asciiTheme="majorHAnsi" w:hAnsiTheme="majorHAnsi"/>
                <w:bCs/>
                <w:sz w:val="20"/>
                <w:szCs w:val="20"/>
              </w:rPr>
            </w:pPr>
            <w:r>
              <w:rPr>
                <w:rFonts w:asciiTheme="majorHAnsi" w:hAnsiTheme="majorHAnsi"/>
                <w:bCs/>
                <w:sz w:val="20"/>
                <w:szCs w:val="20"/>
              </w:rPr>
              <w:t>Yes</w:t>
            </w:r>
          </w:p>
        </w:tc>
      </w:tr>
      <w:tr w:rsidR="003C6ECB" w:rsidRPr="000B6B7A" w:rsidTr="002C45A8">
        <w:trPr>
          <w:cantSplit/>
        </w:trPr>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loci</w:t>
            </w:r>
            <w:proofErr w:type="spellEnd"/>
            <w:r w:rsidRPr="000B6B7A">
              <w:rPr>
                <w:rFonts w:ascii="Cambria" w:hAnsi="Cambria"/>
                <w:b/>
                <w:bCs/>
                <w:color w:val="FFFFFF" w:themeColor="background1"/>
                <w:sz w:val="20"/>
                <w:szCs w:val="20"/>
              </w:rPr>
              <w:t>:</w:t>
            </w:r>
          </w:p>
        </w:tc>
        <w:tc>
          <w:tcPr>
            <w:tcW w:w="5670" w:type="dxa"/>
            <w:vAlign w:val="center"/>
          </w:tcPr>
          <w:p w:rsidR="003C6ECB" w:rsidRPr="000B6B7A" w:rsidRDefault="00D52918" w:rsidP="002C45A8">
            <w:pPr>
              <w:rPr>
                <w:rFonts w:asciiTheme="majorHAnsi" w:hAnsiTheme="majorHAnsi"/>
                <w:bCs/>
                <w:sz w:val="20"/>
                <w:szCs w:val="20"/>
              </w:rPr>
            </w:pPr>
            <w:r>
              <w:rPr>
                <w:rFonts w:asciiTheme="majorHAnsi" w:hAnsiTheme="majorHAnsi"/>
                <w:bCs/>
                <w:sz w:val="20"/>
                <w:szCs w:val="20"/>
              </w:rPr>
              <w:t>Yes</w:t>
            </w:r>
          </w:p>
        </w:tc>
      </w:tr>
      <w:tr w:rsidR="003C6ECB" w:rsidRPr="000B6B7A" w:rsidTr="002C45A8">
        <w:trPr>
          <w:cantSplit/>
        </w:trPr>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temporis</w:t>
            </w:r>
            <w:proofErr w:type="spellEnd"/>
            <w:r w:rsidRPr="000B6B7A">
              <w:rPr>
                <w:rFonts w:ascii="Cambria" w:hAnsi="Cambria"/>
                <w:b/>
                <w:bCs/>
                <w:color w:val="FFFFFF" w:themeColor="background1"/>
                <w:sz w:val="20"/>
                <w:szCs w:val="20"/>
              </w:rPr>
              <w:t>:</w:t>
            </w:r>
          </w:p>
        </w:tc>
        <w:tc>
          <w:tcPr>
            <w:tcW w:w="5670" w:type="dxa"/>
            <w:vAlign w:val="center"/>
          </w:tcPr>
          <w:p w:rsidR="003C6ECB" w:rsidRPr="000B6B7A" w:rsidRDefault="00D52918" w:rsidP="002C45A8">
            <w:pPr>
              <w:rPr>
                <w:rFonts w:asciiTheme="majorHAnsi" w:hAnsiTheme="majorHAnsi"/>
                <w:bCs/>
                <w:sz w:val="20"/>
                <w:szCs w:val="20"/>
              </w:rPr>
            </w:pPr>
            <w:r>
              <w:rPr>
                <w:rFonts w:asciiTheme="majorHAnsi" w:hAnsiTheme="majorHAnsi"/>
                <w:bCs/>
                <w:sz w:val="20"/>
                <w:szCs w:val="20"/>
              </w:rPr>
              <w:t>Yes</w:t>
            </w:r>
          </w:p>
        </w:tc>
      </w:tr>
      <w:tr w:rsidR="003C6ECB" w:rsidRPr="000B6B7A" w:rsidTr="002C45A8">
        <w:trPr>
          <w:cantSplit/>
        </w:trPr>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Competence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Ratione</w:t>
            </w:r>
            <w:proofErr w:type="spellEnd"/>
            <w:r w:rsidRPr="000B6B7A">
              <w:rPr>
                <w:rFonts w:ascii="Cambria" w:hAnsi="Cambria"/>
                <w:b/>
                <w:bCs/>
                <w:i/>
                <w:color w:val="FFFFFF" w:themeColor="background1"/>
                <w:sz w:val="20"/>
                <w:szCs w:val="20"/>
              </w:rPr>
              <w:t xml:space="preserve"> </w:t>
            </w:r>
            <w:proofErr w:type="spellStart"/>
            <w:r w:rsidRPr="000B6B7A">
              <w:rPr>
                <w:rFonts w:ascii="Cambria" w:hAnsi="Cambria"/>
                <w:b/>
                <w:bCs/>
                <w:i/>
                <w:color w:val="FFFFFF" w:themeColor="background1"/>
                <w:sz w:val="20"/>
                <w:szCs w:val="20"/>
              </w:rPr>
              <w:t>materiae</w:t>
            </w:r>
            <w:proofErr w:type="spellEnd"/>
            <w:r w:rsidRPr="000B6B7A">
              <w:rPr>
                <w:rFonts w:ascii="Cambria" w:hAnsi="Cambria"/>
                <w:b/>
                <w:bCs/>
                <w:color w:val="FFFFFF" w:themeColor="background1"/>
                <w:sz w:val="20"/>
                <w:szCs w:val="20"/>
              </w:rPr>
              <w:t>:</w:t>
            </w:r>
          </w:p>
        </w:tc>
        <w:tc>
          <w:tcPr>
            <w:tcW w:w="5670" w:type="dxa"/>
            <w:vAlign w:val="center"/>
          </w:tcPr>
          <w:p w:rsidR="003C6ECB" w:rsidRPr="00D52918" w:rsidRDefault="00D52918" w:rsidP="002C45A8">
            <w:pPr>
              <w:jc w:val="both"/>
              <w:rPr>
                <w:rFonts w:asciiTheme="majorHAnsi" w:hAnsiTheme="majorHAnsi"/>
                <w:bCs/>
                <w:sz w:val="20"/>
                <w:szCs w:val="20"/>
                <w:lang w:val="en-US"/>
              </w:rPr>
            </w:pPr>
            <w:r w:rsidRPr="00C1379A">
              <w:rPr>
                <w:rFonts w:asciiTheme="majorHAnsi" w:hAnsiTheme="majorHAnsi"/>
                <w:bCs/>
                <w:sz w:val="19"/>
                <w:szCs w:val="19"/>
                <w:lang w:val="en-US"/>
              </w:rPr>
              <w:t>Yes, American Convention (</w:t>
            </w:r>
            <w:r w:rsidRPr="00C1379A">
              <w:rPr>
                <w:rFonts w:asciiTheme="majorHAnsi" w:hAnsiTheme="majorHAnsi"/>
                <w:sz w:val="19"/>
                <w:szCs w:val="19"/>
                <w:lang w:val="en-US"/>
              </w:rPr>
              <w:t xml:space="preserve">deposit of instrument of ratification </w:t>
            </w:r>
            <w:r w:rsidR="000D32B9">
              <w:rPr>
                <w:rFonts w:asciiTheme="majorHAnsi" w:hAnsiTheme="majorHAnsi"/>
                <w:sz w:val="19"/>
                <w:szCs w:val="19"/>
                <w:lang w:val="en-US"/>
              </w:rPr>
              <w:t xml:space="preserve">done </w:t>
            </w:r>
            <w:r>
              <w:rPr>
                <w:rFonts w:asciiTheme="majorHAnsi" w:hAnsiTheme="majorHAnsi"/>
                <w:bCs/>
                <w:sz w:val="19"/>
                <w:szCs w:val="19"/>
                <w:lang w:val="en-US"/>
              </w:rPr>
              <w:t>on July 28, 1978</w:t>
            </w:r>
            <w:r w:rsidRPr="00C1379A">
              <w:rPr>
                <w:rFonts w:asciiTheme="majorHAnsi" w:hAnsiTheme="majorHAnsi"/>
                <w:bCs/>
                <w:sz w:val="19"/>
                <w:szCs w:val="19"/>
                <w:lang w:val="en-US"/>
              </w:rPr>
              <w:t>)</w:t>
            </w:r>
          </w:p>
        </w:tc>
      </w:tr>
    </w:tbl>
    <w:p w:rsidR="0065282D" w:rsidRPr="000B6B7A" w:rsidRDefault="003C6ECB" w:rsidP="0065282D">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3C6ECB" w:rsidRPr="000B6B7A" w:rsidTr="002C45A8">
        <w:trPr>
          <w:cantSplit/>
        </w:trPr>
        <w:tc>
          <w:tcPr>
            <w:tcW w:w="3690" w:type="dxa"/>
            <w:tcBorders>
              <w:top w:val="single" w:sz="4" w:space="0" w:color="auto"/>
              <w:bottom w:val="single" w:sz="6" w:space="0" w:color="auto"/>
            </w:tcBorders>
            <w:shd w:val="clear" w:color="auto" w:fill="67AE3C"/>
            <w:vAlign w:val="center"/>
          </w:tcPr>
          <w:p w:rsidR="003C6ECB" w:rsidRPr="003C6ECB" w:rsidRDefault="003C6ECB" w:rsidP="002C45A8">
            <w:pPr>
              <w:jc w:val="center"/>
              <w:rPr>
                <w:rFonts w:ascii="Cambria" w:hAnsi="Cambria"/>
                <w:b/>
                <w:bCs/>
                <w:color w:val="FFFFFF" w:themeColor="background1"/>
                <w:sz w:val="20"/>
                <w:szCs w:val="20"/>
                <w:lang w:val="en-US"/>
              </w:rPr>
            </w:pPr>
            <w:r w:rsidRPr="003C6ECB">
              <w:rPr>
                <w:rFonts w:ascii="Cambria" w:hAnsi="Cambria"/>
                <w:b/>
                <w:bCs/>
                <w:color w:val="FFFFFF" w:themeColor="background1"/>
                <w:sz w:val="20"/>
                <w:szCs w:val="20"/>
                <w:lang w:val="en-US"/>
              </w:rPr>
              <w:t xml:space="preserve">Duplication of procedures and International </w:t>
            </w:r>
            <w:r w:rsidRPr="003C6ECB">
              <w:rPr>
                <w:rFonts w:ascii="Cambria" w:hAnsi="Cambria"/>
                <w:b/>
                <w:bCs/>
                <w:i/>
                <w:color w:val="FFFFFF" w:themeColor="background1"/>
                <w:sz w:val="20"/>
                <w:szCs w:val="20"/>
                <w:lang w:val="en-US"/>
              </w:rPr>
              <w:t>res judicata</w:t>
            </w:r>
            <w:r w:rsidRPr="003C6ECB">
              <w:rPr>
                <w:rFonts w:ascii="Cambria" w:hAnsi="Cambria"/>
                <w:b/>
                <w:bCs/>
                <w:color w:val="FFFFFF" w:themeColor="background1"/>
                <w:sz w:val="20"/>
                <w:szCs w:val="20"/>
                <w:lang w:val="en-US"/>
              </w:rPr>
              <w:t>:</w:t>
            </w:r>
          </w:p>
        </w:tc>
        <w:tc>
          <w:tcPr>
            <w:tcW w:w="5670" w:type="dxa"/>
            <w:vAlign w:val="center"/>
          </w:tcPr>
          <w:p w:rsidR="003C6ECB" w:rsidRPr="003C6ECB" w:rsidRDefault="00D52918" w:rsidP="002C45A8">
            <w:pPr>
              <w:jc w:val="both"/>
              <w:rPr>
                <w:rFonts w:ascii="Cambria" w:hAnsi="Cambria"/>
                <w:bCs/>
                <w:sz w:val="20"/>
                <w:szCs w:val="20"/>
                <w:lang w:val="en-US"/>
              </w:rPr>
            </w:pPr>
            <w:r>
              <w:rPr>
                <w:rFonts w:ascii="Cambria" w:hAnsi="Cambria"/>
                <w:bCs/>
                <w:sz w:val="20"/>
                <w:szCs w:val="20"/>
                <w:lang w:val="en-US"/>
              </w:rPr>
              <w:t>No.</w:t>
            </w:r>
          </w:p>
        </w:tc>
      </w:tr>
      <w:tr w:rsidR="003C6ECB" w:rsidRPr="000B6B7A" w:rsidTr="002C45A8">
        <w:trPr>
          <w:cantSplit/>
        </w:trPr>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i/>
                <w:color w:val="FFFFFF" w:themeColor="background1"/>
                <w:sz w:val="20"/>
                <w:szCs w:val="20"/>
              </w:rPr>
            </w:pPr>
            <w:proofErr w:type="spellStart"/>
            <w:r w:rsidRPr="000B6B7A">
              <w:rPr>
                <w:rFonts w:ascii="Cambria" w:hAnsi="Cambria"/>
                <w:b/>
                <w:bCs/>
                <w:color w:val="FFFFFF" w:themeColor="background1"/>
                <w:sz w:val="20"/>
                <w:szCs w:val="20"/>
              </w:rPr>
              <w:t>Rights</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declared</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admissible</w:t>
            </w:r>
            <w:proofErr w:type="spellEnd"/>
          </w:p>
        </w:tc>
        <w:tc>
          <w:tcPr>
            <w:tcW w:w="5670" w:type="dxa"/>
            <w:vAlign w:val="center"/>
          </w:tcPr>
          <w:p w:rsidR="003C6ECB" w:rsidRPr="00D3444F" w:rsidRDefault="00D52918" w:rsidP="000D32B9">
            <w:pPr>
              <w:jc w:val="both"/>
              <w:rPr>
                <w:rFonts w:ascii="Cambria" w:hAnsi="Cambria"/>
                <w:bCs/>
                <w:sz w:val="20"/>
                <w:szCs w:val="20"/>
                <w:lang w:val="en-US"/>
              </w:rPr>
            </w:pPr>
            <w:r w:rsidRPr="00D3444F">
              <w:rPr>
                <w:rFonts w:asciiTheme="majorHAnsi" w:hAnsiTheme="majorHAnsi"/>
                <w:sz w:val="20"/>
                <w:szCs w:val="20"/>
                <w:lang w:val="en-US"/>
              </w:rPr>
              <w:t>Articles 8 (right to a fair trial), 21 (private property),</w:t>
            </w:r>
            <w:r w:rsidR="003D17B3" w:rsidRPr="00D3444F">
              <w:rPr>
                <w:rFonts w:asciiTheme="majorHAnsi" w:hAnsiTheme="majorHAnsi"/>
                <w:sz w:val="20"/>
                <w:szCs w:val="20"/>
                <w:lang w:val="en-US"/>
              </w:rPr>
              <w:t xml:space="preserve"> 24 (equality before law)</w:t>
            </w:r>
            <w:r w:rsidR="000D32B9">
              <w:rPr>
                <w:rFonts w:asciiTheme="majorHAnsi" w:hAnsiTheme="majorHAnsi"/>
                <w:sz w:val="20"/>
                <w:szCs w:val="20"/>
                <w:lang w:val="en-US"/>
              </w:rPr>
              <w:t xml:space="preserve"> 25 (</w:t>
            </w:r>
            <w:r w:rsidRPr="00D3444F">
              <w:rPr>
                <w:rFonts w:asciiTheme="majorHAnsi" w:hAnsiTheme="majorHAnsi"/>
                <w:sz w:val="20"/>
                <w:szCs w:val="20"/>
                <w:lang w:val="en-US"/>
              </w:rPr>
              <w:t>judicial protection) and 26 (economic, social and cultural rights) of the American Convention on Human Rights, in relation to its Articles 1.1 (obligation to respect rights) and 2 (obl</w:t>
            </w:r>
            <w:r w:rsidR="000D32B9">
              <w:rPr>
                <w:rFonts w:asciiTheme="majorHAnsi" w:hAnsiTheme="majorHAnsi"/>
                <w:sz w:val="20"/>
                <w:szCs w:val="20"/>
                <w:lang w:val="en-US"/>
              </w:rPr>
              <w:t>igation to adopt decisions of domestic</w:t>
            </w:r>
            <w:r w:rsidRPr="00D3444F">
              <w:rPr>
                <w:rFonts w:asciiTheme="majorHAnsi" w:hAnsiTheme="majorHAnsi"/>
                <w:sz w:val="20"/>
                <w:szCs w:val="20"/>
                <w:lang w:val="en-US"/>
              </w:rPr>
              <w:t xml:space="preserve"> law)</w:t>
            </w:r>
          </w:p>
        </w:tc>
      </w:tr>
      <w:tr w:rsidR="003C6ECB" w:rsidRPr="000B6B7A" w:rsidTr="002C45A8">
        <w:trPr>
          <w:cantSplit/>
        </w:trPr>
        <w:tc>
          <w:tcPr>
            <w:tcW w:w="3690" w:type="dxa"/>
            <w:tcBorders>
              <w:top w:val="single" w:sz="6" w:space="0" w:color="auto"/>
              <w:bottom w:val="single" w:sz="6" w:space="0" w:color="auto"/>
            </w:tcBorders>
            <w:shd w:val="clear" w:color="auto" w:fill="67AE3C"/>
            <w:vAlign w:val="center"/>
          </w:tcPr>
          <w:p w:rsidR="003C6ECB" w:rsidRPr="003C6ECB" w:rsidRDefault="003C6ECB" w:rsidP="002C45A8">
            <w:pPr>
              <w:jc w:val="center"/>
              <w:rPr>
                <w:rFonts w:ascii="Cambria" w:hAnsi="Cambria"/>
                <w:b/>
                <w:bCs/>
                <w:color w:val="FFFFFF" w:themeColor="background1"/>
                <w:sz w:val="20"/>
                <w:szCs w:val="20"/>
                <w:lang w:val="en-US"/>
              </w:rPr>
            </w:pPr>
            <w:r w:rsidRPr="003C6ECB">
              <w:rPr>
                <w:rFonts w:ascii="Cambria" w:hAnsi="Cambria"/>
                <w:b/>
                <w:bCs/>
                <w:color w:val="FFFFFF" w:themeColor="background1"/>
                <w:sz w:val="20"/>
                <w:szCs w:val="20"/>
                <w:lang w:val="en-US"/>
              </w:rPr>
              <w:t>Exhaustion of domestic remedies or applicability of an exception to the rule:</w:t>
            </w:r>
          </w:p>
        </w:tc>
        <w:tc>
          <w:tcPr>
            <w:tcW w:w="5670" w:type="dxa"/>
            <w:vAlign w:val="center"/>
          </w:tcPr>
          <w:p w:rsidR="003C6ECB" w:rsidRPr="003C6ECB" w:rsidRDefault="003D17B3" w:rsidP="003D17B3">
            <w:pPr>
              <w:rPr>
                <w:rFonts w:ascii="Cambria" w:hAnsi="Cambria"/>
                <w:bCs/>
                <w:sz w:val="20"/>
                <w:szCs w:val="20"/>
                <w:lang w:val="en-US"/>
              </w:rPr>
            </w:pPr>
            <w:r>
              <w:rPr>
                <w:rFonts w:ascii="Cambria" w:hAnsi="Cambria"/>
                <w:bCs/>
                <w:sz w:val="20"/>
                <w:szCs w:val="20"/>
                <w:lang w:val="en-US"/>
              </w:rPr>
              <w:t>Yes, it applies the exception of article 46.2.c of the Convention</w:t>
            </w:r>
          </w:p>
        </w:tc>
      </w:tr>
      <w:tr w:rsidR="003C6ECB" w:rsidRPr="000B6B7A" w:rsidTr="002C45A8">
        <w:trPr>
          <w:cantSplit/>
        </w:trPr>
        <w:tc>
          <w:tcPr>
            <w:tcW w:w="3690" w:type="dxa"/>
            <w:tcBorders>
              <w:top w:val="single" w:sz="6" w:space="0" w:color="auto"/>
              <w:bottom w:val="single" w:sz="6" w:space="0" w:color="auto"/>
            </w:tcBorders>
            <w:shd w:val="clear" w:color="auto" w:fill="67AE3C"/>
            <w:vAlign w:val="center"/>
          </w:tcPr>
          <w:p w:rsidR="003C6ECB" w:rsidRPr="000B6B7A" w:rsidRDefault="003C6ECB" w:rsidP="002C45A8">
            <w:pPr>
              <w:jc w:val="center"/>
              <w:rPr>
                <w:rFonts w:ascii="Cambria" w:hAnsi="Cambria"/>
                <w:b/>
                <w:bCs/>
                <w:color w:val="FFFFFF" w:themeColor="background1"/>
                <w:sz w:val="20"/>
                <w:szCs w:val="20"/>
              </w:rPr>
            </w:pPr>
            <w:proofErr w:type="spellStart"/>
            <w:r w:rsidRPr="000B6B7A">
              <w:rPr>
                <w:rFonts w:ascii="Cambria" w:hAnsi="Cambria"/>
                <w:b/>
                <w:bCs/>
                <w:color w:val="FFFFFF" w:themeColor="background1"/>
                <w:sz w:val="20"/>
                <w:szCs w:val="20"/>
              </w:rPr>
              <w:t>Timeliness</w:t>
            </w:r>
            <w:proofErr w:type="spellEnd"/>
            <w:r w:rsidRPr="000B6B7A">
              <w:rPr>
                <w:rFonts w:ascii="Cambria" w:hAnsi="Cambria"/>
                <w:b/>
                <w:bCs/>
                <w:color w:val="FFFFFF" w:themeColor="background1"/>
                <w:sz w:val="20"/>
                <w:szCs w:val="20"/>
              </w:rPr>
              <w:t xml:space="preserve"> of </w:t>
            </w:r>
            <w:proofErr w:type="spellStart"/>
            <w:r w:rsidRPr="000B6B7A">
              <w:rPr>
                <w:rFonts w:ascii="Cambria" w:hAnsi="Cambria"/>
                <w:b/>
                <w:bCs/>
                <w:color w:val="FFFFFF" w:themeColor="background1"/>
                <w:sz w:val="20"/>
                <w:szCs w:val="20"/>
              </w:rPr>
              <w:t>the</w:t>
            </w:r>
            <w:proofErr w:type="spellEnd"/>
            <w:r w:rsidRPr="000B6B7A">
              <w:rPr>
                <w:rFonts w:ascii="Cambria" w:hAnsi="Cambria"/>
                <w:b/>
                <w:bCs/>
                <w:color w:val="FFFFFF" w:themeColor="background1"/>
                <w:sz w:val="20"/>
                <w:szCs w:val="20"/>
              </w:rPr>
              <w:t xml:space="preserve"> </w:t>
            </w:r>
            <w:proofErr w:type="spellStart"/>
            <w:r w:rsidRPr="000B6B7A">
              <w:rPr>
                <w:rFonts w:ascii="Cambria" w:hAnsi="Cambria"/>
                <w:b/>
                <w:bCs/>
                <w:color w:val="FFFFFF" w:themeColor="background1"/>
                <w:sz w:val="20"/>
                <w:szCs w:val="20"/>
              </w:rPr>
              <w:t>petition</w:t>
            </w:r>
            <w:proofErr w:type="spellEnd"/>
            <w:r w:rsidRPr="000B6B7A">
              <w:rPr>
                <w:rFonts w:ascii="Cambria" w:hAnsi="Cambria"/>
                <w:b/>
                <w:bCs/>
                <w:color w:val="FFFFFF" w:themeColor="background1"/>
                <w:sz w:val="20"/>
                <w:szCs w:val="20"/>
              </w:rPr>
              <w:t>:</w:t>
            </w:r>
          </w:p>
        </w:tc>
        <w:tc>
          <w:tcPr>
            <w:tcW w:w="5670" w:type="dxa"/>
            <w:vAlign w:val="center"/>
          </w:tcPr>
          <w:p w:rsidR="003C6ECB" w:rsidRPr="003D17B3" w:rsidRDefault="003D17B3" w:rsidP="002C45A8">
            <w:pPr>
              <w:rPr>
                <w:rFonts w:asciiTheme="majorHAnsi" w:hAnsiTheme="majorHAnsi"/>
                <w:bCs/>
                <w:sz w:val="20"/>
                <w:szCs w:val="20"/>
                <w:lang w:val="en-US"/>
              </w:rPr>
            </w:pPr>
            <w:r w:rsidRPr="003D17B3">
              <w:rPr>
                <w:rFonts w:asciiTheme="majorHAnsi" w:hAnsiTheme="majorHAnsi"/>
                <w:bCs/>
                <w:sz w:val="20"/>
                <w:szCs w:val="20"/>
                <w:lang w:val="en-US"/>
              </w:rPr>
              <w:t xml:space="preserve">Yes, in terms of section </w:t>
            </w:r>
            <w:r>
              <w:rPr>
                <w:rFonts w:asciiTheme="majorHAnsi" w:hAnsiTheme="majorHAnsi"/>
                <w:bCs/>
                <w:sz w:val="20"/>
                <w:szCs w:val="20"/>
                <w:lang w:val="en-US"/>
              </w:rPr>
              <w:t>VI</w:t>
            </w:r>
          </w:p>
        </w:tc>
      </w:tr>
    </w:tbl>
    <w:p w:rsidR="0065282D" w:rsidRDefault="0065282D" w:rsidP="0065282D">
      <w:pPr>
        <w:rPr>
          <w:rFonts w:asciiTheme="majorHAnsi" w:hAnsiTheme="majorHAnsi"/>
          <w:b/>
          <w:sz w:val="20"/>
          <w:szCs w:val="20"/>
        </w:rPr>
      </w:pPr>
      <w:r>
        <w:rPr>
          <w:rFonts w:asciiTheme="majorHAnsi" w:hAnsiTheme="majorHAnsi"/>
          <w:b/>
          <w:sz w:val="20"/>
          <w:szCs w:val="20"/>
        </w:rPr>
        <w:t>_____________________________________</w:t>
      </w:r>
    </w:p>
    <w:p w:rsidR="0065282D" w:rsidRDefault="0065282D" w:rsidP="0065282D">
      <w:pPr>
        <w:ind w:firstLine="720"/>
        <w:rPr>
          <w:rFonts w:asciiTheme="majorHAnsi" w:hAnsiTheme="majorHAnsi"/>
          <w:sz w:val="16"/>
          <w:szCs w:val="16"/>
        </w:rPr>
      </w:pPr>
      <w:r w:rsidRPr="0065282D">
        <w:rPr>
          <w:rFonts w:asciiTheme="majorHAnsi" w:hAnsiTheme="majorHAnsi"/>
          <w:sz w:val="16"/>
          <w:szCs w:val="16"/>
          <w:vertAlign w:val="superscript"/>
        </w:rPr>
        <w:t>1</w:t>
      </w:r>
      <w:r>
        <w:rPr>
          <w:rFonts w:asciiTheme="majorHAnsi" w:hAnsiTheme="majorHAnsi"/>
          <w:sz w:val="16"/>
          <w:szCs w:val="16"/>
        </w:rPr>
        <w:t>The petition refers to fifteen individualized alleged victims in the appendix of the present report.</w:t>
      </w:r>
    </w:p>
    <w:p w:rsidR="0065282D" w:rsidRDefault="0065282D" w:rsidP="0065282D">
      <w:pPr>
        <w:rPr>
          <w:rFonts w:asciiTheme="majorHAnsi" w:hAnsiTheme="majorHAnsi"/>
          <w:sz w:val="16"/>
          <w:szCs w:val="16"/>
        </w:rPr>
      </w:pPr>
      <w:r>
        <w:rPr>
          <w:rFonts w:asciiTheme="majorHAnsi" w:hAnsiTheme="majorHAnsi"/>
          <w:sz w:val="16"/>
          <w:szCs w:val="16"/>
        </w:rPr>
        <w:tab/>
      </w:r>
      <w:r>
        <w:rPr>
          <w:rFonts w:asciiTheme="majorHAnsi" w:hAnsiTheme="majorHAnsi"/>
          <w:sz w:val="16"/>
          <w:szCs w:val="16"/>
          <w:vertAlign w:val="superscript"/>
        </w:rPr>
        <w:t>2</w:t>
      </w:r>
      <w:r>
        <w:rPr>
          <w:rFonts w:asciiTheme="majorHAnsi" w:hAnsiTheme="majorHAnsi"/>
          <w:sz w:val="16"/>
          <w:szCs w:val="16"/>
        </w:rPr>
        <w:t xml:space="preserve">According to what is stated in article 17.2a of the Regulation of the Commission, </w:t>
      </w:r>
      <w:r w:rsidR="00C65291">
        <w:rPr>
          <w:rFonts w:asciiTheme="majorHAnsi" w:hAnsiTheme="majorHAnsi"/>
          <w:sz w:val="16"/>
          <w:szCs w:val="16"/>
        </w:rPr>
        <w:t>Commissioner</w:t>
      </w:r>
      <w:r>
        <w:rPr>
          <w:rFonts w:asciiTheme="majorHAnsi" w:hAnsiTheme="majorHAnsi"/>
          <w:sz w:val="16"/>
          <w:szCs w:val="16"/>
        </w:rPr>
        <w:t xml:space="preserve"> Julissa Mantilla Falc</w:t>
      </w:r>
      <w:r w:rsidRPr="0065282D">
        <w:rPr>
          <w:rFonts w:asciiTheme="majorHAnsi" w:hAnsiTheme="majorHAnsi"/>
          <w:sz w:val="16"/>
          <w:szCs w:val="16"/>
        </w:rPr>
        <w:t>ó</w:t>
      </w:r>
      <w:r>
        <w:rPr>
          <w:rFonts w:asciiTheme="majorHAnsi" w:hAnsiTheme="majorHAnsi"/>
          <w:sz w:val="16"/>
          <w:szCs w:val="16"/>
        </w:rPr>
        <w:t xml:space="preserve">n, of Peruvian </w:t>
      </w:r>
      <w:r w:rsidR="00C65291">
        <w:rPr>
          <w:rFonts w:asciiTheme="majorHAnsi" w:hAnsiTheme="majorHAnsi"/>
          <w:sz w:val="16"/>
          <w:szCs w:val="16"/>
        </w:rPr>
        <w:t>Nationality</w:t>
      </w:r>
      <w:r>
        <w:rPr>
          <w:rFonts w:asciiTheme="majorHAnsi" w:hAnsiTheme="majorHAnsi"/>
          <w:sz w:val="16"/>
          <w:szCs w:val="16"/>
        </w:rPr>
        <w:t xml:space="preserve"> did not participate either in the debate or in the decision of the present matter.</w:t>
      </w:r>
    </w:p>
    <w:p w:rsidR="0065282D" w:rsidRDefault="0065282D" w:rsidP="0065282D">
      <w:pPr>
        <w:rPr>
          <w:rFonts w:asciiTheme="majorHAnsi" w:hAnsiTheme="majorHAnsi"/>
          <w:sz w:val="16"/>
          <w:szCs w:val="16"/>
        </w:rPr>
      </w:pPr>
      <w:r>
        <w:rPr>
          <w:rFonts w:asciiTheme="majorHAnsi" w:hAnsiTheme="majorHAnsi"/>
          <w:sz w:val="16"/>
          <w:szCs w:val="16"/>
        </w:rPr>
        <w:tab/>
      </w:r>
      <w:r>
        <w:rPr>
          <w:rFonts w:asciiTheme="majorHAnsi" w:hAnsiTheme="majorHAnsi"/>
          <w:sz w:val="16"/>
          <w:szCs w:val="16"/>
          <w:vertAlign w:val="superscript"/>
        </w:rPr>
        <w:t>3</w:t>
      </w:r>
      <w:r>
        <w:rPr>
          <w:rFonts w:asciiTheme="majorHAnsi" w:hAnsiTheme="majorHAnsi"/>
          <w:sz w:val="16"/>
          <w:szCs w:val="16"/>
        </w:rPr>
        <w:t>Hereinafter “The Convention” or “The American Convention.”</w:t>
      </w:r>
    </w:p>
    <w:p w:rsidR="0065282D" w:rsidRPr="0065282D" w:rsidRDefault="0065282D" w:rsidP="0065282D">
      <w:pPr>
        <w:rPr>
          <w:rFonts w:asciiTheme="majorHAnsi" w:hAnsiTheme="majorHAnsi"/>
          <w:sz w:val="16"/>
          <w:szCs w:val="16"/>
        </w:rPr>
      </w:pPr>
      <w:r>
        <w:rPr>
          <w:rFonts w:asciiTheme="majorHAnsi" w:hAnsiTheme="majorHAnsi"/>
          <w:sz w:val="16"/>
          <w:szCs w:val="16"/>
        </w:rPr>
        <w:tab/>
      </w:r>
      <w:r>
        <w:rPr>
          <w:rFonts w:asciiTheme="majorHAnsi" w:hAnsiTheme="majorHAnsi"/>
          <w:sz w:val="16"/>
          <w:szCs w:val="16"/>
          <w:vertAlign w:val="superscript"/>
        </w:rPr>
        <w:t>4</w:t>
      </w:r>
      <w:r>
        <w:rPr>
          <w:rFonts w:asciiTheme="majorHAnsi" w:hAnsiTheme="majorHAnsi"/>
          <w:sz w:val="16"/>
          <w:szCs w:val="16"/>
        </w:rPr>
        <w:t>The observations of each party were duly transferred to the opposing party</w:t>
      </w:r>
    </w:p>
    <w:p w:rsidR="003C6ECB" w:rsidRDefault="003C6ECB" w:rsidP="0065282D">
      <w:pPr>
        <w:ind w:firstLine="720"/>
        <w:rPr>
          <w:rFonts w:asciiTheme="majorHAnsi" w:hAnsiTheme="majorHAnsi"/>
          <w:b/>
          <w:sz w:val="20"/>
          <w:szCs w:val="20"/>
        </w:rPr>
      </w:pPr>
      <w:r w:rsidRPr="000B6B7A">
        <w:rPr>
          <w:rFonts w:asciiTheme="majorHAnsi" w:hAnsiTheme="majorHAnsi"/>
          <w:b/>
          <w:sz w:val="20"/>
          <w:szCs w:val="20"/>
        </w:rPr>
        <w:lastRenderedPageBreak/>
        <w:t xml:space="preserve">V. </w:t>
      </w:r>
      <w:r w:rsidRPr="000B6B7A">
        <w:rPr>
          <w:rFonts w:asciiTheme="majorHAnsi" w:hAnsiTheme="majorHAnsi"/>
          <w:b/>
          <w:sz w:val="20"/>
          <w:szCs w:val="20"/>
        </w:rPr>
        <w:tab/>
        <w:t>FACTS ALLEGED</w:t>
      </w:r>
    </w:p>
    <w:p w:rsidR="00D3444F" w:rsidRPr="000B6B7A" w:rsidRDefault="00D3444F" w:rsidP="00D3444F">
      <w:pPr>
        <w:ind w:firstLine="720"/>
        <w:rPr>
          <w:rFonts w:asciiTheme="majorHAnsi" w:hAnsiTheme="majorHAnsi"/>
          <w:b/>
          <w:sz w:val="20"/>
          <w:szCs w:val="20"/>
        </w:rPr>
      </w:pPr>
    </w:p>
    <w:p w:rsidR="00B97E2E" w:rsidRDefault="003C6ECB"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2C45A8">
        <w:rPr>
          <w:rFonts w:ascii="Cambria" w:hAnsi="Cambria"/>
          <w:sz w:val="20"/>
          <w:szCs w:val="20"/>
        </w:rPr>
        <w:t>The requesting party denounces violations to the human r</w:t>
      </w:r>
      <w:r w:rsidR="00375BBE">
        <w:rPr>
          <w:rFonts w:ascii="Cambria" w:hAnsi="Cambria"/>
          <w:sz w:val="20"/>
          <w:szCs w:val="20"/>
        </w:rPr>
        <w:t>ights of fifteen retirees and laid-off</w:t>
      </w:r>
      <w:r w:rsidR="002C45A8">
        <w:rPr>
          <w:rFonts w:ascii="Cambria" w:hAnsi="Cambria"/>
          <w:sz w:val="20"/>
          <w:szCs w:val="20"/>
        </w:rPr>
        <w:t xml:space="preserve"> </w:t>
      </w:r>
      <w:r w:rsidR="00375BBE">
        <w:rPr>
          <w:rFonts w:ascii="Cambria" w:hAnsi="Cambria"/>
          <w:sz w:val="20"/>
          <w:szCs w:val="20"/>
        </w:rPr>
        <w:t xml:space="preserve">public officers of the former </w:t>
      </w:r>
      <w:r w:rsidR="002C45A8">
        <w:rPr>
          <w:rFonts w:ascii="Cambria" w:hAnsi="Cambria"/>
          <w:sz w:val="20"/>
          <w:szCs w:val="20"/>
        </w:rPr>
        <w:t xml:space="preserve">National </w:t>
      </w:r>
      <w:r w:rsidR="00375BBE">
        <w:rPr>
          <w:rFonts w:ascii="Cambria" w:hAnsi="Cambria"/>
          <w:sz w:val="20"/>
          <w:szCs w:val="20"/>
        </w:rPr>
        <w:t>Superintendence</w:t>
      </w:r>
      <w:r w:rsidR="002C45A8">
        <w:rPr>
          <w:rFonts w:ascii="Cambria" w:hAnsi="Cambria"/>
          <w:sz w:val="20"/>
          <w:szCs w:val="20"/>
        </w:rPr>
        <w:t xml:space="preserve"> of Customs, which name t</w:t>
      </w:r>
      <w:r w:rsidR="00375BBE">
        <w:rPr>
          <w:rFonts w:ascii="Cambria" w:hAnsi="Cambria"/>
          <w:sz w:val="20"/>
          <w:szCs w:val="20"/>
        </w:rPr>
        <w:t>oday is National Superintendence</w:t>
      </w:r>
      <w:r w:rsidR="002C45A8">
        <w:rPr>
          <w:rFonts w:ascii="Cambria" w:hAnsi="Cambria"/>
          <w:sz w:val="20"/>
          <w:szCs w:val="20"/>
        </w:rPr>
        <w:t xml:space="preserve"> of Customs and Tax Administration (hereinafter “SUNAT.”) </w:t>
      </w:r>
      <w:r w:rsidR="00C32AA1">
        <w:rPr>
          <w:rFonts w:ascii="Cambria" w:hAnsi="Cambria"/>
          <w:sz w:val="20"/>
          <w:szCs w:val="20"/>
        </w:rPr>
        <w:t xml:space="preserve">Principally, they </w:t>
      </w:r>
      <w:r w:rsidR="008D4200">
        <w:rPr>
          <w:rFonts w:ascii="Cambria" w:hAnsi="Cambria"/>
          <w:sz w:val="20"/>
          <w:szCs w:val="20"/>
        </w:rPr>
        <w:t xml:space="preserve">claim </w:t>
      </w:r>
      <w:r w:rsidR="00B97E2E">
        <w:rPr>
          <w:rFonts w:ascii="Cambria" w:hAnsi="Cambria"/>
          <w:sz w:val="20"/>
          <w:szCs w:val="20"/>
        </w:rPr>
        <w:t>that t</w:t>
      </w:r>
      <w:r w:rsidR="00375BBE">
        <w:rPr>
          <w:rFonts w:ascii="Cambria" w:hAnsi="Cambria"/>
          <w:sz w:val="20"/>
          <w:szCs w:val="20"/>
        </w:rPr>
        <w:t>hese persons have not received</w:t>
      </w:r>
      <w:r w:rsidR="00B97E2E">
        <w:rPr>
          <w:rFonts w:ascii="Cambria" w:hAnsi="Cambria"/>
          <w:sz w:val="20"/>
          <w:szCs w:val="20"/>
        </w:rPr>
        <w:t xml:space="preserve"> the payment of their pensions from SUNAT</w:t>
      </w:r>
      <w:r w:rsidR="00375BBE">
        <w:rPr>
          <w:rFonts w:ascii="Cambria" w:hAnsi="Cambria"/>
          <w:sz w:val="20"/>
          <w:szCs w:val="20"/>
        </w:rPr>
        <w:t xml:space="preserve"> correctly</w:t>
      </w:r>
      <w:r w:rsidR="00B97E2E">
        <w:rPr>
          <w:rFonts w:ascii="Cambria" w:hAnsi="Cambria"/>
          <w:sz w:val="20"/>
          <w:szCs w:val="20"/>
        </w:rPr>
        <w:t>, despite having in their fav</w:t>
      </w:r>
      <w:r w:rsidR="00375BBE">
        <w:rPr>
          <w:rFonts w:ascii="Cambria" w:hAnsi="Cambria"/>
          <w:sz w:val="20"/>
          <w:szCs w:val="20"/>
        </w:rPr>
        <w:t xml:space="preserve">or a resolution constituted as </w:t>
      </w:r>
      <w:r w:rsidR="00375BBE" w:rsidRPr="0085164D">
        <w:rPr>
          <w:rFonts w:ascii="Cambria" w:hAnsi="Cambria"/>
          <w:i/>
          <w:sz w:val="20"/>
          <w:szCs w:val="20"/>
        </w:rPr>
        <w:t>res judicata</w:t>
      </w:r>
      <w:r w:rsidR="00B97E2E">
        <w:rPr>
          <w:rFonts w:ascii="Cambria" w:hAnsi="Cambria"/>
          <w:sz w:val="20"/>
          <w:szCs w:val="20"/>
        </w:rPr>
        <w:t xml:space="preserve">. They allege that they have been trying to execute said resolution for more than sixteen </w:t>
      </w:r>
      <w:r w:rsidR="00375BBE">
        <w:rPr>
          <w:rFonts w:ascii="Cambria" w:hAnsi="Cambria"/>
          <w:sz w:val="20"/>
          <w:szCs w:val="20"/>
        </w:rPr>
        <w:t>years and that the Peruvian J</w:t>
      </w:r>
      <w:r w:rsidR="00B97E2E">
        <w:rPr>
          <w:rFonts w:ascii="Cambria" w:hAnsi="Cambria"/>
          <w:sz w:val="20"/>
          <w:szCs w:val="20"/>
        </w:rPr>
        <w:t>udicial Branch has contravened judicial decisions leaving them without any protection, as part of a systemic pattern from the State against the retirees.</w:t>
      </w:r>
    </w:p>
    <w:p w:rsidR="003C6ECB" w:rsidRDefault="00B97E2E"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As indicated in the petition, the alleged victims left their charges between 1989 and 1992 under the voluntary cessation decreed and regulated by Legislative Decree No. 680 </w:t>
      </w:r>
      <w:r w:rsidR="0021434F">
        <w:rPr>
          <w:rFonts w:ascii="Cambria" w:hAnsi="Cambria"/>
          <w:sz w:val="20"/>
          <w:szCs w:val="20"/>
        </w:rPr>
        <w:t>(h</w:t>
      </w:r>
      <w:r>
        <w:rPr>
          <w:rFonts w:ascii="Cambria" w:hAnsi="Cambria"/>
          <w:sz w:val="20"/>
          <w:szCs w:val="20"/>
        </w:rPr>
        <w:t>ereinafter “Decree 680</w:t>
      </w:r>
      <w:r w:rsidR="00032B44">
        <w:rPr>
          <w:rFonts w:ascii="Cambria" w:hAnsi="Cambria"/>
          <w:sz w:val="20"/>
          <w:szCs w:val="20"/>
        </w:rPr>
        <w:t>,</w:t>
      </w:r>
      <w:r>
        <w:rPr>
          <w:rFonts w:ascii="Cambria" w:hAnsi="Cambria"/>
          <w:sz w:val="20"/>
          <w:szCs w:val="20"/>
        </w:rPr>
        <w:t>”) becoming pensioners under the regime of the Decree of Law No. 20530, which ordered the</w:t>
      </w:r>
      <w:r w:rsidR="00D5549A">
        <w:rPr>
          <w:rFonts w:ascii="Cambria" w:hAnsi="Cambria"/>
          <w:sz w:val="20"/>
          <w:szCs w:val="20"/>
        </w:rPr>
        <w:t xml:space="preserve"> leveling</w:t>
      </w:r>
      <w:r>
        <w:rPr>
          <w:rFonts w:ascii="Cambria" w:hAnsi="Cambria"/>
          <w:sz w:val="20"/>
          <w:szCs w:val="20"/>
        </w:rPr>
        <w:t xml:space="preserve"> of their pensions of </w:t>
      </w:r>
      <w:r w:rsidR="00032B44">
        <w:rPr>
          <w:rFonts w:ascii="Cambria" w:hAnsi="Cambria"/>
          <w:sz w:val="20"/>
          <w:szCs w:val="20"/>
        </w:rPr>
        <w:t>un</w:t>
      </w:r>
      <w:r w:rsidR="00D5549A">
        <w:rPr>
          <w:rFonts w:ascii="Cambria" w:hAnsi="Cambria"/>
          <w:sz w:val="20"/>
          <w:szCs w:val="20"/>
        </w:rPr>
        <w:t xml:space="preserve">employment and retirement with the remunerations of the </w:t>
      </w:r>
      <w:r w:rsidR="00032B44">
        <w:rPr>
          <w:rFonts w:ascii="Cambria" w:hAnsi="Cambria"/>
          <w:sz w:val="20"/>
          <w:szCs w:val="20"/>
        </w:rPr>
        <w:t>active servers of the same entity for</w:t>
      </w:r>
      <w:r w:rsidR="00D5549A">
        <w:rPr>
          <w:rFonts w:ascii="Cambria" w:hAnsi="Cambria"/>
          <w:sz w:val="20"/>
          <w:szCs w:val="20"/>
        </w:rPr>
        <w:t xml:space="preserve"> which they had worked. Notwithstanding, SUNAT</w:t>
      </w:r>
      <w:r w:rsidR="00C13B15">
        <w:rPr>
          <w:rFonts w:ascii="Cambria" w:hAnsi="Cambria"/>
          <w:sz w:val="20"/>
          <w:szCs w:val="20"/>
        </w:rPr>
        <w:t xml:space="preserve"> had done a retroactive interpretation of Decree 680, i</w:t>
      </w:r>
      <w:r w:rsidR="00032B44">
        <w:rPr>
          <w:rFonts w:ascii="Cambria" w:hAnsi="Cambria"/>
          <w:sz w:val="20"/>
          <w:szCs w:val="20"/>
        </w:rPr>
        <w:t>n its article 6, incise c) and of its second transitory provision</w:t>
      </w:r>
      <w:r w:rsidR="00C13B15">
        <w:rPr>
          <w:rFonts w:ascii="Cambria" w:hAnsi="Cambria"/>
          <w:sz w:val="20"/>
          <w:szCs w:val="20"/>
        </w:rPr>
        <w:t xml:space="preserve">, in the sense of </w:t>
      </w:r>
      <w:r w:rsidR="00C13B15" w:rsidRPr="0085164D">
        <w:rPr>
          <w:rFonts w:ascii="Cambria" w:hAnsi="Cambria"/>
          <w:sz w:val="20"/>
          <w:szCs w:val="20"/>
        </w:rPr>
        <w:t xml:space="preserve">not </w:t>
      </w:r>
      <w:r w:rsidR="008F6574">
        <w:rPr>
          <w:rFonts w:ascii="Cambria" w:hAnsi="Cambria"/>
          <w:sz w:val="20"/>
          <w:szCs w:val="20"/>
        </w:rPr>
        <w:t xml:space="preserve">recognizing </w:t>
      </w:r>
      <w:r w:rsidR="00C13B15">
        <w:rPr>
          <w:rFonts w:ascii="Cambria" w:hAnsi="Cambria"/>
          <w:sz w:val="20"/>
          <w:szCs w:val="20"/>
        </w:rPr>
        <w:t>the mentioned benefit of leveling of the alleged victims.</w:t>
      </w:r>
    </w:p>
    <w:p w:rsidR="00C13B15" w:rsidRDefault="00C13B15"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Before this situation, on May 3, 1995, sixty five members of the National Association of Unemployed and Retired persons of the National </w:t>
      </w:r>
      <w:r w:rsidR="00032B44">
        <w:rPr>
          <w:rFonts w:ascii="Cambria" w:hAnsi="Cambria"/>
          <w:sz w:val="20"/>
          <w:szCs w:val="20"/>
        </w:rPr>
        <w:t>Superintendence</w:t>
      </w:r>
      <w:r>
        <w:rPr>
          <w:rFonts w:ascii="Cambria" w:hAnsi="Cambria"/>
          <w:sz w:val="20"/>
          <w:szCs w:val="20"/>
        </w:rPr>
        <w:t xml:space="preserve"> of Customs (hereinafter “ANAT-SUNAT</w:t>
      </w:r>
      <w:r w:rsidR="00032B44">
        <w:rPr>
          <w:rFonts w:ascii="Cambria" w:hAnsi="Cambria"/>
          <w:sz w:val="20"/>
          <w:szCs w:val="20"/>
        </w:rPr>
        <w:t>,”)</w:t>
      </w:r>
      <w:r>
        <w:rPr>
          <w:rFonts w:ascii="Cambria" w:hAnsi="Cambria"/>
          <w:sz w:val="20"/>
          <w:szCs w:val="20"/>
        </w:rPr>
        <w:t xml:space="preserve"> included the alleged victims</w:t>
      </w:r>
      <w:r w:rsidR="00032B44">
        <w:rPr>
          <w:rFonts w:ascii="Cambria" w:hAnsi="Cambria"/>
          <w:sz w:val="20"/>
          <w:szCs w:val="20"/>
        </w:rPr>
        <w:t>,</w:t>
      </w:r>
      <w:r>
        <w:rPr>
          <w:rFonts w:ascii="Cambria" w:hAnsi="Cambria"/>
          <w:sz w:val="20"/>
          <w:szCs w:val="20"/>
        </w:rPr>
        <w:t xml:space="preserve"> filed a claim for protection before the Third Court </w:t>
      </w:r>
      <w:r w:rsidR="00032B44">
        <w:rPr>
          <w:rFonts w:ascii="Cambria" w:hAnsi="Cambria"/>
          <w:sz w:val="20"/>
          <w:szCs w:val="20"/>
        </w:rPr>
        <w:t>Specialized o</w:t>
      </w:r>
      <w:r>
        <w:rPr>
          <w:rFonts w:ascii="Cambria" w:hAnsi="Cambria"/>
          <w:sz w:val="20"/>
          <w:szCs w:val="20"/>
        </w:rPr>
        <w:t>n Civil Matters of Callao (hereinafter “TJECC</w:t>
      </w:r>
      <w:r w:rsidR="00032B44">
        <w:rPr>
          <w:rFonts w:ascii="Cambria" w:hAnsi="Cambria"/>
          <w:sz w:val="20"/>
          <w:szCs w:val="20"/>
        </w:rPr>
        <w:t>,”)</w:t>
      </w:r>
      <w:r>
        <w:rPr>
          <w:rFonts w:ascii="Cambria" w:hAnsi="Cambria"/>
          <w:sz w:val="20"/>
          <w:szCs w:val="20"/>
        </w:rPr>
        <w:t xml:space="preserve"> file</w:t>
      </w:r>
      <w:r w:rsidR="00032B44">
        <w:rPr>
          <w:rFonts w:ascii="Cambria" w:hAnsi="Cambria"/>
          <w:sz w:val="20"/>
          <w:szCs w:val="20"/>
        </w:rPr>
        <w:t xml:space="preserve"> No. 240-1995, requesting the inapplicability</w:t>
      </w:r>
      <w:r>
        <w:rPr>
          <w:rFonts w:ascii="Cambria" w:hAnsi="Cambria"/>
          <w:sz w:val="20"/>
          <w:szCs w:val="20"/>
        </w:rPr>
        <w:t xml:space="preserve"> of Decree 680 and the leveling of their pensions</w:t>
      </w:r>
      <w:r w:rsidR="00FE3DB8">
        <w:rPr>
          <w:rFonts w:ascii="Cambria" w:hAnsi="Cambria"/>
          <w:sz w:val="20"/>
          <w:szCs w:val="20"/>
        </w:rPr>
        <w:t xml:space="preserve"> with the ones of the active workers of SUNAT. Nonetheless, this </w:t>
      </w:r>
      <w:r w:rsidR="000A15D4">
        <w:rPr>
          <w:rFonts w:ascii="Cambria" w:hAnsi="Cambria"/>
          <w:sz w:val="20"/>
          <w:szCs w:val="20"/>
        </w:rPr>
        <w:t>organization</w:t>
      </w:r>
      <w:r w:rsidR="00FE3DB8">
        <w:rPr>
          <w:rFonts w:ascii="Cambria" w:hAnsi="Cambria"/>
          <w:sz w:val="20"/>
          <w:szCs w:val="20"/>
        </w:rPr>
        <w:t xml:space="preserve"> declared the action of protection inadmissible through Resolution No. 6 of July 17, 1995.</w:t>
      </w:r>
    </w:p>
    <w:p w:rsidR="00FE3DB8" w:rsidRDefault="00FE3DB8"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This resolution was appealed by the alleged victims before the Civil Court of the Superior Court of Callao, which through Resolution No 21 from January 3, 1996 (hereinafter “Resolution 21”) determined t</w:t>
      </w:r>
      <w:r w:rsidR="008F6574">
        <w:rPr>
          <w:rFonts w:ascii="Cambria" w:hAnsi="Cambria"/>
          <w:sz w:val="20"/>
          <w:szCs w:val="20"/>
        </w:rPr>
        <w:t xml:space="preserve">o revoke the appealed sentence </w:t>
      </w:r>
      <w:r>
        <w:rPr>
          <w:rFonts w:ascii="Cambria" w:hAnsi="Cambria"/>
          <w:sz w:val="20"/>
          <w:szCs w:val="20"/>
        </w:rPr>
        <w:t xml:space="preserve">and to declare </w:t>
      </w:r>
      <w:r w:rsidR="00BF062E">
        <w:rPr>
          <w:rFonts w:ascii="Cambria" w:hAnsi="Cambria"/>
          <w:sz w:val="20"/>
          <w:szCs w:val="20"/>
        </w:rPr>
        <w:t>inapplicability</w:t>
      </w:r>
      <w:r>
        <w:rPr>
          <w:rFonts w:ascii="Cambria" w:hAnsi="Cambria"/>
          <w:sz w:val="20"/>
          <w:szCs w:val="20"/>
        </w:rPr>
        <w:t xml:space="preserve"> for the petitioners</w:t>
      </w:r>
      <w:r w:rsidR="008F6574">
        <w:rPr>
          <w:rFonts w:ascii="Cambria" w:hAnsi="Cambria"/>
          <w:sz w:val="20"/>
          <w:szCs w:val="20"/>
        </w:rPr>
        <w:t xml:space="preserve"> of </w:t>
      </w:r>
      <w:r>
        <w:rPr>
          <w:rFonts w:ascii="Cambria" w:hAnsi="Cambria"/>
          <w:sz w:val="20"/>
          <w:szCs w:val="20"/>
        </w:rPr>
        <w:t>artic</w:t>
      </w:r>
      <w:r w:rsidR="003F4359">
        <w:rPr>
          <w:rFonts w:ascii="Cambria" w:hAnsi="Cambria"/>
          <w:sz w:val="20"/>
          <w:szCs w:val="20"/>
        </w:rPr>
        <w:t>le 6, incise c</w:t>
      </w:r>
      <w:r w:rsidR="00BF062E">
        <w:rPr>
          <w:rFonts w:ascii="Cambria" w:hAnsi="Cambria"/>
          <w:sz w:val="20"/>
          <w:szCs w:val="20"/>
        </w:rPr>
        <w:t>) and the second</w:t>
      </w:r>
      <w:r>
        <w:rPr>
          <w:rFonts w:ascii="Cambria" w:hAnsi="Cambria"/>
          <w:sz w:val="20"/>
          <w:szCs w:val="20"/>
        </w:rPr>
        <w:t xml:space="preserve"> transitory</w:t>
      </w:r>
      <w:r w:rsidR="00BF062E">
        <w:rPr>
          <w:rFonts w:ascii="Cambria" w:hAnsi="Cambria"/>
          <w:sz w:val="20"/>
          <w:szCs w:val="20"/>
        </w:rPr>
        <w:t xml:space="preserve"> provision</w:t>
      </w:r>
      <w:r>
        <w:rPr>
          <w:rFonts w:ascii="Cambria" w:hAnsi="Cambria"/>
          <w:sz w:val="20"/>
          <w:szCs w:val="20"/>
        </w:rPr>
        <w:t xml:space="preserve"> of Decree 680. This R</w:t>
      </w:r>
      <w:r w:rsidR="00BF062E">
        <w:rPr>
          <w:rFonts w:ascii="Cambria" w:hAnsi="Cambria"/>
          <w:sz w:val="20"/>
          <w:szCs w:val="20"/>
        </w:rPr>
        <w:t>esolution 21 was submitted to</w:t>
      </w:r>
      <w:r>
        <w:rPr>
          <w:rFonts w:ascii="Cambria" w:hAnsi="Cambria"/>
          <w:sz w:val="20"/>
          <w:szCs w:val="20"/>
        </w:rPr>
        <w:t xml:space="preserve"> consultatio</w:t>
      </w:r>
      <w:r w:rsidR="00BF062E">
        <w:rPr>
          <w:rFonts w:ascii="Cambria" w:hAnsi="Cambria"/>
          <w:sz w:val="20"/>
          <w:szCs w:val="20"/>
        </w:rPr>
        <w:t xml:space="preserve">n for its approval to the </w:t>
      </w:r>
      <w:r>
        <w:rPr>
          <w:rFonts w:ascii="Cambria" w:hAnsi="Cambria"/>
          <w:sz w:val="20"/>
          <w:szCs w:val="20"/>
        </w:rPr>
        <w:t xml:space="preserve">Constitutional and Social </w:t>
      </w:r>
      <w:r w:rsidR="00BF062E">
        <w:rPr>
          <w:rFonts w:ascii="Cambria" w:hAnsi="Cambria"/>
          <w:sz w:val="20"/>
          <w:szCs w:val="20"/>
        </w:rPr>
        <w:t xml:space="preserve">Court </w:t>
      </w:r>
      <w:r>
        <w:rPr>
          <w:rFonts w:ascii="Cambria" w:hAnsi="Cambria"/>
          <w:sz w:val="20"/>
          <w:szCs w:val="20"/>
        </w:rPr>
        <w:t>of the Supreme Court of Justice</w:t>
      </w:r>
      <w:r w:rsidR="00BF062E">
        <w:rPr>
          <w:rFonts w:ascii="Cambria" w:hAnsi="Cambria"/>
          <w:sz w:val="20"/>
          <w:szCs w:val="20"/>
        </w:rPr>
        <w:t>, who</w:t>
      </w:r>
      <w:r>
        <w:rPr>
          <w:rFonts w:ascii="Cambria" w:hAnsi="Cambria"/>
          <w:sz w:val="20"/>
          <w:szCs w:val="20"/>
        </w:rPr>
        <w:t xml:space="preserve"> through decision</w:t>
      </w:r>
      <w:r w:rsidR="00BF062E">
        <w:rPr>
          <w:rFonts w:ascii="Cambria" w:hAnsi="Cambria"/>
          <w:sz w:val="20"/>
          <w:szCs w:val="20"/>
        </w:rPr>
        <w:t xml:space="preserve"> of February 27, 1996, declared that the resolutions of</w:t>
      </w:r>
      <w:r>
        <w:rPr>
          <w:rFonts w:ascii="Cambria" w:hAnsi="Cambria"/>
          <w:sz w:val="20"/>
          <w:szCs w:val="20"/>
        </w:rPr>
        <w:t xml:space="preserve"> this type of actions that fall back onto </w:t>
      </w:r>
      <w:r w:rsidR="00BF062E">
        <w:rPr>
          <w:rFonts w:ascii="Cambria" w:hAnsi="Cambria"/>
          <w:sz w:val="20"/>
          <w:szCs w:val="20"/>
        </w:rPr>
        <w:t>the second instance constitute</w:t>
      </w:r>
      <w:r>
        <w:rPr>
          <w:rFonts w:ascii="Cambria" w:hAnsi="Cambria"/>
          <w:sz w:val="20"/>
          <w:szCs w:val="20"/>
        </w:rPr>
        <w:t xml:space="preserve"> </w:t>
      </w:r>
      <w:r w:rsidR="00BF062E" w:rsidRPr="008F6574">
        <w:rPr>
          <w:rFonts w:ascii="Cambria" w:hAnsi="Cambria"/>
          <w:i/>
          <w:sz w:val="20"/>
          <w:szCs w:val="20"/>
        </w:rPr>
        <w:t>res judicata</w:t>
      </w:r>
      <w:r w:rsidR="00BF062E">
        <w:rPr>
          <w:rFonts w:ascii="Cambria" w:hAnsi="Cambria"/>
          <w:sz w:val="20"/>
          <w:szCs w:val="20"/>
        </w:rPr>
        <w:t>.</w:t>
      </w:r>
    </w:p>
    <w:p w:rsidR="00FE3DB8" w:rsidRDefault="00FE3DB8"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a consequence of these favorable decisions for the members of ANAT-SUNAT, TJEEC requested SUNAT</w:t>
      </w:r>
      <w:r w:rsidR="00B5462C">
        <w:rPr>
          <w:rFonts w:ascii="Cambria" w:hAnsi="Cambria"/>
          <w:sz w:val="20"/>
          <w:szCs w:val="20"/>
        </w:rPr>
        <w:t xml:space="preserve"> the payment of the leveled pensions without any limits or restrictions in terms of Law Decree No. 20530. However, according to the petitioners, SUNAT refused to level out the pensions of the petitioners and to pay the owed pensions.</w:t>
      </w:r>
    </w:p>
    <w:p w:rsidR="00B5462C" w:rsidRDefault="00BF062E"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view of their refusal</w:t>
      </w:r>
      <w:r w:rsidR="00B5462C">
        <w:rPr>
          <w:rFonts w:ascii="Cambria" w:hAnsi="Cambria"/>
          <w:sz w:val="20"/>
          <w:szCs w:val="20"/>
        </w:rPr>
        <w:t>, on September 25, 1997, sixty five retirees, members of ANAT-SUNAT filed a compensation claim before TJECC for any damages against the Superintendent of SUNAT (File No. 00818-1</w:t>
      </w:r>
      <w:r w:rsidR="00547B60">
        <w:rPr>
          <w:rFonts w:ascii="Cambria" w:hAnsi="Cambria"/>
          <w:sz w:val="20"/>
          <w:szCs w:val="20"/>
        </w:rPr>
        <w:t>997). This claim was declared</w:t>
      </w:r>
      <w:r w:rsidR="00B5462C">
        <w:rPr>
          <w:rFonts w:ascii="Cambria" w:hAnsi="Cambria"/>
          <w:sz w:val="20"/>
          <w:szCs w:val="20"/>
        </w:rPr>
        <w:t xml:space="preserve"> inadmissible and appealed by ANAT-SUNAT, but it was declared inadmissible for </w:t>
      </w:r>
      <w:r w:rsidR="00547B60">
        <w:rPr>
          <w:rFonts w:ascii="Cambria" w:hAnsi="Cambria"/>
          <w:sz w:val="20"/>
          <w:szCs w:val="20"/>
        </w:rPr>
        <w:t>not having been received within the time limits.</w:t>
      </w:r>
    </w:p>
    <w:p w:rsidR="00B5462C" w:rsidRPr="006318B2" w:rsidRDefault="00547B60"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Additionally, as of</w:t>
      </w:r>
      <w:r w:rsidR="00B5462C">
        <w:rPr>
          <w:rFonts w:ascii="Cambria" w:hAnsi="Cambria"/>
          <w:sz w:val="20"/>
          <w:szCs w:val="20"/>
        </w:rPr>
        <w:t xml:space="preserve"> 2001, the alleged victims, individu</w:t>
      </w:r>
      <w:r>
        <w:rPr>
          <w:rFonts w:ascii="Cambria" w:hAnsi="Cambria"/>
          <w:sz w:val="20"/>
          <w:szCs w:val="20"/>
        </w:rPr>
        <w:t>ally, filed additional claims on</w:t>
      </w:r>
      <w:r w:rsidR="00B5462C">
        <w:rPr>
          <w:rFonts w:ascii="Cambria" w:hAnsi="Cambria"/>
          <w:sz w:val="20"/>
          <w:szCs w:val="20"/>
        </w:rPr>
        <w:t xml:space="preserve"> execution of Resolution 21 before TJECC. This court ordered in each case the </w:t>
      </w:r>
      <w:r w:rsidR="00DE4521">
        <w:rPr>
          <w:rFonts w:ascii="Cambria" w:hAnsi="Cambria"/>
          <w:sz w:val="20"/>
          <w:szCs w:val="20"/>
        </w:rPr>
        <w:t>exec</w:t>
      </w:r>
      <w:r>
        <w:rPr>
          <w:rFonts w:ascii="Cambria" w:hAnsi="Cambria"/>
          <w:sz w:val="20"/>
          <w:szCs w:val="20"/>
        </w:rPr>
        <w:t>ution of different expert evidence</w:t>
      </w:r>
      <w:r w:rsidR="00DE4521">
        <w:rPr>
          <w:rFonts w:ascii="Cambria" w:hAnsi="Cambria"/>
          <w:sz w:val="20"/>
          <w:szCs w:val="20"/>
        </w:rPr>
        <w:t xml:space="preserve"> that would allow </w:t>
      </w:r>
      <w:r w:rsidR="00FB0824">
        <w:rPr>
          <w:rFonts w:ascii="Cambria" w:hAnsi="Cambria"/>
          <w:sz w:val="20"/>
          <w:szCs w:val="20"/>
        </w:rPr>
        <w:t>establishing</w:t>
      </w:r>
      <w:r w:rsidR="00DE4521">
        <w:rPr>
          <w:rFonts w:ascii="Cambria" w:hAnsi="Cambria"/>
          <w:sz w:val="20"/>
          <w:szCs w:val="20"/>
        </w:rPr>
        <w:t xml:space="preserve"> the amount that shou</w:t>
      </w:r>
      <w:r w:rsidR="0082686B">
        <w:rPr>
          <w:rFonts w:ascii="Cambria" w:hAnsi="Cambria"/>
          <w:sz w:val="20"/>
          <w:szCs w:val="20"/>
        </w:rPr>
        <w:t>ld be paid on leveled and accrued</w:t>
      </w:r>
      <w:r w:rsidR="00DE4521">
        <w:rPr>
          <w:rFonts w:ascii="Cambria" w:hAnsi="Cambria"/>
          <w:sz w:val="20"/>
          <w:szCs w:val="20"/>
        </w:rPr>
        <w:t xml:space="preserve"> pensions. In some of the cases, TJECC ordered to level out the p</w:t>
      </w:r>
      <w:r w:rsidR="0082686B">
        <w:rPr>
          <w:rFonts w:ascii="Cambria" w:hAnsi="Cambria"/>
          <w:sz w:val="20"/>
          <w:szCs w:val="20"/>
        </w:rPr>
        <w:t>ensions and to pay off the accrue</w:t>
      </w:r>
      <w:r w:rsidR="00DE4521">
        <w:rPr>
          <w:rFonts w:ascii="Cambria" w:hAnsi="Cambria"/>
          <w:sz w:val="20"/>
          <w:szCs w:val="20"/>
        </w:rPr>
        <w:t>d ones, and in other cases, the procedure became longer because SUNAT appealed</w:t>
      </w:r>
      <w:r w:rsidR="00DE4521">
        <w:rPr>
          <w:rFonts w:ascii="Cambria" w:hAnsi="Cambria"/>
          <w:sz w:val="20"/>
          <w:szCs w:val="20"/>
          <w:vertAlign w:val="superscript"/>
        </w:rPr>
        <w:t>5</w:t>
      </w:r>
      <w:r w:rsidR="00DE4521">
        <w:rPr>
          <w:rFonts w:ascii="Cambria" w:hAnsi="Cambria"/>
          <w:sz w:val="20"/>
          <w:szCs w:val="20"/>
        </w:rPr>
        <w:t xml:space="preserve">. The petitioners indicate that even an alleged victim died during the process of execution of Resolution 21, and his wife recognized herself as the procedural successor. </w:t>
      </w:r>
    </w:p>
    <w:p w:rsidR="0082686B" w:rsidRDefault="001E79F0" w:rsidP="0082686B">
      <w:pPr>
        <w:spacing w:before="240" w:after="240"/>
        <w:jc w:val="both"/>
        <w:rPr>
          <w:rFonts w:ascii="Cambria" w:hAnsi="Cambria"/>
          <w:sz w:val="16"/>
          <w:szCs w:val="16"/>
          <w:vertAlign w:val="superscript"/>
        </w:rPr>
      </w:pPr>
      <w:r>
        <w:rPr>
          <w:rFonts w:ascii="Cambria" w:hAnsi="Cambria"/>
          <w:sz w:val="16"/>
          <w:szCs w:val="16"/>
          <w:vertAlign w:val="superscript"/>
        </w:rPr>
        <w:t>_______________________________________________________________</w:t>
      </w:r>
      <w:r w:rsidR="00971FEA">
        <w:rPr>
          <w:rFonts w:ascii="Cambria" w:hAnsi="Cambria"/>
          <w:sz w:val="16"/>
          <w:szCs w:val="16"/>
          <w:vertAlign w:val="superscript"/>
        </w:rPr>
        <w:t>_____________</w:t>
      </w:r>
    </w:p>
    <w:p w:rsidR="003B023C" w:rsidRPr="0082686B" w:rsidRDefault="003B023C" w:rsidP="0082686B">
      <w:pPr>
        <w:spacing w:before="240" w:after="240"/>
        <w:ind w:firstLine="720"/>
        <w:jc w:val="both"/>
        <w:rPr>
          <w:rFonts w:ascii="Cambria" w:hAnsi="Cambria"/>
          <w:sz w:val="16"/>
          <w:szCs w:val="16"/>
          <w:vertAlign w:val="superscript"/>
        </w:rPr>
      </w:pPr>
      <w:r>
        <w:rPr>
          <w:rFonts w:ascii="Cambria" w:hAnsi="Cambria"/>
          <w:sz w:val="16"/>
          <w:szCs w:val="16"/>
          <w:vertAlign w:val="superscript"/>
        </w:rPr>
        <w:t>5</w:t>
      </w:r>
      <w:r w:rsidR="00B64AFB">
        <w:rPr>
          <w:rFonts w:ascii="Cambria" w:hAnsi="Cambria"/>
          <w:sz w:val="16"/>
          <w:szCs w:val="16"/>
        </w:rPr>
        <w:t>The alleged victims, individually, filed additional claims of execution of Resolution 21 before TJECC. This court ordered in each case the exec</w:t>
      </w:r>
      <w:r w:rsidR="0082686B">
        <w:rPr>
          <w:rFonts w:ascii="Cambria" w:hAnsi="Cambria"/>
          <w:sz w:val="16"/>
          <w:szCs w:val="16"/>
        </w:rPr>
        <w:t>ution of different expert evidence</w:t>
      </w:r>
      <w:r w:rsidR="00B64AFB">
        <w:rPr>
          <w:rFonts w:ascii="Cambria" w:hAnsi="Cambria"/>
          <w:sz w:val="16"/>
          <w:szCs w:val="16"/>
        </w:rPr>
        <w:t xml:space="preserve"> that could establish the amount that should be paid for the </w:t>
      </w:r>
      <w:r w:rsidR="0082686B">
        <w:rPr>
          <w:rFonts w:ascii="Cambria" w:hAnsi="Cambria"/>
          <w:sz w:val="16"/>
          <w:szCs w:val="16"/>
        </w:rPr>
        <w:t>concept of leveled out and accrue</w:t>
      </w:r>
      <w:r w:rsidR="00B64AFB">
        <w:rPr>
          <w:rFonts w:ascii="Cambria" w:hAnsi="Cambria"/>
          <w:sz w:val="16"/>
          <w:szCs w:val="16"/>
        </w:rPr>
        <w:t xml:space="preserve">d pensions and after this, many different scenarios occurred in each of the procedures: a) Three alleged victims claimed the </w:t>
      </w:r>
      <w:r w:rsidR="0082686B">
        <w:rPr>
          <w:rFonts w:ascii="Cambria" w:hAnsi="Cambria"/>
          <w:sz w:val="16"/>
          <w:szCs w:val="16"/>
        </w:rPr>
        <w:t xml:space="preserve">                                                                                                                                                                                                                                                    [continues...]</w:t>
      </w:r>
    </w:p>
    <w:p w:rsidR="003C6ECB" w:rsidRDefault="001E79F0"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The petition</w:t>
      </w:r>
      <w:r w:rsidR="009B7828">
        <w:rPr>
          <w:rFonts w:ascii="Cambria" w:hAnsi="Cambria"/>
          <w:sz w:val="20"/>
          <w:szCs w:val="20"/>
        </w:rPr>
        <w:t>er</w:t>
      </w:r>
      <w:r>
        <w:rPr>
          <w:rFonts w:ascii="Cambria" w:hAnsi="Cambria"/>
          <w:sz w:val="20"/>
          <w:szCs w:val="20"/>
        </w:rPr>
        <w:t xml:space="preserve">s claim that despite the foregoing, SUNAT presented a claim for protection before the Constitutional Court (file No. 01601-2012-PA/TC), which through Resolution No. 190 from August 6, 2012 declared the infeasibility of leveling out the pensions of the alleged victims and therefore, declared null </w:t>
      </w:r>
      <w:r w:rsidR="00FE62A5">
        <w:rPr>
          <w:rFonts w:ascii="Cambria" w:hAnsi="Cambria"/>
          <w:sz w:val="20"/>
          <w:szCs w:val="20"/>
        </w:rPr>
        <w:t>the actions taken</w:t>
      </w:r>
      <w:r>
        <w:rPr>
          <w:rFonts w:ascii="Cambria" w:hAnsi="Cambria"/>
          <w:sz w:val="20"/>
          <w:szCs w:val="20"/>
        </w:rPr>
        <w:t xml:space="preserve"> in the procedure of execution of sentence of Resolution 21. The alleged victims claim that said procedure was not notified to them and that they were excluded from it even though the result would affect them directly. </w:t>
      </w:r>
      <w:r w:rsidR="00197FA5">
        <w:rPr>
          <w:rFonts w:ascii="Cambria" w:hAnsi="Cambria"/>
          <w:sz w:val="20"/>
          <w:szCs w:val="20"/>
        </w:rPr>
        <w:t>As a result</w:t>
      </w:r>
      <w:r w:rsidR="00FE62A5">
        <w:rPr>
          <w:rFonts w:ascii="Cambria" w:hAnsi="Cambria"/>
          <w:sz w:val="20"/>
          <w:szCs w:val="20"/>
        </w:rPr>
        <w:t xml:space="preserve"> of this decision, the procedures</w:t>
      </w:r>
      <w:r w:rsidR="00197FA5">
        <w:rPr>
          <w:rFonts w:ascii="Cambria" w:hAnsi="Cambria"/>
          <w:sz w:val="20"/>
          <w:szCs w:val="20"/>
        </w:rPr>
        <w:t xml:space="preserve"> of the individual claims of execution </w:t>
      </w:r>
      <w:r w:rsidR="00D61A35">
        <w:rPr>
          <w:rFonts w:ascii="Cambria" w:hAnsi="Cambria"/>
          <w:sz w:val="20"/>
          <w:szCs w:val="20"/>
        </w:rPr>
        <w:t xml:space="preserve">that </w:t>
      </w:r>
      <w:r w:rsidR="00197FA5">
        <w:rPr>
          <w:rFonts w:ascii="Cambria" w:hAnsi="Cambria"/>
          <w:sz w:val="20"/>
          <w:szCs w:val="20"/>
        </w:rPr>
        <w:t xml:space="preserve">started in 2001 where there was, </w:t>
      </w:r>
      <w:r w:rsidR="00FE62A5">
        <w:rPr>
          <w:rFonts w:ascii="Cambria" w:hAnsi="Cambria"/>
          <w:sz w:val="20"/>
          <w:szCs w:val="20"/>
        </w:rPr>
        <w:t>in some cases, accepted leveling</w:t>
      </w:r>
      <w:r w:rsidR="00197FA5">
        <w:rPr>
          <w:rFonts w:ascii="Cambria" w:hAnsi="Cambria"/>
          <w:sz w:val="20"/>
          <w:szCs w:val="20"/>
        </w:rPr>
        <w:t xml:space="preserve"> in favor of the alleged victims</w:t>
      </w:r>
      <w:r w:rsidR="00D61A35">
        <w:rPr>
          <w:rFonts w:ascii="Cambria" w:hAnsi="Cambria"/>
          <w:sz w:val="20"/>
          <w:szCs w:val="20"/>
        </w:rPr>
        <w:t>,</w:t>
      </w:r>
      <w:r w:rsidR="00197FA5">
        <w:rPr>
          <w:rFonts w:ascii="Cambria" w:hAnsi="Cambria"/>
          <w:sz w:val="20"/>
          <w:szCs w:val="20"/>
        </w:rPr>
        <w:t xml:space="preserve"> were </w:t>
      </w:r>
      <w:r w:rsidR="00FE62A5">
        <w:rPr>
          <w:rFonts w:ascii="Cambria" w:hAnsi="Cambria"/>
          <w:sz w:val="20"/>
          <w:szCs w:val="20"/>
        </w:rPr>
        <w:t>nullified.</w:t>
      </w:r>
    </w:p>
    <w:p w:rsidR="00A53E0B" w:rsidRDefault="004F303B"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In s</w:t>
      </w:r>
      <w:r w:rsidR="00D61A35">
        <w:rPr>
          <w:rFonts w:ascii="Cambria" w:hAnsi="Cambria"/>
          <w:sz w:val="20"/>
          <w:szCs w:val="20"/>
        </w:rPr>
        <w:t>um, the petitioners claim: (a) t</w:t>
      </w:r>
      <w:r>
        <w:rPr>
          <w:rFonts w:ascii="Cambria" w:hAnsi="Cambria"/>
          <w:sz w:val="20"/>
          <w:szCs w:val="20"/>
        </w:rPr>
        <w:t xml:space="preserve">hat the alleged victims have been </w:t>
      </w:r>
      <w:r w:rsidR="00C01815">
        <w:rPr>
          <w:rFonts w:ascii="Cambria" w:hAnsi="Cambria"/>
          <w:sz w:val="20"/>
          <w:szCs w:val="20"/>
        </w:rPr>
        <w:t>violated their right to effective remedy and to</w:t>
      </w:r>
      <w:r w:rsidR="00E167CB">
        <w:rPr>
          <w:rFonts w:ascii="Cambria" w:hAnsi="Cambria"/>
          <w:sz w:val="20"/>
          <w:szCs w:val="20"/>
        </w:rPr>
        <w:t xml:space="preserve"> the p</w:t>
      </w:r>
      <w:r w:rsidR="00C01815">
        <w:rPr>
          <w:rFonts w:ascii="Cambria" w:hAnsi="Cambria"/>
          <w:sz w:val="20"/>
          <w:szCs w:val="20"/>
        </w:rPr>
        <w:t xml:space="preserve">rinciple of legality and </w:t>
      </w:r>
      <w:proofErr w:type="spellStart"/>
      <w:r w:rsidR="00C01815">
        <w:rPr>
          <w:rFonts w:ascii="Cambria" w:hAnsi="Cambria"/>
          <w:sz w:val="20"/>
          <w:szCs w:val="20"/>
        </w:rPr>
        <w:t xml:space="preserve">non </w:t>
      </w:r>
      <w:r w:rsidR="00E167CB">
        <w:rPr>
          <w:rFonts w:ascii="Cambria" w:hAnsi="Cambria"/>
          <w:sz w:val="20"/>
          <w:szCs w:val="20"/>
        </w:rPr>
        <w:t>retroactivity</w:t>
      </w:r>
      <w:proofErr w:type="spellEnd"/>
      <w:r w:rsidR="00E167CB">
        <w:rPr>
          <w:rFonts w:ascii="Cambria" w:hAnsi="Cambria"/>
          <w:sz w:val="20"/>
          <w:szCs w:val="20"/>
        </w:rPr>
        <w:t xml:space="preserve"> while preten</w:t>
      </w:r>
      <w:r w:rsidR="00D61A35">
        <w:rPr>
          <w:rFonts w:ascii="Cambria" w:hAnsi="Cambria"/>
          <w:sz w:val="20"/>
          <w:szCs w:val="20"/>
        </w:rPr>
        <w:t xml:space="preserve">ding to apply Legislative Decree </w:t>
      </w:r>
      <w:r w:rsidR="00E167CB">
        <w:rPr>
          <w:rFonts w:ascii="Cambria" w:hAnsi="Cambria"/>
          <w:sz w:val="20"/>
          <w:szCs w:val="20"/>
        </w:rPr>
        <w:t>No</w:t>
      </w:r>
      <w:r w:rsidR="00C01815">
        <w:rPr>
          <w:rFonts w:ascii="Cambria" w:hAnsi="Cambria"/>
          <w:sz w:val="20"/>
          <w:szCs w:val="20"/>
        </w:rPr>
        <w:t>.</w:t>
      </w:r>
      <w:r w:rsidR="00E167CB">
        <w:rPr>
          <w:rFonts w:ascii="Cambria" w:hAnsi="Cambria"/>
          <w:sz w:val="20"/>
          <w:szCs w:val="20"/>
        </w:rPr>
        <w:t xml:space="preserve"> 680</w:t>
      </w:r>
      <w:r w:rsidR="008561F1">
        <w:rPr>
          <w:rFonts w:ascii="Cambria" w:hAnsi="Cambria"/>
          <w:sz w:val="20"/>
          <w:szCs w:val="20"/>
        </w:rPr>
        <w:t xml:space="preserve"> inappropriately</w:t>
      </w:r>
      <w:r w:rsidR="00E167CB">
        <w:rPr>
          <w:rFonts w:ascii="Cambria" w:hAnsi="Cambria"/>
          <w:sz w:val="20"/>
          <w:szCs w:val="20"/>
        </w:rPr>
        <w:t xml:space="preserve">; (b) that the alleged victims acquired a property right </w:t>
      </w:r>
      <w:r w:rsidR="00EF421C">
        <w:rPr>
          <w:rFonts w:ascii="Cambria" w:hAnsi="Cambria"/>
          <w:sz w:val="20"/>
          <w:szCs w:val="20"/>
        </w:rPr>
        <w:t>on the proprietary effects of right to</w:t>
      </w:r>
      <w:r w:rsidR="00E167CB">
        <w:rPr>
          <w:rFonts w:ascii="Cambria" w:hAnsi="Cambria"/>
          <w:sz w:val="20"/>
          <w:szCs w:val="20"/>
        </w:rPr>
        <w:t xml:space="preserve"> p</w:t>
      </w:r>
      <w:r w:rsidR="00EF421C">
        <w:rPr>
          <w:rFonts w:ascii="Cambria" w:hAnsi="Cambria"/>
          <w:sz w:val="20"/>
          <w:szCs w:val="20"/>
        </w:rPr>
        <w:t>ension and that it was violated</w:t>
      </w:r>
      <w:r w:rsidR="00E167CB">
        <w:rPr>
          <w:rFonts w:ascii="Cambria" w:hAnsi="Cambria"/>
          <w:sz w:val="20"/>
          <w:szCs w:val="20"/>
        </w:rPr>
        <w:t xml:space="preserve">; (c) that </w:t>
      </w:r>
      <w:r w:rsidR="00EF421C">
        <w:rPr>
          <w:rFonts w:ascii="Cambria" w:hAnsi="Cambria"/>
          <w:sz w:val="20"/>
          <w:szCs w:val="20"/>
        </w:rPr>
        <w:t xml:space="preserve">the progressive and </w:t>
      </w:r>
      <w:proofErr w:type="spellStart"/>
      <w:r w:rsidR="00EF421C">
        <w:rPr>
          <w:rFonts w:ascii="Cambria" w:hAnsi="Cambria"/>
          <w:sz w:val="20"/>
          <w:szCs w:val="20"/>
        </w:rPr>
        <w:t>non regressive</w:t>
      </w:r>
      <w:proofErr w:type="spellEnd"/>
      <w:r w:rsidR="00EF421C">
        <w:rPr>
          <w:rFonts w:ascii="Cambria" w:hAnsi="Cambria"/>
          <w:sz w:val="20"/>
          <w:szCs w:val="20"/>
        </w:rPr>
        <w:t xml:space="preserve"> right to the social security of the alleged victims </w:t>
      </w:r>
      <w:r w:rsidR="00E167CB">
        <w:rPr>
          <w:rFonts w:ascii="Cambria" w:hAnsi="Cambria"/>
          <w:sz w:val="20"/>
          <w:szCs w:val="20"/>
        </w:rPr>
        <w:t xml:space="preserve">has not been considered; and (d) that the procedure has exceeded any reasonable deadline because to this date, Resolution 21 has not been executed, which constitutes </w:t>
      </w:r>
      <w:r w:rsidR="00E167CB" w:rsidRPr="00D61A35">
        <w:rPr>
          <w:rFonts w:ascii="Cambria" w:hAnsi="Cambria"/>
          <w:i/>
          <w:sz w:val="20"/>
          <w:szCs w:val="20"/>
        </w:rPr>
        <w:t>res judicata</w:t>
      </w:r>
      <w:r w:rsidR="00E167CB">
        <w:rPr>
          <w:rFonts w:ascii="Cambria" w:hAnsi="Cambria"/>
          <w:sz w:val="20"/>
          <w:szCs w:val="20"/>
        </w:rPr>
        <w:t>.</w:t>
      </w:r>
    </w:p>
    <w:p w:rsidR="008561F1" w:rsidRDefault="008561F1" w:rsidP="003C6ECB">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Furthermore, the petitioners allege that the practice of not being aware of the right to social security of thousands of pensioners in Peru and the denial of the State to comply with the judicial sentences of its own judges that order </w:t>
      </w:r>
      <w:r w:rsidR="00EF421C">
        <w:rPr>
          <w:rFonts w:ascii="Cambria" w:hAnsi="Cambria"/>
          <w:sz w:val="20"/>
          <w:szCs w:val="20"/>
        </w:rPr>
        <w:t>them to respect or restore</w:t>
      </w:r>
      <w:r>
        <w:rPr>
          <w:rFonts w:ascii="Cambria" w:hAnsi="Cambria"/>
          <w:sz w:val="20"/>
          <w:szCs w:val="20"/>
        </w:rPr>
        <w:t xml:space="preserve"> the rights of </w:t>
      </w:r>
      <w:r w:rsidR="00EF421C">
        <w:rPr>
          <w:rFonts w:ascii="Cambria" w:hAnsi="Cambria"/>
          <w:sz w:val="20"/>
          <w:szCs w:val="20"/>
        </w:rPr>
        <w:t xml:space="preserve">the </w:t>
      </w:r>
      <w:r>
        <w:rPr>
          <w:rFonts w:ascii="Cambria" w:hAnsi="Cambria"/>
          <w:sz w:val="20"/>
          <w:szCs w:val="20"/>
        </w:rPr>
        <w:t xml:space="preserve">retirees is outdated and constitutes a systemic pattern of violation to the rights of the retirees. </w:t>
      </w:r>
    </w:p>
    <w:p w:rsidR="007E6CD6" w:rsidRPr="007E6CD6" w:rsidRDefault="0065689C" w:rsidP="007E6CD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For its part, the State </w:t>
      </w:r>
      <w:r w:rsidR="00D160A5">
        <w:rPr>
          <w:rFonts w:ascii="Cambria" w:hAnsi="Cambria"/>
          <w:sz w:val="20"/>
          <w:szCs w:val="20"/>
        </w:rPr>
        <w:t>alleges lack of exhaustio</w:t>
      </w:r>
      <w:r>
        <w:rPr>
          <w:rFonts w:ascii="Cambria" w:hAnsi="Cambria"/>
          <w:sz w:val="20"/>
          <w:szCs w:val="20"/>
        </w:rPr>
        <w:t xml:space="preserve">n of </w:t>
      </w:r>
      <w:r w:rsidR="002D452C">
        <w:rPr>
          <w:rFonts w:ascii="Cambria" w:hAnsi="Cambria"/>
          <w:sz w:val="20"/>
          <w:szCs w:val="20"/>
        </w:rPr>
        <w:t>domestic</w:t>
      </w:r>
      <w:r w:rsidR="00D160A5">
        <w:rPr>
          <w:rFonts w:ascii="Cambria" w:hAnsi="Cambria"/>
          <w:sz w:val="20"/>
          <w:szCs w:val="20"/>
        </w:rPr>
        <w:t xml:space="preserve"> remedies.</w:t>
      </w:r>
      <w:r>
        <w:rPr>
          <w:rFonts w:ascii="Cambria" w:hAnsi="Cambria"/>
          <w:sz w:val="20"/>
          <w:szCs w:val="20"/>
        </w:rPr>
        <w:t xml:space="preserve"> It alleges that the pe</w:t>
      </w:r>
      <w:r w:rsidR="00AE03B3">
        <w:rPr>
          <w:rFonts w:ascii="Cambria" w:hAnsi="Cambria"/>
          <w:sz w:val="20"/>
          <w:szCs w:val="20"/>
        </w:rPr>
        <w:t xml:space="preserve">tition refers to the process of protection filed by the petitioners, which culminated and constituted </w:t>
      </w:r>
      <w:r w:rsidR="00AE03B3" w:rsidRPr="00C54DF8">
        <w:rPr>
          <w:rFonts w:ascii="Cambria" w:hAnsi="Cambria"/>
          <w:i/>
          <w:sz w:val="20"/>
          <w:szCs w:val="20"/>
        </w:rPr>
        <w:t>res judicata</w:t>
      </w:r>
      <w:r w:rsidR="00AE03B3">
        <w:rPr>
          <w:rFonts w:ascii="Cambria" w:hAnsi="Cambria"/>
          <w:sz w:val="20"/>
          <w:szCs w:val="20"/>
        </w:rPr>
        <w:t xml:space="preserve"> with the expedition of Resolution 21 from January 3, 1996. And that afterwards, a procedure of execution has been continued; which has not culminated with a final decision. It indicates that the Commission is not an organization to solve disagreements regarding alleged violations that have not been established by the national courts or that are on the outlook for resolution. Besides, it states that the diverse procedures of execution that have been set out </w:t>
      </w:r>
      <w:r w:rsidR="007B618A">
        <w:rPr>
          <w:rFonts w:ascii="Cambria" w:hAnsi="Cambria"/>
          <w:sz w:val="20"/>
          <w:szCs w:val="20"/>
        </w:rPr>
        <w:t>by the alleged victims</w:t>
      </w:r>
      <w:r w:rsidR="00B670B7">
        <w:rPr>
          <w:rFonts w:ascii="Cambria" w:hAnsi="Cambria"/>
          <w:sz w:val="20"/>
          <w:szCs w:val="20"/>
        </w:rPr>
        <w:t>,</w:t>
      </w:r>
      <w:r w:rsidR="007B618A">
        <w:rPr>
          <w:rFonts w:ascii="Cambria" w:hAnsi="Cambria"/>
          <w:sz w:val="20"/>
          <w:szCs w:val="20"/>
        </w:rPr>
        <w:t xml:space="preserve"> give the idea that they only want Resolution 21 to be executed under their own terms.</w:t>
      </w:r>
    </w:p>
    <w:p w:rsidR="008D3761" w:rsidRPr="008D3761" w:rsidRDefault="00D160A5" w:rsidP="008D3761">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Further, the State affirm</w:t>
      </w:r>
      <w:r w:rsidR="007B618A">
        <w:rPr>
          <w:rFonts w:ascii="Cambria" w:hAnsi="Cambria"/>
          <w:sz w:val="20"/>
          <w:szCs w:val="20"/>
        </w:rPr>
        <w:t>s that the execution of the sentence of protection would not resolve the matter of leveli</w:t>
      </w:r>
      <w:r>
        <w:rPr>
          <w:rFonts w:ascii="Cambria" w:hAnsi="Cambria"/>
          <w:sz w:val="20"/>
          <w:szCs w:val="20"/>
        </w:rPr>
        <w:t xml:space="preserve">ng of the pension, only the inapplicability </w:t>
      </w:r>
      <w:r w:rsidR="007B618A">
        <w:rPr>
          <w:rFonts w:ascii="Cambria" w:hAnsi="Cambria"/>
          <w:sz w:val="20"/>
          <w:szCs w:val="20"/>
        </w:rPr>
        <w:t>of article 6, incise c</w:t>
      </w:r>
      <w:r>
        <w:rPr>
          <w:rFonts w:ascii="Cambria" w:hAnsi="Cambria"/>
          <w:sz w:val="20"/>
          <w:szCs w:val="20"/>
        </w:rPr>
        <w:t>) and the second transitory provision</w:t>
      </w:r>
      <w:r w:rsidR="007B618A">
        <w:rPr>
          <w:rFonts w:ascii="Cambria" w:hAnsi="Cambria"/>
          <w:sz w:val="20"/>
          <w:szCs w:val="20"/>
        </w:rPr>
        <w:t xml:space="preserve"> of Decree 680, and that the</w:t>
      </w:r>
      <w:r>
        <w:rPr>
          <w:rFonts w:ascii="Cambria" w:hAnsi="Cambria"/>
          <w:sz w:val="20"/>
          <w:szCs w:val="20"/>
        </w:rPr>
        <w:t xml:space="preserve"> constitutional</w:t>
      </w:r>
      <w:r w:rsidR="007B618A">
        <w:rPr>
          <w:rFonts w:ascii="Cambria" w:hAnsi="Cambria"/>
          <w:sz w:val="20"/>
          <w:szCs w:val="20"/>
        </w:rPr>
        <w:t xml:space="preserve"> protection has the effect to retract things to the previous status, n</w:t>
      </w:r>
      <w:r w:rsidR="00BF01B5">
        <w:rPr>
          <w:rFonts w:ascii="Cambria" w:hAnsi="Cambria"/>
          <w:sz w:val="20"/>
          <w:szCs w:val="20"/>
        </w:rPr>
        <w:t xml:space="preserve">ot the one of making possible the installments and the leveling </w:t>
      </w:r>
      <w:r>
        <w:rPr>
          <w:rFonts w:ascii="Cambria" w:hAnsi="Cambria"/>
          <w:sz w:val="20"/>
          <w:szCs w:val="20"/>
        </w:rPr>
        <w:t xml:space="preserve">in </w:t>
      </w:r>
      <w:r w:rsidR="00BF01B5">
        <w:rPr>
          <w:rFonts w:ascii="Cambria" w:hAnsi="Cambria"/>
          <w:sz w:val="20"/>
          <w:szCs w:val="20"/>
        </w:rPr>
        <w:t xml:space="preserve">a way that is opposite to the law. </w:t>
      </w:r>
      <w:r w:rsidR="00C54DF8">
        <w:rPr>
          <w:rFonts w:ascii="Cambria" w:hAnsi="Cambria"/>
          <w:sz w:val="20"/>
          <w:szCs w:val="20"/>
        </w:rPr>
        <w:t>It argues that</w:t>
      </w:r>
      <w:r w:rsidR="00B670B7">
        <w:rPr>
          <w:rFonts w:ascii="Cambria" w:hAnsi="Cambria"/>
          <w:sz w:val="20"/>
          <w:szCs w:val="20"/>
        </w:rPr>
        <w:t>, instead,</w:t>
      </w:r>
      <w:r w:rsidR="00C54DF8">
        <w:rPr>
          <w:rFonts w:ascii="Cambria" w:hAnsi="Cambria"/>
          <w:sz w:val="20"/>
          <w:szCs w:val="20"/>
        </w:rPr>
        <w:t xml:space="preserve"> it was </w:t>
      </w:r>
      <w:r w:rsidR="00B670B7">
        <w:rPr>
          <w:rFonts w:ascii="Cambria" w:hAnsi="Cambria"/>
          <w:sz w:val="20"/>
          <w:szCs w:val="20"/>
        </w:rPr>
        <w:t>suitable</w:t>
      </w:r>
      <w:r w:rsidR="00C54DF8">
        <w:rPr>
          <w:rFonts w:ascii="Cambria" w:hAnsi="Cambria"/>
          <w:sz w:val="20"/>
          <w:szCs w:val="20"/>
        </w:rPr>
        <w:t xml:space="preserve"> to</w:t>
      </w:r>
      <w:r w:rsidR="00D3444F">
        <w:rPr>
          <w:rFonts w:ascii="Cambria" w:hAnsi="Cambria"/>
          <w:sz w:val="20"/>
          <w:szCs w:val="20"/>
        </w:rPr>
        <w:t xml:space="preserve"> set out a contentious administrative lawsuit on which it would be possible to debate and prove its pretention, which was not done by the petitioners.</w:t>
      </w:r>
    </w:p>
    <w:p w:rsidR="00E92D2C" w:rsidRDefault="00C664D7" w:rsidP="00C664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_____________________________</w:t>
      </w:r>
      <w:r w:rsidR="00971FEA">
        <w:rPr>
          <w:rFonts w:ascii="Cambria" w:hAnsi="Cambria"/>
          <w:sz w:val="20"/>
          <w:szCs w:val="20"/>
        </w:rPr>
        <w:t>________</w:t>
      </w:r>
    </w:p>
    <w:p w:rsidR="00C664D7" w:rsidRDefault="00C664D7" w:rsidP="00C664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8D3761">
        <w:rPr>
          <w:rFonts w:ascii="Cambria" w:hAnsi="Cambria"/>
          <w:sz w:val="16"/>
          <w:szCs w:val="16"/>
        </w:rPr>
        <w:t>[</w:t>
      </w:r>
      <w:r w:rsidR="00E92D2C">
        <w:rPr>
          <w:rFonts w:ascii="Cambria" w:hAnsi="Cambria"/>
          <w:sz w:val="16"/>
          <w:szCs w:val="16"/>
        </w:rPr>
        <w:t>...c</w:t>
      </w:r>
      <w:r w:rsidRPr="008D3761">
        <w:rPr>
          <w:rFonts w:ascii="Cambria" w:hAnsi="Cambria"/>
          <w:sz w:val="16"/>
          <w:szCs w:val="16"/>
        </w:rPr>
        <w:t>ontinues]</w:t>
      </w:r>
      <w:r w:rsidR="00E92D2C">
        <w:rPr>
          <w:rFonts w:ascii="Cambria" w:hAnsi="Cambria"/>
          <w:sz w:val="20"/>
          <w:szCs w:val="20"/>
        </w:rPr>
        <w:t xml:space="preserve"> </w:t>
      </w:r>
      <w:r w:rsidR="00E92D2C">
        <w:rPr>
          <w:rFonts w:ascii="Cambria" w:hAnsi="Cambria"/>
          <w:sz w:val="16"/>
          <w:szCs w:val="16"/>
        </w:rPr>
        <w:t>e</w:t>
      </w:r>
      <w:r w:rsidR="0082686B">
        <w:rPr>
          <w:rFonts w:ascii="Cambria" w:hAnsi="Cambria"/>
          <w:sz w:val="16"/>
          <w:szCs w:val="16"/>
        </w:rPr>
        <w:t xml:space="preserve">xecution of sentence on October 4, 1999, in </w:t>
      </w:r>
      <w:r w:rsidR="00507749">
        <w:rPr>
          <w:rFonts w:ascii="Cambria" w:hAnsi="Cambria"/>
          <w:sz w:val="16"/>
          <w:szCs w:val="16"/>
        </w:rPr>
        <w:t>this</w:t>
      </w:r>
      <w:r w:rsidR="0082686B">
        <w:rPr>
          <w:rFonts w:ascii="Cambria" w:hAnsi="Cambria"/>
          <w:sz w:val="16"/>
          <w:szCs w:val="16"/>
        </w:rPr>
        <w:t xml:space="preserve"> case the claim was declared </w:t>
      </w:r>
      <w:r w:rsidR="00507749">
        <w:rPr>
          <w:rFonts w:ascii="Cambria" w:hAnsi="Cambria"/>
          <w:sz w:val="16"/>
          <w:szCs w:val="16"/>
        </w:rPr>
        <w:t>groundless</w:t>
      </w:r>
      <w:r w:rsidR="0082686B">
        <w:rPr>
          <w:rFonts w:ascii="Cambria" w:hAnsi="Cambria"/>
          <w:sz w:val="16"/>
          <w:szCs w:val="16"/>
        </w:rPr>
        <w:t xml:space="preserve"> in all </w:t>
      </w:r>
      <w:r w:rsidR="00507749">
        <w:rPr>
          <w:rFonts w:ascii="Cambria" w:hAnsi="Cambria"/>
          <w:sz w:val="16"/>
          <w:szCs w:val="16"/>
        </w:rPr>
        <w:t>details</w:t>
      </w:r>
      <w:r>
        <w:rPr>
          <w:rFonts w:ascii="Cambria" w:hAnsi="Cambria"/>
          <w:sz w:val="16"/>
          <w:szCs w:val="16"/>
        </w:rPr>
        <w:t xml:space="preserve"> by TJEEC. They appealed before the Civil Court of the same court, but it was declared inadmissible. b) On July 24, 2001, four alleged victims filed a claim of execution. They received a positive resolution and during thr</w:t>
      </w:r>
      <w:r w:rsidR="00507749">
        <w:rPr>
          <w:rFonts w:ascii="Cambria" w:hAnsi="Cambria"/>
          <w:sz w:val="16"/>
          <w:szCs w:val="16"/>
        </w:rPr>
        <w:t>ee years, they received leveled pensions before the nullity</w:t>
      </w:r>
      <w:r w:rsidR="00AA6DC6">
        <w:rPr>
          <w:rFonts w:ascii="Cambria" w:hAnsi="Cambria"/>
          <w:sz w:val="16"/>
          <w:szCs w:val="16"/>
        </w:rPr>
        <w:t>. c</w:t>
      </w:r>
      <w:r>
        <w:rPr>
          <w:rFonts w:ascii="Cambria" w:hAnsi="Cambria"/>
          <w:sz w:val="16"/>
          <w:szCs w:val="16"/>
        </w:rPr>
        <w:t xml:space="preserve">) Two alleged victims filed it on August 24, 2001. The expert </w:t>
      </w:r>
      <w:r w:rsidR="00507749">
        <w:rPr>
          <w:rFonts w:ascii="Cambria" w:hAnsi="Cambria"/>
          <w:sz w:val="16"/>
          <w:szCs w:val="16"/>
        </w:rPr>
        <w:t>evidence</w:t>
      </w:r>
      <w:r w:rsidR="0065282D">
        <w:rPr>
          <w:rFonts w:ascii="Cambria" w:hAnsi="Cambria"/>
          <w:sz w:val="16"/>
          <w:szCs w:val="16"/>
        </w:rPr>
        <w:t xml:space="preserve"> of this case was</w:t>
      </w:r>
      <w:r>
        <w:rPr>
          <w:rFonts w:ascii="Cambria" w:hAnsi="Cambria"/>
          <w:sz w:val="16"/>
          <w:szCs w:val="16"/>
        </w:rPr>
        <w:t xml:space="preserve"> approved by the Second Civil Court of Callao until September 3, 2009. The procedure was not over yet when Resolution No. 190 declared</w:t>
      </w:r>
      <w:r w:rsidR="00911A2E">
        <w:rPr>
          <w:rFonts w:ascii="Cambria" w:hAnsi="Cambria"/>
          <w:sz w:val="16"/>
          <w:szCs w:val="16"/>
        </w:rPr>
        <w:t xml:space="preserve"> the</w:t>
      </w:r>
      <w:r>
        <w:rPr>
          <w:rFonts w:ascii="Cambria" w:hAnsi="Cambria"/>
          <w:sz w:val="16"/>
          <w:szCs w:val="16"/>
        </w:rPr>
        <w:t xml:space="preserve"> null</w:t>
      </w:r>
      <w:r w:rsidR="00911A2E">
        <w:rPr>
          <w:rFonts w:ascii="Cambria" w:hAnsi="Cambria"/>
          <w:sz w:val="16"/>
          <w:szCs w:val="16"/>
        </w:rPr>
        <w:t>ity</w:t>
      </w:r>
      <w:r>
        <w:rPr>
          <w:rFonts w:ascii="Cambria" w:hAnsi="Cambria"/>
          <w:sz w:val="16"/>
          <w:szCs w:val="16"/>
        </w:rPr>
        <w:t xml:space="preserve">. </w:t>
      </w:r>
      <w:r w:rsidR="006D3ACD">
        <w:rPr>
          <w:rFonts w:ascii="Cambria" w:hAnsi="Cambria"/>
          <w:sz w:val="16"/>
          <w:szCs w:val="16"/>
        </w:rPr>
        <w:t>d</w:t>
      </w:r>
      <w:r>
        <w:rPr>
          <w:rFonts w:ascii="Cambria" w:hAnsi="Cambria"/>
          <w:sz w:val="16"/>
          <w:szCs w:val="16"/>
        </w:rPr>
        <w:t>) An alleged victim started the process on September 10, 2001. TJECC dictated resolution in favor on July 4, 2011 and required SUNAT</w:t>
      </w:r>
      <w:r w:rsidR="00507749">
        <w:rPr>
          <w:rFonts w:ascii="Cambria" w:hAnsi="Cambria"/>
          <w:sz w:val="16"/>
          <w:szCs w:val="16"/>
        </w:rPr>
        <w:t xml:space="preserve"> the leveling of payment of accru</w:t>
      </w:r>
      <w:r>
        <w:rPr>
          <w:rFonts w:ascii="Cambria" w:hAnsi="Cambria"/>
          <w:sz w:val="16"/>
          <w:szCs w:val="16"/>
        </w:rPr>
        <w:t>ed pensions. e) An</w:t>
      </w:r>
      <w:r w:rsidR="00507749">
        <w:rPr>
          <w:rFonts w:ascii="Cambria" w:hAnsi="Cambria"/>
          <w:sz w:val="16"/>
          <w:szCs w:val="16"/>
        </w:rPr>
        <w:t>o</w:t>
      </w:r>
      <w:r>
        <w:rPr>
          <w:rFonts w:ascii="Cambria" w:hAnsi="Cambria"/>
          <w:sz w:val="16"/>
          <w:szCs w:val="16"/>
        </w:rPr>
        <w:t xml:space="preserve">ther alleged victim filed a claim </w:t>
      </w:r>
      <w:r w:rsidR="00680D94">
        <w:rPr>
          <w:rFonts w:ascii="Cambria" w:hAnsi="Cambria"/>
          <w:sz w:val="16"/>
          <w:szCs w:val="16"/>
        </w:rPr>
        <w:t>on October 31, 2001, which had a resolution in favor of leveling on August 12, 2009. Additionally, a contentious administrative procedure had started before</w:t>
      </w:r>
      <w:r w:rsidR="00C65291">
        <w:rPr>
          <w:rFonts w:ascii="Cambria" w:hAnsi="Cambria"/>
          <w:sz w:val="16"/>
          <w:szCs w:val="16"/>
        </w:rPr>
        <w:t xml:space="preserve"> the</w:t>
      </w:r>
      <w:r w:rsidR="00680D94">
        <w:rPr>
          <w:rFonts w:ascii="Cambria" w:hAnsi="Cambria"/>
          <w:sz w:val="16"/>
          <w:szCs w:val="16"/>
        </w:rPr>
        <w:t xml:space="preserve"> </w:t>
      </w:r>
      <w:r w:rsidR="00507749">
        <w:rPr>
          <w:rFonts w:ascii="Cambria" w:hAnsi="Cambria"/>
          <w:sz w:val="16"/>
          <w:szCs w:val="16"/>
        </w:rPr>
        <w:t>Fifth Labor Court</w:t>
      </w:r>
      <w:r w:rsidR="00680D94">
        <w:rPr>
          <w:rFonts w:ascii="Cambria" w:hAnsi="Cambria"/>
          <w:sz w:val="16"/>
          <w:szCs w:val="16"/>
        </w:rPr>
        <w:t xml:space="preserve"> of Callao</w:t>
      </w:r>
      <w:r w:rsidR="006D3ACD">
        <w:rPr>
          <w:rFonts w:ascii="Cambria" w:hAnsi="Cambria"/>
          <w:sz w:val="16"/>
          <w:szCs w:val="16"/>
        </w:rPr>
        <w:t xml:space="preserve"> to request SUNAT the payment of accrued pensions. This court referred the procedure to the Second Contentious Administrative Court of the Superior Court of Justice of Callao</w:t>
      </w:r>
      <w:r w:rsidR="00680D94">
        <w:rPr>
          <w:rFonts w:ascii="Cambria" w:hAnsi="Cambria"/>
          <w:sz w:val="16"/>
          <w:szCs w:val="16"/>
        </w:rPr>
        <w:t>, but this same court returned it to TJECC whe</w:t>
      </w:r>
      <w:r w:rsidR="00911A2E">
        <w:rPr>
          <w:rFonts w:ascii="Cambria" w:hAnsi="Cambria"/>
          <w:sz w:val="16"/>
          <w:szCs w:val="16"/>
        </w:rPr>
        <w:t>n it was declared the nullity through Resolution 190. f</w:t>
      </w:r>
      <w:r w:rsidR="00680D94">
        <w:rPr>
          <w:rFonts w:ascii="Cambria" w:hAnsi="Cambria"/>
          <w:sz w:val="16"/>
          <w:szCs w:val="16"/>
        </w:rPr>
        <w:t>) In this case, the alleged victim started the claim on November 27, 2001, and received resolution in favor to level ou</w:t>
      </w:r>
      <w:r w:rsidR="006D3ACD">
        <w:rPr>
          <w:rFonts w:ascii="Cambria" w:hAnsi="Cambria"/>
          <w:sz w:val="16"/>
          <w:szCs w:val="16"/>
        </w:rPr>
        <w:t>t and pay pensions on May 3, 201</w:t>
      </w:r>
      <w:r w:rsidR="00680D94">
        <w:rPr>
          <w:rFonts w:ascii="Cambria" w:hAnsi="Cambria"/>
          <w:sz w:val="16"/>
          <w:szCs w:val="16"/>
        </w:rPr>
        <w:t xml:space="preserve">0. </w:t>
      </w:r>
      <w:r w:rsidR="006D3ACD">
        <w:rPr>
          <w:rFonts w:ascii="Cambria" w:hAnsi="Cambria"/>
          <w:sz w:val="16"/>
          <w:szCs w:val="16"/>
        </w:rPr>
        <w:t>g</w:t>
      </w:r>
      <w:r w:rsidR="00680D94">
        <w:rPr>
          <w:rFonts w:ascii="Cambria" w:hAnsi="Cambria"/>
          <w:sz w:val="16"/>
          <w:szCs w:val="16"/>
        </w:rPr>
        <w:t xml:space="preserve">) The alleged victim filed the claim on December 14, 2001 and </w:t>
      </w:r>
      <w:r w:rsidR="00911A2E">
        <w:rPr>
          <w:rFonts w:ascii="Cambria" w:hAnsi="Cambria"/>
          <w:sz w:val="16"/>
          <w:szCs w:val="16"/>
        </w:rPr>
        <w:t xml:space="preserve">it </w:t>
      </w:r>
      <w:r w:rsidR="00680D94">
        <w:rPr>
          <w:rFonts w:ascii="Cambria" w:hAnsi="Cambria"/>
          <w:sz w:val="16"/>
          <w:szCs w:val="16"/>
        </w:rPr>
        <w:t xml:space="preserve">had not been solved yet </w:t>
      </w:r>
      <w:r w:rsidR="00911A2E">
        <w:rPr>
          <w:rFonts w:ascii="Cambria" w:hAnsi="Cambria"/>
          <w:sz w:val="16"/>
          <w:szCs w:val="16"/>
        </w:rPr>
        <w:t>when the nullity was declared</w:t>
      </w:r>
      <w:r w:rsidR="00680D94">
        <w:rPr>
          <w:rFonts w:ascii="Cambria" w:hAnsi="Cambria"/>
          <w:sz w:val="16"/>
          <w:szCs w:val="16"/>
        </w:rPr>
        <w:t xml:space="preserve">. h) On December 17, 2001, the alleged victim started the claim, </w:t>
      </w:r>
      <w:r w:rsidR="006D3ACD">
        <w:rPr>
          <w:rFonts w:ascii="Cambria" w:hAnsi="Cambria"/>
          <w:sz w:val="16"/>
          <w:szCs w:val="16"/>
        </w:rPr>
        <w:t>but</w:t>
      </w:r>
      <w:r w:rsidR="00680D94">
        <w:rPr>
          <w:rFonts w:ascii="Cambria" w:hAnsi="Cambria"/>
          <w:sz w:val="16"/>
          <w:szCs w:val="16"/>
        </w:rPr>
        <w:t xml:space="preserve"> he died</w:t>
      </w:r>
      <w:r w:rsidR="006D3ACD">
        <w:rPr>
          <w:rFonts w:ascii="Cambria" w:hAnsi="Cambria"/>
          <w:sz w:val="16"/>
          <w:szCs w:val="16"/>
        </w:rPr>
        <w:t xml:space="preserve"> during the procedure</w:t>
      </w:r>
      <w:r w:rsidR="00680D94">
        <w:rPr>
          <w:rFonts w:ascii="Cambria" w:hAnsi="Cambria"/>
          <w:sz w:val="16"/>
          <w:szCs w:val="16"/>
        </w:rPr>
        <w:t xml:space="preserve"> and his wife declared herself as the procedural successor</w:t>
      </w:r>
      <w:r w:rsidR="006D3ACD">
        <w:rPr>
          <w:rFonts w:ascii="Cambria" w:hAnsi="Cambria"/>
          <w:sz w:val="16"/>
          <w:szCs w:val="16"/>
        </w:rPr>
        <w:t>, who appealed for the expert evidence that TJECC had carried out</w:t>
      </w:r>
      <w:r w:rsidR="007E6CD6">
        <w:rPr>
          <w:rFonts w:ascii="Cambria" w:hAnsi="Cambria"/>
          <w:sz w:val="16"/>
          <w:szCs w:val="16"/>
        </w:rPr>
        <w:t xml:space="preserve">, the procedure continued without resolution until it was declared null through Resolution 190. </w:t>
      </w:r>
      <w:proofErr w:type="spellStart"/>
      <w:r w:rsidR="007E6CD6">
        <w:rPr>
          <w:rFonts w:ascii="Cambria" w:hAnsi="Cambria"/>
          <w:sz w:val="16"/>
          <w:szCs w:val="16"/>
        </w:rPr>
        <w:t>i</w:t>
      </w:r>
      <w:proofErr w:type="spellEnd"/>
      <w:r w:rsidR="007E6CD6">
        <w:rPr>
          <w:rFonts w:ascii="Cambria" w:hAnsi="Cambria"/>
          <w:sz w:val="16"/>
          <w:szCs w:val="16"/>
        </w:rPr>
        <w:t>) In this case, TJECC decided that the remuneration the alleged victim would have the right to</w:t>
      </w:r>
      <w:r w:rsidR="006D3ACD">
        <w:rPr>
          <w:rFonts w:ascii="Cambria" w:hAnsi="Cambria"/>
          <w:sz w:val="16"/>
          <w:szCs w:val="16"/>
        </w:rPr>
        <w:t xml:space="preserve"> receive</w:t>
      </w:r>
      <w:r w:rsidR="007E6CD6">
        <w:rPr>
          <w:rFonts w:ascii="Cambria" w:hAnsi="Cambria"/>
          <w:sz w:val="16"/>
          <w:szCs w:val="16"/>
        </w:rPr>
        <w:t xml:space="preserve"> would not include a differential remuneration,</w:t>
      </w:r>
      <w:r w:rsidR="00E92D2C">
        <w:rPr>
          <w:rFonts w:ascii="Cambria" w:hAnsi="Cambria"/>
          <w:sz w:val="16"/>
          <w:szCs w:val="16"/>
        </w:rPr>
        <w:t xml:space="preserve"> </w:t>
      </w:r>
      <w:r w:rsidR="007E6CD6">
        <w:rPr>
          <w:rFonts w:ascii="Cambria" w:hAnsi="Cambria"/>
          <w:sz w:val="16"/>
          <w:szCs w:val="16"/>
        </w:rPr>
        <w:t>which was appealed before the First Civil Court of Call</w:t>
      </w:r>
      <w:r w:rsidR="00C65291">
        <w:rPr>
          <w:rFonts w:ascii="Cambria" w:hAnsi="Cambria"/>
          <w:sz w:val="16"/>
          <w:szCs w:val="16"/>
        </w:rPr>
        <w:t>ao by the alleged victim. Said c</w:t>
      </w:r>
      <w:r w:rsidR="007E6CD6">
        <w:rPr>
          <w:rFonts w:ascii="Cambria" w:hAnsi="Cambria"/>
          <w:sz w:val="16"/>
          <w:szCs w:val="16"/>
        </w:rPr>
        <w:t xml:space="preserve">ourt gave a favorable resolution for the alleged victim on June 4, 2007 </w:t>
      </w:r>
    </w:p>
    <w:p w:rsidR="00C664D7" w:rsidRDefault="007E6CD6" w:rsidP="00C664D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lastRenderedPageBreak/>
        <w:t xml:space="preserve">In such a way that they did not activate the suitable via for this case. The State also asserts that there is not configuration of violation of alleged rights </w:t>
      </w:r>
      <w:r w:rsidR="002D452C">
        <w:rPr>
          <w:rFonts w:ascii="Cambria" w:hAnsi="Cambria"/>
          <w:sz w:val="20"/>
          <w:szCs w:val="20"/>
        </w:rPr>
        <w:t>based on</w:t>
      </w:r>
      <w:r>
        <w:rPr>
          <w:rFonts w:ascii="Cambria" w:hAnsi="Cambria"/>
          <w:sz w:val="20"/>
          <w:szCs w:val="20"/>
        </w:rPr>
        <w:t xml:space="preserve"> the facts that are narrated in the petition and requests that such petition be inadmissible.</w:t>
      </w:r>
    </w:p>
    <w:p w:rsidR="00A53E0B" w:rsidRPr="00A53E0B" w:rsidRDefault="00A53E0B" w:rsidP="00A53E0B">
      <w:pPr>
        <w:pStyle w:val="ListParagraph"/>
        <w:spacing w:before="240" w:after="240"/>
        <w:jc w:val="both"/>
        <w:rPr>
          <w:sz w:val="20"/>
          <w:szCs w:val="20"/>
        </w:rPr>
      </w:pPr>
      <w:r w:rsidRPr="00A53E0B">
        <w:rPr>
          <w:rFonts w:asciiTheme="majorHAnsi" w:hAnsiTheme="majorHAnsi"/>
          <w:b/>
          <w:bCs/>
          <w:sz w:val="20"/>
          <w:szCs w:val="20"/>
        </w:rPr>
        <w:t>VI.</w:t>
      </w:r>
      <w:r w:rsidRPr="00A53E0B">
        <w:rPr>
          <w:rFonts w:asciiTheme="majorHAnsi" w:hAnsiTheme="majorHAnsi"/>
          <w:b/>
          <w:bCs/>
          <w:sz w:val="20"/>
          <w:szCs w:val="20"/>
        </w:rPr>
        <w:tab/>
        <w:t xml:space="preserve">ANALYSIS OF </w:t>
      </w:r>
      <w:r w:rsidRPr="00A53E0B">
        <w:rPr>
          <w:rFonts w:asciiTheme="majorHAnsi" w:hAnsiTheme="majorHAnsi"/>
          <w:b/>
          <w:sz w:val="20"/>
          <w:szCs w:val="20"/>
        </w:rPr>
        <w:t>EXHAUSTION OF DOMESTIC REMEDIES AND TIMELINESS OF THE PETITIO</w:t>
      </w:r>
    </w:p>
    <w:p w:rsidR="00A53E0B" w:rsidRDefault="00B62151" w:rsidP="00B6215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The petitioners allege that there has been unjustified delay </w:t>
      </w:r>
      <w:r w:rsidR="00AE49EC">
        <w:rPr>
          <w:sz w:val="20"/>
          <w:szCs w:val="20"/>
        </w:rPr>
        <w:t>o</w:t>
      </w:r>
      <w:r>
        <w:rPr>
          <w:sz w:val="20"/>
          <w:szCs w:val="20"/>
        </w:rPr>
        <w:t>n the execution of Resolution 21</w:t>
      </w:r>
      <w:r w:rsidR="00AE49EC">
        <w:rPr>
          <w:sz w:val="20"/>
          <w:szCs w:val="20"/>
        </w:rPr>
        <w:t xml:space="preserve"> from January 3, 1996, </w:t>
      </w:r>
      <w:r w:rsidR="004353BC">
        <w:rPr>
          <w:sz w:val="20"/>
          <w:szCs w:val="20"/>
        </w:rPr>
        <w:t>such</w:t>
      </w:r>
      <w:r w:rsidR="00AE49EC">
        <w:rPr>
          <w:sz w:val="20"/>
          <w:szCs w:val="20"/>
        </w:rPr>
        <w:t xml:space="preserve"> procedure was culminated and was declared as </w:t>
      </w:r>
      <w:r w:rsidR="00AE49EC" w:rsidRPr="004353BC">
        <w:rPr>
          <w:i/>
          <w:sz w:val="20"/>
          <w:szCs w:val="20"/>
        </w:rPr>
        <w:t>res judicata</w:t>
      </w:r>
      <w:r w:rsidR="00AE49EC">
        <w:rPr>
          <w:sz w:val="20"/>
          <w:szCs w:val="20"/>
        </w:rPr>
        <w:t xml:space="preserve"> by the Social and Constitutional Court of the Supreme Court of Justice through sentence of February 27, 1996. To this day, it has not been complied such decision of protection that </w:t>
      </w:r>
      <w:r w:rsidR="002D452C">
        <w:rPr>
          <w:sz w:val="20"/>
          <w:szCs w:val="20"/>
        </w:rPr>
        <w:t>recognized the rights as retirees</w:t>
      </w:r>
      <w:r w:rsidR="00AE49EC">
        <w:rPr>
          <w:sz w:val="20"/>
          <w:szCs w:val="20"/>
        </w:rPr>
        <w:t xml:space="preserve"> and pensioners of the alleged victims. In this regard, the State, in</w:t>
      </w:r>
      <w:r w:rsidR="002D452C">
        <w:rPr>
          <w:sz w:val="20"/>
          <w:szCs w:val="20"/>
        </w:rPr>
        <w:t>stead of disputing this fact,</w:t>
      </w:r>
      <w:r w:rsidR="00AE49EC">
        <w:rPr>
          <w:sz w:val="20"/>
          <w:szCs w:val="20"/>
        </w:rPr>
        <w:t xml:space="preserve"> supports its plea of lack of exhaustion of </w:t>
      </w:r>
      <w:r w:rsidR="002D452C">
        <w:rPr>
          <w:sz w:val="20"/>
          <w:szCs w:val="20"/>
        </w:rPr>
        <w:t>domestic remedies</w:t>
      </w:r>
      <w:r w:rsidR="00C35964">
        <w:rPr>
          <w:sz w:val="20"/>
          <w:szCs w:val="20"/>
        </w:rPr>
        <w:t xml:space="preserve"> because it recognizes that a final decision in the process of execution of that Resolution 21 is still pending.</w:t>
      </w:r>
    </w:p>
    <w:p w:rsidR="00C35964" w:rsidRDefault="00C35964" w:rsidP="00B62151">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In accordance with these considerations, the Commission observes, in first place, that the alleged victims activated the suitable legal via to enforce their rights, being </w:t>
      </w:r>
      <w:r w:rsidR="002D452C">
        <w:rPr>
          <w:sz w:val="20"/>
          <w:szCs w:val="20"/>
        </w:rPr>
        <w:t>this</w:t>
      </w:r>
      <w:r>
        <w:rPr>
          <w:sz w:val="20"/>
          <w:szCs w:val="20"/>
        </w:rPr>
        <w:t xml:space="preserve"> action of </w:t>
      </w:r>
      <w:r w:rsidR="002D452C">
        <w:rPr>
          <w:sz w:val="20"/>
          <w:szCs w:val="20"/>
        </w:rPr>
        <w:t>protection, which has not been substantiated</w:t>
      </w:r>
      <w:r>
        <w:rPr>
          <w:sz w:val="20"/>
          <w:szCs w:val="20"/>
        </w:rPr>
        <w:t xml:space="preserve"> by the State and that, in fact, started to have verifiable effects on the judicial actions that TJEEC took afterwards. And then, as it emerges clearly from the </w:t>
      </w:r>
      <w:proofErr w:type="spellStart"/>
      <w:r>
        <w:rPr>
          <w:sz w:val="20"/>
          <w:szCs w:val="20"/>
        </w:rPr>
        <w:t>self argumentation</w:t>
      </w:r>
      <w:proofErr w:type="spellEnd"/>
      <w:r>
        <w:rPr>
          <w:sz w:val="20"/>
          <w:szCs w:val="20"/>
        </w:rPr>
        <w:t xml:space="preserve"> from the parties, they have</w:t>
      </w:r>
      <w:r w:rsidR="004353BC">
        <w:rPr>
          <w:sz w:val="20"/>
          <w:szCs w:val="20"/>
        </w:rPr>
        <w:t xml:space="preserve"> not yet</w:t>
      </w:r>
      <w:r>
        <w:rPr>
          <w:sz w:val="20"/>
          <w:szCs w:val="20"/>
        </w:rPr>
        <w:t xml:space="preserve"> executed Resolut</w:t>
      </w:r>
      <w:r w:rsidR="004353BC">
        <w:rPr>
          <w:sz w:val="20"/>
          <w:szCs w:val="20"/>
        </w:rPr>
        <w:t>ion 21 from January 3, 1996 of</w:t>
      </w:r>
      <w:r>
        <w:rPr>
          <w:sz w:val="20"/>
          <w:szCs w:val="20"/>
        </w:rPr>
        <w:t xml:space="preserve"> the Civil Court of the Supreme Court of Callao. </w:t>
      </w:r>
      <w:r w:rsidR="00487604">
        <w:rPr>
          <w:sz w:val="20"/>
          <w:szCs w:val="20"/>
        </w:rPr>
        <w:t>On this matter, the Commission concludes that it is applicable the exception established in article 46.2.c) of the American Convention.</w:t>
      </w:r>
    </w:p>
    <w:p w:rsidR="00B62151" w:rsidRPr="00057BCE" w:rsidRDefault="00487604" w:rsidP="00057BCE">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Pr>
          <w:sz w:val="20"/>
          <w:szCs w:val="20"/>
        </w:rPr>
        <w:t xml:space="preserve">Additionally, considering that the petition was presented on June 24, 2013 and that the effects of refusal of rights of the alleged victims from the administrative and judicial authorities have been extended to this day and considering that the alleged victims have been litigating </w:t>
      </w:r>
      <w:r w:rsidR="00057BCE">
        <w:rPr>
          <w:sz w:val="20"/>
          <w:szCs w:val="20"/>
        </w:rPr>
        <w:t>claiming their rights to an internal level since 1995 to the previous years of the filing of the present petition, being seniors, the Commission considers that the petition was presented in a reasonable period in terms of article 32.2 of its Regulations, according to article 46.2 of the American Convention.</w:t>
      </w:r>
    </w:p>
    <w:p w:rsidR="003C6ECB" w:rsidRDefault="003C6ECB" w:rsidP="00B62151">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ANALYSIS OF COLORABLE CLAIM</w:t>
      </w:r>
    </w:p>
    <w:p w:rsidR="00057BCE" w:rsidRDefault="00057BCE" w:rsidP="00057BCE">
      <w:pPr>
        <w:pStyle w:val="ListParagraph"/>
        <w:numPr>
          <w:ilvl w:val="0"/>
          <w:numId w:val="1"/>
        </w:numPr>
        <w:spacing w:before="240" w:after="240"/>
        <w:jc w:val="both"/>
        <w:rPr>
          <w:rFonts w:asciiTheme="majorHAnsi" w:hAnsiTheme="majorHAnsi"/>
          <w:sz w:val="20"/>
          <w:szCs w:val="20"/>
        </w:rPr>
      </w:pPr>
      <w:r>
        <w:rPr>
          <w:rFonts w:asciiTheme="majorHAnsi" w:hAnsiTheme="majorHAnsi"/>
          <w:sz w:val="20"/>
          <w:szCs w:val="20"/>
        </w:rPr>
        <w:t xml:space="preserve">The State </w:t>
      </w:r>
      <w:r w:rsidR="00D90A1B">
        <w:rPr>
          <w:rFonts w:asciiTheme="majorHAnsi" w:hAnsiTheme="majorHAnsi"/>
          <w:sz w:val="20"/>
          <w:szCs w:val="20"/>
        </w:rPr>
        <w:t xml:space="preserve">asserts that the described facts do not characterize a violation to the guaranteed rights by the American Convention, case </w:t>
      </w:r>
      <w:r w:rsidR="004353BC">
        <w:rPr>
          <w:rFonts w:asciiTheme="majorHAnsi" w:hAnsiTheme="majorHAnsi"/>
          <w:sz w:val="20"/>
          <w:szCs w:val="20"/>
        </w:rPr>
        <w:t>foreseen in article 47.b of the same</w:t>
      </w:r>
      <w:r w:rsidR="00D90A1B">
        <w:rPr>
          <w:rFonts w:asciiTheme="majorHAnsi" w:hAnsiTheme="majorHAnsi"/>
          <w:sz w:val="20"/>
          <w:szCs w:val="20"/>
        </w:rPr>
        <w:t xml:space="preserve">. Due to all the above, the Commission considers that </w:t>
      </w:r>
      <w:r w:rsidR="00A101BF">
        <w:rPr>
          <w:rFonts w:asciiTheme="majorHAnsi" w:hAnsiTheme="majorHAnsi"/>
          <w:sz w:val="20"/>
          <w:szCs w:val="20"/>
        </w:rPr>
        <w:t>it does not correspond to this phase</w:t>
      </w:r>
      <w:r w:rsidR="00D90A1B">
        <w:rPr>
          <w:rFonts w:asciiTheme="majorHAnsi" w:hAnsiTheme="majorHAnsi"/>
          <w:sz w:val="20"/>
          <w:szCs w:val="20"/>
        </w:rPr>
        <w:t xml:space="preserve"> of the procedure to decide if the alleged violations to harm the alleged victims took place. For the purpose of admissibility, IACHR must decide at</w:t>
      </w:r>
      <w:r w:rsidR="00A101BF">
        <w:rPr>
          <w:rFonts w:asciiTheme="majorHAnsi" w:hAnsiTheme="majorHAnsi"/>
          <w:sz w:val="20"/>
          <w:szCs w:val="20"/>
        </w:rPr>
        <w:t xml:space="preserve"> this moment only if there</w:t>
      </w:r>
      <w:r w:rsidR="00D90A1B">
        <w:rPr>
          <w:rFonts w:asciiTheme="majorHAnsi" w:hAnsiTheme="majorHAnsi"/>
          <w:sz w:val="20"/>
          <w:szCs w:val="20"/>
        </w:rPr>
        <w:t xml:space="preserve"> are exposed facts that, if proven, would characterize violations to the American Convention as it is stipulated in article 47.b of said one, and if the petition is “manifestly unfounded” or if it is “evident in its total inadmissibility” according to incise (c) of the same </w:t>
      </w:r>
      <w:r w:rsidR="00D90A1B" w:rsidRPr="00D3444F">
        <w:rPr>
          <w:rFonts w:asciiTheme="majorHAnsi" w:hAnsiTheme="majorHAnsi"/>
          <w:sz w:val="20"/>
          <w:szCs w:val="20"/>
        </w:rPr>
        <w:t>article</w:t>
      </w:r>
      <w:r w:rsidR="00D90A1B" w:rsidRPr="00D3444F">
        <w:rPr>
          <w:rFonts w:asciiTheme="majorHAnsi" w:hAnsiTheme="majorHAnsi"/>
          <w:sz w:val="20"/>
          <w:szCs w:val="20"/>
          <w:vertAlign w:val="superscript"/>
        </w:rPr>
        <w:t>6</w:t>
      </w:r>
      <w:r w:rsidR="00D90A1B" w:rsidRPr="00D3444F">
        <w:rPr>
          <w:rFonts w:asciiTheme="majorHAnsi" w:hAnsiTheme="majorHAnsi"/>
          <w:sz w:val="20"/>
          <w:szCs w:val="20"/>
        </w:rPr>
        <w:t>.</w:t>
      </w:r>
    </w:p>
    <w:p w:rsidR="00D90A1B" w:rsidRDefault="00BC4042" w:rsidP="00057BCE">
      <w:pPr>
        <w:pStyle w:val="ListParagraph"/>
        <w:numPr>
          <w:ilvl w:val="0"/>
          <w:numId w:val="1"/>
        </w:numPr>
        <w:spacing w:before="240" w:after="240"/>
        <w:jc w:val="both"/>
        <w:rPr>
          <w:rFonts w:asciiTheme="majorHAnsi" w:hAnsiTheme="majorHAnsi"/>
          <w:sz w:val="20"/>
          <w:szCs w:val="20"/>
        </w:rPr>
      </w:pPr>
      <w:r>
        <w:rPr>
          <w:rFonts w:asciiTheme="majorHAnsi" w:hAnsiTheme="majorHAnsi"/>
          <w:sz w:val="20"/>
          <w:szCs w:val="20"/>
        </w:rPr>
        <w:t>In this way, after examining the elements of fact and of right exposed by the parties, particularly the fact that the alleged victims are seniors, which rights must be pr</w:t>
      </w:r>
      <w:r w:rsidR="00A101BF">
        <w:rPr>
          <w:rFonts w:asciiTheme="majorHAnsi" w:hAnsiTheme="majorHAnsi"/>
          <w:sz w:val="20"/>
          <w:szCs w:val="20"/>
        </w:rPr>
        <w:t>otected through positive measure</w:t>
      </w:r>
      <w:r>
        <w:rPr>
          <w:rFonts w:asciiTheme="majorHAnsi" w:hAnsiTheme="majorHAnsi"/>
          <w:sz w:val="20"/>
          <w:szCs w:val="20"/>
        </w:rPr>
        <w:t>s from the State, and who have been claiming their rights for more than 25 years, the Commission concludes that the allegations from the petitioner party are not manifestly unfounded, and that the same, if proven true, could characterize violations to the protected rights in articles 8 (</w:t>
      </w:r>
      <w:r w:rsidRPr="00BC4042">
        <w:rPr>
          <w:rFonts w:asciiTheme="majorHAnsi" w:hAnsiTheme="majorHAnsi"/>
          <w:sz w:val="20"/>
          <w:szCs w:val="20"/>
        </w:rPr>
        <w:t xml:space="preserve">fair trial), 21 (private property), 24 (equality before law) </w:t>
      </w:r>
      <w:r>
        <w:rPr>
          <w:rFonts w:asciiTheme="majorHAnsi" w:hAnsiTheme="majorHAnsi"/>
          <w:sz w:val="20"/>
          <w:szCs w:val="20"/>
        </w:rPr>
        <w:t>25 (</w:t>
      </w:r>
      <w:r w:rsidRPr="00BC4042">
        <w:rPr>
          <w:rFonts w:asciiTheme="majorHAnsi" w:hAnsiTheme="majorHAnsi"/>
          <w:sz w:val="20"/>
          <w:szCs w:val="20"/>
        </w:rPr>
        <w:t>judicial protection) and 26 (economic, social and cultural rights) of the American Convention in relation to its Articles 1.1 (obligation to respect rights) and 2 (obligatio</w:t>
      </w:r>
      <w:r w:rsidR="00A101BF">
        <w:rPr>
          <w:rFonts w:asciiTheme="majorHAnsi" w:hAnsiTheme="majorHAnsi"/>
          <w:sz w:val="20"/>
          <w:szCs w:val="20"/>
        </w:rPr>
        <w:t>n to adopt decisions of domestic</w:t>
      </w:r>
      <w:r w:rsidRPr="00BC4042">
        <w:rPr>
          <w:rFonts w:asciiTheme="majorHAnsi" w:hAnsiTheme="majorHAnsi"/>
          <w:sz w:val="20"/>
          <w:szCs w:val="20"/>
        </w:rPr>
        <w:t xml:space="preserve"> law)</w:t>
      </w:r>
      <w:r>
        <w:rPr>
          <w:rFonts w:asciiTheme="majorHAnsi" w:hAnsiTheme="majorHAnsi"/>
          <w:sz w:val="20"/>
          <w:szCs w:val="20"/>
        </w:rPr>
        <w:t>.</w:t>
      </w:r>
    </w:p>
    <w:p w:rsidR="007E6CD6" w:rsidRDefault="007E6CD6" w:rsidP="007E6CD6">
      <w:pPr>
        <w:pStyle w:val="ListParagraph"/>
        <w:spacing w:before="240" w:after="240"/>
        <w:jc w:val="both"/>
        <w:rPr>
          <w:rFonts w:asciiTheme="majorHAnsi" w:hAnsiTheme="majorHAnsi"/>
          <w:sz w:val="20"/>
          <w:szCs w:val="20"/>
        </w:rPr>
      </w:pPr>
    </w:p>
    <w:p w:rsidR="007E6CD6" w:rsidRDefault="007E6CD6" w:rsidP="007E6CD6">
      <w:pPr>
        <w:spacing w:before="240" w:after="240"/>
        <w:jc w:val="both"/>
        <w:rPr>
          <w:rFonts w:asciiTheme="majorHAnsi" w:hAnsiTheme="majorHAnsi"/>
          <w:sz w:val="20"/>
          <w:szCs w:val="20"/>
        </w:rPr>
      </w:pPr>
      <w:r>
        <w:rPr>
          <w:rFonts w:asciiTheme="majorHAnsi" w:hAnsiTheme="majorHAnsi"/>
          <w:sz w:val="20"/>
          <w:szCs w:val="20"/>
        </w:rPr>
        <w:t>____________________________________</w:t>
      </w:r>
      <w:r w:rsidR="00971FEA">
        <w:rPr>
          <w:rFonts w:asciiTheme="majorHAnsi" w:hAnsiTheme="majorHAnsi"/>
          <w:sz w:val="20"/>
          <w:szCs w:val="20"/>
        </w:rPr>
        <w:t>___</w:t>
      </w:r>
    </w:p>
    <w:p w:rsidR="007E6CD6" w:rsidRPr="007E6CD6" w:rsidRDefault="007E6CD6" w:rsidP="007E6CD6">
      <w:pPr>
        <w:spacing w:before="240" w:after="240"/>
        <w:ind w:firstLine="720"/>
        <w:jc w:val="both"/>
        <w:rPr>
          <w:rFonts w:ascii="Cambria" w:hAnsi="Cambria"/>
          <w:sz w:val="16"/>
          <w:szCs w:val="16"/>
          <w:vertAlign w:val="superscript"/>
        </w:rPr>
      </w:pPr>
      <w:r>
        <w:rPr>
          <w:rFonts w:ascii="Cambria" w:hAnsi="Cambria"/>
          <w:sz w:val="16"/>
          <w:szCs w:val="16"/>
          <w:vertAlign w:val="superscript"/>
        </w:rPr>
        <w:t>5</w:t>
      </w:r>
      <w:r>
        <w:rPr>
          <w:rFonts w:ascii="Cambria" w:hAnsi="Cambria"/>
          <w:sz w:val="16"/>
          <w:szCs w:val="16"/>
        </w:rPr>
        <w:t xml:space="preserve">IACHR, Report No. 49/13, Petition 1225-14, Admissibility, Gerardo Cruz Pacheco, </w:t>
      </w:r>
      <w:r w:rsidRPr="007E6CD6">
        <w:rPr>
          <w:rFonts w:ascii="Cambria" w:hAnsi="Cambria"/>
          <w:sz w:val="16"/>
          <w:szCs w:val="16"/>
        </w:rPr>
        <w:t>M</w:t>
      </w:r>
      <w:r>
        <w:rPr>
          <w:rFonts w:ascii="Cambria" w:hAnsi="Cambria"/>
          <w:sz w:val="16"/>
          <w:szCs w:val="16"/>
        </w:rPr>
        <w:t>éxico, July 12, 2012, paragraph 42.</w:t>
      </w:r>
    </w:p>
    <w:p w:rsidR="00BC4042" w:rsidRDefault="00BC4042" w:rsidP="00057BCE">
      <w:pPr>
        <w:pStyle w:val="ListParagraph"/>
        <w:numPr>
          <w:ilvl w:val="0"/>
          <w:numId w:val="1"/>
        </w:numPr>
        <w:spacing w:before="240" w:after="240"/>
        <w:jc w:val="both"/>
        <w:rPr>
          <w:rFonts w:asciiTheme="majorHAnsi" w:hAnsiTheme="majorHAnsi"/>
          <w:sz w:val="20"/>
          <w:szCs w:val="20"/>
        </w:rPr>
      </w:pPr>
      <w:r>
        <w:rPr>
          <w:rFonts w:asciiTheme="majorHAnsi" w:hAnsiTheme="majorHAnsi"/>
          <w:sz w:val="20"/>
          <w:szCs w:val="20"/>
        </w:rPr>
        <w:lastRenderedPageBreak/>
        <w:t>With regard to the alleged violations to article 9 (principle of legality and retroactivity) of the American Convention, the Commission estimates that the petitioner part h</w:t>
      </w:r>
      <w:r w:rsidR="009805F8">
        <w:rPr>
          <w:rFonts w:asciiTheme="majorHAnsi" w:hAnsiTheme="majorHAnsi"/>
          <w:sz w:val="20"/>
          <w:szCs w:val="20"/>
        </w:rPr>
        <w:t>as not presented enough proof or</w:t>
      </w:r>
      <w:r>
        <w:rPr>
          <w:rFonts w:asciiTheme="majorHAnsi" w:hAnsiTheme="majorHAnsi"/>
          <w:sz w:val="20"/>
          <w:szCs w:val="20"/>
        </w:rPr>
        <w:t xml:space="preserve"> elements that allow to consider, </w:t>
      </w:r>
      <w:r w:rsidRPr="00D570D8">
        <w:rPr>
          <w:rFonts w:asciiTheme="majorHAnsi" w:hAnsiTheme="majorHAnsi"/>
          <w:i/>
          <w:sz w:val="20"/>
          <w:szCs w:val="20"/>
        </w:rPr>
        <w:t>prima facie</w:t>
      </w:r>
      <w:r>
        <w:rPr>
          <w:rFonts w:asciiTheme="majorHAnsi" w:hAnsiTheme="majorHAnsi"/>
          <w:sz w:val="20"/>
          <w:szCs w:val="20"/>
        </w:rPr>
        <w:t>,</w:t>
      </w:r>
      <w:r w:rsidR="009805F8">
        <w:rPr>
          <w:rFonts w:asciiTheme="majorHAnsi" w:hAnsiTheme="majorHAnsi"/>
          <w:sz w:val="20"/>
          <w:szCs w:val="20"/>
        </w:rPr>
        <w:t xml:space="preserve"> of</w:t>
      </w:r>
      <w:r>
        <w:rPr>
          <w:rFonts w:asciiTheme="majorHAnsi" w:hAnsiTheme="majorHAnsi"/>
          <w:sz w:val="20"/>
          <w:szCs w:val="20"/>
        </w:rPr>
        <w:t xml:space="preserve"> the possible violation.</w:t>
      </w:r>
    </w:p>
    <w:p w:rsidR="003C6ECB" w:rsidRPr="009805F8" w:rsidRDefault="003C6ECB" w:rsidP="009805F8">
      <w:pPr>
        <w:spacing w:before="240" w:after="240"/>
        <w:ind w:firstLine="720"/>
        <w:jc w:val="both"/>
        <w:rPr>
          <w:rFonts w:asciiTheme="majorHAnsi" w:hAnsiTheme="majorHAnsi"/>
          <w:b/>
          <w:bCs/>
          <w:sz w:val="20"/>
          <w:szCs w:val="20"/>
        </w:rPr>
      </w:pPr>
      <w:r w:rsidRPr="009805F8">
        <w:rPr>
          <w:rFonts w:asciiTheme="majorHAnsi" w:hAnsiTheme="majorHAnsi"/>
          <w:b/>
          <w:bCs/>
          <w:sz w:val="20"/>
          <w:szCs w:val="20"/>
        </w:rPr>
        <w:t xml:space="preserve">VIII. </w:t>
      </w:r>
      <w:r w:rsidRPr="009805F8">
        <w:rPr>
          <w:rFonts w:asciiTheme="majorHAnsi" w:hAnsiTheme="majorHAnsi"/>
          <w:b/>
          <w:bCs/>
          <w:sz w:val="20"/>
          <w:szCs w:val="20"/>
        </w:rPr>
        <w:tab/>
        <w:t>DECISION</w:t>
      </w:r>
    </w:p>
    <w:p w:rsidR="003C6ECB" w:rsidRPr="000B6B7A" w:rsidRDefault="003C6ECB" w:rsidP="003C6EC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B6B7A">
        <w:rPr>
          <w:rFonts w:asciiTheme="majorHAnsi" w:hAnsiTheme="majorHAnsi"/>
          <w:sz w:val="20"/>
          <w:szCs w:val="20"/>
        </w:rPr>
        <w:t>To find the instant petition admiss</w:t>
      </w:r>
      <w:r w:rsidR="002711D4">
        <w:rPr>
          <w:rFonts w:asciiTheme="majorHAnsi" w:hAnsiTheme="majorHAnsi"/>
          <w:sz w:val="20"/>
          <w:szCs w:val="20"/>
        </w:rPr>
        <w:t>ible in relation to Articles 8, 21, 24, 25 and 26 of the American Convention in relation with articles 1.1 and 2 of the same instrument</w:t>
      </w:r>
      <w:r w:rsidRPr="000B6B7A">
        <w:rPr>
          <w:rFonts w:asciiTheme="majorHAnsi" w:hAnsiTheme="majorHAnsi"/>
          <w:sz w:val="20"/>
          <w:szCs w:val="20"/>
        </w:rPr>
        <w:t>;</w:t>
      </w:r>
    </w:p>
    <w:p w:rsidR="003C6ECB" w:rsidRPr="000B6B7A" w:rsidRDefault="003C6ECB" w:rsidP="003C6ECB">
      <w:pPr>
        <w:pStyle w:val="ListParagraph"/>
        <w:numPr>
          <w:ilvl w:val="0"/>
          <w:numId w:val="2"/>
        </w:numPr>
        <w:rPr>
          <w:rFonts w:eastAsia="Arial Unicode MS" w:cs="Times New Roman"/>
          <w:color w:val="auto"/>
          <w:sz w:val="20"/>
          <w:szCs w:val="20"/>
          <w:lang w:eastAsia="en-US"/>
        </w:rPr>
      </w:pPr>
      <w:r w:rsidRPr="000B6B7A">
        <w:rPr>
          <w:rFonts w:asciiTheme="majorHAnsi" w:hAnsiTheme="majorHAnsi"/>
          <w:sz w:val="20"/>
          <w:szCs w:val="20"/>
        </w:rPr>
        <w:t xml:space="preserve">To find the instant </w:t>
      </w:r>
      <w:r w:rsidRPr="00A73D48">
        <w:rPr>
          <w:rFonts w:asciiTheme="majorHAnsi" w:hAnsiTheme="majorHAnsi"/>
          <w:color w:val="auto"/>
          <w:sz w:val="20"/>
          <w:szCs w:val="20"/>
        </w:rPr>
        <w:t>petition inadmissible in relation</w:t>
      </w:r>
      <w:r w:rsidRPr="000B6B7A">
        <w:rPr>
          <w:rFonts w:asciiTheme="majorHAnsi" w:hAnsiTheme="majorHAnsi"/>
          <w:sz w:val="20"/>
          <w:szCs w:val="20"/>
        </w:rPr>
        <w:t xml:space="preserve"> to Article</w:t>
      </w:r>
      <w:r w:rsidR="002711D4">
        <w:rPr>
          <w:rFonts w:asciiTheme="majorHAnsi" w:hAnsiTheme="majorHAnsi"/>
          <w:sz w:val="20"/>
          <w:szCs w:val="20"/>
        </w:rPr>
        <w:t xml:space="preserve"> 9 of the American Convention</w:t>
      </w:r>
      <w:r w:rsidRPr="000B6B7A">
        <w:rPr>
          <w:rFonts w:eastAsia="Arial Unicode MS" w:cs="Times New Roman"/>
          <w:color w:val="auto"/>
          <w:sz w:val="20"/>
          <w:szCs w:val="20"/>
          <w:lang w:eastAsia="en-US"/>
        </w:rPr>
        <w:t>;</w:t>
      </w:r>
      <w:r>
        <w:rPr>
          <w:rFonts w:eastAsia="Arial Unicode MS" w:cs="Times New Roman"/>
          <w:color w:val="auto"/>
          <w:sz w:val="20"/>
          <w:szCs w:val="20"/>
          <w:lang w:eastAsia="en-US"/>
        </w:rPr>
        <w:t xml:space="preserve"> and</w:t>
      </w:r>
    </w:p>
    <w:p w:rsidR="003C6ECB" w:rsidRPr="000B6B7A" w:rsidRDefault="003C6ECB" w:rsidP="003C6ECB">
      <w:pPr>
        <w:pStyle w:val="ListParagraph"/>
        <w:rPr>
          <w:rFonts w:eastAsia="Arial Unicode MS" w:cs="Times New Roman"/>
          <w:color w:val="auto"/>
          <w:sz w:val="20"/>
          <w:szCs w:val="20"/>
          <w:lang w:eastAsia="en-US"/>
        </w:rPr>
      </w:pPr>
    </w:p>
    <w:p w:rsidR="003C6ECB" w:rsidRPr="00A73D48" w:rsidRDefault="003C6ECB" w:rsidP="003C6ECB">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1F1902">
        <w:rPr>
          <w:rFonts w:asciiTheme="majorHAnsi" w:hAnsiTheme="majorHAnsi"/>
          <w:sz w:val="20"/>
          <w:szCs w:val="20"/>
        </w:rPr>
        <w:t xml:space="preserve">To notify the parties of this decision; to continue with the analysis on the merits; and </w:t>
      </w:r>
      <w:r>
        <w:rPr>
          <w:rFonts w:asciiTheme="majorHAnsi" w:hAnsiTheme="majorHAnsi"/>
          <w:sz w:val="20"/>
          <w:szCs w:val="20"/>
        </w:rPr>
        <w:t>t</w:t>
      </w:r>
      <w:r w:rsidRPr="001F1902">
        <w:rPr>
          <w:rFonts w:asciiTheme="majorHAnsi" w:hAnsiTheme="majorHAnsi"/>
          <w:sz w:val="20"/>
          <w:szCs w:val="20"/>
        </w:rPr>
        <w:t>o publish this decision and include it in its Annual Report to the General Assembly of the Organization of American States.</w:t>
      </w:r>
    </w:p>
    <w:p w:rsidR="00A73D48" w:rsidRDefault="00A73D48" w:rsidP="00A73D48">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9</w:t>
      </w:r>
      <w:r w:rsidRPr="00A73D48">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June,</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 xml:space="preserve">Margarette May Macaulay, </w:t>
      </w:r>
      <w:r>
        <w:rPr>
          <w:rFonts w:asciiTheme="majorHAnsi" w:hAnsiTheme="majorHAnsi" w:cs="Arial"/>
          <w:noProof/>
          <w:spacing w:val="-2"/>
          <w:sz w:val="20"/>
          <w:szCs w:val="20"/>
        </w:rPr>
        <w:t xml:space="preserve">and </w:t>
      </w:r>
      <w:r w:rsidRPr="00DD57A5">
        <w:rPr>
          <w:rFonts w:asciiTheme="majorHAnsi" w:hAnsiTheme="majorHAnsi" w:cs="Arial"/>
          <w:noProof/>
          <w:spacing w:val="-2"/>
          <w:sz w:val="20"/>
          <w:szCs w:val="20"/>
        </w:rPr>
        <w:t>Esmeralda E. Arosemena Bernal de Troitiño,</w:t>
      </w:r>
      <w:r>
        <w:rPr>
          <w:rFonts w:asciiTheme="majorHAnsi" w:hAnsiTheme="majorHAnsi" w:cs="Arial"/>
          <w:noProof/>
          <w:spacing w:val="-2"/>
          <w:sz w:val="20"/>
          <w:szCs w:val="20"/>
        </w:rPr>
        <w:t xml:space="preserve"> </w:t>
      </w:r>
      <w:r w:rsidRPr="00365F2F">
        <w:rPr>
          <w:rFonts w:ascii="Cambria" w:hAnsi="Cambria"/>
          <w:spacing w:val="-2"/>
          <w:sz w:val="20"/>
        </w:rPr>
        <w:t>Commissioners.</w:t>
      </w:r>
    </w:p>
    <w:p w:rsidR="00A73D48" w:rsidRPr="001F1902" w:rsidRDefault="00A73D48" w:rsidP="00A73D4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rPr>
      </w:pPr>
    </w:p>
    <w:p w:rsidR="003C6ECB" w:rsidRPr="000B6B7A" w:rsidRDefault="003C6ECB" w:rsidP="003C6ECB">
      <w:pPr>
        <w:pStyle w:val="ListParagraph"/>
        <w:suppressAutoHyphens/>
        <w:spacing w:before="240" w:after="240"/>
        <w:jc w:val="both"/>
        <w:rPr>
          <w:rFonts w:asciiTheme="majorHAnsi" w:hAnsiTheme="majorHAnsi"/>
          <w:sz w:val="20"/>
          <w:szCs w:val="20"/>
        </w:rPr>
      </w:pPr>
    </w:p>
    <w:p w:rsidR="003C6ECB" w:rsidRDefault="003C6ECB"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Default="00D3444F" w:rsidP="003C6ECB">
      <w:pPr>
        <w:tabs>
          <w:tab w:val="center" w:pos="5400"/>
        </w:tabs>
        <w:suppressAutoHyphens/>
        <w:spacing w:line="276" w:lineRule="auto"/>
        <w:rPr>
          <w:rFonts w:asciiTheme="majorHAnsi" w:hAnsiTheme="majorHAnsi"/>
          <w:sz w:val="20"/>
          <w:szCs w:val="20"/>
        </w:rPr>
      </w:pPr>
    </w:p>
    <w:p w:rsidR="00D3444F" w:rsidRPr="000B6B7A" w:rsidRDefault="00D3444F" w:rsidP="003C6ECB">
      <w:pPr>
        <w:tabs>
          <w:tab w:val="center" w:pos="5400"/>
        </w:tabs>
        <w:suppressAutoHyphens/>
        <w:spacing w:line="276" w:lineRule="auto"/>
        <w:rPr>
          <w:rFonts w:asciiTheme="majorHAnsi" w:hAnsiTheme="majorHAnsi"/>
          <w:sz w:val="20"/>
          <w:szCs w:val="20"/>
        </w:rPr>
      </w:pPr>
    </w:p>
    <w:p w:rsidR="003C6ECB" w:rsidRPr="000B6B7A" w:rsidRDefault="003C6ECB" w:rsidP="003C6ECB">
      <w:pPr>
        <w:tabs>
          <w:tab w:val="center" w:pos="5400"/>
        </w:tabs>
        <w:suppressAutoHyphens/>
        <w:spacing w:line="276" w:lineRule="auto"/>
        <w:rPr>
          <w:rFonts w:asciiTheme="majorHAnsi" w:hAnsiTheme="majorHAnsi"/>
          <w:sz w:val="20"/>
          <w:szCs w:val="20"/>
        </w:rPr>
      </w:pPr>
    </w:p>
    <w:p w:rsidR="003C6ECB" w:rsidRPr="000B6B7A" w:rsidRDefault="003C6ECB" w:rsidP="003C6ECB">
      <w:pPr>
        <w:rPr>
          <w:rFonts w:ascii="Cambria" w:hAnsi="Cambria" w:cs="Calibri"/>
          <w:sz w:val="20"/>
          <w:szCs w:val="20"/>
        </w:rPr>
      </w:pPr>
    </w:p>
    <w:p w:rsidR="003C6ECB" w:rsidRPr="00145EDC" w:rsidRDefault="003C6ECB" w:rsidP="003C6ECB">
      <w:pPr>
        <w:tabs>
          <w:tab w:val="left" w:pos="2820"/>
        </w:tabs>
        <w:suppressAutoHyphens/>
        <w:spacing w:line="276" w:lineRule="auto"/>
        <w:rPr>
          <w:rFonts w:asciiTheme="majorHAnsi" w:hAnsiTheme="majorHAnsi"/>
          <w:sz w:val="20"/>
          <w:szCs w:val="20"/>
        </w:rPr>
      </w:pPr>
    </w:p>
    <w:p w:rsidR="00C05BBD" w:rsidRDefault="00C05BBD"/>
    <w:p w:rsidR="00D3444F" w:rsidRDefault="00D3444F"/>
    <w:p w:rsidR="00D3444F" w:rsidRDefault="00D3444F"/>
    <w:p w:rsidR="00D3444F" w:rsidRDefault="00D3444F"/>
    <w:p w:rsidR="00D3444F" w:rsidRDefault="00D3444F"/>
    <w:p w:rsidR="00D3444F" w:rsidRDefault="00D3444F"/>
    <w:p w:rsidR="00D3444F" w:rsidRDefault="00D3444F"/>
    <w:p w:rsidR="00D3444F" w:rsidRDefault="00D3444F"/>
    <w:p w:rsidR="00D3444F" w:rsidRDefault="00D3444F"/>
    <w:p w:rsidR="00D3444F" w:rsidRDefault="00D3444F"/>
    <w:p w:rsidR="00D3444F" w:rsidRDefault="00D3444F"/>
    <w:p w:rsidR="00D3444F" w:rsidRDefault="00D3444F"/>
    <w:p w:rsidR="002A0BA3" w:rsidRDefault="002A0BA3"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b/>
          <w:sz w:val="20"/>
          <w:szCs w:val="20"/>
        </w:rPr>
      </w:pPr>
    </w:p>
    <w:p w:rsidR="00D3444F" w:rsidRPr="0023708E"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b/>
          <w:sz w:val="20"/>
          <w:szCs w:val="20"/>
        </w:rPr>
      </w:pPr>
      <w:r w:rsidRPr="0023708E">
        <w:rPr>
          <w:rFonts w:ascii="Cambria" w:hAnsi="Cambria"/>
          <w:b/>
          <w:sz w:val="20"/>
          <w:szCs w:val="20"/>
        </w:rPr>
        <w:t>Appendix 1</w:t>
      </w:r>
    </w:p>
    <w:p w:rsidR="00D3444F" w:rsidRPr="0023708E"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center"/>
        <w:rPr>
          <w:rFonts w:ascii="Cambria" w:hAnsi="Cambria"/>
          <w:b/>
          <w:sz w:val="20"/>
          <w:szCs w:val="20"/>
        </w:rPr>
      </w:pPr>
      <w:r w:rsidRPr="0023708E">
        <w:rPr>
          <w:rFonts w:ascii="Cambria" w:hAnsi="Cambria"/>
          <w:b/>
          <w:sz w:val="20"/>
          <w:szCs w:val="20"/>
        </w:rPr>
        <w:t>List of alleged victims</w:t>
      </w:r>
    </w:p>
    <w:p w:rsidR="00D3444F" w:rsidRPr="0023708E"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23708E">
        <w:rPr>
          <w:rFonts w:ascii="Cambria" w:hAnsi="Cambria"/>
          <w:sz w:val="20"/>
          <w:szCs w:val="20"/>
        </w:rPr>
        <w:t>1.  Alberto Saavedra Silva (represe</w:t>
      </w:r>
      <w:r>
        <w:rPr>
          <w:rFonts w:ascii="Cambria" w:hAnsi="Cambria"/>
          <w:sz w:val="20"/>
          <w:szCs w:val="20"/>
        </w:rPr>
        <w:t>n</w:t>
      </w:r>
      <w:r w:rsidRPr="0023708E">
        <w:rPr>
          <w:rFonts w:ascii="Cambria" w:hAnsi="Cambria"/>
          <w:sz w:val="20"/>
          <w:szCs w:val="20"/>
        </w:rPr>
        <w:t xml:space="preserve">ted by </w:t>
      </w:r>
      <w:r>
        <w:rPr>
          <w:rFonts w:ascii="Cambria" w:hAnsi="Cambria"/>
          <w:sz w:val="20"/>
          <w:szCs w:val="20"/>
        </w:rPr>
        <w:t>his widow</w:t>
      </w:r>
      <w:r w:rsidRPr="0023708E">
        <w:rPr>
          <w:rFonts w:ascii="Cambria" w:hAnsi="Cambria"/>
          <w:sz w:val="20"/>
          <w:szCs w:val="20"/>
        </w:rPr>
        <w:t xml:space="preserve"> Bertha Murillo </w:t>
      </w:r>
      <w:proofErr w:type="spellStart"/>
      <w:r w:rsidRPr="0023708E">
        <w:rPr>
          <w:rFonts w:ascii="Cambria" w:hAnsi="Cambria"/>
          <w:sz w:val="20"/>
          <w:szCs w:val="20"/>
        </w:rPr>
        <w:t>Celi</w:t>
      </w:r>
      <w:proofErr w:type="spellEnd"/>
      <w:r w:rsidRPr="0023708E">
        <w:rPr>
          <w:rFonts w:ascii="Cambria" w:hAnsi="Cambria"/>
          <w:sz w:val="20"/>
          <w:szCs w:val="20"/>
        </w:rPr>
        <w:t>)</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2. Alfonso </w:t>
      </w:r>
      <w:proofErr w:type="spellStart"/>
      <w:r w:rsidRPr="00ED35CB">
        <w:rPr>
          <w:rFonts w:ascii="Cambria" w:hAnsi="Cambria"/>
          <w:sz w:val="20"/>
          <w:szCs w:val="20"/>
          <w:lang w:val="es-ES"/>
        </w:rPr>
        <w:t>Mideyros</w:t>
      </w:r>
      <w:proofErr w:type="spellEnd"/>
      <w:r w:rsidRPr="00ED35CB">
        <w:rPr>
          <w:rFonts w:ascii="Cambria" w:hAnsi="Cambria"/>
          <w:sz w:val="20"/>
          <w:szCs w:val="20"/>
          <w:lang w:val="es-ES"/>
        </w:rPr>
        <w:t xml:space="preserve"> Gonzales</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3. </w:t>
      </w:r>
      <w:proofErr w:type="spellStart"/>
      <w:r w:rsidRPr="00ED35CB">
        <w:rPr>
          <w:rFonts w:ascii="Cambria" w:hAnsi="Cambria"/>
          <w:sz w:val="20"/>
          <w:szCs w:val="20"/>
          <w:lang w:val="es-ES"/>
        </w:rPr>
        <w:t>Aristides</w:t>
      </w:r>
      <w:proofErr w:type="spellEnd"/>
      <w:r w:rsidRPr="00ED35CB">
        <w:rPr>
          <w:rFonts w:ascii="Cambria" w:hAnsi="Cambria"/>
          <w:sz w:val="20"/>
          <w:szCs w:val="20"/>
          <w:lang w:val="es-ES"/>
        </w:rPr>
        <w:t xml:space="preserve"> Vila Pérez</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4.  </w:t>
      </w:r>
      <w:proofErr w:type="spellStart"/>
      <w:r w:rsidRPr="00ED35CB">
        <w:rPr>
          <w:rFonts w:ascii="Cambria" w:hAnsi="Cambria"/>
          <w:sz w:val="20"/>
          <w:szCs w:val="20"/>
          <w:lang w:val="es-ES"/>
        </w:rPr>
        <w:t>Clodoaldo</w:t>
      </w:r>
      <w:proofErr w:type="spellEnd"/>
      <w:r w:rsidRPr="00ED35CB">
        <w:rPr>
          <w:rFonts w:ascii="Cambria" w:hAnsi="Cambria"/>
          <w:sz w:val="20"/>
          <w:szCs w:val="20"/>
          <w:lang w:val="es-ES"/>
        </w:rPr>
        <w:t xml:space="preserve"> Quijano Cajas</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5. Emilio Solórzano </w:t>
      </w:r>
      <w:proofErr w:type="spellStart"/>
      <w:r w:rsidRPr="00ED35CB">
        <w:rPr>
          <w:rFonts w:ascii="Cambria" w:hAnsi="Cambria"/>
          <w:sz w:val="20"/>
          <w:szCs w:val="20"/>
          <w:lang w:val="es-ES"/>
        </w:rPr>
        <w:t>Borrovich</w:t>
      </w:r>
      <w:proofErr w:type="spellEnd"/>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6. Gaspar Luna Ramírez </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7. Héctor Armando Fonseca Benavente</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8. Humberto Francisco Corzo Torres</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 xml:space="preserve">9. José Gonzales Moreno </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10. Juan Gutiérrez Estrada</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11. Lucio Lam Mejía</w:t>
      </w:r>
    </w:p>
    <w:p w:rsidR="00D3444F" w:rsidRPr="00A73D48"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A73D48">
        <w:rPr>
          <w:rFonts w:ascii="Cambria" w:hAnsi="Cambria"/>
          <w:sz w:val="20"/>
          <w:szCs w:val="20"/>
          <w:lang w:val="pt-BR"/>
        </w:rPr>
        <w:t>12. Luis Flores Rivera</w:t>
      </w:r>
    </w:p>
    <w:p w:rsidR="00D3444F" w:rsidRPr="00A73D48"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pt-BR"/>
        </w:rPr>
      </w:pPr>
      <w:r w:rsidRPr="00A73D48">
        <w:rPr>
          <w:rFonts w:ascii="Cambria" w:hAnsi="Cambria"/>
          <w:sz w:val="20"/>
          <w:szCs w:val="20"/>
          <w:lang w:val="pt-BR"/>
        </w:rPr>
        <w:t>13. Salvador Silva Fernández</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14. Serapio Benito Sáenz Falcón</w:t>
      </w:r>
    </w:p>
    <w:p w:rsidR="00D3444F" w:rsidRPr="00ED35CB" w:rsidRDefault="00D3444F" w:rsidP="00D3444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ED35CB">
        <w:rPr>
          <w:rFonts w:ascii="Cambria" w:hAnsi="Cambria"/>
          <w:sz w:val="20"/>
          <w:szCs w:val="20"/>
          <w:lang w:val="es-ES"/>
        </w:rPr>
        <w:t>15. Víctor Manuel Valdivieso Castillo</w:t>
      </w:r>
    </w:p>
    <w:p w:rsidR="00D3444F" w:rsidRPr="0085164D" w:rsidRDefault="00D3444F">
      <w:pPr>
        <w:rPr>
          <w:lang w:val="es-MX"/>
        </w:rPr>
      </w:pPr>
    </w:p>
    <w:sectPr w:rsidR="00D3444F" w:rsidRPr="0085164D" w:rsidSect="002C45A8">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F91" w:rsidRDefault="00D43F91" w:rsidP="003C6ECB">
      <w:r>
        <w:separator/>
      </w:r>
    </w:p>
  </w:endnote>
  <w:endnote w:type="continuationSeparator" w:id="0">
    <w:p w:rsidR="00D43F91" w:rsidRDefault="00D43F91" w:rsidP="003C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94" w:rsidRDefault="00CD07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9B7828" w:rsidRPr="006311DA" w:rsidRDefault="00C33E23">
        <w:pPr>
          <w:pStyle w:val="Footer"/>
          <w:jc w:val="center"/>
          <w:rPr>
            <w:sz w:val="16"/>
          </w:rPr>
        </w:pPr>
        <w:r w:rsidRPr="006311DA">
          <w:rPr>
            <w:sz w:val="16"/>
          </w:rPr>
          <w:fldChar w:fldCharType="begin"/>
        </w:r>
        <w:r w:rsidR="009B7828" w:rsidRPr="006311DA">
          <w:rPr>
            <w:sz w:val="16"/>
          </w:rPr>
          <w:instrText xml:space="preserve"> PAGE   \* MERGEFORMAT </w:instrText>
        </w:r>
        <w:r w:rsidRPr="006311DA">
          <w:rPr>
            <w:sz w:val="16"/>
          </w:rPr>
          <w:fldChar w:fldCharType="separate"/>
        </w:r>
        <w:r w:rsidR="00CD0794">
          <w:rPr>
            <w:noProof/>
            <w:sz w:val="16"/>
          </w:rPr>
          <w:t>3</w:t>
        </w:r>
        <w:r w:rsidRPr="006311DA">
          <w:rPr>
            <w:noProof/>
            <w:sz w:val="16"/>
          </w:rPr>
          <w:fldChar w:fldCharType="end"/>
        </w:r>
      </w:p>
    </w:sdtContent>
  </w:sdt>
  <w:p w:rsidR="009B7828" w:rsidRDefault="009B7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28" w:rsidRDefault="009B7828">
    <w:pPr>
      <w:pStyle w:val="Footer"/>
      <w:jc w:val="center"/>
    </w:pPr>
  </w:p>
  <w:p w:rsidR="009B7828" w:rsidRDefault="009B78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F91" w:rsidRDefault="00D43F91" w:rsidP="003C6ECB">
      <w:r>
        <w:separator/>
      </w:r>
    </w:p>
  </w:footnote>
  <w:footnote w:type="continuationSeparator" w:id="0">
    <w:p w:rsidR="00D43F91" w:rsidRDefault="00D43F91" w:rsidP="003C6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28" w:rsidRDefault="00C33E23" w:rsidP="002C45A8">
    <w:pPr>
      <w:pStyle w:val="Header"/>
      <w:framePr w:wrap="around" w:vAnchor="text" w:hAnchor="margin" w:xAlign="center" w:y="1"/>
      <w:rPr>
        <w:rStyle w:val="PageNumber"/>
        <w:rFonts w:eastAsia="Trebuchet MS"/>
      </w:rPr>
    </w:pPr>
    <w:r>
      <w:rPr>
        <w:rStyle w:val="PageNumber"/>
        <w:rFonts w:eastAsia="Trebuchet MS"/>
      </w:rPr>
      <w:fldChar w:fldCharType="begin"/>
    </w:r>
    <w:r w:rsidR="009B7828">
      <w:rPr>
        <w:rStyle w:val="PageNumber"/>
        <w:rFonts w:eastAsia="Trebuchet MS"/>
      </w:rPr>
      <w:instrText xml:space="preserve">PAGE  </w:instrText>
    </w:r>
    <w:r>
      <w:rPr>
        <w:rStyle w:val="PageNumber"/>
        <w:rFonts w:eastAsia="Trebuchet MS"/>
      </w:rPr>
      <w:fldChar w:fldCharType="end"/>
    </w:r>
  </w:p>
  <w:p w:rsidR="009B7828" w:rsidRDefault="009B7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828" w:rsidRDefault="009B7828" w:rsidP="002C45A8">
    <w:pPr>
      <w:pStyle w:val="Header"/>
      <w:tabs>
        <w:tab w:val="clear" w:pos="4320"/>
        <w:tab w:val="clear" w:pos="8640"/>
      </w:tabs>
      <w:jc w:val="center"/>
      <w:rPr>
        <w:sz w:val="22"/>
        <w:szCs w:val="22"/>
      </w:rPr>
    </w:pPr>
    <w:r>
      <w:rPr>
        <w:noProof/>
        <w:sz w:val="22"/>
        <w:szCs w:val="22"/>
      </w:rPr>
      <w:drawing>
        <wp:inline distT="0" distB="0" distL="0" distR="0">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9B7828" w:rsidRPr="00EC7D62" w:rsidRDefault="00D43F91" w:rsidP="002C45A8">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794" w:rsidRDefault="00CD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C6ECB"/>
    <w:rsid w:val="00032B44"/>
    <w:rsid w:val="00057BCE"/>
    <w:rsid w:val="000A15D4"/>
    <w:rsid w:val="000D32B9"/>
    <w:rsid w:val="00102B38"/>
    <w:rsid w:val="00197FA5"/>
    <w:rsid w:val="001E79F0"/>
    <w:rsid w:val="0021025A"/>
    <w:rsid w:val="002110FF"/>
    <w:rsid w:val="0021434F"/>
    <w:rsid w:val="002711D4"/>
    <w:rsid w:val="002A0BA3"/>
    <w:rsid w:val="002A1054"/>
    <w:rsid w:val="002C45A8"/>
    <w:rsid w:val="002D452C"/>
    <w:rsid w:val="00375BBE"/>
    <w:rsid w:val="003A092E"/>
    <w:rsid w:val="003A67DB"/>
    <w:rsid w:val="003B023C"/>
    <w:rsid w:val="003C6ECB"/>
    <w:rsid w:val="003D17B3"/>
    <w:rsid w:val="003F4359"/>
    <w:rsid w:val="004353BC"/>
    <w:rsid w:val="00487604"/>
    <w:rsid w:val="00490D32"/>
    <w:rsid w:val="004A01D4"/>
    <w:rsid w:val="004F303B"/>
    <w:rsid w:val="00507749"/>
    <w:rsid w:val="00547B60"/>
    <w:rsid w:val="005E2BE8"/>
    <w:rsid w:val="0065282D"/>
    <w:rsid w:val="0065689C"/>
    <w:rsid w:val="00680D94"/>
    <w:rsid w:val="006D3ACD"/>
    <w:rsid w:val="006F6DE3"/>
    <w:rsid w:val="00741401"/>
    <w:rsid w:val="00746729"/>
    <w:rsid w:val="007B618A"/>
    <w:rsid w:val="007C0015"/>
    <w:rsid w:val="007E6CD6"/>
    <w:rsid w:val="0081172A"/>
    <w:rsid w:val="0082686B"/>
    <w:rsid w:val="0085164D"/>
    <w:rsid w:val="008561F1"/>
    <w:rsid w:val="00897BCB"/>
    <w:rsid w:val="008D3761"/>
    <w:rsid w:val="008D4200"/>
    <w:rsid w:val="008F6574"/>
    <w:rsid w:val="00911A2E"/>
    <w:rsid w:val="00971FEA"/>
    <w:rsid w:val="009805F8"/>
    <w:rsid w:val="009809AB"/>
    <w:rsid w:val="009B7828"/>
    <w:rsid w:val="00A101BF"/>
    <w:rsid w:val="00A53E0B"/>
    <w:rsid w:val="00A73D48"/>
    <w:rsid w:val="00AA6DC6"/>
    <w:rsid w:val="00AE03B3"/>
    <w:rsid w:val="00AE34B2"/>
    <w:rsid w:val="00AE49EC"/>
    <w:rsid w:val="00B5462C"/>
    <w:rsid w:val="00B62151"/>
    <w:rsid w:val="00B64AFB"/>
    <w:rsid w:val="00B670B7"/>
    <w:rsid w:val="00B97E2E"/>
    <w:rsid w:val="00BC4042"/>
    <w:rsid w:val="00BF01B5"/>
    <w:rsid w:val="00BF062E"/>
    <w:rsid w:val="00C01815"/>
    <w:rsid w:val="00C05BBD"/>
    <w:rsid w:val="00C13B15"/>
    <w:rsid w:val="00C24E72"/>
    <w:rsid w:val="00C32AA1"/>
    <w:rsid w:val="00C33E23"/>
    <w:rsid w:val="00C35964"/>
    <w:rsid w:val="00C35D47"/>
    <w:rsid w:val="00C54DF8"/>
    <w:rsid w:val="00C65291"/>
    <w:rsid w:val="00C664D7"/>
    <w:rsid w:val="00C72E49"/>
    <w:rsid w:val="00CD0794"/>
    <w:rsid w:val="00CD0D4C"/>
    <w:rsid w:val="00D160A5"/>
    <w:rsid w:val="00D3444F"/>
    <w:rsid w:val="00D43F91"/>
    <w:rsid w:val="00D52918"/>
    <w:rsid w:val="00D5549A"/>
    <w:rsid w:val="00D570D8"/>
    <w:rsid w:val="00D61A35"/>
    <w:rsid w:val="00D90A1B"/>
    <w:rsid w:val="00DE4521"/>
    <w:rsid w:val="00DF14E6"/>
    <w:rsid w:val="00E167CB"/>
    <w:rsid w:val="00E21150"/>
    <w:rsid w:val="00E458C3"/>
    <w:rsid w:val="00E92D2C"/>
    <w:rsid w:val="00EF421C"/>
    <w:rsid w:val="00F46CEA"/>
    <w:rsid w:val="00F934C6"/>
    <w:rsid w:val="00FB0824"/>
    <w:rsid w:val="00FE3DB8"/>
    <w:rsid w:val="00FE6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E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3C6ECB"/>
    <w:pPr>
      <w:pBdr>
        <w:top w:val="nil"/>
        <w:left w:val="nil"/>
        <w:bottom w:val="nil"/>
        <w:right w:val="nil"/>
        <w:between w:val="nil"/>
        <w:bar w:val="nil"/>
      </w:pBdr>
      <w:tabs>
        <w:tab w:val="center" w:pos="4513"/>
        <w:tab w:val="right" w:pos="9026"/>
      </w:tabs>
      <w:spacing w:after="0" w:line="240" w:lineRule="auto"/>
    </w:pPr>
    <w:rPr>
      <w:rFonts w:ascii="Cambria" w:eastAsia="Cambria" w:hAnsi="Cambria" w:cs="Cambria"/>
      <w:color w:val="000000"/>
      <w:sz w:val="24"/>
      <w:szCs w:val="24"/>
      <w:u w:color="000000"/>
      <w:bdr w:val="nil"/>
      <w:lang w:eastAsia="es-ES"/>
    </w:rPr>
  </w:style>
  <w:style w:type="character" w:customStyle="1" w:styleId="FooterChar">
    <w:name w:val="Footer Char"/>
    <w:basedOn w:val="DefaultParagraphFont"/>
    <w:link w:val="Footer"/>
    <w:uiPriority w:val="99"/>
    <w:rsid w:val="003C6ECB"/>
    <w:rPr>
      <w:rFonts w:ascii="Cambria" w:eastAsia="Cambria" w:hAnsi="Cambria" w:cs="Cambria"/>
      <w:color w:val="000000"/>
      <w:sz w:val="24"/>
      <w:szCs w:val="24"/>
      <w:u w:color="000000"/>
      <w:bdr w:val="nil"/>
      <w:lang w:eastAsia="es-ES"/>
    </w:rPr>
  </w:style>
  <w:style w:type="paragraph" w:styleId="ListParagraph">
    <w:name w:val="List Paragraph"/>
    <w:uiPriority w:val="34"/>
    <w:qFormat/>
    <w:rsid w:val="003C6ECB"/>
    <w:pPr>
      <w:pBdr>
        <w:top w:val="nil"/>
        <w:left w:val="nil"/>
        <w:bottom w:val="nil"/>
        <w:right w:val="nil"/>
        <w:between w:val="nil"/>
        <w:bar w:val="nil"/>
      </w:pBdr>
      <w:spacing w:after="0" w:line="240" w:lineRule="auto"/>
      <w:ind w:left="720"/>
    </w:pPr>
    <w:rPr>
      <w:rFonts w:ascii="Cambria" w:eastAsia="Cambria" w:hAnsi="Cambria" w:cs="Cambria"/>
      <w:color w:val="000000"/>
      <w:sz w:val="24"/>
      <w:szCs w:val="24"/>
      <w:u w:color="000000"/>
      <w:bdr w:val="nil"/>
      <w:lang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sid w:val="003C6ECB"/>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lang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rsid w:val="003C6ECB"/>
    <w:rPr>
      <w:rFonts w:ascii="Calibri" w:eastAsia="Calibri" w:hAnsi="Calibri" w:cs="Calibri"/>
      <w:color w:val="000000"/>
      <w:sz w:val="20"/>
      <w:szCs w:val="20"/>
      <w:u w:color="000000"/>
      <w:bdr w:val="nil"/>
      <w:lang w:eastAsia="es-ES"/>
    </w:rPr>
  </w:style>
  <w:style w:type="paragraph" w:styleId="Header">
    <w:name w:val="header"/>
    <w:aliases w:val="encabezado"/>
    <w:basedOn w:val="Normal"/>
    <w:link w:val="HeaderChar"/>
    <w:uiPriority w:val="99"/>
    <w:rsid w:val="003C6EC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3C6ECB"/>
    <w:rPr>
      <w:rFonts w:ascii="Univers" w:eastAsia="Times New Roman" w:hAnsi="Univers" w:cs="Univers"/>
      <w:sz w:val="24"/>
      <w:szCs w:val="24"/>
    </w:rPr>
  </w:style>
  <w:style w:type="character" w:styleId="PageNumber">
    <w:name w:val="page number"/>
    <w:basedOn w:val="DefaultParagraphFont"/>
    <w:rsid w:val="003C6ECB"/>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3C6ECB"/>
    <w:rPr>
      <w:rFonts w:cs="Times New Roman"/>
      <w:vertAlign w:val="superscript"/>
    </w:rPr>
  </w:style>
  <w:style w:type="table" w:styleId="TableGrid">
    <w:name w:val="Table Grid"/>
    <w:basedOn w:val="TableNormal"/>
    <w:uiPriority w:val="59"/>
    <w:rsid w:val="003C6EC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C6ECB"/>
    <w:rPr>
      <w:rFonts w:ascii="Tahoma" w:hAnsi="Tahoma" w:cs="Tahoma"/>
      <w:sz w:val="16"/>
      <w:szCs w:val="16"/>
    </w:rPr>
  </w:style>
  <w:style w:type="character" w:customStyle="1" w:styleId="BalloonTextChar">
    <w:name w:val="Balloon Text Char"/>
    <w:basedOn w:val="DefaultParagraphFont"/>
    <w:link w:val="BalloonText"/>
    <w:uiPriority w:val="99"/>
    <w:semiHidden/>
    <w:rsid w:val="003C6ECB"/>
    <w:rPr>
      <w:rFonts w:ascii="Tahoma" w:eastAsia="Arial Unicode MS" w:hAnsi="Tahoma" w:cs="Tahoma"/>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0F0B7ED39534C9CB117E0F90849AFCF"/>
        <w:category>
          <w:name w:val="General"/>
          <w:gallery w:val="placeholder"/>
        </w:category>
        <w:types>
          <w:type w:val="bbPlcHdr"/>
        </w:types>
        <w:behaviors>
          <w:behavior w:val="content"/>
        </w:behaviors>
        <w:guid w:val="{51994A16-11DE-4C53-81C2-F63A3A8FD3DD}"/>
      </w:docPartPr>
      <w:docPartBody>
        <w:p w:rsidR="000B5DD9" w:rsidRDefault="00AB3B85" w:rsidP="00AB3B85">
          <w:pPr>
            <w:pStyle w:val="60F0B7ED39534C9CB117E0F90849AFC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AB3B85"/>
    <w:rsid w:val="00075474"/>
    <w:rsid w:val="000B5DD9"/>
    <w:rsid w:val="00533BC9"/>
    <w:rsid w:val="00AB3B85"/>
    <w:rsid w:val="00B861FC"/>
    <w:rsid w:val="00C61401"/>
    <w:rsid w:val="00EE0D82"/>
    <w:rsid w:val="00F16D89"/>
    <w:rsid w:val="00F53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3B85"/>
    <w:rPr>
      <w:color w:val="808080"/>
    </w:rPr>
  </w:style>
  <w:style w:type="paragraph" w:customStyle="1" w:styleId="60F0B7ED39534C9CB117E0F90849AFCF">
    <w:name w:val="60F0B7ED39534C9CB117E0F90849AFCF"/>
    <w:rsid w:val="00AB3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1746D-9A00-406F-8FB8-16C11CB84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2722</Words>
  <Characters>15522</Characters>
  <Application>Microsoft Office Word</Application>
  <DocSecurity>0</DocSecurity>
  <Lines>129</Lines>
  <Paragraphs>36</Paragraphs>
  <ScaleCrop>false</ScaleCrop>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157/20</dc:title>
  <dc:creator/>
  <cp:lastModifiedBy/>
  <cp:revision>1</cp:revision>
  <dcterms:created xsi:type="dcterms:W3CDTF">2020-07-22T16:30:00Z</dcterms:created>
  <dcterms:modified xsi:type="dcterms:W3CDTF">2020-07-22T16:30:00Z</dcterms:modified>
</cp:coreProperties>
</file>