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1BD6269" w14:textId="77777777" w:rsidR="000673D0" w:rsidRPr="0090270B" w:rsidRDefault="000673D0" w:rsidP="000673D0">
      <w:pPr>
        <w:jc w:val="both"/>
        <w:rPr>
          <w:rFonts w:asciiTheme="majorHAnsi" w:hAnsiTheme="majorHAnsi" w:cs="Univers"/>
          <w:b/>
          <w:bCs/>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3C0EE8E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F9441B5"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145B2817" w:rsidR="00544CCE" w:rsidRDefault="00C05CBD" w:rsidP="000673D0">
                            <w:r>
                              <w:rPr>
                                <w:noProof/>
                              </w:rPr>
                              <w:drawing>
                                <wp:inline distT="0" distB="0" distL="0" distR="0" wp14:anchorId="081DB853" wp14:editId="773503F1">
                                  <wp:extent cx="2522763" cy="485775"/>
                                  <wp:effectExtent l="0" t="0" r="0" b="0"/>
                                  <wp:docPr id="3"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544CCE">
                              <w:rPr>
                                <w:lang w:val="en"/>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145B2817" w:rsidR="00544CCE" w:rsidRDefault="00C05CBD" w:rsidP="000673D0">
                      <w:r>
                        <w:rPr>
                          <w:noProof/>
                        </w:rPr>
                        <w:drawing>
                          <wp:inline distT="0" distB="0" distL="0" distR="0" wp14:anchorId="081DB853" wp14:editId="773503F1">
                            <wp:extent cx="2522763" cy="485775"/>
                            <wp:effectExtent l="0" t="0" r="0" b="0"/>
                            <wp:docPr id="3"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544CCE">
                        <w:rPr>
                          <w:lang w:val="en"/>
                        </w:rPr>
                        <w:tab/>
                        <w:t xml:space="preserve">                              </w:t>
                      </w:r>
                    </w:p>
                  </w:txbxContent>
                </v:textbox>
              </v:shape>
            </w:pict>
          </mc:Fallback>
        </mc:AlternateContent>
      </w:r>
      <w:r>
        <w:rPr>
          <w:rFonts w:asciiTheme="majorHAnsi" w:hAnsiTheme="majorHAnsi"/>
          <w:b/>
          <w:bCs/>
          <w:sz w:val="22"/>
          <w:szCs w:val="22"/>
          <w:lang w:val="en"/>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rPr>
      </w:pPr>
    </w:p>
    <w:p w14:paraId="539C54D8" w14:textId="77777777" w:rsidR="000673D0" w:rsidRPr="0090270B" w:rsidRDefault="000673D0" w:rsidP="000673D0">
      <w:pPr>
        <w:tabs>
          <w:tab w:val="center" w:pos="5400"/>
        </w:tabs>
        <w:suppressAutoHyphens/>
        <w:rPr>
          <w:rFonts w:asciiTheme="majorHAnsi" w:hAnsiTheme="majorHAnsi"/>
          <w:sz w:val="22"/>
          <w:szCs w:val="22"/>
        </w:rPr>
      </w:pPr>
    </w:p>
    <w:p w14:paraId="2F6FC84C" w14:textId="77777777" w:rsidR="000673D0" w:rsidRPr="0090270B" w:rsidRDefault="000673D0" w:rsidP="000673D0">
      <w:pPr>
        <w:tabs>
          <w:tab w:val="center" w:pos="5400"/>
        </w:tabs>
        <w:suppressAutoHyphens/>
        <w:rPr>
          <w:rFonts w:asciiTheme="majorHAnsi" w:hAnsiTheme="majorHAnsi"/>
          <w:sz w:val="22"/>
          <w:szCs w:val="22"/>
        </w:rPr>
      </w:pPr>
    </w:p>
    <w:p w14:paraId="6E63DFAD" w14:textId="77777777" w:rsidR="000673D0" w:rsidRPr="0090270B" w:rsidRDefault="000673D0" w:rsidP="000673D0">
      <w:pPr>
        <w:tabs>
          <w:tab w:val="center" w:pos="5400"/>
        </w:tabs>
        <w:suppressAutoHyphens/>
        <w:rPr>
          <w:rFonts w:asciiTheme="majorHAnsi" w:hAnsiTheme="majorHAnsi"/>
          <w:sz w:val="22"/>
          <w:szCs w:val="22"/>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2C14E892" w:rsidR="00544CCE" w:rsidRPr="004E2649" w:rsidRDefault="00544CCE" w:rsidP="000673D0">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D617A0">
                              <w:rPr>
                                <w:rFonts w:asciiTheme="majorHAnsi" w:hAnsiTheme="majorHAnsi" w:cs="Arial"/>
                                <w:b/>
                                <w:bCs/>
                                <w:color w:val="0D0D0D" w:themeColor="text1" w:themeTint="F2"/>
                                <w:sz w:val="36"/>
                                <w:szCs w:val="22"/>
                                <w:lang w:val="en"/>
                              </w:rPr>
                              <w:t>238</w:t>
                            </w:r>
                            <w:r>
                              <w:rPr>
                                <w:rFonts w:asciiTheme="majorHAnsi" w:hAnsiTheme="majorHAnsi" w:cs="Arial"/>
                                <w:b/>
                                <w:bCs/>
                                <w:color w:val="0D0D0D" w:themeColor="text1" w:themeTint="F2"/>
                                <w:sz w:val="36"/>
                                <w:szCs w:val="22"/>
                                <w:lang w:val="en"/>
                              </w:rPr>
                              <w:t>/20</w:t>
                            </w:r>
                          </w:p>
                          <w:p w14:paraId="3E93845E" w14:textId="76E3DE5A" w:rsidR="00544CCE" w:rsidRDefault="00544CCE" w:rsidP="000673D0">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1437-09 </w:t>
                            </w:r>
                          </w:p>
                          <w:p w14:paraId="3C49EBA1" w14:textId="367384C2" w:rsidR="00544CCE" w:rsidRPr="0010736F" w:rsidRDefault="00544CCE" w:rsidP="000673D0">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14:paraId="7AE16563" w14:textId="77777777" w:rsidR="00544CCE" w:rsidRPr="0010736F" w:rsidRDefault="00544CCE" w:rsidP="000673D0">
                            <w:pPr>
                              <w:spacing w:line="276" w:lineRule="auto"/>
                              <w:rPr>
                                <w:rFonts w:asciiTheme="majorHAnsi" w:hAnsiTheme="majorHAnsi" w:cs="Arial"/>
                                <w:color w:val="0D0D0D" w:themeColor="text1" w:themeTint="F2"/>
                                <w:szCs w:val="22"/>
                              </w:rPr>
                            </w:pPr>
                            <w:bookmarkStart w:id="1" w:name="_ftnref1"/>
                          </w:p>
                          <w:bookmarkEnd w:id="1"/>
                          <w:p w14:paraId="213AA93C" w14:textId="01356CCB" w:rsidR="00544CCE" w:rsidRDefault="00544CCE"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n"/>
                              </w:rPr>
                              <w:t>WILBERT ELKI MEZA MAJINO</w:t>
                            </w:r>
                          </w:p>
                          <w:p w14:paraId="627B2D33" w14:textId="77777777" w:rsidR="00544CCE" w:rsidRPr="005E3EF7" w:rsidRDefault="00544CCE"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n"/>
                              </w:rPr>
                              <w:t>PERU</w:t>
                            </w:r>
                          </w:p>
                          <w:p w14:paraId="6D9AEAC1" w14:textId="77777777" w:rsidR="00544CCE" w:rsidRPr="00AE5488" w:rsidRDefault="00544CCE" w:rsidP="000673D0">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50532B" w14:textId="2C14E892" w:rsidR="00544CCE" w:rsidRPr="004E2649" w:rsidRDefault="00544CCE" w:rsidP="000673D0">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b/>
                          <w:bCs/>
                          <w:color w:val="0D0D0D" w:themeColor="text1" w:themeTint="F2"/>
                          <w:sz w:val="36"/>
                          <w:szCs w:val="22"/>
                          <w:lang w:val="en"/>
                        </w:rPr>
                        <w:t xml:space="preserve"> </w:t>
                      </w:r>
                      <w:r w:rsidR="00D617A0">
                        <w:rPr>
                          <w:rFonts w:asciiTheme="majorHAnsi" w:hAnsiTheme="majorHAnsi" w:cs="Arial"/>
                          <w:b/>
                          <w:bCs/>
                          <w:color w:val="0D0D0D" w:themeColor="text1" w:themeTint="F2"/>
                          <w:sz w:val="36"/>
                          <w:szCs w:val="22"/>
                          <w:lang w:val="en"/>
                        </w:rPr>
                        <w:t>238</w:t>
                      </w:r>
                      <w:r>
                        <w:rPr>
                          <w:rFonts w:asciiTheme="majorHAnsi" w:hAnsiTheme="majorHAnsi" w:cs="Arial"/>
                          <w:b/>
                          <w:bCs/>
                          <w:color w:val="0D0D0D" w:themeColor="text1" w:themeTint="F2"/>
                          <w:sz w:val="36"/>
                          <w:szCs w:val="22"/>
                          <w:lang w:val="en"/>
                        </w:rPr>
                        <w:t>/20</w:t>
                      </w:r>
                    </w:p>
                    <w:p w14:paraId="3E93845E" w14:textId="76E3DE5A" w:rsidR="00544CCE" w:rsidRDefault="00544CCE" w:rsidP="000673D0">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1437-09 </w:t>
                      </w:r>
                    </w:p>
                    <w:p w14:paraId="3C49EBA1" w14:textId="367384C2" w:rsidR="00544CCE" w:rsidRPr="0010736F" w:rsidRDefault="00544CCE" w:rsidP="000673D0">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14:paraId="7AE16563" w14:textId="77777777" w:rsidR="00544CCE" w:rsidRPr="0010736F" w:rsidRDefault="00544CCE" w:rsidP="000673D0">
                      <w:pPr>
                        <w:spacing w:line="276" w:lineRule="auto"/>
                        <w:rPr>
                          <w:rFonts w:asciiTheme="majorHAnsi" w:hAnsiTheme="majorHAnsi" w:cs="Arial"/>
                          <w:color w:val="0D0D0D" w:themeColor="text1" w:themeTint="F2"/>
                          <w:szCs w:val="22"/>
                        </w:rPr>
                      </w:pPr>
                      <w:bookmarkStart w:id="1" w:name="_ftnref1"/>
                    </w:p>
                    <w:bookmarkEnd w:id="1"/>
                    <w:p w14:paraId="213AA93C" w14:textId="01356CCB" w:rsidR="00544CCE" w:rsidRDefault="00544CCE"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n"/>
                        </w:rPr>
                        <w:t>WILBERT ELKI MEZA MAJINO</w:t>
                      </w:r>
                    </w:p>
                    <w:p w14:paraId="627B2D33" w14:textId="77777777" w:rsidR="00544CCE" w:rsidRPr="005E3EF7" w:rsidRDefault="00544CCE"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n"/>
                        </w:rPr>
                        <w:t>PERU</w:t>
                      </w:r>
                    </w:p>
                    <w:p w14:paraId="6D9AEAC1" w14:textId="77777777" w:rsidR="00544CCE" w:rsidRPr="00AE5488" w:rsidRDefault="00544CCE" w:rsidP="000673D0">
                      <w:pPr>
                        <w:rPr>
                          <w:color w:val="0D0D0D" w:themeColor="text1" w:themeTint="F2"/>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1D0B9006" w:rsidR="00544CCE" w:rsidRPr="00D617A0" w:rsidRDefault="00544CCE" w:rsidP="000673D0">
                            <w:pPr>
                              <w:spacing w:line="276" w:lineRule="auto"/>
                              <w:jc w:val="right"/>
                              <w:rPr>
                                <w:rFonts w:asciiTheme="minorHAnsi" w:hAnsiTheme="minorHAnsi"/>
                                <w:color w:val="FFFFFF" w:themeColor="background1"/>
                                <w:sz w:val="22"/>
                                <w:lang w:val="pt-BR"/>
                              </w:rPr>
                            </w:pPr>
                            <w:r w:rsidRPr="00D617A0">
                              <w:rPr>
                                <w:rFonts w:asciiTheme="minorHAnsi" w:hAnsiTheme="minorHAnsi"/>
                                <w:color w:val="FFFFFF" w:themeColor="background1"/>
                                <w:sz w:val="22"/>
                                <w:lang w:val="pt-BR"/>
                              </w:rPr>
                              <w:t>OEA/Ser.L/V/II.</w:t>
                            </w:r>
                          </w:p>
                          <w:p w14:paraId="3449BBFC" w14:textId="0B49E085" w:rsidR="00544CCE" w:rsidRPr="00D617A0" w:rsidRDefault="00D617A0" w:rsidP="000673D0">
                            <w:pPr>
                              <w:spacing w:line="276" w:lineRule="auto"/>
                              <w:jc w:val="right"/>
                              <w:rPr>
                                <w:rFonts w:asciiTheme="minorHAnsi" w:hAnsiTheme="minorHAnsi"/>
                                <w:color w:val="FFFFFF" w:themeColor="background1"/>
                                <w:sz w:val="22"/>
                                <w:lang w:val="pt-BR"/>
                              </w:rPr>
                            </w:pPr>
                            <w:r w:rsidRPr="00D617A0">
                              <w:rPr>
                                <w:rFonts w:asciiTheme="minorHAnsi" w:hAnsiTheme="minorHAnsi"/>
                                <w:color w:val="FFFFFF" w:themeColor="background1"/>
                                <w:sz w:val="22"/>
                                <w:lang w:val="pt-BR"/>
                              </w:rPr>
                              <w:t>Doc. 253</w:t>
                            </w:r>
                          </w:p>
                          <w:p w14:paraId="0BBD91A2" w14:textId="50AF6976" w:rsidR="00544CCE" w:rsidRPr="007411DA" w:rsidRDefault="00544CCE" w:rsidP="000673D0">
                            <w:pPr>
                              <w:spacing w:line="276" w:lineRule="auto"/>
                              <w:jc w:val="right"/>
                              <w:rPr>
                                <w:rFonts w:asciiTheme="minorHAnsi" w:hAnsiTheme="minorHAnsi"/>
                                <w:color w:val="FFFFFF" w:themeColor="background1"/>
                                <w:sz w:val="22"/>
                              </w:rPr>
                            </w:pPr>
                            <w:r w:rsidRPr="00D617A0">
                              <w:rPr>
                                <w:rFonts w:asciiTheme="minorHAnsi" w:hAnsiTheme="minorHAnsi"/>
                                <w:color w:val="FFFFFF" w:themeColor="background1"/>
                                <w:sz w:val="22"/>
                                <w:lang w:val="pt-BR"/>
                              </w:rPr>
                              <w:t xml:space="preserve"> </w:t>
                            </w:r>
                            <w:r w:rsidR="00D617A0">
                              <w:rPr>
                                <w:rFonts w:asciiTheme="minorHAnsi" w:hAnsiTheme="minorHAnsi"/>
                                <w:color w:val="FFFFFF" w:themeColor="background1"/>
                                <w:sz w:val="22"/>
                                <w:lang w:val="en"/>
                              </w:rPr>
                              <w:t xml:space="preserve">4 </w:t>
                            </w:r>
                            <w:r w:rsidR="00E909A5">
                              <w:rPr>
                                <w:rFonts w:asciiTheme="minorHAnsi" w:hAnsiTheme="minorHAnsi"/>
                                <w:color w:val="FFFFFF" w:themeColor="background1"/>
                                <w:sz w:val="22"/>
                                <w:lang w:val="en"/>
                              </w:rPr>
                              <w:t>Se</w:t>
                            </w:r>
                            <w:r w:rsidR="00D617A0">
                              <w:rPr>
                                <w:rFonts w:asciiTheme="minorHAnsi" w:hAnsiTheme="minorHAnsi"/>
                                <w:color w:val="FFFFFF" w:themeColor="background1"/>
                                <w:sz w:val="22"/>
                                <w:lang w:val="en"/>
                              </w:rPr>
                              <w:t>ptember</w:t>
                            </w:r>
                            <w:r w:rsidRPr="007411DA">
                              <w:rPr>
                                <w:rFonts w:asciiTheme="minorHAnsi" w:hAnsiTheme="minorHAnsi"/>
                                <w:color w:val="FFFFFF" w:themeColor="background1"/>
                                <w:sz w:val="22"/>
                                <w:lang w:val="en"/>
                              </w:rPr>
                              <w:t xml:space="preserve"> 2020</w:t>
                            </w:r>
                          </w:p>
                          <w:p w14:paraId="0288BA97" w14:textId="77777777" w:rsidR="00544CCE" w:rsidRPr="00C25ADB" w:rsidRDefault="00544CCE" w:rsidP="000673D0">
                            <w:pPr>
                              <w:spacing w:line="276" w:lineRule="auto"/>
                              <w:jc w:val="right"/>
                              <w:rPr>
                                <w:rFonts w:asciiTheme="minorHAnsi" w:hAnsiTheme="minorHAnsi"/>
                                <w:color w:val="FFFFFF" w:themeColor="background1"/>
                                <w:sz w:val="22"/>
                              </w:rPr>
                            </w:pPr>
                            <w:r w:rsidRPr="007411DA">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E3426"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1D0B9006" w:rsidR="00544CCE" w:rsidRPr="00D617A0" w:rsidRDefault="00544CCE" w:rsidP="000673D0">
                      <w:pPr>
                        <w:spacing w:line="276" w:lineRule="auto"/>
                        <w:jc w:val="right"/>
                        <w:rPr>
                          <w:rFonts w:asciiTheme="minorHAnsi" w:hAnsiTheme="minorHAnsi"/>
                          <w:color w:val="FFFFFF" w:themeColor="background1"/>
                          <w:sz w:val="22"/>
                          <w:lang w:val="pt-BR"/>
                        </w:rPr>
                      </w:pPr>
                      <w:r w:rsidRPr="00D617A0">
                        <w:rPr>
                          <w:rFonts w:asciiTheme="minorHAnsi" w:hAnsiTheme="minorHAnsi"/>
                          <w:color w:val="FFFFFF" w:themeColor="background1"/>
                          <w:sz w:val="22"/>
                          <w:lang w:val="pt-BR"/>
                        </w:rPr>
                        <w:t>OEA/Ser.L/V/II.</w:t>
                      </w:r>
                    </w:p>
                    <w:p w14:paraId="3449BBFC" w14:textId="0B49E085" w:rsidR="00544CCE" w:rsidRPr="00D617A0" w:rsidRDefault="00D617A0" w:rsidP="000673D0">
                      <w:pPr>
                        <w:spacing w:line="276" w:lineRule="auto"/>
                        <w:jc w:val="right"/>
                        <w:rPr>
                          <w:rFonts w:asciiTheme="minorHAnsi" w:hAnsiTheme="minorHAnsi"/>
                          <w:color w:val="FFFFFF" w:themeColor="background1"/>
                          <w:sz w:val="22"/>
                          <w:lang w:val="pt-BR"/>
                        </w:rPr>
                      </w:pPr>
                      <w:r w:rsidRPr="00D617A0">
                        <w:rPr>
                          <w:rFonts w:asciiTheme="minorHAnsi" w:hAnsiTheme="minorHAnsi"/>
                          <w:color w:val="FFFFFF" w:themeColor="background1"/>
                          <w:sz w:val="22"/>
                          <w:lang w:val="pt-BR"/>
                        </w:rPr>
                        <w:t>Doc. 253</w:t>
                      </w:r>
                    </w:p>
                    <w:p w14:paraId="0BBD91A2" w14:textId="50AF6976" w:rsidR="00544CCE" w:rsidRPr="007411DA" w:rsidRDefault="00544CCE" w:rsidP="000673D0">
                      <w:pPr>
                        <w:spacing w:line="276" w:lineRule="auto"/>
                        <w:jc w:val="right"/>
                        <w:rPr>
                          <w:rFonts w:asciiTheme="minorHAnsi" w:hAnsiTheme="minorHAnsi"/>
                          <w:color w:val="FFFFFF" w:themeColor="background1"/>
                          <w:sz w:val="22"/>
                        </w:rPr>
                      </w:pPr>
                      <w:r w:rsidRPr="00D617A0">
                        <w:rPr>
                          <w:rFonts w:asciiTheme="minorHAnsi" w:hAnsiTheme="minorHAnsi"/>
                          <w:color w:val="FFFFFF" w:themeColor="background1"/>
                          <w:sz w:val="22"/>
                          <w:lang w:val="pt-BR"/>
                        </w:rPr>
                        <w:t xml:space="preserve"> </w:t>
                      </w:r>
                      <w:r w:rsidR="00D617A0">
                        <w:rPr>
                          <w:rFonts w:asciiTheme="minorHAnsi" w:hAnsiTheme="minorHAnsi"/>
                          <w:color w:val="FFFFFF" w:themeColor="background1"/>
                          <w:sz w:val="22"/>
                          <w:lang w:val="en"/>
                        </w:rPr>
                        <w:t xml:space="preserve">4 </w:t>
                      </w:r>
                      <w:r w:rsidR="00E909A5">
                        <w:rPr>
                          <w:rFonts w:asciiTheme="minorHAnsi" w:hAnsiTheme="minorHAnsi"/>
                          <w:color w:val="FFFFFF" w:themeColor="background1"/>
                          <w:sz w:val="22"/>
                          <w:lang w:val="en"/>
                        </w:rPr>
                        <w:t>Se</w:t>
                      </w:r>
                      <w:r w:rsidR="00D617A0">
                        <w:rPr>
                          <w:rFonts w:asciiTheme="minorHAnsi" w:hAnsiTheme="minorHAnsi"/>
                          <w:color w:val="FFFFFF" w:themeColor="background1"/>
                          <w:sz w:val="22"/>
                          <w:lang w:val="en"/>
                        </w:rPr>
                        <w:t>ptember</w:t>
                      </w:r>
                      <w:r w:rsidRPr="007411DA">
                        <w:rPr>
                          <w:rFonts w:asciiTheme="minorHAnsi" w:hAnsiTheme="minorHAnsi"/>
                          <w:color w:val="FFFFFF" w:themeColor="background1"/>
                          <w:sz w:val="22"/>
                          <w:lang w:val="en"/>
                        </w:rPr>
                        <w:t xml:space="preserve"> 2020</w:t>
                      </w:r>
                    </w:p>
                    <w:p w14:paraId="0288BA97" w14:textId="77777777" w:rsidR="00544CCE" w:rsidRPr="00C25ADB" w:rsidRDefault="00544CCE" w:rsidP="000673D0">
                      <w:pPr>
                        <w:spacing w:line="276" w:lineRule="auto"/>
                        <w:jc w:val="right"/>
                        <w:rPr>
                          <w:rFonts w:asciiTheme="minorHAnsi" w:hAnsiTheme="minorHAnsi"/>
                          <w:color w:val="FFFFFF" w:themeColor="background1"/>
                          <w:sz w:val="22"/>
                        </w:rPr>
                      </w:pPr>
                      <w:r w:rsidRPr="007411DA">
                        <w:rPr>
                          <w:rFonts w:asciiTheme="minorHAnsi" w:hAnsiTheme="minorHAnsi"/>
                          <w:color w:val="FFFFFF" w:themeColor="background1"/>
                          <w:sz w:val="22"/>
                          <w:lang w:val="en"/>
                        </w:rPr>
                        <w:t>Original: Spanish</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348764A4" w:rsidR="00544CCE" w:rsidRPr="00890650" w:rsidRDefault="00544CCE" w:rsidP="000673D0">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Approved</w:t>
                            </w:r>
                            <w:r w:rsidR="00D617A0">
                              <w:rPr>
                                <w:rFonts w:asciiTheme="majorHAnsi" w:hAnsiTheme="majorHAnsi"/>
                                <w:color w:val="0D0D0D" w:themeColor="text1" w:themeTint="F2"/>
                                <w:sz w:val="18"/>
                                <w:szCs w:val="22"/>
                                <w:lang w:val="en"/>
                              </w:rPr>
                              <w:t xml:space="preserve"> electronically</w:t>
                            </w:r>
                            <w:r>
                              <w:rPr>
                                <w:rFonts w:asciiTheme="majorHAnsi" w:hAnsiTheme="majorHAnsi"/>
                                <w:color w:val="0D0D0D" w:themeColor="text1" w:themeTint="F2"/>
                                <w:sz w:val="18"/>
                                <w:szCs w:val="22"/>
                                <w:lang w:val="en"/>
                              </w:rPr>
                              <w:t xml:space="preserve"> by the Commission on </w:t>
                            </w:r>
                            <w:r w:rsidR="00D617A0">
                              <w:rPr>
                                <w:rFonts w:asciiTheme="majorHAnsi" w:hAnsiTheme="majorHAnsi"/>
                                <w:color w:val="0D0D0D" w:themeColor="text1" w:themeTint="F2"/>
                                <w:sz w:val="18"/>
                                <w:szCs w:val="22"/>
                                <w:lang w:val="en"/>
                              </w:rPr>
                              <w:t>September 4</w:t>
                            </w:r>
                            <w:r>
                              <w:rPr>
                                <w:rFonts w:asciiTheme="majorHAnsi" w:hAnsiTheme="majorHAnsi"/>
                                <w:color w:val="0D0D0D" w:themeColor="text1" w:themeTint="F2"/>
                                <w:sz w:val="18"/>
                                <w:szCs w:val="22"/>
                                <w:lang w:val="en"/>
                              </w:rPr>
                              <w:t>, 2020</w:t>
                            </w:r>
                            <w:r w:rsidR="00E909A5">
                              <w:rPr>
                                <w:rFonts w:asciiTheme="majorHAnsi" w:hAnsiTheme="majorHAnsi"/>
                                <w:color w:val="0D0D0D" w:themeColor="text1" w:themeTint="F2"/>
                                <w:sz w:val="18"/>
                                <w:szCs w:val="22"/>
                                <w:lang w:val="en"/>
                              </w:rPr>
                              <w:t>.</w:t>
                            </w:r>
                          </w:p>
                          <w:p w14:paraId="4F6ABB5B" w14:textId="77777777" w:rsidR="00544CCE" w:rsidRPr="007A5817" w:rsidRDefault="00544CCE"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544CCE" w:rsidRPr="00167A34" w:rsidRDefault="00544CCE" w:rsidP="000673D0">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053FBA" w14:textId="348764A4" w:rsidR="00544CCE" w:rsidRPr="00890650" w:rsidRDefault="00544CCE" w:rsidP="000673D0">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lang w:val="en"/>
                        </w:rPr>
                        <w:t>Approved</w:t>
                      </w:r>
                      <w:r w:rsidR="00D617A0">
                        <w:rPr>
                          <w:rFonts w:asciiTheme="majorHAnsi" w:hAnsiTheme="majorHAnsi"/>
                          <w:color w:val="0D0D0D" w:themeColor="text1" w:themeTint="F2"/>
                          <w:sz w:val="18"/>
                          <w:szCs w:val="22"/>
                          <w:lang w:val="en"/>
                        </w:rPr>
                        <w:t xml:space="preserve"> electronically</w:t>
                      </w:r>
                      <w:r>
                        <w:rPr>
                          <w:rFonts w:asciiTheme="majorHAnsi" w:hAnsiTheme="majorHAnsi"/>
                          <w:color w:val="0D0D0D" w:themeColor="text1" w:themeTint="F2"/>
                          <w:sz w:val="18"/>
                          <w:szCs w:val="22"/>
                          <w:lang w:val="en"/>
                        </w:rPr>
                        <w:t xml:space="preserve"> by the Commission on </w:t>
                      </w:r>
                      <w:r w:rsidR="00D617A0">
                        <w:rPr>
                          <w:rFonts w:asciiTheme="majorHAnsi" w:hAnsiTheme="majorHAnsi"/>
                          <w:color w:val="0D0D0D" w:themeColor="text1" w:themeTint="F2"/>
                          <w:sz w:val="18"/>
                          <w:szCs w:val="22"/>
                          <w:lang w:val="en"/>
                        </w:rPr>
                        <w:t>September 4</w:t>
                      </w:r>
                      <w:r>
                        <w:rPr>
                          <w:rFonts w:asciiTheme="majorHAnsi" w:hAnsiTheme="majorHAnsi"/>
                          <w:color w:val="0D0D0D" w:themeColor="text1" w:themeTint="F2"/>
                          <w:sz w:val="18"/>
                          <w:szCs w:val="22"/>
                          <w:lang w:val="en"/>
                        </w:rPr>
                        <w:t>, 2020</w:t>
                      </w:r>
                      <w:r w:rsidR="00E909A5">
                        <w:rPr>
                          <w:rFonts w:asciiTheme="majorHAnsi" w:hAnsiTheme="majorHAnsi"/>
                          <w:color w:val="0D0D0D" w:themeColor="text1" w:themeTint="F2"/>
                          <w:sz w:val="18"/>
                          <w:szCs w:val="22"/>
                          <w:lang w:val="en"/>
                        </w:rPr>
                        <w:t>.</w:t>
                      </w:r>
                    </w:p>
                    <w:p w14:paraId="4F6ABB5B" w14:textId="77777777" w:rsidR="00544CCE" w:rsidRPr="007A5817" w:rsidRDefault="00544CCE"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544CCE" w:rsidRPr="00167A34" w:rsidRDefault="00544CCE" w:rsidP="000673D0">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0D8600F5" w:rsidR="00544CCE" w:rsidRPr="007B05C4" w:rsidRDefault="00544CCE" w:rsidP="000673D0">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r w:rsidR="00D617A0">
                              <w:rPr>
                                <w:rFonts w:asciiTheme="majorHAnsi" w:hAnsiTheme="majorHAnsi"/>
                                <w:color w:val="595959" w:themeColor="text1" w:themeTint="A6"/>
                                <w:sz w:val="18"/>
                                <w:szCs w:val="18"/>
                                <w:lang w:val="en"/>
                              </w:rPr>
                              <w:t>238</w:t>
                            </w:r>
                            <w:r>
                              <w:rPr>
                                <w:rFonts w:asciiTheme="majorHAnsi" w:hAnsiTheme="majorHAnsi"/>
                                <w:color w:val="595959" w:themeColor="text1" w:themeTint="A6"/>
                                <w:sz w:val="18"/>
                                <w:szCs w:val="18"/>
                                <w:lang w:val="en"/>
                              </w:rPr>
                              <w:t xml:space="preserve">/20. Petition 1437-09. </w:t>
                            </w:r>
                            <w:r w:rsidR="00D617A0">
                              <w:rPr>
                                <w:rFonts w:asciiTheme="majorHAnsi" w:hAnsiTheme="majorHAnsi"/>
                                <w:color w:val="595959" w:themeColor="text1" w:themeTint="A6"/>
                                <w:sz w:val="18"/>
                                <w:szCs w:val="18"/>
                                <w:lang w:val="en"/>
                              </w:rPr>
                              <w:t>A</w:t>
                            </w:r>
                            <w:r>
                              <w:rPr>
                                <w:rFonts w:asciiTheme="majorHAnsi" w:hAnsiTheme="majorHAnsi"/>
                                <w:color w:val="595959" w:themeColor="text1" w:themeTint="A6"/>
                                <w:sz w:val="18"/>
                                <w:szCs w:val="18"/>
                                <w:lang w:val="en"/>
                              </w:rPr>
                              <w:t>dmissibility</w:t>
                            </w:r>
                            <w:r w:rsidR="00D617A0">
                              <w:rPr>
                                <w:rFonts w:asciiTheme="majorHAnsi" w:hAnsiTheme="majorHAnsi"/>
                                <w:color w:val="595959" w:themeColor="text1" w:themeTint="A6"/>
                                <w:sz w:val="18"/>
                                <w:szCs w:val="18"/>
                                <w:lang w:val="en"/>
                              </w:rPr>
                              <w:t xml:space="preserve">. </w:t>
                            </w:r>
                            <w:r>
                              <w:rPr>
                                <w:rFonts w:ascii="Cambria" w:hAnsi="Cambria"/>
                                <w:color w:val="595959"/>
                                <w:sz w:val="18"/>
                                <w:szCs w:val="18"/>
                                <w:lang w:val="en"/>
                              </w:rPr>
                              <w:t xml:space="preserve">Wilbert </w:t>
                            </w:r>
                            <w:proofErr w:type="spellStart"/>
                            <w:r>
                              <w:rPr>
                                <w:rFonts w:ascii="Cambria" w:hAnsi="Cambria"/>
                                <w:color w:val="595959"/>
                                <w:sz w:val="18"/>
                                <w:szCs w:val="18"/>
                                <w:lang w:val="en"/>
                              </w:rPr>
                              <w:t>Elki</w:t>
                            </w:r>
                            <w:proofErr w:type="spellEnd"/>
                            <w:r>
                              <w:rPr>
                                <w:rFonts w:ascii="Cambria" w:hAnsi="Cambria"/>
                                <w:color w:val="595959"/>
                                <w:sz w:val="18"/>
                                <w:szCs w:val="18"/>
                                <w:lang w:val="en"/>
                              </w:rPr>
                              <w:t xml:space="preserve"> Meza </w:t>
                            </w:r>
                            <w:proofErr w:type="spellStart"/>
                            <w:r>
                              <w:rPr>
                                <w:rFonts w:ascii="Cambria" w:hAnsi="Cambria"/>
                                <w:color w:val="595959"/>
                                <w:sz w:val="18"/>
                                <w:szCs w:val="18"/>
                                <w:lang w:val="en"/>
                              </w:rPr>
                              <w:t>Majino</w:t>
                            </w:r>
                            <w:proofErr w:type="spellEnd"/>
                            <w:r>
                              <w:rPr>
                                <w:rFonts w:asciiTheme="majorHAnsi" w:hAnsiTheme="majorHAnsi"/>
                                <w:color w:val="595959" w:themeColor="text1" w:themeTint="A6"/>
                                <w:sz w:val="18"/>
                                <w:szCs w:val="18"/>
                                <w:lang w:val="en"/>
                              </w:rPr>
                              <w:t xml:space="preserve">. Peru. </w:t>
                            </w:r>
                            <w:r w:rsidR="00D617A0">
                              <w:rPr>
                                <w:rFonts w:asciiTheme="majorHAnsi" w:hAnsiTheme="majorHAnsi"/>
                                <w:color w:val="595959" w:themeColor="text1" w:themeTint="A6"/>
                                <w:sz w:val="18"/>
                                <w:szCs w:val="18"/>
                                <w:lang w:val="en"/>
                              </w:rPr>
                              <w:t>September 4, 2020</w:t>
                            </w:r>
                            <w:r>
                              <w:rPr>
                                <w:rFonts w:asciiTheme="majorHAnsi" w:hAnsiTheme="majorHAnsi"/>
                                <w:color w:val="595959" w:themeColor="text1" w:themeTint="A6"/>
                                <w:sz w:val="18"/>
                                <w:szCs w:val="18"/>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F2B52A" w14:textId="0D8600F5" w:rsidR="00544CCE" w:rsidRPr="007B05C4" w:rsidRDefault="00544CCE" w:rsidP="000673D0">
                      <w:pPr>
                        <w:spacing w:line="276" w:lineRule="auto"/>
                        <w:rPr>
                          <w:rFonts w:asciiTheme="majorHAnsi" w:hAnsiTheme="majorHAnsi"/>
                          <w:color w:val="595959" w:themeColor="text1" w:themeTint="A6"/>
                          <w:sz w:val="18"/>
                          <w:szCs w:val="18"/>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r w:rsidR="00D617A0">
                        <w:rPr>
                          <w:rFonts w:asciiTheme="majorHAnsi" w:hAnsiTheme="majorHAnsi"/>
                          <w:color w:val="595959" w:themeColor="text1" w:themeTint="A6"/>
                          <w:sz w:val="18"/>
                          <w:szCs w:val="18"/>
                          <w:lang w:val="en"/>
                        </w:rPr>
                        <w:t>238</w:t>
                      </w:r>
                      <w:r>
                        <w:rPr>
                          <w:rFonts w:asciiTheme="majorHAnsi" w:hAnsiTheme="majorHAnsi"/>
                          <w:color w:val="595959" w:themeColor="text1" w:themeTint="A6"/>
                          <w:sz w:val="18"/>
                          <w:szCs w:val="18"/>
                          <w:lang w:val="en"/>
                        </w:rPr>
                        <w:t xml:space="preserve">/20. Petition 1437-09. </w:t>
                      </w:r>
                      <w:r w:rsidR="00D617A0">
                        <w:rPr>
                          <w:rFonts w:asciiTheme="majorHAnsi" w:hAnsiTheme="majorHAnsi"/>
                          <w:color w:val="595959" w:themeColor="text1" w:themeTint="A6"/>
                          <w:sz w:val="18"/>
                          <w:szCs w:val="18"/>
                          <w:lang w:val="en"/>
                        </w:rPr>
                        <w:t>A</w:t>
                      </w:r>
                      <w:r>
                        <w:rPr>
                          <w:rFonts w:asciiTheme="majorHAnsi" w:hAnsiTheme="majorHAnsi"/>
                          <w:color w:val="595959" w:themeColor="text1" w:themeTint="A6"/>
                          <w:sz w:val="18"/>
                          <w:szCs w:val="18"/>
                          <w:lang w:val="en"/>
                        </w:rPr>
                        <w:t>dmissibility</w:t>
                      </w:r>
                      <w:r w:rsidR="00D617A0">
                        <w:rPr>
                          <w:rFonts w:asciiTheme="majorHAnsi" w:hAnsiTheme="majorHAnsi"/>
                          <w:color w:val="595959" w:themeColor="text1" w:themeTint="A6"/>
                          <w:sz w:val="18"/>
                          <w:szCs w:val="18"/>
                          <w:lang w:val="en"/>
                        </w:rPr>
                        <w:t xml:space="preserve">. </w:t>
                      </w:r>
                      <w:r>
                        <w:rPr>
                          <w:rFonts w:ascii="Cambria" w:hAnsi="Cambria"/>
                          <w:color w:val="595959"/>
                          <w:sz w:val="18"/>
                          <w:szCs w:val="18"/>
                          <w:lang w:val="en"/>
                        </w:rPr>
                        <w:t>Wilbert Elki Meza Majino</w:t>
                      </w:r>
                      <w:r>
                        <w:rPr>
                          <w:rFonts w:asciiTheme="majorHAnsi" w:hAnsiTheme="majorHAnsi"/>
                          <w:color w:val="595959" w:themeColor="text1" w:themeTint="A6"/>
                          <w:sz w:val="18"/>
                          <w:szCs w:val="18"/>
                          <w:lang w:val="en"/>
                        </w:rPr>
                        <w:t xml:space="preserve">. Peru. </w:t>
                      </w:r>
                      <w:r w:rsidR="00D617A0">
                        <w:rPr>
                          <w:rFonts w:asciiTheme="majorHAnsi" w:hAnsiTheme="majorHAnsi"/>
                          <w:color w:val="595959" w:themeColor="text1" w:themeTint="A6"/>
                          <w:sz w:val="18"/>
                          <w:szCs w:val="18"/>
                          <w:lang w:val="en"/>
                        </w:rPr>
                        <w:t>September 4, 2020</w:t>
                      </w:r>
                      <w:r>
                        <w:rPr>
                          <w:rFonts w:asciiTheme="majorHAnsi" w:hAnsiTheme="majorHAnsi"/>
                          <w:color w:val="595959" w:themeColor="text1" w:themeTint="A6"/>
                          <w:sz w:val="18"/>
                          <w:szCs w:val="18"/>
                          <w:lang w:val="en"/>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rPr>
      </w:pPr>
    </w:p>
    <w:p w14:paraId="09F6F1A8" w14:textId="001C88C4" w:rsidR="000673D0" w:rsidRDefault="00C05CBD" w:rsidP="000673D0">
      <w:pPr>
        <w:tabs>
          <w:tab w:val="center" w:pos="5400"/>
        </w:tabs>
        <w:suppressAutoHyphens/>
        <w:jc w:val="center"/>
        <w:rPr>
          <w:rFonts w:asciiTheme="majorHAnsi" w:hAnsiTheme="majorHAnsi"/>
          <w:b/>
          <w:sz w:val="20"/>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3B54EF0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7A82E968" w:rsidR="00544CCE" w:rsidRPr="00D72DC6" w:rsidRDefault="00C05CBD" w:rsidP="000673D0">
                            <w:pPr>
                              <w:rPr>
                                <w:color w:val="FFFFFF" w:themeColor="background1"/>
                                <w14:textFill>
                                  <w14:noFill/>
                                </w14:textFill>
                              </w:rPr>
                            </w:pPr>
                            <w:r>
                              <w:rPr>
                                <w:noProof/>
                              </w:rPr>
                              <w:drawing>
                                <wp:inline distT="0" distB="0" distL="0" distR="0" wp14:anchorId="0B4121D0" wp14:editId="5CBAD2BF">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F9F72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61CB564" w14:textId="7A82E968" w:rsidR="00544CCE" w:rsidRPr="00D72DC6" w:rsidRDefault="00C05CBD" w:rsidP="000673D0">
                      <w:pPr>
                        <w:rPr>
                          <w:color w:val="FFFFFF" w:themeColor="background1"/>
                          <w14:textFill>
                            <w14:noFill/>
                          </w14:textFill>
                        </w:rPr>
                      </w:pPr>
                      <w:r>
                        <w:rPr>
                          <w:noProof/>
                        </w:rPr>
                        <w:drawing>
                          <wp:inline distT="0" distB="0" distL="0" distR="0" wp14:anchorId="0B4121D0" wp14:editId="5CBAD2BF">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0673D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0866664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44CCE" w:rsidRPr="004B7EB6" w:rsidRDefault="00544CCE" w:rsidP="000673D0">
                            <w:pPr>
                              <w:jc w:val="center"/>
                              <w:rPr>
                                <w:rFonts w:asciiTheme="minorHAnsi" w:hAnsiTheme="minorHAnsi"/>
                                <w:b/>
                                <w:color w:val="FFFFFF" w:themeColor="background1"/>
                              </w:rPr>
                            </w:pPr>
                            <w:r>
                              <w:rPr>
                                <w:rFonts w:asciiTheme="minorHAnsi" w:hAnsiTheme="minorHAnsi"/>
                                <w:b/>
                                <w:bCs/>
                                <w:color w:val="FFFFFF" w:themeColor="background1"/>
                                <w:lang w:val="en"/>
                              </w:rPr>
                              <w:t>www.iachr.org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E975DD"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589E4B" w14:textId="77777777" w:rsidR="00544CCE" w:rsidRPr="004B7EB6" w:rsidRDefault="00544CCE" w:rsidP="000673D0">
                      <w:pPr>
                        <w:jc w:val="center"/>
                        <w:rPr>
                          <w:rFonts w:asciiTheme="minorHAnsi" w:hAnsiTheme="minorHAnsi"/>
                          <w:b/>
                          <w:color w:val="FFFFFF" w:themeColor="background1"/>
                        </w:rPr>
                      </w:pPr>
                      <w:r>
                        <w:rPr>
                          <w:rFonts w:asciiTheme="minorHAnsi" w:hAnsiTheme="minorHAnsi"/>
                          <w:b/>
                          <w:bCs/>
                          <w:color w:val="FFFFFF" w:themeColor="background1"/>
                          <w:lang w:val="en"/>
                        </w:rPr>
                        <w:t>www.iachr.org</w:t>
                      </w:r>
                    </w:p>
                  </w:txbxContent>
                </v:textbox>
              </v:shape>
            </w:pict>
          </mc:Fallback>
        </mc:AlternateContent>
      </w:r>
    </w:p>
    <w:p w14:paraId="61A16E54" w14:textId="5EEB3351" w:rsidR="000673D0" w:rsidRDefault="000673D0" w:rsidP="000673D0">
      <w:pPr>
        <w:tabs>
          <w:tab w:val="center" w:pos="5400"/>
        </w:tabs>
        <w:suppressAutoHyphens/>
        <w:jc w:val="center"/>
        <w:rPr>
          <w:rFonts w:asciiTheme="majorHAnsi" w:hAnsiTheme="majorHAnsi"/>
          <w:b/>
          <w:sz w:val="20"/>
        </w:rPr>
        <w:sectPr w:rsidR="000673D0"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b/>
          <w:bCs/>
          <w:lang w:val="en"/>
        </w:rPr>
        <w:tab/>
      </w:r>
    </w:p>
    <w:p w14:paraId="0912847B" w14:textId="77777777" w:rsidR="000673D0" w:rsidRPr="000673D0" w:rsidRDefault="000673D0" w:rsidP="000673D0">
      <w:pPr>
        <w:spacing w:after="240"/>
        <w:ind w:firstLine="720"/>
        <w:jc w:val="both"/>
        <w:rPr>
          <w:rFonts w:asciiTheme="majorHAnsi" w:hAnsiTheme="majorHAnsi"/>
          <w:b/>
          <w:bCs/>
          <w:sz w:val="20"/>
          <w:szCs w:val="20"/>
        </w:rPr>
      </w:pPr>
      <w:r>
        <w:rPr>
          <w:rFonts w:asciiTheme="majorHAnsi" w:hAnsiTheme="majorHAnsi"/>
          <w:b/>
          <w:bCs/>
          <w:sz w:val="20"/>
          <w:szCs w:val="20"/>
          <w:lang w:val="en"/>
        </w:rPr>
        <w:lastRenderedPageBreak/>
        <w:t>I.</w:t>
      </w:r>
      <w:r>
        <w:rPr>
          <w:rFonts w:asciiTheme="majorHAnsi" w:hAnsiTheme="majorHAnsi"/>
          <w:b/>
          <w:bCs/>
          <w:sz w:val="20"/>
          <w:szCs w:val="20"/>
          <w:lang w:val="en"/>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550772" w14:paraId="325744E4" w14:textId="77777777" w:rsidTr="00C05CBD">
        <w:tc>
          <w:tcPr>
            <w:tcW w:w="3600" w:type="dxa"/>
            <w:tcBorders>
              <w:top w:val="single" w:sz="4" w:space="0" w:color="auto"/>
              <w:bottom w:val="single" w:sz="6" w:space="0" w:color="auto"/>
            </w:tcBorders>
            <w:shd w:val="clear" w:color="auto" w:fill="67AE3C"/>
            <w:vAlign w:val="center"/>
          </w:tcPr>
          <w:p w14:paraId="26710EBE" w14:textId="77777777" w:rsidR="000673D0" w:rsidRPr="000673D0" w:rsidRDefault="000673D0" w:rsidP="0074464F">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Petitioner:</w:t>
            </w:r>
          </w:p>
        </w:tc>
        <w:tc>
          <w:tcPr>
            <w:tcW w:w="5760" w:type="dxa"/>
            <w:vAlign w:val="center"/>
          </w:tcPr>
          <w:p w14:paraId="5A4F615E" w14:textId="5B7AFD7E" w:rsidR="000673D0" w:rsidRPr="00BF7851" w:rsidRDefault="003B6E9C" w:rsidP="0074464F">
            <w:pPr>
              <w:jc w:val="both"/>
              <w:rPr>
                <w:rFonts w:ascii="Cambria" w:hAnsi="Cambria"/>
                <w:bCs/>
                <w:sz w:val="20"/>
                <w:szCs w:val="20"/>
              </w:rPr>
            </w:pPr>
            <w:r>
              <w:rPr>
                <w:rFonts w:ascii="Cambria" w:hAnsi="Cambria"/>
                <w:sz w:val="20"/>
                <w:szCs w:val="20"/>
                <w:lang w:val="en"/>
              </w:rPr>
              <w:t>Anibal Florentino Arias and Wilbert Elki Meza Majino</w:t>
            </w:r>
          </w:p>
        </w:tc>
      </w:tr>
      <w:tr w:rsidR="00A24179" w:rsidRPr="003B6E9C" w14:paraId="79A5B539" w14:textId="77777777" w:rsidTr="00C05CBD">
        <w:tc>
          <w:tcPr>
            <w:tcW w:w="3600" w:type="dxa"/>
            <w:tcBorders>
              <w:top w:val="single" w:sz="6" w:space="0" w:color="auto"/>
              <w:bottom w:val="single" w:sz="6" w:space="0" w:color="auto"/>
            </w:tcBorders>
            <w:shd w:val="clear" w:color="auto" w:fill="67AE3C"/>
            <w:vAlign w:val="center"/>
          </w:tcPr>
          <w:p w14:paraId="58FAAE53" w14:textId="77777777" w:rsidR="00A24179" w:rsidRPr="000673D0" w:rsidRDefault="00F302F6" w:rsidP="00A2417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5657627907CB4FF2B74FE239B14B7826"/>
                </w:placeholder>
                <w:dropDownList>
                  <w:listItem w:value="Choose an item."/>
                  <w:listItem w:displayText="Presunta víctima" w:value="Presunta víctima"/>
                  <w:listItem w:displayText="Presuntas víctimas" w:value="Presuntas víctimas"/>
                </w:dropDownList>
              </w:sdtPr>
              <w:sdtEndPr/>
              <w:sdtContent>
                <w:r w:rsidR="00F709AD">
                  <w:rPr>
                    <w:rFonts w:ascii="Cambria" w:hAnsi="Cambria"/>
                    <w:b/>
                    <w:bCs/>
                    <w:color w:val="FFFFFF" w:themeColor="background1"/>
                    <w:sz w:val="20"/>
                    <w:szCs w:val="20"/>
                    <w:lang w:val="en"/>
                  </w:rPr>
                  <w:t>Alleged victim</w:t>
                </w:r>
              </w:sdtContent>
            </w:sdt>
            <w:r w:rsidR="00F709AD">
              <w:rPr>
                <w:rFonts w:ascii="Cambria" w:hAnsi="Cambria"/>
                <w:color w:val="FFFFFF" w:themeColor="background1"/>
                <w:sz w:val="20"/>
                <w:szCs w:val="20"/>
                <w:lang w:val="en"/>
              </w:rPr>
              <w:t>:</w:t>
            </w:r>
          </w:p>
        </w:tc>
        <w:tc>
          <w:tcPr>
            <w:tcW w:w="5760" w:type="dxa"/>
            <w:vAlign w:val="center"/>
          </w:tcPr>
          <w:p w14:paraId="23FE9BA4" w14:textId="3FBF33AD" w:rsidR="00A24179" w:rsidRPr="000673D0" w:rsidRDefault="003B6E9C" w:rsidP="00A24179">
            <w:pPr>
              <w:jc w:val="both"/>
              <w:rPr>
                <w:rFonts w:ascii="Cambria" w:hAnsi="Cambria"/>
                <w:bCs/>
                <w:sz w:val="20"/>
                <w:szCs w:val="20"/>
              </w:rPr>
            </w:pPr>
            <w:r>
              <w:rPr>
                <w:rFonts w:ascii="Cambria" w:hAnsi="Cambria"/>
                <w:sz w:val="20"/>
                <w:szCs w:val="20"/>
                <w:lang w:val="en"/>
              </w:rPr>
              <w:t>Wilbert Elki Meza Majino</w:t>
            </w:r>
          </w:p>
        </w:tc>
      </w:tr>
      <w:tr w:rsidR="00A24179" w:rsidRPr="000673D0" w14:paraId="45362DF7" w14:textId="77777777" w:rsidTr="00C05CBD">
        <w:tc>
          <w:tcPr>
            <w:tcW w:w="3600" w:type="dxa"/>
            <w:tcBorders>
              <w:top w:val="single" w:sz="6" w:space="0" w:color="auto"/>
              <w:bottom w:val="single" w:sz="6" w:space="0" w:color="auto"/>
            </w:tcBorders>
            <w:shd w:val="clear" w:color="auto" w:fill="67AE3C"/>
            <w:vAlign w:val="center"/>
          </w:tcPr>
          <w:p w14:paraId="652632F5" w14:textId="77777777" w:rsidR="00A24179" w:rsidRPr="000673D0" w:rsidRDefault="00A24179" w:rsidP="00A24179">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Respondent State:</w:t>
            </w:r>
          </w:p>
        </w:tc>
        <w:tc>
          <w:tcPr>
            <w:tcW w:w="5760" w:type="dxa"/>
            <w:vAlign w:val="center"/>
          </w:tcPr>
          <w:p w14:paraId="057DC689" w14:textId="5FC63727" w:rsidR="00A24179" w:rsidRPr="000673D0" w:rsidRDefault="00A24179" w:rsidP="00A24179">
            <w:pPr>
              <w:jc w:val="both"/>
              <w:rPr>
                <w:rFonts w:ascii="Cambria" w:hAnsi="Cambria"/>
                <w:bCs/>
                <w:sz w:val="20"/>
                <w:szCs w:val="20"/>
              </w:rPr>
            </w:pPr>
            <w:r>
              <w:rPr>
                <w:rFonts w:ascii="Cambria" w:hAnsi="Cambria"/>
                <w:sz w:val="20"/>
                <w:szCs w:val="20"/>
                <w:lang w:val="en"/>
              </w:rPr>
              <w:t>Peru</w:t>
            </w:r>
            <w:r>
              <w:rPr>
                <w:rStyle w:val="FootnoteReference"/>
                <w:rFonts w:ascii="Cambria" w:hAnsi="Cambria"/>
                <w:sz w:val="20"/>
                <w:szCs w:val="20"/>
                <w:lang w:val="en"/>
              </w:rPr>
              <w:footnoteReference w:id="2"/>
            </w:r>
          </w:p>
        </w:tc>
      </w:tr>
      <w:tr w:rsidR="00A24179" w:rsidRPr="00550772" w14:paraId="4329FE9B" w14:textId="77777777" w:rsidTr="00C05CBD">
        <w:tc>
          <w:tcPr>
            <w:tcW w:w="3600" w:type="dxa"/>
            <w:tcBorders>
              <w:top w:val="single" w:sz="6" w:space="0" w:color="auto"/>
              <w:bottom w:val="single" w:sz="6" w:space="0" w:color="auto"/>
            </w:tcBorders>
            <w:shd w:val="clear" w:color="auto" w:fill="67AE3C"/>
            <w:vAlign w:val="center"/>
          </w:tcPr>
          <w:p w14:paraId="4A8E3F69" w14:textId="77777777" w:rsidR="00A24179" w:rsidRPr="000673D0" w:rsidRDefault="00A24179" w:rsidP="00A24179">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Rights invoked:</w:t>
            </w:r>
          </w:p>
        </w:tc>
        <w:tc>
          <w:tcPr>
            <w:tcW w:w="5760" w:type="dxa"/>
            <w:vAlign w:val="center"/>
          </w:tcPr>
          <w:p w14:paraId="4E238173" w14:textId="6456C7D0" w:rsidR="00A24179" w:rsidRPr="000673D0" w:rsidRDefault="00A24179" w:rsidP="003B6E9C">
            <w:pPr>
              <w:jc w:val="both"/>
              <w:rPr>
                <w:rFonts w:ascii="Cambria" w:hAnsi="Cambria"/>
                <w:bCs/>
                <w:sz w:val="20"/>
                <w:szCs w:val="20"/>
              </w:rPr>
            </w:pPr>
            <w:r>
              <w:rPr>
                <w:rFonts w:ascii="Cambria" w:hAnsi="Cambria"/>
                <w:sz w:val="20"/>
                <w:szCs w:val="20"/>
                <w:lang w:val="en"/>
              </w:rPr>
              <w:t>Articles 5 (humane treatment), 7 (personal liberty), 8 (fair trial), 9 (freedom from ex post facto laws), 25 (judicial protection) of the American Convention on Human Rights</w:t>
            </w:r>
            <w:r>
              <w:rPr>
                <w:rStyle w:val="FootnoteReference"/>
                <w:rFonts w:ascii="Cambria" w:hAnsi="Cambria"/>
                <w:sz w:val="20"/>
                <w:szCs w:val="20"/>
                <w:lang w:val="en"/>
              </w:rPr>
              <w:footnoteReference w:id="3"/>
            </w:r>
            <w:r>
              <w:rPr>
                <w:rFonts w:ascii="Cambria" w:hAnsi="Cambria"/>
                <w:sz w:val="20"/>
                <w:szCs w:val="20"/>
                <w:lang w:val="en"/>
              </w:rPr>
              <w:t xml:space="preserve"> and other international instruments</w:t>
            </w:r>
            <w:r>
              <w:rPr>
                <w:rStyle w:val="FootnoteReference"/>
                <w:rFonts w:ascii="Cambria" w:hAnsi="Cambria"/>
                <w:sz w:val="20"/>
                <w:szCs w:val="20"/>
                <w:lang w:val="en"/>
              </w:rPr>
              <w:footnoteReference w:id="4"/>
            </w:r>
            <w:r>
              <w:rPr>
                <w:lang w:val="en"/>
              </w:rPr>
              <w:t>.</w:t>
            </w:r>
          </w:p>
        </w:tc>
      </w:tr>
    </w:tbl>
    <w:p w14:paraId="3D195461" w14:textId="77777777" w:rsidR="000673D0" w:rsidRPr="000673D0" w:rsidRDefault="000673D0" w:rsidP="000673D0">
      <w:pPr>
        <w:spacing w:before="240" w:after="240"/>
        <w:ind w:firstLine="720"/>
        <w:jc w:val="both"/>
        <w:rPr>
          <w:rFonts w:asciiTheme="majorHAnsi" w:hAnsiTheme="majorHAnsi"/>
          <w:b/>
          <w:bCs/>
          <w:sz w:val="20"/>
          <w:szCs w:val="20"/>
        </w:rPr>
      </w:pPr>
      <w:r>
        <w:rPr>
          <w:rFonts w:asciiTheme="majorHAnsi" w:hAnsiTheme="majorHAnsi"/>
          <w:b/>
          <w:bCs/>
          <w:sz w:val="20"/>
          <w:szCs w:val="20"/>
          <w:lang w:val="en"/>
        </w:rPr>
        <w:t>II.</w:t>
      </w:r>
      <w:r>
        <w:rPr>
          <w:rFonts w:asciiTheme="majorHAnsi" w:hAnsiTheme="majorHAnsi"/>
          <w:b/>
          <w:bCs/>
          <w:sz w:val="20"/>
          <w:szCs w:val="20"/>
          <w:lang w:val="en"/>
        </w:rPr>
        <w:tab/>
        <w:t>PROCEEDINGS BEFORE THE IACHR</w:t>
      </w:r>
      <w:r>
        <w:rPr>
          <w:rStyle w:val="FootnoteReference"/>
          <w:rFonts w:ascii="Cambria" w:hAnsi="Cambria"/>
          <w:b/>
          <w:bCs/>
          <w:sz w:val="20"/>
          <w:szCs w:val="20"/>
          <w:lang w:val="en"/>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BF7851" w14:paraId="6D778EBA" w14:textId="77777777" w:rsidTr="00C05CBD">
        <w:tc>
          <w:tcPr>
            <w:tcW w:w="3600" w:type="dxa"/>
            <w:tcBorders>
              <w:top w:val="single" w:sz="6" w:space="0" w:color="auto"/>
              <w:bottom w:val="single" w:sz="6" w:space="0" w:color="auto"/>
            </w:tcBorders>
            <w:shd w:val="clear" w:color="auto" w:fill="67AE3C"/>
            <w:vAlign w:val="center"/>
          </w:tcPr>
          <w:p w14:paraId="0FC6DF70" w14:textId="77777777" w:rsidR="000673D0" w:rsidRPr="000673D0" w:rsidRDefault="000673D0" w:rsidP="0074464F">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Filing of the petition:</w:t>
            </w:r>
          </w:p>
        </w:tc>
        <w:tc>
          <w:tcPr>
            <w:tcW w:w="5760" w:type="dxa"/>
            <w:vAlign w:val="center"/>
          </w:tcPr>
          <w:p w14:paraId="5B768921" w14:textId="37A208A9" w:rsidR="000673D0" w:rsidRPr="000673D0" w:rsidRDefault="00F94E7B" w:rsidP="00D84565">
            <w:pPr>
              <w:jc w:val="both"/>
              <w:rPr>
                <w:rFonts w:ascii="Cambria" w:hAnsi="Cambria"/>
                <w:bCs/>
                <w:sz w:val="20"/>
                <w:szCs w:val="20"/>
              </w:rPr>
            </w:pPr>
            <w:r>
              <w:rPr>
                <w:rFonts w:ascii="Cambria" w:hAnsi="Cambria"/>
                <w:sz w:val="20"/>
                <w:szCs w:val="20"/>
                <w:lang w:val="en"/>
              </w:rPr>
              <w:t>November 12, 2009</w:t>
            </w:r>
          </w:p>
        </w:tc>
      </w:tr>
      <w:tr w:rsidR="00D84565" w:rsidRPr="00550772" w14:paraId="416D9840" w14:textId="77777777" w:rsidTr="00C05CBD">
        <w:tc>
          <w:tcPr>
            <w:tcW w:w="3600" w:type="dxa"/>
            <w:tcBorders>
              <w:top w:val="single" w:sz="6" w:space="0" w:color="auto"/>
              <w:bottom w:val="single" w:sz="6" w:space="0" w:color="auto"/>
            </w:tcBorders>
            <w:shd w:val="clear" w:color="auto" w:fill="67AE3C"/>
            <w:vAlign w:val="center"/>
          </w:tcPr>
          <w:p w14:paraId="39131047" w14:textId="17F4B03E" w:rsidR="00D84565" w:rsidRPr="000673D0" w:rsidRDefault="00D84565" w:rsidP="0074464F">
            <w:pPr>
              <w:jc w:val="center"/>
              <w:rPr>
                <w:rFonts w:ascii="Cambria" w:hAnsi="Cambria"/>
                <w:b/>
                <w:bCs/>
                <w:color w:val="FFFFFF" w:themeColor="background1"/>
                <w:sz w:val="20"/>
                <w:szCs w:val="20"/>
              </w:rPr>
            </w:pPr>
            <w:r>
              <w:rPr>
                <w:rFonts w:ascii="Cambria" w:hAnsi="Cambria"/>
                <w:b/>
                <w:bCs/>
                <w:color w:val="FFFFFF"/>
                <w:sz w:val="20"/>
                <w:szCs w:val="20"/>
                <w:lang w:val="en"/>
              </w:rPr>
              <w:t>Additional information received at the stage of initial review</w:t>
            </w:r>
          </w:p>
        </w:tc>
        <w:tc>
          <w:tcPr>
            <w:tcW w:w="5760" w:type="dxa"/>
            <w:vAlign w:val="center"/>
          </w:tcPr>
          <w:p w14:paraId="2B6449BD" w14:textId="3920C293" w:rsidR="00D84565" w:rsidRDefault="002534B2" w:rsidP="00D84565">
            <w:pPr>
              <w:jc w:val="both"/>
              <w:rPr>
                <w:rFonts w:ascii="Cambria" w:hAnsi="Cambria"/>
                <w:bCs/>
                <w:sz w:val="20"/>
                <w:szCs w:val="20"/>
              </w:rPr>
            </w:pPr>
            <w:r>
              <w:rPr>
                <w:rFonts w:ascii="Cambria" w:hAnsi="Cambria"/>
                <w:sz w:val="20"/>
                <w:szCs w:val="20"/>
                <w:lang w:val="en"/>
              </w:rPr>
              <w:t>December 11, 2012 and June 19, 2015</w:t>
            </w:r>
          </w:p>
        </w:tc>
      </w:tr>
      <w:tr w:rsidR="000673D0" w:rsidRPr="000673D0" w14:paraId="5511A9CE" w14:textId="77777777" w:rsidTr="00C05CBD">
        <w:tc>
          <w:tcPr>
            <w:tcW w:w="3600" w:type="dxa"/>
            <w:tcBorders>
              <w:top w:val="single" w:sz="6" w:space="0" w:color="auto"/>
              <w:bottom w:val="single" w:sz="6" w:space="0" w:color="auto"/>
            </w:tcBorders>
            <w:shd w:val="clear" w:color="auto" w:fill="67AE3C"/>
            <w:vAlign w:val="center"/>
          </w:tcPr>
          <w:p w14:paraId="1EAB6A50" w14:textId="77777777" w:rsidR="000673D0" w:rsidRPr="000673D0" w:rsidRDefault="000673D0" w:rsidP="0074464F">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Notification of the petition to the State:</w:t>
            </w:r>
          </w:p>
        </w:tc>
        <w:tc>
          <w:tcPr>
            <w:tcW w:w="5760" w:type="dxa"/>
            <w:vAlign w:val="center"/>
          </w:tcPr>
          <w:p w14:paraId="311A328A" w14:textId="34F3C2AE" w:rsidR="000673D0" w:rsidRPr="000673D0" w:rsidRDefault="00BA54A9" w:rsidP="0074464F">
            <w:pPr>
              <w:jc w:val="both"/>
              <w:rPr>
                <w:rFonts w:ascii="Cambria" w:hAnsi="Cambria"/>
                <w:bCs/>
                <w:sz w:val="20"/>
                <w:szCs w:val="20"/>
              </w:rPr>
            </w:pPr>
            <w:r>
              <w:rPr>
                <w:rFonts w:ascii="Cambria" w:hAnsi="Cambria"/>
                <w:sz w:val="20"/>
                <w:szCs w:val="20"/>
                <w:lang w:val="en"/>
              </w:rPr>
              <w:t>September 30, 2016</w:t>
            </w:r>
          </w:p>
        </w:tc>
      </w:tr>
      <w:tr w:rsidR="000673D0" w:rsidRPr="000673D0" w14:paraId="474D175D" w14:textId="77777777" w:rsidTr="00C05CBD">
        <w:tc>
          <w:tcPr>
            <w:tcW w:w="3600" w:type="dxa"/>
            <w:tcBorders>
              <w:top w:val="single" w:sz="6" w:space="0" w:color="auto"/>
              <w:bottom w:val="single" w:sz="6" w:space="0" w:color="auto"/>
            </w:tcBorders>
            <w:shd w:val="clear" w:color="auto" w:fill="67AE3C"/>
            <w:vAlign w:val="center"/>
          </w:tcPr>
          <w:p w14:paraId="21AC1D3A" w14:textId="77777777" w:rsidR="000673D0" w:rsidRPr="000673D0" w:rsidRDefault="000673D0" w:rsidP="0074464F">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State's first response:</w:t>
            </w:r>
          </w:p>
        </w:tc>
        <w:tc>
          <w:tcPr>
            <w:tcW w:w="5760" w:type="dxa"/>
            <w:vAlign w:val="center"/>
          </w:tcPr>
          <w:p w14:paraId="62EA084B" w14:textId="2B39F4B8" w:rsidR="000673D0" w:rsidRPr="000673D0" w:rsidRDefault="00BA54A9" w:rsidP="0074464F">
            <w:pPr>
              <w:jc w:val="both"/>
              <w:rPr>
                <w:rFonts w:ascii="Cambria" w:hAnsi="Cambria"/>
                <w:bCs/>
                <w:sz w:val="20"/>
                <w:szCs w:val="20"/>
              </w:rPr>
            </w:pPr>
            <w:r>
              <w:rPr>
                <w:rFonts w:ascii="Cambria" w:hAnsi="Cambria"/>
                <w:sz w:val="20"/>
                <w:szCs w:val="20"/>
                <w:lang w:val="en"/>
              </w:rPr>
              <w:t>January 3, 2017</w:t>
            </w:r>
          </w:p>
        </w:tc>
      </w:tr>
      <w:tr w:rsidR="007D2698" w:rsidRPr="003B6E9C" w14:paraId="58C13B90" w14:textId="77777777" w:rsidTr="00C05CBD">
        <w:tc>
          <w:tcPr>
            <w:tcW w:w="3600" w:type="dxa"/>
            <w:tcBorders>
              <w:top w:val="single" w:sz="6" w:space="0" w:color="auto"/>
              <w:bottom w:val="single" w:sz="6" w:space="0" w:color="auto"/>
            </w:tcBorders>
            <w:shd w:val="clear" w:color="auto" w:fill="67AE3C"/>
            <w:vAlign w:val="center"/>
          </w:tcPr>
          <w:p w14:paraId="54B96764" w14:textId="293BB91D" w:rsidR="007D2698" w:rsidRPr="000673D0" w:rsidRDefault="00BD57F2" w:rsidP="0074464F">
            <w:pPr>
              <w:jc w:val="center"/>
              <w:rPr>
                <w:rFonts w:ascii="Cambria" w:hAnsi="Cambria"/>
                <w:b/>
                <w:color w:val="FFFFFF" w:themeColor="background1"/>
                <w:sz w:val="20"/>
                <w:szCs w:val="20"/>
              </w:rPr>
            </w:pPr>
            <w:r>
              <w:rPr>
                <w:rFonts w:ascii="Cambria" w:hAnsi="Cambria"/>
                <w:b/>
                <w:bCs/>
                <w:color w:val="FFFFFF" w:themeColor="background1"/>
                <w:sz w:val="20"/>
                <w:szCs w:val="20"/>
                <w:lang w:val="en"/>
              </w:rPr>
              <w:t>Additional observations from the petitioner:</w:t>
            </w:r>
          </w:p>
        </w:tc>
        <w:tc>
          <w:tcPr>
            <w:tcW w:w="5760" w:type="dxa"/>
            <w:vAlign w:val="center"/>
          </w:tcPr>
          <w:p w14:paraId="67C05672" w14:textId="0C294734" w:rsidR="007D2698" w:rsidRDefault="00BA54A9" w:rsidP="0074464F">
            <w:pPr>
              <w:jc w:val="both"/>
              <w:rPr>
                <w:rFonts w:ascii="Cambria" w:hAnsi="Cambria"/>
                <w:bCs/>
                <w:sz w:val="20"/>
                <w:szCs w:val="20"/>
              </w:rPr>
            </w:pPr>
            <w:r>
              <w:rPr>
                <w:rFonts w:ascii="Cambria" w:hAnsi="Cambria"/>
                <w:sz w:val="20"/>
                <w:szCs w:val="20"/>
                <w:lang w:val="en"/>
              </w:rPr>
              <w:t>March 16, 2017</w:t>
            </w:r>
          </w:p>
        </w:tc>
      </w:tr>
      <w:tr w:rsidR="00BA54A9" w:rsidRPr="00550772" w14:paraId="1E0975C8" w14:textId="77777777" w:rsidTr="00C05CBD">
        <w:tc>
          <w:tcPr>
            <w:tcW w:w="3600" w:type="dxa"/>
            <w:tcBorders>
              <w:top w:val="single" w:sz="6" w:space="0" w:color="auto"/>
              <w:bottom w:val="single" w:sz="6" w:space="0" w:color="auto"/>
            </w:tcBorders>
            <w:shd w:val="clear" w:color="auto" w:fill="67AE3C"/>
            <w:vAlign w:val="center"/>
          </w:tcPr>
          <w:p w14:paraId="1BC8D77C" w14:textId="729E97E7" w:rsidR="00BA54A9" w:rsidRDefault="00BA54A9" w:rsidP="0074464F">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Additional observations from the State:</w:t>
            </w:r>
          </w:p>
        </w:tc>
        <w:tc>
          <w:tcPr>
            <w:tcW w:w="5760" w:type="dxa"/>
            <w:vAlign w:val="center"/>
          </w:tcPr>
          <w:p w14:paraId="02FF7A74" w14:textId="361BA015" w:rsidR="00BA54A9" w:rsidRDefault="00BA54A9" w:rsidP="0074464F">
            <w:pPr>
              <w:jc w:val="both"/>
              <w:rPr>
                <w:rFonts w:ascii="Cambria" w:hAnsi="Cambria"/>
                <w:bCs/>
                <w:sz w:val="20"/>
                <w:szCs w:val="20"/>
              </w:rPr>
            </w:pPr>
            <w:r>
              <w:rPr>
                <w:rFonts w:ascii="Cambria" w:hAnsi="Cambria"/>
                <w:sz w:val="20"/>
                <w:szCs w:val="20"/>
                <w:lang w:val="en"/>
              </w:rPr>
              <w:t>December 18, 2019 and June 7, 2020</w:t>
            </w:r>
          </w:p>
        </w:tc>
      </w:tr>
    </w:tbl>
    <w:p w14:paraId="738616C2" w14:textId="77777777" w:rsidR="000673D0" w:rsidRPr="000673D0" w:rsidRDefault="000673D0" w:rsidP="000673D0">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III. </w:t>
      </w:r>
      <w:r>
        <w:rPr>
          <w:rFonts w:asciiTheme="majorHAnsi" w:hAnsiTheme="majorHAnsi"/>
          <w:sz w:val="20"/>
          <w:szCs w:val="20"/>
          <w:lang w:val="en"/>
        </w:rPr>
        <w:tab/>
      </w:r>
      <w:r>
        <w:rPr>
          <w:rFonts w:asciiTheme="majorHAnsi" w:hAnsiTheme="majorHAnsi"/>
          <w:b/>
          <w:bCs/>
          <w:sz w:val="20"/>
          <w:szCs w:val="20"/>
          <w:lang w:val="en"/>
        </w:rPr>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0673D0" w:rsidRPr="000673D0" w14:paraId="3225DD29" w14:textId="77777777" w:rsidTr="00C05CBD">
        <w:trPr>
          <w:cantSplit/>
        </w:trPr>
        <w:tc>
          <w:tcPr>
            <w:tcW w:w="3600" w:type="dxa"/>
            <w:tcBorders>
              <w:top w:val="single" w:sz="4" w:space="0" w:color="auto"/>
              <w:bottom w:val="single" w:sz="6" w:space="0" w:color="auto"/>
            </w:tcBorders>
            <w:shd w:val="clear" w:color="auto" w:fill="67AE3C"/>
            <w:vAlign w:val="center"/>
          </w:tcPr>
          <w:p w14:paraId="7A2417B8" w14:textId="77777777" w:rsidR="000673D0" w:rsidRPr="000673D0" w:rsidRDefault="000673D0" w:rsidP="0074464F">
            <w:pPr>
              <w:jc w:val="center"/>
              <w:rPr>
                <w:rFonts w:ascii="Cambria" w:hAnsi="Cambria"/>
                <w:b/>
                <w:bCs/>
                <w:i/>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personae</w:t>
            </w:r>
            <w:r>
              <w:rPr>
                <w:rFonts w:ascii="Cambria" w:hAnsi="Cambria"/>
                <w:b/>
                <w:bCs/>
                <w:color w:val="FFFFFF" w:themeColor="background1"/>
                <w:sz w:val="20"/>
                <w:szCs w:val="20"/>
                <w:lang w:val="en"/>
              </w:rPr>
              <w:t>:</w:t>
            </w:r>
          </w:p>
        </w:tc>
        <w:tc>
          <w:tcPr>
            <w:tcW w:w="5760" w:type="dxa"/>
            <w:vAlign w:val="center"/>
          </w:tcPr>
          <w:p w14:paraId="55AEE8CD" w14:textId="77777777" w:rsidR="000673D0" w:rsidRPr="000673D0" w:rsidRDefault="000673D0" w:rsidP="0074464F">
            <w:pPr>
              <w:rPr>
                <w:rFonts w:ascii="Cambria" w:hAnsi="Cambria"/>
                <w:bCs/>
                <w:sz w:val="20"/>
                <w:szCs w:val="20"/>
              </w:rPr>
            </w:pPr>
            <w:r>
              <w:rPr>
                <w:rFonts w:ascii="Cambria" w:hAnsi="Cambria"/>
                <w:sz w:val="20"/>
                <w:szCs w:val="20"/>
                <w:lang w:val="en"/>
              </w:rPr>
              <w:t>Yes</w:t>
            </w:r>
          </w:p>
        </w:tc>
      </w:tr>
      <w:tr w:rsidR="000673D0" w:rsidRPr="000673D0" w14:paraId="10BCE6F2" w14:textId="77777777" w:rsidTr="00C05CBD">
        <w:trPr>
          <w:cantSplit/>
        </w:trPr>
        <w:tc>
          <w:tcPr>
            <w:tcW w:w="3600" w:type="dxa"/>
            <w:tcBorders>
              <w:top w:val="single" w:sz="6" w:space="0" w:color="auto"/>
              <w:bottom w:val="single" w:sz="6" w:space="0" w:color="auto"/>
            </w:tcBorders>
            <w:shd w:val="clear" w:color="auto" w:fill="67AE3C"/>
            <w:vAlign w:val="center"/>
          </w:tcPr>
          <w:p w14:paraId="71A23BD1" w14:textId="77777777" w:rsidR="000673D0" w:rsidRPr="000673D0" w:rsidRDefault="000673D0" w:rsidP="0074464F">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loci</w:t>
            </w:r>
            <w:r>
              <w:rPr>
                <w:rFonts w:ascii="Cambria" w:hAnsi="Cambria"/>
                <w:b/>
                <w:bCs/>
                <w:color w:val="FFFFFF" w:themeColor="background1"/>
                <w:sz w:val="20"/>
                <w:szCs w:val="20"/>
                <w:lang w:val="en"/>
              </w:rPr>
              <w:t>:</w:t>
            </w:r>
          </w:p>
        </w:tc>
        <w:tc>
          <w:tcPr>
            <w:tcW w:w="5760" w:type="dxa"/>
            <w:vAlign w:val="center"/>
          </w:tcPr>
          <w:p w14:paraId="77DDBD87" w14:textId="77777777" w:rsidR="000673D0" w:rsidRPr="000673D0" w:rsidRDefault="000673D0" w:rsidP="0074464F">
            <w:pPr>
              <w:rPr>
                <w:rFonts w:ascii="Cambria" w:hAnsi="Cambria"/>
                <w:bCs/>
                <w:sz w:val="20"/>
                <w:szCs w:val="20"/>
              </w:rPr>
            </w:pPr>
            <w:r>
              <w:rPr>
                <w:rFonts w:ascii="Cambria" w:hAnsi="Cambria"/>
                <w:sz w:val="20"/>
                <w:szCs w:val="20"/>
                <w:lang w:val="en"/>
              </w:rPr>
              <w:t>Yes</w:t>
            </w:r>
          </w:p>
        </w:tc>
      </w:tr>
      <w:tr w:rsidR="000673D0" w:rsidRPr="000673D0" w14:paraId="351D9A06" w14:textId="77777777" w:rsidTr="00C05CBD">
        <w:trPr>
          <w:cantSplit/>
        </w:trPr>
        <w:tc>
          <w:tcPr>
            <w:tcW w:w="3600" w:type="dxa"/>
            <w:tcBorders>
              <w:top w:val="single" w:sz="6" w:space="0" w:color="auto"/>
              <w:bottom w:val="single" w:sz="6" w:space="0" w:color="auto"/>
            </w:tcBorders>
            <w:shd w:val="clear" w:color="auto" w:fill="67AE3C"/>
            <w:vAlign w:val="center"/>
          </w:tcPr>
          <w:p w14:paraId="39F491FA" w14:textId="77777777" w:rsidR="000673D0" w:rsidRPr="000673D0" w:rsidRDefault="000673D0" w:rsidP="0074464F">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temporis:</w:t>
            </w:r>
          </w:p>
        </w:tc>
        <w:tc>
          <w:tcPr>
            <w:tcW w:w="5760" w:type="dxa"/>
            <w:vAlign w:val="center"/>
          </w:tcPr>
          <w:p w14:paraId="76910945" w14:textId="77777777" w:rsidR="000673D0" w:rsidRPr="000673D0" w:rsidRDefault="000673D0" w:rsidP="0074464F">
            <w:pPr>
              <w:rPr>
                <w:rFonts w:ascii="Cambria" w:hAnsi="Cambria"/>
                <w:bCs/>
                <w:sz w:val="20"/>
                <w:szCs w:val="20"/>
              </w:rPr>
            </w:pPr>
            <w:r>
              <w:rPr>
                <w:rFonts w:ascii="Cambria" w:hAnsi="Cambria"/>
                <w:sz w:val="20"/>
                <w:szCs w:val="20"/>
                <w:lang w:val="en"/>
              </w:rPr>
              <w:t>Yes</w:t>
            </w:r>
          </w:p>
        </w:tc>
      </w:tr>
      <w:tr w:rsidR="000673D0" w:rsidRPr="00550772" w14:paraId="160B34C2" w14:textId="77777777" w:rsidTr="00C05CBD">
        <w:trPr>
          <w:cantSplit/>
        </w:trPr>
        <w:tc>
          <w:tcPr>
            <w:tcW w:w="3600" w:type="dxa"/>
            <w:tcBorders>
              <w:top w:val="single" w:sz="6" w:space="0" w:color="auto"/>
              <w:bottom w:val="single" w:sz="6" w:space="0" w:color="auto"/>
            </w:tcBorders>
            <w:shd w:val="clear" w:color="auto" w:fill="67AE3C"/>
            <w:vAlign w:val="center"/>
          </w:tcPr>
          <w:p w14:paraId="4BAA98B1" w14:textId="77777777" w:rsidR="000673D0" w:rsidRPr="000673D0" w:rsidRDefault="000673D0" w:rsidP="0074464F">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materiae:</w:t>
            </w:r>
          </w:p>
        </w:tc>
        <w:tc>
          <w:tcPr>
            <w:tcW w:w="5760" w:type="dxa"/>
            <w:vAlign w:val="center"/>
          </w:tcPr>
          <w:p w14:paraId="6AB0A733" w14:textId="70C4646C" w:rsidR="000673D0" w:rsidRPr="000673D0" w:rsidRDefault="006E0D53" w:rsidP="0074464F">
            <w:pPr>
              <w:jc w:val="both"/>
              <w:rPr>
                <w:rFonts w:ascii="Cambria" w:hAnsi="Cambria"/>
                <w:bCs/>
                <w:sz w:val="20"/>
                <w:szCs w:val="20"/>
              </w:rPr>
            </w:pPr>
            <w:r>
              <w:rPr>
                <w:rFonts w:asciiTheme="majorHAnsi" w:hAnsiTheme="majorHAnsi"/>
                <w:sz w:val="19"/>
                <w:szCs w:val="19"/>
                <w:lang w:val="en"/>
              </w:rPr>
              <w:t>Yes, American Convention (instrument deposited on July 28, 1978) and Inter-American Convention to Prevent and Punish Torture (instrument deposited on March 28, 1991)</w:t>
            </w:r>
          </w:p>
        </w:tc>
      </w:tr>
    </w:tbl>
    <w:p w14:paraId="46F3B92A" w14:textId="44E990E7" w:rsidR="000673D0" w:rsidRPr="000673D0" w:rsidRDefault="000673D0" w:rsidP="000673D0">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IV. </w:t>
      </w:r>
      <w:r>
        <w:rPr>
          <w:rFonts w:asciiTheme="majorHAnsi" w:hAnsiTheme="majorHAnsi"/>
          <w:sz w:val="20"/>
          <w:szCs w:val="20"/>
          <w:lang w:val="en"/>
        </w:rPr>
        <w:tab/>
      </w:r>
      <w:r>
        <w:rPr>
          <w:rFonts w:asciiTheme="majorHAnsi" w:hAnsiTheme="majorHAnsi"/>
          <w:b/>
          <w:bCs/>
          <w:sz w:val="20"/>
          <w:szCs w:val="20"/>
          <w:lang w:val="en"/>
        </w:rPr>
        <w:t>DUPLICATION</w:t>
      </w:r>
      <w:r>
        <w:rPr>
          <w:rFonts w:asciiTheme="majorHAnsi" w:hAnsiTheme="majorHAnsi"/>
          <w:b/>
          <w:bCs/>
          <w:color w:val="FFFFFF" w:themeColor="background1"/>
          <w:sz w:val="20"/>
          <w:szCs w:val="20"/>
          <w:lang w:val="en"/>
        </w:rPr>
        <w:t xml:space="preserve"> </w:t>
      </w:r>
      <w:r>
        <w:rPr>
          <w:rFonts w:asciiTheme="majorHAnsi" w:hAnsiTheme="majorHAnsi"/>
          <w:b/>
          <w:bCs/>
          <w:sz w:val="20"/>
          <w:szCs w:val="20"/>
          <w:lang w:val="en"/>
        </w:rPr>
        <w:t xml:space="preserve">OF PROCEDURES AND INTERNATIONAL </w:t>
      </w:r>
      <w:r>
        <w:rPr>
          <w:rFonts w:asciiTheme="majorHAnsi" w:hAnsiTheme="majorHAnsi"/>
          <w:b/>
          <w:bCs/>
          <w:i/>
          <w:iCs/>
          <w:sz w:val="20"/>
          <w:szCs w:val="20"/>
          <w:lang w:val="en"/>
        </w:rPr>
        <w:t>RES JUDICATA</w:t>
      </w:r>
      <w:r>
        <w:rPr>
          <w:rFonts w:asciiTheme="majorHAnsi" w:hAnsiTheme="majorHAnsi"/>
          <w:b/>
          <w:bCs/>
          <w:sz w:val="20"/>
          <w:szCs w:val="20"/>
          <w:lang w:val="en"/>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0673D0" w:rsidRPr="000673D0" w14:paraId="3755C687" w14:textId="77777777" w:rsidTr="00C05CBD">
        <w:trPr>
          <w:cantSplit/>
        </w:trPr>
        <w:tc>
          <w:tcPr>
            <w:tcW w:w="3600" w:type="dxa"/>
            <w:tcBorders>
              <w:top w:val="single" w:sz="4" w:space="0" w:color="auto"/>
              <w:bottom w:val="single" w:sz="6" w:space="0" w:color="auto"/>
            </w:tcBorders>
            <w:shd w:val="clear" w:color="auto" w:fill="67AE3C"/>
            <w:vAlign w:val="center"/>
          </w:tcPr>
          <w:p w14:paraId="0F134D10" w14:textId="77777777" w:rsidR="000673D0" w:rsidRPr="000673D0" w:rsidRDefault="000673D0" w:rsidP="0074464F">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Duplication of procedures and international </w:t>
            </w:r>
            <w:r>
              <w:rPr>
                <w:rFonts w:ascii="Cambria" w:hAnsi="Cambria"/>
                <w:b/>
                <w:bCs/>
                <w:i/>
                <w:iCs/>
                <w:color w:val="FFFFFF" w:themeColor="background1"/>
                <w:sz w:val="20"/>
                <w:szCs w:val="20"/>
                <w:lang w:val="en"/>
              </w:rPr>
              <w:t>res judicata</w:t>
            </w:r>
            <w:r>
              <w:rPr>
                <w:rFonts w:ascii="Cambria" w:hAnsi="Cambria"/>
                <w:b/>
                <w:bCs/>
                <w:color w:val="FFFFFF" w:themeColor="background1"/>
                <w:sz w:val="20"/>
                <w:szCs w:val="20"/>
                <w:lang w:val="en"/>
              </w:rPr>
              <w:t>:</w:t>
            </w:r>
          </w:p>
        </w:tc>
        <w:tc>
          <w:tcPr>
            <w:tcW w:w="5760" w:type="dxa"/>
            <w:vAlign w:val="center"/>
          </w:tcPr>
          <w:p w14:paraId="72801941" w14:textId="77777777" w:rsidR="000673D0" w:rsidRPr="000673D0" w:rsidRDefault="000673D0" w:rsidP="0074464F">
            <w:pPr>
              <w:jc w:val="both"/>
              <w:rPr>
                <w:rFonts w:ascii="Cambria" w:hAnsi="Cambria"/>
                <w:bCs/>
                <w:sz w:val="20"/>
                <w:szCs w:val="20"/>
              </w:rPr>
            </w:pPr>
            <w:r>
              <w:rPr>
                <w:rFonts w:ascii="Cambria" w:hAnsi="Cambria"/>
                <w:sz w:val="20"/>
                <w:szCs w:val="20"/>
                <w:lang w:val="en"/>
              </w:rPr>
              <w:t>No</w:t>
            </w:r>
          </w:p>
        </w:tc>
      </w:tr>
      <w:tr w:rsidR="000673D0" w:rsidRPr="00550772" w14:paraId="5733AA78" w14:textId="77777777" w:rsidTr="00C05CBD">
        <w:trPr>
          <w:cantSplit/>
        </w:trPr>
        <w:tc>
          <w:tcPr>
            <w:tcW w:w="3600" w:type="dxa"/>
            <w:tcBorders>
              <w:top w:val="single" w:sz="4" w:space="0" w:color="auto"/>
              <w:bottom w:val="single" w:sz="6" w:space="0" w:color="auto"/>
            </w:tcBorders>
            <w:shd w:val="clear" w:color="auto" w:fill="67AE3C"/>
            <w:vAlign w:val="center"/>
          </w:tcPr>
          <w:p w14:paraId="70AE02E1" w14:textId="77777777" w:rsidR="000673D0" w:rsidRPr="000673D0" w:rsidRDefault="000673D0" w:rsidP="0074464F">
            <w:pPr>
              <w:jc w:val="center"/>
              <w:rPr>
                <w:rFonts w:ascii="Cambria" w:hAnsi="Cambria"/>
                <w:b/>
                <w:bCs/>
                <w:i/>
                <w:color w:val="FFFFFF" w:themeColor="background1"/>
                <w:sz w:val="20"/>
                <w:szCs w:val="20"/>
              </w:rPr>
            </w:pPr>
            <w:r>
              <w:rPr>
                <w:rFonts w:ascii="Cambria" w:hAnsi="Cambria"/>
                <w:b/>
                <w:bCs/>
                <w:color w:val="FFFFFF" w:themeColor="background1"/>
                <w:sz w:val="20"/>
                <w:szCs w:val="20"/>
                <w:lang w:val="en"/>
              </w:rPr>
              <w:t>Rights declared admissible:</w:t>
            </w:r>
          </w:p>
        </w:tc>
        <w:tc>
          <w:tcPr>
            <w:tcW w:w="5760" w:type="dxa"/>
            <w:vAlign w:val="center"/>
          </w:tcPr>
          <w:p w14:paraId="5EB169C6" w14:textId="1DC4FF50" w:rsidR="000673D0" w:rsidRPr="0027522A" w:rsidRDefault="00BA54A9" w:rsidP="0074464F">
            <w:pPr>
              <w:jc w:val="both"/>
              <w:rPr>
                <w:rFonts w:ascii="Cambria" w:hAnsi="Cambria"/>
                <w:bCs/>
                <w:sz w:val="20"/>
                <w:szCs w:val="20"/>
              </w:rPr>
            </w:pPr>
            <w:r>
              <w:rPr>
                <w:rFonts w:ascii="Cambria" w:hAnsi="Cambria"/>
                <w:sz w:val="20"/>
                <w:szCs w:val="20"/>
                <w:lang w:val="en"/>
              </w:rPr>
              <w:t>Articles 5 (humane treatment), 7 (personal liberty), 8 (fair trial), 9 (freedom from ex post facto laws) and 25 (judicial protection) of the American Convention, in relation to its Articles 1.1 (obligation to respect rights) and 2 (domestic legal effects); and Articles 1, 6, and 8 of the Inter-American Convention to Prevent and Punish Torture</w:t>
            </w:r>
          </w:p>
        </w:tc>
      </w:tr>
      <w:tr w:rsidR="000673D0" w:rsidRPr="00550772" w14:paraId="56C738B6" w14:textId="77777777" w:rsidTr="00C05CBD">
        <w:trPr>
          <w:cantSplit/>
        </w:trPr>
        <w:tc>
          <w:tcPr>
            <w:tcW w:w="3600" w:type="dxa"/>
            <w:tcBorders>
              <w:top w:val="single" w:sz="6" w:space="0" w:color="auto"/>
              <w:bottom w:val="single" w:sz="6" w:space="0" w:color="auto"/>
            </w:tcBorders>
            <w:shd w:val="clear" w:color="auto" w:fill="67AE3C"/>
            <w:vAlign w:val="center"/>
          </w:tcPr>
          <w:p w14:paraId="741F99C1" w14:textId="77777777" w:rsidR="000673D0" w:rsidRPr="000673D0" w:rsidRDefault="000673D0" w:rsidP="0074464F">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Exhaustion of domestic remedies or applicability of an exception to the rule:</w:t>
            </w:r>
          </w:p>
        </w:tc>
        <w:tc>
          <w:tcPr>
            <w:tcW w:w="5760" w:type="dxa"/>
            <w:vAlign w:val="center"/>
          </w:tcPr>
          <w:p w14:paraId="7B5A6AFC" w14:textId="5D791AFC" w:rsidR="000673D0" w:rsidRPr="000673D0" w:rsidRDefault="0027522A" w:rsidP="0074464F">
            <w:pPr>
              <w:rPr>
                <w:rFonts w:ascii="Cambria" w:hAnsi="Cambria"/>
                <w:bCs/>
                <w:sz w:val="20"/>
                <w:szCs w:val="20"/>
              </w:rPr>
            </w:pPr>
            <w:r>
              <w:rPr>
                <w:rFonts w:ascii="Cambria" w:hAnsi="Cambria"/>
                <w:sz w:val="20"/>
                <w:szCs w:val="20"/>
                <w:lang w:val="en"/>
              </w:rPr>
              <w:t>Yes, in the terms of Section VI</w:t>
            </w:r>
          </w:p>
        </w:tc>
      </w:tr>
      <w:tr w:rsidR="000673D0" w:rsidRPr="00550772" w14:paraId="64377EF5" w14:textId="77777777" w:rsidTr="00C05CBD">
        <w:trPr>
          <w:cantSplit/>
        </w:trPr>
        <w:tc>
          <w:tcPr>
            <w:tcW w:w="3600" w:type="dxa"/>
            <w:tcBorders>
              <w:top w:val="single" w:sz="6" w:space="0" w:color="auto"/>
              <w:bottom w:val="single" w:sz="6" w:space="0" w:color="auto"/>
            </w:tcBorders>
            <w:shd w:val="clear" w:color="auto" w:fill="67AE3C"/>
            <w:vAlign w:val="center"/>
          </w:tcPr>
          <w:p w14:paraId="33D77F00" w14:textId="77777777" w:rsidR="000673D0" w:rsidRPr="000673D0" w:rsidRDefault="000673D0" w:rsidP="0074464F">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Timeliness of the petition:</w:t>
            </w:r>
          </w:p>
        </w:tc>
        <w:tc>
          <w:tcPr>
            <w:tcW w:w="5760" w:type="dxa"/>
            <w:vAlign w:val="center"/>
          </w:tcPr>
          <w:p w14:paraId="6D2FF784" w14:textId="6C954EC1" w:rsidR="000673D0" w:rsidRPr="006E0D53" w:rsidRDefault="0027522A" w:rsidP="0074464F">
            <w:pPr>
              <w:rPr>
                <w:rFonts w:ascii="Cambria" w:hAnsi="Cambria"/>
                <w:bCs/>
                <w:sz w:val="20"/>
                <w:szCs w:val="20"/>
              </w:rPr>
            </w:pPr>
            <w:r>
              <w:rPr>
                <w:rFonts w:ascii="Cambria" w:hAnsi="Cambria"/>
                <w:sz w:val="20"/>
                <w:szCs w:val="20"/>
                <w:lang w:val="en"/>
              </w:rPr>
              <w:t>Yes, in the terms of Section VI</w:t>
            </w:r>
          </w:p>
        </w:tc>
      </w:tr>
    </w:tbl>
    <w:p w14:paraId="18E6423B" w14:textId="77777777" w:rsidR="003239B8" w:rsidRPr="000673D0" w:rsidRDefault="00223A29" w:rsidP="003239B8">
      <w:pPr>
        <w:spacing w:before="240" w:after="240"/>
        <w:ind w:firstLine="720"/>
        <w:jc w:val="both"/>
        <w:rPr>
          <w:rFonts w:asciiTheme="majorHAnsi" w:hAnsiTheme="majorHAnsi"/>
          <w:b/>
          <w:sz w:val="20"/>
          <w:szCs w:val="20"/>
        </w:rPr>
      </w:pPr>
      <w:r>
        <w:rPr>
          <w:rFonts w:asciiTheme="majorHAnsi" w:hAnsiTheme="majorHAnsi"/>
          <w:b/>
          <w:bCs/>
          <w:sz w:val="20"/>
          <w:szCs w:val="20"/>
          <w:lang w:val="en"/>
        </w:rPr>
        <w:lastRenderedPageBreak/>
        <w:t xml:space="preserve">V. </w:t>
      </w:r>
      <w:r>
        <w:rPr>
          <w:rFonts w:asciiTheme="majorHAnsi" w:hAnsiTheme="majorHAnsi"/>
          <w:b/>
          <w:bCs/>
          <w:sz w:val="20"/>
          <w:szCs w:val="20"/>
          <w:lang w:val="en"/>
        </w:rPr>
        <w:tab/>
        <w:t xml:space="preserve">FACTS ALLEGED </w:t>
      </w:r>
    </w:p>
    <w:p w14:paraId="06ECE73D" w14:textId="7DED563D" w:rsidR="00890F4F" w:rsidRPr="0007375C" w:rsidRDefault="00890F4F" w:rsidP="00890F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Anibal Florentio Arias and Wilbert Elki Meza Majino (hereinafter “the petitioners”) report alleged violations to the human rights of Wilbert Elki Meza Majino (hereinafter “the alleged victim”). They allege that he was wrongfully deprived of his liberty, subjected to torture, subjected to criminal proceedings before an authority that did not </w:t>
      </w:r>
      <w:r w:rsidR="00B1440C">
        <w:rPr>
          <w:rFonts w:ascii="Cambria" w:hAnsi="Cambria"/>
          <w:sz w:val="20"/>
          <w:szCs w:val="20"/>
          <w:lang w:val="en"/>
        </w:rPr>
        <w:t>constitute a lawful judge and</w:t>
      </w:r>
      <w:r w:rsidR="003E2B9C">
        <w:rPr>
          <w:rFonts w:ascii="Cambria" w:hAnsi="Cambria"/>
          <w:sz w:val="20"/>
          <w:szCs w:val="20"/>
          <w:lang w:val="en"/>
        </w:rPr>
        <w:t xml:space="preserve"> deprived </w:t>
      </w:r>
      <w:r>
        <w:rPr>
          <w:rFonts w:ascii="Cambria" w:hAnsi="Cambria"/>
          <w:sz w:val="20"/>
          <w:szCs w:val="20"/>
          <w:lang w:val="en"/>
        </w:rPr>
        <w:t>of presumption of innocence and the right to counsel. They also claim that he was sentenced on the grounds of a vague and abstract type of criminal offense that did not meet the criter</w:t>
      </w:r>
      <w:r w:rsidR="003E2B9C">
        <w:rPr>
          <w:rFonts w:ascii="Cambria" w:hAnsi="Cambria"/>
          <w:sz w:val="20"/>
          <w:szCs w:val="20"/>
          <w:lang w:val="en"/>
        </w:rPr>
        <w:t xml:space="preserve">ia of the principle of legality, </w:t>
      </w:r>
      <w:r>
        <w:rPr>
          <w:rFonts w:ascii="Cambria" w:hAnsi="Cambria"/>
          <w:sz w:val="20"/>
          <w:szCs w:val="20"/>
          <w:lang w:val="en"/>
        </w:rPr>
        <w:t xml:space="preserve">and that he received a harsher sentence than the one that was applicable to such type of criminal offense at the time when the offense was allegedly committed. </w:t>
      </w:r>
    </w:p>
    <w:p w14:paraId="14182A0E" w14:textId="7B6DA69D" w:rsidR="0007375C" w:rsidRPr="00DA01B0" w:rsidRDefault="0007375C" w:rsidP="00890F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petitioners explain that on August 22</w:t>
      </w:r>
      <w:r w:rsidR="00D51ACC">
        <w:rPr>
          <w:rFonts w:ascii="Cambria" w:hAnsi="Cambria"/>
          <w:sz w:val="20"/>
          <w:szCs w:val="20"/>
          <w:lang w:val="en"/>
        </w:rPr>
        <w:t>, 2002 the alleged victim was at</w:t>
      </w:r>
      <w:r>
        <w:rPr>
          <w:rFonts w:ascii="Cambria" w:hAnsi="Cambria"/>
          <w:sz w:val="20"/>
          <w:szCs w:val="20"/>
          <w:lang w:val="en"/>
        </w:rPr>
        <w:t xml:space="preserve"> an internet kiosk performing his labor duties as a trader when he</w:t>
      </w:r>
      <w:r w:rsidR="00D51ACC">
        <w:rPr>
          <w:rFonts w:ascii="Cambria" w:hAnsi="Cambria"/>
          <w:sz w:val="20"/>
          <w:szCs w:val="20"/>
          <w:lang w:val="en"/>
        </w:rPr>
        <w:t xml:space="preserve"> was</w:t>
      </w:r>
      <w:r>
        <w:rPr>
          <w:rFonts w:ascii="Cambria" w:hAnsi="Cambria"/>
          <w:sz w:val="20"/>
          <w:szCs w:val="20"/>
          <w:lang w:val="en"/>
        </w:rPr>
        <w:t xml:space="preserve"> arrested by State agents without a warrant. They allege that after the arrest, the agents tied the alleged victim’s hands and feet and blindfolded him in order to t</w:t>
      </w:r>
      <w:r w:rsidR="00D51ACC">
        <w:rPr>
          <w:rFonts w:ascii="Cambria" w:hAnsi="Cambria"/>
          <w:sz w:val="20"/>
          <w:szCs w:val="20"/>
          <w:lang w:val="en"/>
        </w:rPr>
        <w:t>ake</w:t>
      </w:r>
      <w:r>
        <w:rPr>
          <w:rFonts w:ascii="Cambria" w:hAnsi="Cambria"/>
          <w:sz w:val="20"/>
          <w:szCs w:val="20"/>
          <w:lang w:val="en"/>
        </w:rPr>
        <w:t xml:space="preserve"> him to Ventanilla Beach (</w:t>
      </w:r>
      <w:r>
        <w:rPr>
          <w:rFonts w:ascii="Cambria" w:hAnsi="Cambria"/>
          <w:i/>
          <w:iCs/>
          <w:sz w:val="20"/>
          <w:szCs w:val="20"/>
          <w:lang w:val="en"/>
        </w:rPr>
        <w:t>Playas de Ventanilla</w:t>
      </w:r>
      <w:r>
        <w:rPr>
          <w:rFonts w:ascii="Cambria" w:hAnsi="Cambria"/>
          <w:sz w:val="20"/>
          <w:szCs w:val="20"/>
          <w:lang w:val="en"/>
        </w:rPr>
        <w:t>) where he was subjected to physical abuse and physical and psychological torture. The petitioners stat</w:t>
      </w:r>
      <w:r w:rsidR="00D51ACC">
        <w:rPr>
          <w:rFonts w:ascii="Cambria" w:hAnsi="Cambria"/>
          <w:sz w:val="20"/>
          <w:szCs w:val="20"/>
          <w:lang w:val="en"/>
        </w:rPr>
        <w:t>e that, in order to justify the</w:t>
      </w:r>
      <w:r>
        <w:rPr>
          <w:rFonts w:ascii="Cambria" w:hAnsi="Cambria"/>
          <w:sz w:val="20"/>
          <w:szCs w:val="20"/>
          <w:lang w:val="en"/>
        </w:rPr>
        <w:t xml:space="preserve"> arbitrary arrest and obtain a million </w:t>
      </w:r>
      <w:r w:rsidR="00D51ACC">
        <w:rPr>
          <w:rFonts w:ascii="Cambria" w:hAnsi="Cambria"/>
          <w:sz w:val="20"/>
          <w:szCs w:val="20"/>
          <w:lang w:val="en"/>
        </w:rPr>
        <w:t>dollars’</w:t>
      </w:r>
      <w:r>
        <w:rPr>
          <w:rFonts w:ascii="Cambria" w:hAnsi="Cambria"/>
          <w:sz w:val="20"/>
          <w:szCs w:val="20"/>
          <w:lang w:val="en"/>
        </w:rPr>
        <w:t xml:space="preserve"> reward offered by the State to those who captured terrorist leaders, the alleged victim was accused of being responsible for the logistics and financial matters of the terrorist organization “Shining Path” (</w:t>
      </w:r>
      <w:r>
        <w:rPr>
          <w:rFonts w:ascii="Cambria" w:hAnsi="Cambria"/>
          <w:i/>
          <w:iCs/>
          <w:sz w:val="20"/>
          <w:szCs w:val="20"/>
          <w:lang w:val="en"/>
        </w:rPr>
        <w:t>Sendero Luminoso</w:t>
      </w:r>
      <w:r>
        <w:rPr>
          <w:rFonts w:ascii="Cambria" w:hAnsi="Cambria"/>
          <w:sz w:val="20"/>
          <w:szCs w:val="20"/>
          <w:lang w:val="en"/>
        </w:rPr>
        <w:t>). They explain that the a quo Court of the National Criminal Court passed sentence on the alleged victim convicting him for acts of terrorism against the State and was</w:t>
      </w:r>
      <w:r w:rsidR="00B1440C">
        <w:rPr>
          <w:rFonts w:ascii="Cambria" w:hAnsi="Cambria"/>
          <w:sz w:val="20"/>
          <w:szCs w:val="20"/>
          <w:lang w:val="en"/>
        </w:rPr>
        <w:t xml:space="preserve"> he</w:t>
      </w:r>
      <w:r>
        <w:rPr>
          <w:rFonts w:ascii="Cambria" w:hAnsi="Cambria"/>
          <w:sz w:val="20"/>
          <w:szCs w:val="20"/>
          <w:lang w:val="en"/>
        </w:rPr>
        <w:t xml:space="preserve"> sentenced to 20 years of prison. </w:t>
      </w:r>
    </w:p>
    <w:p w14:paraId="4E63F904" w14:textId="137DED84" w:rsidR="00DA01B0" w:rsidRPr="009766E2" w:rsidRDefault="00DA01B0" w:rsidP="00890F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petitioners claim that the investigation and criminal proceedings that resulted in the alleged victim’s sentence were full of irregularities that repre</w:t>
      </w:r>
      <w:r w:rsidR="003E2B9C">
        <w:rPr>
          <w:rFonts w:ascii="Cambria" w:hAnsi="Cambria"/>
          <w:sz w:val="20"/>
          <w:szCs w:val="20"/>
          <w:lang w:val="en"/>
        </w:rPr>
        <w:t xml:space="preserve">sented human rights’ violations, </w:t>
      </w:r>
      <w:r>
        <w:rPr>
          <w:rFonts w:ascii="Cambria" w:hAnsi="Cambria"/>
          <w:sz w:val="20"/>
          <w:szCs w:val="20"/>
          <w:lang w:val="en"/>
        </w:rPr>
        <w:t xml:space="preserve">including: that even though the city of Lima was not in state of emergency, the alleged victim was isolated in the jail of Peru’s National Counterterrorism Directorate (hereinafter, “DIRCOTE”) where he was tortured and, under these circumstances, evidence was gathered and the victim’s statements were obtained and were not withdrawn later in spite of the objections filed; that he was convicted for a type of criminal offense established by a decree that was not valid for having been issued by a </w:t>
      </w:r>
      <w:r>
        <w:rPr>
          <w:rFonts w:ascii="Cambria" w:hAnsi="Cambria"/>
          <w:i/>
          <w:iCs/>
          <w:sz w:val="20"/>
          <w:szCs w:val="20"/>
          <w:lang w:val="en"/>
        </w:rPr>
        <w:t xml:space="preserve">de facto </w:t>
      </w:r>
      <w:r>
        <w:rPr>
          <w:rFonts w:ascii="Cambria" w:hAnsi="Cambria"/>
          <w:sz w:val="20"/>
          <w:szCs w:val="20"/>
          <w:lang w:val="en"/>
        </w:rPr>
        <w:t xml:space="preserve">government; that the type of criminal offense for which he was convicted (terrorism by affiliation) did not meet the minimum requirements of the principle of legality for being abstract, vague, open and imprecise; that a decree issued subsequent to the events for which he was charged was retroactively applied and increased the sentence for the offense for which he was convicted from 15 to 20 years of prison; that the right to be tried by a lawful judge was violated given that the proceedings were </w:t>
      </w:r>
      <w:r w:rsidR="003E2B9C">
        <w:rPr>
          <w:rFonts w:ascii="Cambria" w:hAnsi="Cambria"/>
          <w:sz w:val="20"/>
          <w:szCs w:val="20"/>
          <w:lang w:val="en"/>
        </w:rPr>
        <w:t>heard</w:t>
      </w:r>
      <w:r>
        <w:rPr>
          <w:rFonts w:ascii="Cambria" w:hAnsi="Cambria"/>
          <w:sz w:val="20"/>
          <w:szCs w:val="20"/>
          <w:lang w:val="en"/>
        </w:rPr>
        <w:t xml:space="preserve"> by special terrorism courts different to the ones established in the Peruvian system of justice prior to the events that resulted in the sentence; that the sentence was based on a “verification report of communication through the internet” without </w:t>
      </w:r>
      <w:r w:rsidR="00D82157">
        <w:rPr>
          <w:rFonts w:ascii="Cambria" w:hAnsi="Cambria"/>
          <w:sz w:val="20"/>
          <w:szCs w:val="20"/>
          <w:lang w:val="en"/>
        </w:rPr>
        <w:t>its</w:t>
      </w:r>
      <w:r>
        <w:rPr>
          <w:rFonts w:ascii="Cambria" w:hAnsi="Cambria"/>
          <w:sz w:val="20"/>
          <w:szCs w:val="20"/>
          <w:lang w:val="en"/>
        </w:rPr>
        <w:t xml:space="preserve"> authenticity, falseness or falsification of its content</w:t>
      </w:r>
      <w:r w:rsidR="00D82157">
        <w:rPr>
          <w:rFonts w:ascii="Cambria" w:hAnsi="Cambria"/>
          <w:sz w:val="20"/>
          <w:szCs w:val="20"/>
          <w:lang w:val="en"/>
        </w:rPr>
        <w:t xml:space="preserve"> having been proven</w:t>
      </w:r>
      <w:r>
        <w:rPr>
          <w:rFonts w:ascii="Cambria" w:hAnsi="Cambria"/>
          <w:sz w:val="20"/>
          <w:szCs w:val="20"/>
          <w:lang w:val="en"/>
        </w:rPr>
        <w:t xml:space="preserve"> by means of a expert’s report.</w:t>
      </w:r>
    </w:p>
    <w:p w14:paraId="303ADF4F" w14:textId="50B82713" w:rsidR="000B7DC4" w:rsidRPr="000B7DC4" w:rsidRDefault="009766E2" w:rsidP="0089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petitioners claim that the alleged victim has exhausted all the remedies available in the domestic jurisdiction. They indicate that a nullity suit was filed against the condemnatory sentence. Consequently, on May 24, 2006 the Second Provisional Criminal Court of the Supreme Court of Justice upheld the sentence. In addition, they indicate that he filed an habeas corpus action against first and second instance authorities claiming that he had been deprived of his liberty</w:t>
      </w:r>
      <w:r w:rsidR="00D51ACC">
        <w:rPr>
          <w:rFonts w:ascii="Cambria" w:hAnsi="Cambria"/>
          <w:sz w:val="20"/>
          <w:szCs w:val="20"/>
          <w:lang w:val="en"/>
        </w:rPr>
        <w:t xml:space="preserve"> based on irregular proceedings</w:t>
      </w:r>
      <w:r w:rsidR="00700B7B">
        <w:rPr>
          <w:rFonts w:ascii="Cambria" w:hAnsi="Cambria"/>
          <w:sz w:val="20"/>
          <w:szCs w:val="20"/>
          <w:lang w:val="en"/>
        </w:rPr>
        <w:t>, which</w:t>
      </w:r>
      <w:r>
        <w:rPr>
          <w:rFonts w:ascii="Cambria" w:hAnsi="Cambria"/>
          <w:sz w:val="20"/>
          <w:szCs w:val="20"/>
          <w:lang w:val="en"/>
        </w:rPr>
        <w:t xml:space="preserve"> was deemed groundless by the Second Criminal Court. Subsequently, he appealed this decision before the Fifth Court of Free Defendants of the Superior Court of Justice, which upheld the negative decision. Finally, he filed a constitutional appeal for the Constitutional Court to reconsider his habeas corpus action, </w:t>
      </w:r>
      <w:r w:rsidRPr="00D82157">
        <w:rPr>
          <w:rFonts w:ascii="Cambria" w:hAnsi="Cambria"/>
          <w:sz w:val="20"/>
          <w:szCs w:val="20"/>
          <w:lang w:val="en"/>
        </w:rPr>
        <w:t>which on May 16, 2009 ruled this action to be groundless.</w:t>
      </w:r>
      <w:r>
        <w:rPr>
          <w:rFonts w:ascii="Cambria" w:hAnsi="Cambria"/>
          <w:sz w:val="20"/>
          <w:szCs w:val="20"/>
          <w:lang w:val="en"/>
        </w:rPr>
        <w:t xml:space="preserve"> He highlights that his complaints with regard to the malignant violation to the principle of </w:t>
      </w:r>
      <w:r>
        <w:rPr>
          <w:rFonts w:ascii="Cambria" w:hAnsi="Cambria"/>
          <w:i/>
          <w:iCs/>
          <w:sz w:val="20"/>
          <w:szCs w:val="20"/>
          <w:lang w:val="en"/>
        </w:rPr>
        <w:t>ex post facto</w:t>
      </w:r>
      <w:r>
        <w:rPr>
          <w:rFonts w:ascii="Cambria" w:hAnsi="Cambria"/>
          <w:sz w:val="20"/>
          <w:szCs w:val="20"/>
          <w:lang w:val="en"/>
        </w:rPr>
        <w:t xml:space="preserve"> nature of the criminal law were outlined in the habeas corpus action. He also states that the tortures inflicted upon the alleged victim during his arrest were reported while the criminal proceedings against him were ongoing, first before the Public Ministry’s representative and subsequently before the judicial authorities, which rejected the objections filed and did not apply the principle of </w:t>
      </w:r>
      <w:r>
        <w:rPr>
          <w:rFonts w:ascii="Cambria" w:hAnsi="Cambria"/>
          <w:i/>
          <w:iCs/>
          <w:sz w:val="20"/>
          <w:szCs w:val="20"/>
          <w:lang w:val="en"/>
        </w:rPr>
        <w:t xml:space="preserve">audi alteram partem </w:t>
      </w:r>
      <w:r>
        <w:rPr>
          <w:rFonts w:ascii="Cambria" w:hAnsi="Cambria"/>
          <w:sz w:val="20"/>
          <w:szCs w:val="20"/>
          <w:lang w:val="en"/>
        </w:rPr>
        <w:t>with regard to the evidence. They also claim that during the proceedings, a recording made when the alleged victim was arrested by the police was submitted, but that it omitted the video of the abuses and assaults committed against him.</w:t>
      </w:r>
    </w:p>
    <w:p w14:paraId="53E550F6" w14:textId="2C9ACB27" w:rsidR="00894733" w:rsidRPr="009C1E1E" w:rsidRDefault="000B7DC4" w:rsidP="0089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lastRenderedPageBreak/>
        <w:t xml:space="preserve">On the other hand, the State highlights that the petitioners invoke instruments that do not belong to the Inter-American system and that cannot be evaluated and ruled upon by the Commission. It states that the petition should be declared inadmissible on the grounds of Article 46 of the American Convention since the alleged victim failed to exhaust the domestic remedies. It affirms that the alleged victim did not include in the nullity and habeas corpus actions his claims with regard to the alleged specific violation of the principle of legality, </w:t>
      </w:r>
      <w:r>
        <w:rPr>
          <w:rFonts w:ascii="Cambria" w:hAnsi="Cambria"/>
          <w:i/>
          <w:iCs/>
          <w:sz w:val="20"/>
          <w:szCs w:val="20"/>
          <w:lang w:val="en"/>
        </w:rPr>
        <w:t xml:space="preserve">actus reus </w:t>
      </w:r>
      <w:r>
        <w:rPr>
          <w:rFonts w:ascii="Cambria" w:hAnsi="Cambria"/>
          <w:sz w:val="20"/>
          <w:szCs w:val="20"/>
          <w:lang w:val="en"/>
        </w:rPr>
        <w:t xml:space="preserve">or </w:t>
      </w:r>
      <w:r>
        <w:rPr>
          <w:rFonts w:ascii="Cambria" w:hAnsi="Cambria"/>
          <w:i/>
          <w:iCs/>
          <w:sz w:val="20"/>
          <w:szCs w:val="20"/>
          <w:lang w:val="en"/>
        </w:rPr>
        <w:t>ex post facto</w:t>
      </w:r>
      <w:r>
        <w:rPr>
          <w:rFonts w:ascii="Cambria" w:hAnsi="Cambria"/>
          <w:sz w:val="20"/>
          <w:szCs w:val="20"/>
          <w:lang w:val="en"/>
        </w:rPr>
        <w:t xml:space="preserve"> nature in criminal matters and indicates that it is demonstrated in the sentences that resolved these remedies. It highlights that the constitutional process represented an appropriate and effective remedy to resolve these claims and that the domestic courts were deprived from issuing a judgment on the matter. In addition, it claims that the State cannot be held accountable for the inappropriate exercise of the alleged victim’s legal defense during the constitutional process. Moreover, it notes that the proceedings against the alleged victim were brought forward in the context of the State’s fight against the terrorist group Shining Path, which promoted an anti-human rights ideology and was </w:t>
      </w:r>
      <w:r w:rsidR="00B1440C">
        <w:rPr>
          <w:rFonts w:ascii="Cambria" w:hAnsi="Cambria"/>
          <w:sz w:val="20"/>
          <w:szCs w:val="20"/>
          <w:lang w:val="en"/>
        </w:rPr>
        <w:t>responsibl</w:t>
      </w:r>
      <w:r>
        <w:rPr>
          <w:rFonts w:ascii="Cambria" w:hAnsi="Cambria"/>
          <w:sz w:val="20"/>
          <w:szCs w:val="20"/>
          <w:lang w:val="en"/>
        </w:rPr>
        <w:t xml:space="preserve">e for multiple acts of violence against the civil society. Therefore, the State had the duty and right to defend itself as long as it respected the fundamental rights of its citizens. </w:t>
      </w:r>
    </w:p>
    <w:p w14:paraId="7B1B9EE2" w14:textId="733672E1" w:rsidR="00D867BB" w:rsidRDefault="009C1E1E" w:rsidP="0089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It also states that the petition should be declared inadmissible on the grounds of Article 47 of the American Convention since the facts alleged do not represent violations of the petitioner’s human rights. It States that the petitioners’ purpose is</w:t>
      </w:r>
      <w:r w:rsidR="00D82157">
        <w:rPr>
          <w:rFonts w:ascii="Cambria" w:hAnsi="Cambria"/>
          <w:sz w:val="20"/>
          <w:szCs w:val="20"/>
          <w:lang w:val="en"/>
        </w:rPr>
        <w:t xml:space="preserve"> for</w:t>
      </w:r>
      <w:r>
        <w:rPr>
          <w:rFonts w:ascii="Cambria" w:hAnsi="Cambria"/>
          <w:sz w:val="20"/>
          <w:szCs w:val="20"/>
          <w:lang w:val="en"/>
        </w:rPr>
        <w:t xml:space="preserve"> the Commission</w:t>
      </w:r>
      <w:r w:rsidR="00D82157">
        <w:rPr>
          <w:rFonts w:ascii="Cambria" w:hAnsi="Cambria"/>
          <w:sz w:val="20"/>
          <w:szCs w:val="20"/>
          <w:lang w:val="en"/>
        </w:rPr>
        <w:t xml:space="preserve"> to</w:t>
      </w:r>
      <w:r>
        <w:rPr>
          <w:rFonts w:ascii="Cambria" w:hAnsi="Cambria"/>
          <w:sz w:val="20"/>
          <w:szCs w:val="20"/>
          <w:lang w:val="en"/>
        </w:rPr>
        <w:t xml:space="preserve"> act</w:t>
      </w:r>
      <w:r w:rsidR="00D82157">
        <w:rPr>
          <w:rFonts w:ascii="Cambria" w:hAnsi="Cambria"/>
          <w:sz w:val="20"/>
          <w:szCs w:val="20"/>
          <w:lang w:val="en"/>
        </w:rPr>
        <w:t>,</w:t>
      </w:r>
      <w:r>
        <w:rPr>
          <w:rFonts w:ascii="Cambria" w:hAnsi="Cambria"/>
          <w:sz w:val="20"/>
          <w:szCs w:val="20"/>
          <w:lang w:val="en"/>
        </w:rPr>
        <w:t xml:space="preserve"> in breach of its subsidiary nature, as a fourth instance or as an appeals court and examine evaluations and judgments of the domestic courts with which they disagree. It notes that the alleged victim had the right to conduct his defense, to raise objections and to appeal the condemnatory sentence. Therefore, the fact that sentences contrary to </w:t>
      </w:r>
      <w:r w:rsidR="00D82157">
        <w:rPr>
          <w:rFonts w:ascii="Cambria" w:hAnsi="Cambria"/>
          <w:sz w:val="20"/>
          <w:szCs w:val="20"/>
          <w:lang w:val="en"/>
        </w:rPr>
        <w:t>his</w:t>
      </w:r>
      <w:r>
        <w:rPr>
          <w:rFonts w:ascii="Cambria" w:hAnsi="Cambria"/>
          <w:sz w:val="20"/>
          <w:szCs w:val="20"/>
          <w:lang w:val="en"/>
        </w:rPr>
        <w:t xml:space="preserve"> interests were issued does not represent a violation of his rights. </w:t>
      </w:r>
    </w:p>
    <w:p w14:paraId="4F4ECD30" w14:textId="07FBDEF1" w:rsidR="009C1E1E" w:rsidRDefault="009A4B90" w:rsidP="0089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It explains that even though the victim alleged that he was subjected to torture and suffered violations of his right to humane treatment, such complaints </w:t>
      </w:r>
      <w:r w:rsidR="00D82157">
        <w:rPr>
          <w:rFonts w:ascii="Cambria" w:hAnsi="Cambria"/>
          <w:sz w:val="20"/>
          <w:szCs w:val="20"/>
          <w:lang w:val="en"/>
        </w:rPr>
        <w:t>had to be</w:t>
      </w:r>
      <w:r>
        <w:rPr>
          <w:rFonts w:ascii="Cambria" w:hAnsi="Cambria"/>
          <w:sz w:val="20"/>
          <w:szCs w:val="20"/>
          <w:lang w:val="en"/>
        </w:rPr>
        <w:t xml:space="preserve"> dismissed within the domestic proceedings given that there was no evidence </w:t>
      </w:r>
      <w:r w:rsidR="00D82157">
        <w:rPr>
          <w:rFonts w:ascii="Cambria" w:hAnsi="Cambria"/>
          <w:sz w:val="20"/>
          <w:szCs w:val="20"/>
          <w:lang w:val="en"/>
        </w:rPr>
        <w:t>supporting</w:t>
      </w:r>
      <w:r>
        <w:rPr>
          <w:rFonts w:ascii="Cambria" w:hAnsi="Cambria"/>
          <w:sz w:val="20"/>
          <w:szCs w:val="20"/>
          <w:lang w:val="en"/>
        </w:rPr>
        <w:t xml:space="preserve"> th</w:t>
      </w:r>
      <w:r w:rsidR="00D82157">
        <w:rPr>
          <w:rFonts w:ascii="Cambria" w:hAnsi="Cambria"/>
          <w:sz w:val="20"/>
          <w:szCs w:val="20"/>
          <w:lang w:val="en"/>
        </w:rPr>
        <w:t>ese</w:t>
      </w:r>
      <w:r>
        <w:rPr>
          <w:rFonts w:ascii="Cambria" w:hAnsi="Cambria"/>
          <w:sz w:val="20"/>
          <w:szCs w:val="20"/>
          <w:lang w:val="en"/>
        </w:rPr>
        <w:t xml:space="preserve"> statement</w:t>
      </w:r>
      <w:r w:rsidR="00D82157">
        <w:rPr>
          <w:rFonts w:ascii="Cambria" w:hAnsi="Cambria"/>
          <w:sz w:val="20"/>
          <w:szCs w:val="20"/>
          <w:lang w:val="en"/>
        </w:rPr>
        <w:t>s</w:t>
      </w:r>
      <w:r>
        <w:rPr>
          <w:rFonts w:ascii="Cambria" w:hAnsi="Cambria"/>
          <w:sz w:val="20"/>
          <w:szCs w:val="20"/>
          <w:lang w:val="en"/>
        </w:rPr>
        <w:t>. It highlights that within the criminal proceedings, a video made when the alleged victim was arrested was filed. It showed that the alleged victim was handcuffed but remained quiet and was reading a statement without apparent signs of violence. It also notes that the alleged victim’s arrest was not illegal based on a warrant that was issued against him. It highlights that this was acknowledged by the alleged victim in his writ for appeal for annulment, in which he indicated that at the time of his arrest there was a warrant issued against him for illegal possession of arms, but not for terrorism. It also states that the petitioner was notified of the existence of a court order for his arrest at the ti</w:t>
      </w:r>
      <w:r w:rsidR="005972AA">
        <w:rPr>
          <w:rFonts w:ascii="Cambria" w:hAnsi="Cambria"/>
          <w:sz w:val="20"/>
          <w:szCs w:val="20"/>
          <w:lang w:val="en"/>
        </w:rPr>
        <w:t>me in which it was</w:t>
      </w:r>
      <w:r w:rsidR="009573C3">
        <w:rPr>
          <w:rFonts w:ascii="Cambria" w:hAnsi="Cambria"/>
          <w:sz w:val="20"/>
          <w:szCs w:val="20"/>
          <w:lang w:val="en"/>
        </w:rPr>
        <w:t xml:space="preserve"> executed</w:t>
      </w:r>
      <w:r w:rsidR="005972AA">
        <w:rPr>
          <w:rFonts w:ascii="Cambria" w:hAnsi="Cambria"/>
          <w:sz w:val="20"/>
          <w:szCs w:val="20"/>
          <w:lang w:val="en"/>
        </w:rPr>
        <w:t xml:space="preserve"> and </w:t>
      </w:r>
      <w:r>
        <w:rPr>
          <w:rFonts w:ascii="Cambria" w:hAnsi="Cambria"/>
          <w:sz w:val="20"/>
          <w:szCs w:val="20"/>
          <w:lang w:val="en"/>
        </w:rPr>
        <w:t>that this was proven in the condemnatory sentence of first instance.</w:t>
      </w:r>
    </w:p>
    <w:p w14:paraId="6DDFB979" w14:textId="75AF5D1E" w:rsidR="005E5681" w:rsidRPr="00894733" w:rsidRDefault="005E5681" w:rsidP="0089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It states that the fact that the proceedings against the alleged victim were brought</w:t>
      </w:r>
      <w:r w:rsidR="00786E6E">
        <w:rPr>
          <w:rFonts w:ascii="Cambria" w:hAnsi="Cambria"/>
          <w:sz w:val="20"/>
          <w:szCs w:val="20"/>
          <w:lang w:val="en"/>
        </w:rPr>
        <w:t xml:space="preserve"> forward</w:t>
      </w:r>
      <w:r>
        <w:rPr>
          <w:rFonts w:ascii="Cambria" w:hAnsi="Cambria"/>
          <w:sz w:val="20"/>
          <w:szCs w:val="20"/>
          <w:lang w:val="en"/>
        </w:rPr>
        <w:t xml:space="preserve"> before the National Criminal Court does not represent a violation of his right to be tried by a lawful judge or court pre-established by law. It explains that the judges that are part of said court belong to the ordinary jurisdiction and that the proceedings against the alleged victim were heard before it since it was the competent authority to prosecute terrorism cases based on the principle of specialty for the matter and the territory. It also mentions that in the criminal proceedings before the National Criminal Court, the right to fair trial and the principle of presumption of innocence </w:t>
      </w:r>
      <w:r w:rsidR="005972AA">
        <w:rPr>
          <w:rFonts w:ascii="Cambria" w:hAnsi="Cambria"/>
          <w:sz w:val="20"/>
          <w:szCs w:val="20"/>
          <w:lang w:val="en"/>
        </w:rPr>
        <w:t>are respected. The aforementioned is shown</w:t>
      </w:r>
      <w:r>
        <w:rPr>
          <w:rFonts w:ascii="Cambria" w:hAnsi="Cambria"/>
          <w:sz w:val="20"/>
          <w:szCs w:val="20"/>
          <w:lang w:val="en"/>
        </w:rPr>
        <w:t xml:space="preserve"> in the results statistics of the Court, which indicate that 42.80% of the people prosecuted for terrorism before it between 2003 and 2013 were acquitted. It also alleges that the principle of legality in criminal matters was not violated nor infringed since criminal law must be interpreted by each judge in each specific case. </w:t>
      </w:r>
    </w:p>
    <w:p w14:paraId="6F4D4171" w14:textId="442CD4CF" w:rsidR="003239B8" w:rsidRPr="000673D0" w:rsidRDefault="003239B8" w:rsidP="00890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Pr>
          <w:rFonts w:asciiTheme="majorHAnsi" w:hAnsiTheme="majorHAnsi"/>
          <w:b/>
          <w:bCs/>
          <w:sz w:val="20"/>
          <w:szCs w:val="20"/>
          <w:lang w:val="en"/>
        </w:rPr>
        <w:t xml:space="preserve">ANALYSIS OF EXHAUSTION OF DOMESTIC REMEDIES AND TIMELINESS OF THE PETITION </w:t>
      </w:r>
      <w:r>
        <w:rPr>
          <w:rFonts w:asciiTheme="majorHAnsi" w:hAnsiTheme="majorHAnsi"/>
          <w:b/>
          <w:bCs/>
          <w:color w:val="000000"/>
          <w:sz w:val="20"/>
          <w:szCs w:val="20"/>
          <w:u w:color="000000"/>
          <w:lang w:val="en"/>
        </w:rPr>
        <w:t xml:space="preserve"> </w:t>
      </w:r>
    </w:p>
    <w:p w14:paraId="620A3B95" w14:textId="4934A54F" w:rsidR="00122F86" w:rsidRDefault="00BB4418" w:rsidP="008D13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The Commission observes that the petitioners have claimed that the alleged victim has exhausted all the available remedies within the domestic jurisdiction; that the alleged violations to humane treatment have been reported before the authorities hearing the criminal proceedings and that their complaints with regard to the violation of the principle of legality were outlined in the habeas corpus action filed by the victim. On the other hand, the State claims that the domestic remedies were not duly exhausted given that the violations of the principle of legality were not raised before the domestic courts.</w:t>
      </w:r>
    </w:p>
    <w:p w14:paraId="7F66E998" w14:textId="37E40956" w:rsidR="00A352A2" w:rsidRDefault="004A60C4" w:rsidP="008D13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lastRenderedPageBreak/>
        <w:t xml:space="preserve">The Commission takes note of the existing dispute between the parties with regard to whether the relevant claims about the alleged violations of the principle of legality were raised at a domestic level. With regard to such dispute, the Commission values that in the records there appears a copy of an appeal for an habeas corpus action provided by the petitioner </w:t>
      </w:r>
      <w:r w:rsidR="005972AA">
        <w:rPr>
          <w:rFonts w:asciiTheme="majorHAnsi" w:hAnsiTheme="majorHAnsi"/>
          <w:sz w:val="20"/>
          <w:szCs w:val="20"/>
          <w:lang w:val="en"/>
        </w:rPr>
        <w:t xml:space="preserve">and </w:t>
      </w:r>
      <w:r>
        <w:rPr>
          <w:rFonts w:asciiTheme="majorHAnsi" w:hAnsiTheme="majorHAnsi"/>
          <w:sz w:val="20"/>
          <w:szCs w:val="20"/>
          <w:lang w:val="en"/>
        </w:rPr>
        <w:t>stamped in acknowledgment by The Judiciary dated December 28, 2006. The writ indicates the following: "I hereby direct this petition for constitutional relief against the NATIONAL TERRORISM CHAMBER, THE EXECUTIVE POWER AND THE LEGISLATIVE POWER for being accountable for the violation of my constitutional rights of liberty and security, due process, presumption of innocence, freedom from arbitrary arrest and malignant</w:t>
      </w:r>
      <w:r>
        <w:rPr>
          <w:rFonts w:asciiTheme="majorHAnsi" w:hAnsiTheme="majorHAnsi"/>
          <w:b/>
          <w:bCs/>
          <w:sz w:val="20"/>
          <w:szCs w:val="20"/>
          <w:lang w:val="en"/>
        </w:rPr>
        <w:t xml:space="preserve"> </w:t>
      </w:r>
      <w:r>
        <w:rPr>
          <w:rFonts w:asciiTheme="majorHAnsi" w:hAnsiTheme="majorHAnsi"/>
          <w:sz w:val="20"/>
          <w:szCs w:val="20"/>
          <w:lang w:val="en"/>
        </w:rPr>
        <w:t>non-retroactivity of criminal law.” The Commission values that the State has not claimed, nor it is provided in the records, the falseness of such document. Therefore, for purposes of the present analysis on admissibility, the Commission found it proven that the alleged violations of the principle of legality were raised before the domestic authorities by means of the habeas corpus action.</w:t>
      </w:r>
    </w:p>
    <w:p w14:paraId="364BFE90" w14:textId="654CD890" w:rsidR="00675D21" w:rsidRPr="00434D45" w:rsidRDefault="00675D21" w:rsidP="00434D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The Commission observes that it arises from the records that the alleged victim had been subjected to ordinary criminal proceedings in which he was sentenced and within which he reported the alleged violations to humane treatment. Subsequently, he filed a nullity suit against the condemnatory sentence and, since this action was ineffective, he resorted to the constitutiona</w:t>
      </w:r>
      <w:r w:rsidR="004D6A8F">
        <w:rPr>
          <w:rFonts w:asciiTheme="majorHAnsi" w:hAnsiTheme="majorHAnsi"/>
          <w:sz w:val="20"/>
          <w:szCs w:val="20"/>
          <w:lang w:val="en"/>
        </w:rPr>
        <w:t>l justice through a</w:t>
      </w:r>
      <w:r>
        <w:rPr>
          <w:rFonts w:asciiTheme="majorHAnsi" w:hAnsiTheme="majorHAnsi"/>
          <w:sz w:val="20"/>
          <w:szCs w:val="20"/>
          <w:lang w:val="en"/>
        </w:rPr>
        <w:t xml:space="preserve"> special habeas corpus action by which he reported </w:t>
      </w:r>
      <w:r w:rsidR="00786E6E">
        <w:rPr>
          <w:rFonts w:asciiTheme="majorHAnsi" w:hAnsiTheme="majorHAnsi"/>
          <w:sz w:val="20"/>
          <w:szCs w:val="20"/>
          <w:lang w:val="en"/>
        </w:rPr>
        <w:t xml:space="preserve">the </w:t>
      </w:r>
      <w:r>
        <w:rPr>
          <w:rFonts w:asciiTheme="majorHAnsi" w:hAnsiTheme="majorHAnsi"/>
          <w:sz w:val="20"/>
          <w:szCs w:val="20"/>
          <w:lang w:val="en"/>
        </w:rPr>
        <w:t>alleged violations of his rights. The State has not indicated, nor does it arise from the records, the existence of</w:t>
      </w:r>
      <w:r w:rsidR="00786E6E">
        <w:rPr>
          <w:rFonts w:asciiTheme="majorHAnsi" w:hAnsiTheme="majorHAnsi"/>
          <w:sz w:val="20"/>
          <w:szCs w:val="20"/>
          <w:lang w:val="en"/>
        </w:rPr>
        <w:t xml:space="preserve"> additional non-exhausted</w:t>
      </w:r>
      <w:r>
        <w:rPr>
          <w:rFonts w:asciiTheme="majorHAnsi" w:hAnsiTheme="majorHAnsi"/>
          <w:sz w:val="20"/>
          <w:szCs w:val="20"/>
          <w:lang w:val="en"/>
        </w:rPr>
        <w:t xml:space="preserve"> domestic remedies that might be appropriate to solve the claims outlined in the petition at a domestic level. In addition, the Commission recalls that “</w:t>
      </w:r>
      <w:r>
        <w:rPr>
          <w:rFonts w:ascii="Cambria" w:hAnsi="Cambria"/>
          <w:sz w:val="20"/>
          <w:szCs w:val="20"/>
          <w:lang w:val="en"/>
        </w:rPr>
        <w:t>although the alleged victim’s exhaustion of ordinary domestic remedies may suffice in this case, if special remedies have been exhausted with the reasonable prospect of obtaining a favorable outcome, these may be considered as validly exhausted for meeting the requirements for this petition”</w:t>
      </w:r>
      <w:r>
        <w:rPr>
          <w:rStyle w:val="FootnoteReference"/>
          <w:rFonts w:ascii="Cambria" w:hAnsi="Cambria" w:cs="Calibri"/>
          <w:sz w:val="20"/>
          <w:szCs w:val="20"/>
          <w:lang w:val="en"/>
        </w:rPr>
        <w:footnoteReference w:id="6"/>
      </w:r>
      <w:r>
        <w:rPr>
          <w:rFonts w:ascii="Cambria" w:hAnsi="Cambria"/>
          <w:sz w:val="20"/>
          <w:szCs w:val="20"/>
          <w:lang w:val="en"/>
        </w:rPr>
        <w:t>. Therefore, the Commission considers that the definitive decision that exhausted the domestic remedies with regard to the instant petition was the judgment issued by the Constitutional Court that rejected</w:t>
      </w:r>
      <w:r w:rsidR="001C3094">
        <w:rPr>
          <w:rFonts w:ascii="Cambria" w:hAnsi="Cambria"/>
          <w:sz w:val="20"/>
          <w:szCs w:val="20"/>
          <w:lang w:val="en"/>
        </w:rPr>
        <w:t xml:space="preserve"> the constitutional appeal lodged</w:t>
      </w:r>
      <w:r>
        <w:rPr>
          <w:rFonts w:ascii="Cambria" w:hAnsi="Cambria"/>
          <w:sz w:val="20"/>
          <w:szCs w:val="20"/>
          <w:lang w:val="en"/>
        </w:rPr>
        <w:t xml:space="preserve"> by the alleged victim. Given that the definitive decision was issued on May 16, 2009 and that the petition was filed on November 12, 2009, the Commission concludes that the instant petition meets the requirements provided by Article 46.1(a) and (b) of the American Convention. </w:t>
      </w:r>
    </w:p>
    <w:p w14:paraId="1E24FD27" w14:textId="229BF74E" w:rsidR="00524EDC" w:rsidRPr="00524EDC" w:rsidRDefault="003239B8" w:rsidP="00524EDC">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VII.</w:t>
      </w:r>
      <w:r>
        <w:rPr>
          <w:rFonts w:asciiTheme="majorHAnsi" w:hAnsiTheme="majorHAnsi"/>
          <w:b/>
          <w:bCs/>
          <w:sz w:val="20"/>
          <w:szCs w:val="20"/>
          <w:lang w:val="en"/>
        </w:rPr>
        <w:tab/>
        <w:t xml:space="preserve">ANALYSIS OF COLORABLE CLAIM </w:t>
      </w:r>
    </w:p>
    <w:p w14:paraId="5EF25934" w14:textId="7AB862AD" w:rsidR="00291B95" w:rsidRPr="00291B95" w:rsidRDefault="00291B95" w:rsidP="00E573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rPr>
      </w:pPr>
      <w:r>
        <w:rPr>
          <w:rFonts w:asciiTheme="majorHAnsi" w:hAnsiTheme="majorHAnsi"/>
          <w:sz w:val="20"/>
          <w:szCs w:val="20"/>
          <w:lang w:val="en"/>
        </w:rPr>
        <w:t>The Commission observes that the instant petition includes allegations with regard to the fact that the alleged victim was subjected to tortures and other violations of his physical and mental integrity; that the alleged victim’s statement was obtained through coercion and was accepted as valid in the criminal proceedings against him without initiating an investigation on the matter; and that the alleged victim was sentenced on the grounds of a rule is</w:t>
      </w:r>
      <w:r w:rsidR="00786E6E">
        <w:rPr>
          <w:rFonts w:asciiTheme="majorHAnsi" w:hAnsiTheme="majorHAnsi"/>
          <w:sz w:val="20"/>
          <w:szCs w:val="20"/>
          <w:lang w:val="en"/>
        </w:rPr>
        <w:t>sued subsequent to the events for</w:t>
      </w:r>
      <w:r>
        <w:rPr>
          <w:rFonts w:asciiTheme="majorHAnsi" w:hAnsiTheme="majorHAnsi"/>
          <w:sz w:val="20"/>
          <w:szCs w:val="20"/>
          <w:lang w:val="en"/>
        </w:rPr>
        <w:t xml:space="preserve"> which he was accused, which also did not meet the minimum scope of legality for </w:t>
      </w:r>
      <w:r w:rsidR="009573C3">
        <w:rPr>
          <w:rFonts w:asciiTheme="majorHAnsi" w:hAnsiTheme="majorHAnsi"/>
          <w:sz w:val="20"/>
          <w:szCs w:val="20"/>
          <w:lang w:val="en"/>
        </w:rPr>
        <w:t>a</w:t>
      </w:r>
      <w:r>
        <w:rPr>
          <w:rFonts w:asciiTheme="majorHAnsi" w:hAnsiTheme="majorHAnsi"/>
          <w:sz w:val="20"/>
          <w:szCs w:val="20"/>
          <w:lang w:val="en"/>
        </w:rPr>
        <w:t xml:space="preserve"> criminal offense</w:t>
      </w:r>
      <w:r w:rsidR="009573C3">
        <w:rPr>
          <w:rFonts w:asciiTheme="majorHAnsi" w:hAnsiTheme="majorHAnsi"/>
          <w:sz w:val="20"/>
          <w:szCs w:val="20"/>
          <w:lang w:val="en"/>
        </w:rPr>
        <w:t xml:space="preserve"> type</w:t>
      </w:r>
      <w:r>
        <w:rPr>
          <w:rFonts w:asciiTheme="majorHAnsi" w:hAnsiTheme="majorHAnsi"/>
          <w:b/>
          <w:bCs/>
          <w:sz w:val="20"/>
          <w:szCs w:val="20"/>
          <w:lang w:val="en"/>
        </w:rPr>
        <w:t xml:space="preserve"> </w:t>
      </w:r>
      <w:r w:rsidR="009573C3">
        <w:rPr>
          <w:rFonts w:asciiTheme="majorHAnsi" w:hAnsiTheme="majorHAnsi"/>
          <w:sz w:val="20"/>
          <w:szCs w:val="20"/>
          <w:lang w:val="en"/>
        </w:rPr>
        <w:t>due to</w:t>
      </w:r>
      <w:r>
        <w:rPr>
          <w:rFonts w:asciiTheme="majorHAnsi" w:hAnsiTheme="majorHAnsi"/>
          <w:sz w:val="20"/>
          <w:szCs w:val="20"/>
          <w:lang w:val="en"/>
        </w:rPr>
        <w:t xml:space="preserve"> being too vague.</w:t>
      </w:r>
    </w:p>
    <w:p w14:paraId="3BB1C348" w14:textId="35A84B4A" w:rsidR="00291B95" w:rsidRPr="00293D18" w:rsidRDefault="00105964" w:rsidP="00E573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rPr>
      </w:pPr>
      <w:r>
        <w:rPr>
          <w:rFonts w:asciiTheme="majorHAnsi" w:hAnsiTheme="majorHAnsi"/>
          <w:sz w:val="20"/>
          <w:szCs w:val="20"/>
          <w:lang w:val="en"/>
        </w:rPr>
        <w:t xml:space="preserve">Given the nature of the allegations, the Commission considers relevant to recall </w:t>
      </w:r>
      <w:r>
        <w:rPr>
          <w:rFonts w:asciiTheme="majorHAnsi" w:hAnsiTheme="majorHAnsi"/>
          <w:color w:val="000000" w:themeColor="text1"/>
          <w:sz w:val="20"/>
          <w:szCs w:val="20"/>
          <w:lang w:val="en"/>
        </w:rPr>
        <w:t>that it has already expressed that “</w:t>
      </w:r>
      <w:r>
        <w:rPr>
          <w:rFonts w:asciiTheme="majorHAnsi" w:hAnsiTheme="majorHAnsi"/>
          <w:sz w:val="20"/>
          <w:szCs w:val="20"/>
          <w:lang w:val="en"/>
        </w:rPr>
        <w:t>the exclusionary rule means that when there is any denunciation of any evidence or statement obtained through torture, the authorities conducting the investigation and criminal proceedings must immediately open a serious investigation to clarify what has happened and, when appropriate, exclude such evidence or statement. To proceed with a criminal trial, assigning full validity to evidence and statements that are alleged to have been obtained though torture, without opening an investigation into it, constitutes clear disregard for the exclusionary rule”</w:t>
      </w:r>
      <w:r>
        <w:rPr>
          <w:rStyle w:val="FootnoteReference"/>
          <w:rFonts w:asciiTheme="majorHAnsi" w:hAnsiTheme="majorHAnsi"/>
          <w:sz w:val="20"/>
          <w:szCs w:val="20"/>
          <w:lang w:val="en"/>
        </w:rPr>
        <w:footnoteReference w:id="7"/>
      </w:r>
      <w:r>
        <w:rPr>
          <w:rStyle w:val="FootnoteReference"/>
          <w:rFonts w:asciiTheme="majorHAnsi" w:hAnsiTheme="majorHAnsi"/>
          <w:sz w:val="20"/>
          <w:szCs w:val="20"/>
          <w:vertAlign w:val="baseline"/>
          <w:lang w:val="en"/>
        </w:rPr>
        <w:t xml:space="preserve"> </w:t>
      </w:r>
      <w:r>
        <w:rPr>
          <w:rFonts w:asciiTheme="majorHAnsi" w:hAnsiTheme="majorHAnsi"/>
          <w:sz w:val="20"/>
          <w:szCs w:val="20"/>
          <w:lang w:val="en"/>
        </w:rPr>
        <w:t>. Similarly, the Inter-American Court has indicated that “the elaboration of criminal categories involves a clear definition of the criminalized conduct, establishing its elements, and the factors that distinguish it from behaviors that are either not punishable or punishable but not with imprisonment”</w:t>
      </w:r>
      <w:r>
        <w:rPr>
          <w:rStyle w:val="FootnoteReference"/>
          <w:rFonts w:asciiTheme="majorHAnsi" w:hAnsiTheme="majorHAnsi"/>
          <w:sz w:val="20"/>
          <w:szCs w:val="20"/>
          <w:lang w:val="en"/>
        </w:rPr>
        <w:footnoteReference w:id="8"/>
      </w:r>
      <w:r>
        <w:rPr>
          <w:rFonts w:asciiTheme="majorHAnsi" w:hAnsiTheme="majorHAnsi"/>
          <w:sz w:val="20"/>
          <w:szCs w:val="20"/>
          <w:lang w:val="en"/>
        </w:rPr>
        <w:t xml:space="preserve">. The Inter-American Court has also indicated that “under the rule of law, the principles of </w:t>
      </w:r>
      <w:r>
        <w:rPr>
          <w:rFonts w:asciiTheme="majorHAnsi" w:hAnsiTheme="majorHAnsi"/>
          <w:sz w:val="20"/>
          <w:szCs w:val="20"/>
          <w:lang w:val="en"/>
        </w:rPr>
        <w:lastRenderedPageBreak/>
        <w:t>legality and non-retroactivity govern the actions of all State organs, in their respective spheres of competence, particularly when they must exercise their powers to punish”</w:t>
      </w:r>
      <w:r>
        <w:rPr>
          <w:rStyle w:val="FootnoteReference"/>
          <w:rFonts w:asciiTheme="majorHAnsi" w:hAnsiTheme="majorHAnsi"/>
          <w:sz w:val="20"/>
          <w:szCs w:val="20"/>
          <w:lang w:val="en"/>
        </w:rPr>
        <w:footnoteReference w:id="9"/>
      </w:r>
      <w:r>
        <w:rPr>
          <w:rFonts w:asciiTheme="majorHAnsi" w:hAnsiTheme="majorHAnsi"/>
          <w:sz w:val="20"/>
          <w:szCs w:val="20"/>
          <w:lang w:val="en"/>
        </w:rPr>
        <w:t>.</w:t>
      </w:r>
    </w:p>
    <w:p w14:paraId="5296EC8F" w14:textId="5E11C40F" w:rsidR="00FF0FB1" w:rsidRPr="00293D18" w:rsidRDefault="00FF0FB1" w:rsidP="00293D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rPr>
      </w:pPr>
      <w:r>
        <w:rPr>
          <w:rFonts w:ascii="Cambria" w:hAnsi="Cambria"/>
          <w:sz w:val="20"/>
          <w:szCs w:val="20"/>
          <w:lang w:val="en"/>
        </w:rPr>
        <w:t>With regard to these considerations and after examining the legal and factual elements submitted by the parties, the Commission considers that the petitioners' allegations are not groundless and require an analysis on the merits since, if the alleged facts are proven to be true, they could represent violations of Articles 5 (humane treatment), 7 (personal liberty), 8 (fair trial), 9 (freedom from ex post facto laws) and 25 (judicial protection) of the American Convention on Human Rights in relation to its Article 1.1 (obligation to respect rights) and 2 (domestic legal effects), as well as Articles 1, 6 and 8 of the Inter-American Convention to Prevent and Punish Torture.</w:t>
      </w:r>
    </w:p>
    <w:p w14:paraId="47052ECD" w14:textId="0DC6747C" w:rsidR="00293D18" w:rsidRPr="00293D18" w:rsidRDefault="00293D18" w:rsidP="00293D18">
      <w:pPr>
        <w:pStyle w:val="ListParagraph"/>
        <w:numPr>
          <w:ilvl w:val="0"/>
          <w:numId w:val="103"/>
        </w:numPr>
        <w:contextualSpacing/>
        <w:jc w:val="both"/>
        <w:rPr>
          <w:rFonts w:cs="Calibri"/>
          <w:sz w:val="20"/>
          <w:szCs w:val="20"/>
        </w:rPr>
      </w:pPr>
      <w:r>
        <w:rPr>
          <w:rFonts w:cs="Calibri"/>
          <w:sz w:val="20"/>
          <w:szCs w:val="20"/>
          <w:lang w:val="en"/>
        </w:rPr>
        <w:t xml:space="preserve">As regards the alleged violations of instruments outside the Inter-American System, the Commission lacks </w:t>
      </w:r>
      <w:r>
        <w:rPr>
          <w:rFonts w:cs="Calibri"/>
          <w:i/>
          <w:iCs/>
          <w:sz w:val="20"/>
          <w:szCs w:val="20"/>
          <w:lang w:val="en"/>
        </w:rPr>
        <w:t>ratione materiae</w:t>
      </w:r>
      <w:r>
        <w:rPr>
          <w:rFonts w:cs="Calibri"/>
          <w:sz w:val="20"/>
          <w:szCs w:val="20"/>
          <w:lang w:val="en"/>
        </w:rPr>
        <w:t xml:space="preserve"> competence to rule upon violations of rights embodied in treaties outside the Inter-American System, notwithstanding that it may resort to the standards established in other treaties in order to interpret the Convention by virtue of its Article 29</w:t>
      </w:r>
      <w:r>
        <w:rPr>
          <w:rStyle w:val="FootnoteReference"/>
          <w:rFonts w:cs="Calibri"/>
          <w:sz w:val="20"/>
          <w:szCs w:val="20"/>
          <w:lang w:val="en"/>
        </w:rPr>
        <w:footnoteReference w:id="10"/>
      </w:r>
      <w:r>
        <w:rPr>
          <w:rFonts w:cs="Calibri"/>
          <w:sz w:val="20"/>
          <w:szCs w:val="20"/>
          <w:lang w:val="en"/>
        </w:rPr>
        <w:t>.</w:t>
      </w:r>
    </w:p>
    <w:p w14:paraId="116F707F" w14:textId="77777777" w:rsidR="00293D18" w:rsidRPr="00293D18" w:rsidRDefault="00293D18" w:rsidP="00293D18">
      <w:pPr>
        <w:pStyle w:val="ListParagraph"/>
        <w:contextualSpacing/>
        <w:jc w:val="both"/>
        <w:rPr>
          <w:rFonts w:cs="Calibri"/>
          <w:sz w:val="20"/>
          <w:szCs w:val="20"/>
        </w:rPr>
      </w:pPr>
    </w:p>
    <w:p w14:paraId="7C7D8E75" w14:textId="0C23C75B" w:rsidR="00BB1DBF" w:rsidRPr="007C5832" w:rsidRDefault="00BB1DBF" w:rsidP="00BB1DBF">
      <w:pPr>
        <w:pStyle w:val="ListParagraph"/>
        <w:numPr>
          <w:ilvl w:val="0"/>
          <w:numId w:val="103"/>
        </w:numPr>
        <w:jc w:val="both"/>
        <w:rPr>
          <w:rFonts w:asciiTheme="majorHAnsi" w:hAnsiTheme="majorHAnsi"/>
          <w:sz w:val="20"/>
          <w:szCs w:val="20"/>
        </w:rPr>
      </w:pPr>
      <w:r>
        <w:rPr>
          <w:sz w:val="20"/>
          <w:szCs w:val="20"/>
          <w:lang w:val="en"/>
        </w:rPr>
        <w:t>In relation to the State’s allegations about the “fourth instance” formula, the Commission reiterates that, to admissibility effects, the IACHR should decide whether the alleged facts may represent human rights violations, based on Article 47(b) of the American Convention, or whether the petition is “groundless” or if its “inadmissibility is evident”, according to section (c) of the aforementioned Article. The evaluation criterion of these requirements differs from the one used to rule upon the merits of a petition. In addition, within the framework of its powers, the Commission is co</w:t>
      </w:r>
      <w:r w:rsidR="001C3094">
        <w:rPr>
          <w:sz w:val="20"/>
          <w:szCs w:val="20"/>
          <w:lang w:val="en"/>
        </w:rPr>
        <w:t xml:space="preserve">mpetent to declare a petition </w:t>
      </w:r>
      <w:r>
        <w:rPr>
          <w:sz w:val="20"/>
          <w:szCs w:val="20"/>
          <w:lang w:val="en"/>
        </w:rPr>
        <w:t xml:space="preserve">admissible when the petition refers to domestic processes that may violate rights safeguarded by the American Convention. Therefore, according to the conventional rules quoted herein, by virtue of Article 34 of its Rules of Procedure, the admissibility analysis focuses on the verification of such requirements, which refer to the existence of elements that, if proven to be true, could represent </w:t>
      </w:r>
      <w:r>
        <w:rPr>
          <w:i/>
          <w:iCs/>
          <w:sz w:val="20"/>
          <w:szCs w:val="20"/>
          <w:lang w:val="en"/>
        </w:rPr>
        <w:t xml:space="preserve">prima facie </w:t>
      </w:r>
      <w:r>
        <w:rPr>
          <w:sz w:val="20"/>
          <w:szCs w:val="20"/>
          <w:lang w:val="en"/>
        </w:rPr>
        <w:t>violations to the American Convention.”</w:t>
      </w:r>
      <w:r>
        <w:rPr>
          <w:rStyle w:val="FootnoteReference"/>
          <w:rFonts w:cs="Calibri"/>
          <w:sz w:val="20"/>
          <w:szCs w:val="20"/>
          <w:lang w:val="en"/>
        </w:rPr>
        <w:footnoteReference w:id="11"/>
      </w:r>
    </w:p>
    <w:p w14:paraId="29BB41F5" w14:textId="77777777" w:rsidR="003239B8" w:rsidRPr="00560B92" w:rsidRDefault="003239B8" w:rsidP="003239B8">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sz w:val="20"/>
          <w:szCs w:val="20"/>
          <w:lang w:val="en"/>
        </w:rPr>
        <w:tab/>
      </w:r>
      <w:r>
        <w:rPr>
          <w:rFonts w:asciiTheme="majorHAnsi" w:hAnsiTheme="majorHAnsi"/>
          <w:b/>
          <w:bCs/>
          <w:sz w:val="20"/>
          <w:szCs w:val="20"/>
          <w:lang w:val="en"/>
        </w:rPr>
        <w:t>DECISION</w:t>
      </w:r>
    </w:p>
    <w:p w14:paraId="570DA61C" w14:textId="6B4A6346" w:rsidR="000419AD" w:rsidRPr="000673D0" w:rsidRDefault="000419AD" w:rsidP="00DD04E7">
      <w:pPr>
        <w:pStyle w:val="ListParagraph"/>
        <w:numPr>
          <w:ilvl w:val="0"/>
          <w:numId w:val="109"/>
        </w:numPr>
        <w:jc w:val="both"/>
        <w:rPr>
          <w:rFonts w:eastAsia="Arial Unicode MS" w:cs="Times New Roman"/>
          <w:color w:val="auto"/>
          <w:sz w:val="20"/>
          <w:szCs w:val="20"/>
        </w:rPr>
      </w:pPr>
      <w:r>
        <w:rPr>
          <w:rFonts w:eastAsia="Arial Unicode MS" w:cs="Times New Roman"/>
          <w:color w:val="auto"/>
          <w:sz w:val="20"/>
          <w:szCs w:val="20"/>
          <w:lang w:val="en"/>
        </w:rPr>
        <w:t xml:space="preserve">To find </w:t>
      </w:r>
      <w:r>
        <w:rPr>
          <w:rFonts w:eastAsia="Arial Unicode MS" w:cs="Times New Roman"/>
          <w:color w:val="000000" w:themeColor="text1"/>
          <w:sz w:val="20"/>
          <w:szCs w:val="20"/>
          <w:lang w:val="en"/>
        </w:rPr>
        <w:t>the instant petition</w:t>
      </w:r>
      <w:r>
        <w:rPr>
          <w:rFonts w:eastAsia="Arial Unicode MS" w:cs="Times New Roman"/>
          <w:color w:val="FF0000"/>
          <w:sz w:val="20"/>
          <w:szCs w:val="20"/>
          <w:lang w:val="en"/>
        </w:rPr>
        <w:t xml:space="preserve"> </w:t>
      </w:r>
      <w:r>
        <w:rPr>
          <w:rFonts w:eastAsia="Arial Unicode MS" w:cs="Times New Roman"/>
          <w:color w:val="auto"/>
          <w:sz w:val="20"/>
          <w:szCs w:val="20"/>
          <w:lang w:val="en"/>
        </w:rPr>
        <w:t>admissible in relation to Articles 5, 7, 8, 9, and 25 of the American Convention in rela</w:t>
      </w:r>
      <w:r w:rsidR="00F01772">
        <w:rPr>
          <w:rFonts w:eastAsia="Arial Unicode MS" w:cs="Times New Roman"/>
          <w:color w:val="auto"/>
          <w:sz w:val="20"/>
          <w:szCs w:val="20"/>
          <w:lang w:val="en"/>
        </w:rPr>
        <w:t xml:space="preserve">tion to its Articles 1.1 and 2 </w:t>
      </w:r>
      <w:r>
        <w:rPr>
          <w:rFonts w:eastAsia="Arial Unicode MS" w:cs="Times New Roman"/>
          <w:color w:val="auto"/>
          <w:sz w:val="20"/>
          <w:szCs w:val="20"/>
          <w:lang w:val="en"/>
        </w:rPr>
        <w:t xml:space="preserve">and Articles 1, 6 and 8 of The Inter-American Convention to Prevent and Punish Torture. </w:t>
      </w:r>
    </w:p>
    <w:p w14:paraId="41AA5BF6" w14:textId="77777777" w:rsidR="000419AD" w:rsidRPr="000673D0" w:rsidRDefault="000419AD" w:rsidP="000419AD">
      <w:pPr>
        <w:pStyle w:val="ListParagraph"/>
        <w:rPr>
          <w:rFonts w:eastAsia="Arial Unicode MS" w:cs="Times New Roman"/>
          <w:color w:val="auto"/>
          <w:sz w:val="20"/>
          <w:szCs w:val="20"/>
        </w:rPr>
      </w:pPr>
    </w:p>
    <w:p w14:paraId="12A7002C" w14:textId="7845BB8E" w:rsidR="004A6A54" w:rsidRPr="000673D0"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To notify the parties of this decision; </w:t>
      </w:r>
      <w:r>
        <w:rPr>
          <w:rFonts w:ascii="Cambria" w:hAnsi="Cambria"/>
          <w:sz w:val="20"/>
          <w:szCs w:val="20"/>
          <w:lang w:val="en"/>
        </w:rPr>
        <w:t>to continue with the analysis on the merits</w:t>
      </w:r>
      <w:r>
        <w:rPr>
          <w:rFonts w:asciiTheme="majorHAnsi" w:hAnsiTheme="majorHAnsi"/>
          <w:sz w:val="20"/>
          <w:szCs w:val="20"/>
          <w:lang w:val="en"/>
        </w:rPr>
        <w:t>; and to publish this decision and include it in its Annual Report to the General Assembly of the Organization of American States.</w:t>
      </w:r>
    </w:p>
    <w:p w14:paraId="49229330" w14:textId="1FAC25B9" w:rsidR="00D617A0" w:rsidRDefault="00D617A0" w:rsidP="00D617A0">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4</w:t>
      </w:r>
      <w:r w:rsidRPr="00D617A0">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September,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7CD4DFBD" w14:textId="77777777" w:rsidR="003239B8" w:rsidRPr="00D33A79" w:rsidRDefault="003239B8" w:rsidP="003239B8">
      <w:pPr>
        <w:pStyle w:val="ListParagraph"/>
        <w:suppressAutoHyphens/>
        <w:spacing w:before="240" w:after="240"/>
        <w:jc w:val="both"/>
        <w:rPr>
          <w:rFonts w:asciiTheme="majorHAnsi" w:hAnsiTheme="majorHAnsi"/>
          <w:sz w:val="20"/>
          <w:szCs w:val="20"/>
        </w:rPr>
      </w:pPr>
    </w:p>
    <w:p w14:paraId="0D98495A" w14:textId="77777777" w:rsidR="008D768D" w:rsidRPr="003239B8" w:rsidRDefault="008D768D" w:rsidP="001D65EF">
      <w:pPr>
        <w:tabs>
          <w:tab w:val="center" w:pos="5400"/>
        </w:tabs>
        <w:suppressAutoHyphens/>
        <w:spacing w:line="276" w:lineRule="auto"/>
        <w:rPr>
          <w:rFonts w:asciiTheme="majorHAnsi" w:hAnsiTheme="majorHAnsi"/>
          <w:sz w:val="20"/>
          <w:szCs w:val="20"/>
        </w:rPr>
      </w:pPr>
    </w:p>
    <w:p w14:paraId="2642C68E" w14:textId="77777777" w:rsidR="008D768D" w:rsidRPr="007253B8" w:rsidRDefault="008D768D" w:rsidP="001D65EF">
      <w:pPr>
        <w:tabs>
          <w:tab w:val="center" w:pos="5400"/>
        </w:tabs>
        <w:suppressAutoHyphens/>
        <w:spacing w:line="276" w:lineRule="auto"/>
        <w:rPr>
          <w:rFonts w:asciiTheme="majorHAnsi" w:hAnsiTheme="majorHAnsi"/>
          <w:sz w:val="20"/>
          <w:szCs w:val="20"/>
        </w:rPr>
      </w:pPr>
    </w:p>
    <w:p w14:paraId="6AC80CA6" w14:textId="77777777" w:rsidR="00722C9F" w:rsidRPr="00974491" w:rsidRDefault="00722C9F" w:rsidP="00974491">
      <w:pPr>
        <w:rPr>
          <w:rFonts w:ascii="Cambria" w:hAnsi="Cambria" w:cs="Calibri"/>
          <w:sz w:val="20"/>
          <w:szCs w:val="20"/>
        </w:rPr>
      </w:pPr>
    </w:p>
    <w:sectPr w:rsidR="00722C9F" w:rsidRPr="00974491" w:rsidSect="00934A2C">
      <w:headerReference w:type="even" r:id="rId18"/>
      <w:headerReference w:type="default" r:id="rId19"/>
      <w:footerReference w:type="default" r:id="rId20"/>
      <w:footerReference w:type="first" r:id="rId21"/>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1863E" w14:textId="77777777" w:rsidR="00F302F6" w:rsidRDefault="00F302F6">
      <w:r>
        <w:separator/>
      </w:r>
    </w:p>
  </w:endnote>
  <w:endnote w:type="continuationSeparator" w:id="0">
    <w:p w14:paraId="527BF2D5" w14:textId="77777777" w:rsidR="00F302F6" w:rsidRDefault="00F3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02F5" w14:textId="77777777" w:rsidR="008E5560" w:rsidRDefault="008E5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276914"/>
      <w:docPartObj>
        <w:docPartGallery w:val="Page Numbers (Bottom of Page)"/>
        <w:docPartUnique/>
      </w:docPartObj>
    </w:sdtPr>
    <w:sdtEndPr>
      <w:rPr>
        <w:noProof/>
        <w:sz w:val="16"/>
        <w:szCs w:val="22"/>
      </w:rPr>
    </w:sdtEndPr>
    <w:sdtContent>
      <w:p w14:paraId="612FB856" w14:textId="77777777" w:rsidR="00544CCE" w:rsidRPr="00934A2C" w:rsidRDefault="00544CCE">
        <w:pPr>
          <w:pStyle w:val="Footer"/>
          <w:jc w:val="center"/>
          <w:rPr>
            <w:sz w:val="16"/>
            <w:szCs w:val="22"/>
          </w:rPr>
        </w:pPr>
        <w:r>
          <w:rPr>
            <w:sz w:val="16"/>
            <w:szCs w:val="22"/>
            <w:lang w:val="en"/>
          </w:rPr>
          <w:fldChar w:fldCharType="begin"/>
        </w:r>
        <w:r>
          <w:rPr>
            <w:sz w:val="16"/>
            <w:szCs w:val="22"/>
            <w:lang w:val="en"/>
          </w:rPr>
          <w:instrText xml:space="preserve"> PAGE   \* MERGEFORMAT </w:instrText>
        </w:r>
        <w:r>
          <w:rPr>
            <w:sz w:val="16"/>
            <w:szCs w:val="22"/>
            <w:lang w:val="en"/>
          </w:rPr>
          <w:fldChar w:fldCharType="separate"/>
        </w:r>
        <w:r>
          <w:rPr>
            <w:noProof/>
            <w:sz w:val="16"/>
            <w:szCs w:val="22"/>
            <w:lang w:val="en"/>
          </w:rPr>
          <w:t>1</w:t>
        </w:r>
        <w:r>
          <w:rPr>
            <w:noProof/>
            <w:sz w:val="16"/>
            <w:szCs w:val="22"/>
            <w:lang w:val="en"/>
          </w:rPr>
          <w:fldChar w:fldCharType="end"/>
        </w:r>
      </w:p>
    </w:sdtContent>
  </w:sdt>
  <w:p w14:paraId="7EBFA364" w14:textId="77777777" w:rsidR="00544CCE" w:rsidRDefault="00544C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1C8E" w14:textId="77777777" w:rsidR="00544CCE" w:rsidRPr="00934A2C" w:rsidRDefault="00544CCE">
    <w:pPr>
      <w:pStyle w:val="Footer"/>
      <w:jc w:val="center"/>
      <w:rPr>
        <w:sz w:val="16"/>
        <w:szCs w:val="22"/>
      </w:rPr>
    </w:pPr>
  </w:p>
  <w:p w14:paraId="4EA5439C" w14:textId="77777777" w:rsidR="00544CCE" w:rsidRDefault="00544C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60E2300" w:rsidR="00544CCE" w:rsidRPr="00934A2C" w:rsidRDefault="00544CCE">
        <w:pPr>
          <w:pStyle w:val="Footer"/>
          <w:jc w:val="center"/>
          <w:rPr>
            <w:sz w:val="16"/>
            <w:szCs w:val="22"/>
          </w:rPr>
        </w:pPr>
        <w:r>
          <w:rPr>
            <w:sz w:val="16"/>
            <w:szCs w:val="22"/>
            <w:lang w:val="en"/>
          </w:rPr>
          <w:fldChar w:fldCharType="begin"/>
        </w:r>
        <w:r>
          <w:rPr>
            <w:sz w:val="16"/>
            <w:szCs w:val="22"/>
            <w:lang w:val="en"/>
          </w:rPr>
          <w:instrText xml:space="preserve"> PAGE   \* MERGEFORMAT </w:instrText>
        </w:r>
        <w:r>
          <w:rPr>
            <w:sz w:val="16"/>
            <w:szCs w:val="22"/>
            <w:lang w:val="en"/>
          </w:rPr>
          <w:fldChar w:fldCharType="separate"/>
        </w:r>
        <w:r w:rsidR="008E5560">
          <w:rPr>
            <w:noProof/>
            <w:sz w:val="16"/>
            <w:szCs w:val="22"/>
            <w:lang w:val="en"/>
          </w:rPr>
          <w:t>1</w:t>
        </w:r>
        <w:r>
          <w:rPr>
            <w:noProof/>
            <w:sz w:val="16"/>
            <w:szCs w:val="22"/>
            <w:lang w:val="en"/>
          </w:rPr>
          <w:fldChar w:fldCharType="end"/>
        </w:r>
      </w:p>
    </w:sdtContent>
  </w:sdt>
  <w:p w14:paraId="68530E6A" w14:textId="77777777" w:rsidR="00544CCE" w:rsidRDefault="00544C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544CCE" w:rsidRPr="00934A2C" w:rsidRDefault="00544CCE">
    <w:pPr>
      <w:pStyle w:val="Footer"/>
      <w:jc w:val="center"/>
      <w:rPr>
        <w:sz w:val="16"/>
        <w:szCs w:val="22"/>
      </w:rPr>
    </w:pPr>
  </w:p>
  <w:p w14:paraId="49059CE3" w14:textId="77777777" w:rsidR="00544CCE" w:rsidRDefault="00544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23D76" w14:textId="77777777" w:rsidR="00F302F6" w:rsidRPr="000F35ED" w:rsidRDefault="00F302F6">
      <w:pPr>
        <w:rPr>
          <w:rFonts w:asciiTheme="majorHAnsi" w:hAnsiTheme="majorHAnsi"/>
          <w:sz w:val="16"/>
          <w:szCs w:val="16"/>
        </w:rPr>
      </w:pPr>
      <w:r>
        <w:rPr>
          <w:rFonts w:asciiTheme="majorHAnsi" w:hAnsiTheme="majorHAnsi"/>
          <w:sz w:val="16"/>
          <w:szCs w:val="16"/>
        </w:rPr>
        <w:separator/>
      </w:r>
    </w:p>
  </w:footnote>
  <w:footnote w:type="continuationSeparator" w:id="0">
    <w:p w14:paraId="4C5BA535" w14:textId="77777777" w:rsidR="00F302F6" w:rsidRPr="000F35ED" w:rsidRDefault="00F302F6" w:rsidP="000F35ED">
      <w:pPr>
        <w:rPr>
          <w:rFonts w:asciiTheme="majorHAnsi" w:hAnsiTheme="majorHAnsi"/>
          <w:sz w:val="16"/>
          <w:szCs w:val="16"/>
        </w:rPr>
      </w:pPr>
      <w:r>
        <w:rPr>
          <w:rFonts w:asciiTheme="majorHAnsi" w:hAnsiTheme="majorHAnsi"/>
          <w:sz w:val="16"/>
          <w:szCs w:val="16"/>
        </w:rPr>
        <w:separator/>
      </w:r>
    </w:p>
    <w:p w14:paraId="72DDB69F" w14:textId="77777777" w:rsidR="00F302F6" w:rsidRPr="000F35ED" w:rsidRDefault="00F302F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continuación</w:t>
      </w:r>
      <w:proofErr w:type="spellEnd"/>
      <w:proofErr w:type="gramEnd"/>
      <w:r>
        <w:rPr>
          <w:rFonts w:asciiTheme="majorHAnsi" w:hAnsiTheme="majorHAnsi"/>
          <w:sz w:val="16"/>
          <w:szCs w:val="16"/>
        </w:rPr>
        <w:t>]</w:t>
      </w:r>
    </w:p>
  </w:footnote>
  <w:footnote w:type="continuationNotice" w:id="1">
    <w:p w14:paraId="159EC1C7" w14:textId="77777777" w:rsidR="00F302F6" w:rsidRPr="000F35ED" w:rsidRDefault="00F302F6" w:rsidP="000F35ED">
      <w:pPr>
        <w:jc w:val="right"/>
        <w:rPr>
          <w:rFonts w:asciiTheme="majorHAnsi" w:hAnsiTheme="majorHAnsi"/>
          <w:sz w:val="16"/>
          <w:szCs w:val="16"/>
        </w:rPr>
      </w:pPr>
      <w:r>
        <w:rPr>
          <w:rFonts w:asciiTheme="majorHAnsi" w:hAnsiTheme="majorHAnsi"/>
          <w:sz w:val="16"/>
          <w:szCs w:val="16"/>
        </w:rPr>
        <w:t>[</w:t>
      </w:r>
      <w:proofErr w:type="spellStart"/>
      <w:proofErr w:type="gramStart"/>
      <w:r>
        <w:rPr>
          <w:rFonts w:asciiTheme="majorHAnsi" w:hAnsiTheme="majorHAnsi"/>
          <w:sz w:val="16"/>
          <w:szCs w:val="16"/>
        </w:rPr>
        <w:t>continúa</w:t>
      </w:r>
      <w:proofErr w:type="spellEnd"/>
      <w:proofErr w:type="gramEnd"/>
      <w:r>
        <w:rPr>
          <w:rFonts w:asciiTheme="majorHAnsi" w:hAnsiTheme="majorHAnsi"/>
          <w:sz w:val="16"/>
          <w:szCs w:val="16"/>
        </w:rPr>
        <w:t>…]</w:t>
      </w:r>
    </w:p>
  </w:footnote>
  <w:footnote w:id="2">
    <w:p w14:paraId="523EBBEB" w14:textId="510D2E7F" w:rsidR="00544CCE" w:rsidRPr="006E0D53" w:rsidRDefault="00544CCE" w:rsidP="00C1285C">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Pursuant to Article 17.2.</w:t>
      </w:r>
      <w:proofErr w:type="spellStart"/>
      <w:r>
        <w:rPr>
          <w:rFonts w:asciiTheme="majorHAnsi" w:hAnsiTheme="majorHAnsi"/>
          <w:sz w:val="16"/>
          <w:szCs w:val="16"/>
          <w:lang w:val="en"/>
        </w:rPr>
        <w:t>a</w:t>
      </w:r>
      <w:proofErr w:type="spellEnd"/>
      <w:r>
        <w:rPr>
          <w:rFonts w:asciiTheme="majorHAnsi" w:hAnsiTheme="majorHAnsi"/>
          <w:sz w:val="16"/>
          <w:szCs w:val="16"/>
          <w:lang w:val="en"/>
        </w:rPr>
        <w:t xml:space="preserve"> of the Rules of Procedure, </w:t>
      </w:r>
      <w:r>
        <w:rPr>
          <w:rFonts w:asciiTheme="majorHAnsi" w:hAnsiTheme="majorHAnsi"/>
          <w:color w:val="auto"/>
          <w:sz w:val="16"/>
          <w:szCs w:val="16"/>
          <w:lang w:val="en"/>
        </w:rPr>
        <w:t xml:space="preserve">Commissioner </w:t>
      </w:r>
      <w:r>
        <w:rPr>
          <w:rFonts w:asciiTheme="majorHAnsi" w:hAnsiTheme="majorHAnsi"/>
          <w:color w:val="000000" w:themeColor="text1"/>
          <w:sz w:val="16"/>
          <w:szCs w:val="16"/>
          <w:lang w:val="en"/>
        </w:rPr>
        <w:t>Julissa Mantilla Falcón</w:t>
      </w:r>
      <w:r>
        <w:rPr>
          <w:rFonts w:asciiTheme="majorHAnsi" w:hAnsiTheme="majorHAnsi"/>
          <w:sz w:val="16"/>
          <w:szCs w:val="16"/>
          <w:lang w:val="en"/>
        </w:rPr>
        <w:t xml:space="preserve">, from </w:t>
      </w:r>
      <w:r>
        <w:rPr>
          <w:rFonts w:asciiTheme="majorHAnsi" w:hAnsiTheme="majorHAnsi"/>
          <w:color w:val="auto"/>
          <w:sz w:val="16"/>
          <w:szCs w:val="16"/>
          <w:lang w:val="en"/>
        </w:rPr>
        <w:t>Peru, did not participate in the debate nor in the decision of the present case.</w:t>
      </w:r>
    </w:p>
  </w:footnote>
  <w:footnote w:id="3">
    <w:p w14:paraId="3CB67836" w14:textId="74D9E9B1" w:rsidR="00544CCE" w:rsidRPr="00BF7851" w:rsidRDefault="00544CCE" w:rsidP="00BF7851">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Hereinafter “Convention” or “American Convention.”</w:t>
      </w:r>
    </w:p>
  </w:footnote>
  <w:footnote w:id="4">
    <w:p w14:paraId="703C74F7" w14:textId="5C5E4EA5" w:rsidR="00544CCE" w:rsidRPr="00F94E7B" w:rsidRDefault="00544CCE" w:rsidP="00F94E7B">
      <w:pPr>
        <w:pStyle w:val="FootnoteText"/>
        <w:ind w:firstLine="720"/>
        <w:jc w:val="both"/>
        <w:rPr>
          <w:rFonts w:asciiTheme="majorHAnsi" w:hAnsiTheme="majorHAnsi"/>
          <w:sz w:val="16"/>
          <w:szCs w:val="16"/>
        </w:rPr>
      </w:pPr>
      <w:r>
        <w:rPr>
          <w:rStyle w:val="FootnoteReference"/>
          <w:lang w:val="en"/>
        </w:rPr>
        <w:footnoteRef/>
      </w:r>
      <w:r>
        <w:rPr>
          <w:lang w:val="en"/>
        </w:rPr>
        <w:t xml:space="preserve"> </w:t>
      </w:r>
      <w:r>
        <w:rPr>
          <w:rFonts w:asciiTheme="majorHAnsi" w:hAnsiTheme="majorHAnsi"/>
          <w:sz w:val="16"/>
          <w:szCs w:val="16"/>
          <w:lang w:val="en"/>
        </w:rPr>
        <w:t xml:space="preserve">American Declaration of Human Rights, International Covenant on Civil and Political Rights, European Convention on Human Rights, Declaration of Fundamental Rights and Freedoms of the European Parliament and Geneva Conventions. </w:t>
      </w:r>
    </w:p>
  </w:footnote>
  <w:footnote w:id="5">
    <w:p w14:paraId="08CD6656" w14:textId="77777777" w:rsidR="00544CCE" w:rsidRPr="006E0D53" w:rsidRDefault="00544CCE" w:rsidP="000673D0">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observations submitted by each party were duly transmitted to the opposing party.</w:t>
      </w:r>
    </w:p>
  </w:footnote>
  <w:footnote w:id="6">
    <w:p w14:paraId="657D1B08" w14:textId="4ADC447D" w:rsidR="00A1165A" w:rsidRPr="00C05CBD" w:rsidRDefault="00A1165A" w:rsidP="00151E82">
      <w:pPr>
        <w:pStyle w:val="FootnoteText"/>
        <w:ind w:firstLine="720"/>
        <w:jc w:val="both"/>
        <w:rPr>
          <w:rFonts w:asciiTheme="majorHAnsi" w:hAnsiTheme="majorHAnsi"/>
          <w:sz w:val="16"/>
          <w:szCs w:val="16"/>
          <w:lang w:val="es-AR"/>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179/19. Petition 507-09. Admissibility. </w:t>
      </w:r>
      <w:r w:rsidRPr="00C05CBD">
        <w:rPr>
          <w:rFonts w:asciiTheme="majorHAnsi" w:hAnsiTheme="majorHAnsi"/>
          <w:sz w:val="16"/>
          <w:szCs w:val="16"/>
          <w:lang w:val="es-AR"/>
        </w:rPr>
        <w:t xml:space="preserve">Omar Dario Clavijo Gutierrez. Colombia. </w:t>
      </w:r>
      <w:proofErr w:type="spellStart"/>
      <w:r w:rsidRPr="00C05CBD">
        <w:rPr>
          <w:rFonts w:asciiTheme="majorHAnsi" w:hAnsiTheme="majorHAnsi"/>
          <w:sz w:val="16"/>
          <w:szCs w:val="16"/>
          <w:lang w:val="es-AR"/>
        </w:rPr>
        <w:t>December</w:t>
      </w:r>
      <w:proofErr w:type="spellEnd"/>
      <w:r w:rsidRPr="00C05CBD">
        <w:rPr>
          <w:rFonts w:asciiTheme="majorHAnsi" w:hAnsiTheme="majorHAnsi"/>
          <w:sz w:val="16"/>
          <w:szCs w:val="16"/>
          <w:lang w:val="es-AR"/>
        </w:rPr>
        <w:t xml:space="preserve"> 5, 2019, par.7.</w:t>
      </w:r>
    </w:p>
  </w:footnote>
  <w:footnote w:id="7">
    <w:p w14:paraId="7B557207" w14:textId="77777777" w:rsidR="00151E82" w:rsidRPr="00151E82" w:rsidRDefault="00151E82" w:rsidP="00151E82">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sidRPr="00C05CBD">
        <w:rPr>
          <w:rFonts w:asciiTheme="majorHAnsi" w:hAnsiTheme="majorHAnsi"/>
          <w:sz w:val="16"/>
          <w:szCs w:val="16"/>
          <w:lang w:val="es-AR"/>
        </w:rPr>
        <w:t xml:space="preserve"> IACHR, </w:t>
      </w:r>
      <w:proofErr w:type="spellStart"/>
      <w:r w:rsidRPr="00C05CBD">
        <w:rPr>
          <w:rFonts w:asciiTheme="majorHAnsi" w:hAnsiTheme="majorHAnsi"/>
          <w:sz w:val="16"/>
          <w:szCs w:val="16"/>
          <w:lang w:val="es-AR"/>
        </w:rPr>
        <w:t>Report</w:t>
      </w:r>
      <w:proofErr w:type="spellEnd"/>
      <w:r w:rsidRPr="00C05CBD">
        <w:rPr>
          <w:rFonts w:asciiTheme="majorHAnsi" w:hAnsiTheme="majorHAnsi"/>
          <w:sz w:val="16"/>
          <w:szCs w:val="16"/>
          <w:lang w:val="es-AR"/>
        </w:rPr>
        <w:t xml:space="preserve"> No. 40/14, Case 11.438. </w:t>
      </w:r>
      <w:proofErr w:type="spellStart"/>
      <w:r w:rsidRPr="00C05CBD">
        <w:rPr>
          <w:rFonts w:asciiTheme="majorHAnsi" w:hAnsiTheme="majorHAnsi"/>
          <w:sz w:val="16"/>
          <w:szCs w:val="16"/>
          <w:lang w:val="es-AR"/>
        </w:rPr>
        <w:t>Merits</w:t>
      </w:r>
      <w:proofErr w:type="spellEnd"/>
      <w:r w:rsidRPr="00C05CBD">
        <w:rPr>
          <w:rFonts w:asciiTheme="majorHAnsi" w:hAnsiTheme="majorHAnsi"/>
          <w:sz w:val="16"/>
          <w:szCs w:val="16"/>
          <w:lang w:val="es-AR"/>
        </w:rPr>
        <w:t xml:space="preserve">. Herrera Espinoza et al. Ecuador. </w:t>
      </w:r>
      <w:r>
        <w:rPr>
          <w:rFonts w:asciiTheme="majorHAnsi" w:hAnsiTheme="majorHAnsi"/>
          <w:sz w:val="16"/>
          <w:szCs w:val="16"/>
          <w:lang w:val="en"/>
        </w:rPr>
        <w:t>July 17, 2014, par. 186.</w:t>
      </w:r>
    </w:p>
    <w:p w14:paraId="5863B243" w14:textId="2657D31C" w:rsidR="00151E82" w:rsidRPr="00151E82" w:rsidRDefault="00151E82" w:rsidP="00151E82">
      <w:pPr>
        <w:pStyle w:val="FootnoteText"/>
        <w:jc w:val="both"/>
        <w:rPr>
          <w:rFonts w:asciiTheme="majorHAnsi" w:hAnsiTheme="majorHAnsi"/>
          <w:sz w:val="16"/>
          <w:szCs w:val="16"/>
        </w:rPr>
      </w:pPr>
    </w:p>
  </w:footnote>
  <w:footnote w:id="8">
    <w:p w14:paraId="28B8B527" w14:textId="368F4418" w:rsidR="00151E82" w:rsidRPr="00151E82" w:rsidRDefault="00151E82" w:rsidP="00151E82">
      <w:pPr>
        <w:pStyle w:val="FootnoteText"/>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 Court H.R., Case of De La Cruz Flores v. Peru. Judgment on the Merits, Reparation and Costs. November 18, 2004, par. 79. </w:t>
      </w:r>
    </w:p>
  </w:footnote>
  <w:footnote w:id="9">
    <w:p w14:paraId="480BE52E" w14:textId="4EC838F4" w:rsidR="003A71F3" w:rsidRPr="003A71F3" w:rsidRDefault="003A71F3" w:rsidP="003A71F3">
      <w:pPr>
        <w:pStyle w:val="FootnoteText"/>
        <w:ind w:firstLine="720"/>
        <w:jc w:val="both"/>
        <w:rPr>
          <w:rFonts w:asciiTheme="majorHAnsi" w:hAnsiTheme="majorHAnsi"/>
          <w:sz w:val="16"/>
          <w:szCs w:val="16"/>
        </w:rPr>
      </w:pPr>
      <w:r>
        <w:rPr>
          <w:rStyle w:val="FootnoteReference"/>
          <w:lang w:val="en"/>
        </w:rPr>
        <w:footnoteRef/>
      </w:r>
      <w:r>
        <w:rPr>
          <w:lang w:val="en"/>
        </w:rPr>
        <w:t xml:space="preserve"> </w:t>
      </w:r>
      <w:r>
        <w:rPr>
          <w:rFonts w:asciiTheme="majorHAnsi" w:hAnsiTheme="majorHAnsi"/>
          <w:sz w:val="16"/>
          <w:szCs w:val="16"/>
          <w:lang w:val="en"/>
        </w:rPr>
        <w:t>I/A Court H.R., Case of Lori Berenson-</w:t>
      </w:r>
      <w:proofErr w:type="spellStart"/>
      <w:r>
        <w:rPr>
          <w:rFonts w:asciiTheme="majorHAnsi" w:hAnsiTheme="majorHAnsi"/>
          <w:sz w:val="16"/>
          <w:szCs w:val="16"/>
          <w:lang w:val="en"/>
        </w:rPr>
        <w:t>Mejía</w:t>
      </w:r>
      <w:proofErr w:type="spellEnd"/>
      <w:r>
        <w:rPr>
          <w:rFonts w:asciiTheme="majorHAnsi" w:hAnsiTheme="majorHAnsi"/>
          <w:sz w:val="16"/>
          <w:szCs w:val="16"/>
          <w:lang w:val="en"/>
        </w:rPr>
        <w:t xml:space="preserve"> v. Peru. Judgment on the Merits, Reparation and Costs. November 25, 2004, par. 126</w:t>
      </w:r>
    </w:p>
  </w:footnote>
  <w:footnote w:id="10">
    <w:p w14:paraId="7FE9C2EC" w14:textId="77777777" w:rsidR="00293D18" w:rsidRPr="00C05CBD" w:rsidRDefault="00293D18" w:rsidP="00293D18">
      <w:pPr>
        <w:pStyle w:val="FootnoteText"/>
        <w:jc w:val="both"/>
        <w:rPr>
          <w:rFonts w:ascii="Cambria" w:hAnsi="Cambria"/>
          <w:sz w:val="16"/>
          <w:szCs w:val="16"/>
          <w:lang w:val="es-AR"/>
        </w:rPr>
      </w:pPr>
      <w:r>
        <w:rPr>
          <w:lang w:val="en"/>
        </w:rPr>
        <w:tab/>
      </w:r>
      <w:r>
        <w:rPr>
          <w:rStyle w:val="FootnoteReference"/>
          <w:rFonts w:ascii="Cambria" w:hAnsi="Cambria"/>
          <w:sz w:val="16"/>
          <w:szCs w:val="16"/>
          <w:lang w:val="en"/>
        </w:rPr>
        <w:footnoteRef/>
      </w:r>
      <w:r>
        <w:rPr>
          <w:rFonts w:ascii="Cambria" w:hAnsi="Cambria"/>
          <w:sz w:val="16"/>
          <w:szCs w:val="16"/>
          <w:lang w:val="en"/>
        </w:rPr>
        <w:t xml:space="preserve"> IACHR, Report No. 26/17, Petition 1208-08. Admissibility. William </w:t>
      </w:r>
      <w:proofErr w:type="spellStart"/>
      <w:r>
        <w:rPr>
          <w:rFonts w:ascii="Cambria" w:hAnsi="Cambria"/>
          <w:sz w:val="16"/>
          <w:szCs w:val="16"/>
          <w:lang w:val="en"/>
        </w:rPr>
        <w:t>Olaya</w:t>
      </w:r>
      <w:proofErr w:type="spellEnd"/>
      <w:r>
        <w:rPr>
          <w:rFonts w:ascii="Cambria" w:hAnsi="Cambria"/>
          <w:sz w:val="16"/>
          <w:szCs w:val="16"/>
          <w:lang w:val="en"/>
        </w:rPr>
        <w:t xml:space="preserve"> Moreno and family. </w:t>
      </w:r>
      <w:r w:rsidRPr="00C05CBD">
        <w:rPr>
          <w:rFonts w:ascii="Cambria" w:hAnsi="Cambria"/>
          <w:sz w:val="16"/>
          <w:szCs w:val="16"/>
          <w:lang w:val="es-AR"/>
        </w:rPr>
        <w:t xml:space="preserve">Colombia. </w:t>
      </w:r>
      <w:proofErr w:type="spellStart"/>
      <w:r w:rsidRPr="00C05CBD">
        <w:rPr>
          <w:rFonts w:ascii="Cambria" w:hAnsi="Cambria"/>
          <w:sz w:val="16"/>
          <w:szCs w:val="16"/>
          <w:lang w:val="es-AR"/>
        </w:rPr>
        <w:t>March</w:t>
      </w:r>
      <w:proofErr w:type="spellEnd"/>
      <w:r w:rsidRPr="00C05CBD">
        <w:rPr>
          <w:rFonts w:ascii="Cambria" w:hAnsi="Cambria"/>
          <w:sz w:val="16"/>
          <w:szCs w:val="16"/>
          <w:lang w:val="es-AR"/>
        </w:rPr>
        <w:t xml:space="preserve"> 18, 2017, par. 9. </w:t>
      </w:r>
    </w:p>
  </w:footnote>
  <w:footnote w:id="11">
    <w:p w14:paraId="77CF2466" w14:textId="77777777" w:rsidR="00544CCE" w:rsidRPr="00C5191D" w:rsidRDefault="00544CCE" w:rsidP="00BB1DBF">
      <w:pPr>
        <w:pStyle w:val="FootnoteText"/>
        <w:ind w:firstLine="720"/>
        <w:jc w:val="both"/>
        <w:rPr>
          <w:rFonts w:ascii="Cambria" w:hAnsi="Cambria"/>
          <w:sz w:val="16"/>
          <w:szCs w:val="16"/>
        </w:rPr>
      </w:pPr>
      <w:r>
        <w:rPr>
          <w:rStyle w:val="FootnoteReference"/>
          <w:rFonts w:ascii="Cambria" w:hAnsi="Cambria"/>
          <w:sz w:val="16"/>
          <w:szCs w:val="16"/>
          <w:lang w:val="en"/>
        </w:rPr>
        <w:footnoteRef/>
      </w:r>
      <w:r w:rsidRPr="00C05CBD">
        <w:rPr>
          <w:rFonts w:ascii="Cambria" w:hAnsi="Cambria"/>
          <w:sz w:val="16"/>
          <w:szCs w:val="16"/>
          <w:lang w:val="es-AR"/>
        </w:rPr>
        <w:t xml:space="preserve"> IACHR, </w:t>
      </w:r>
      <w:proofErr w:type="spellStart"/>
      <w:r w:rsidRPr="00C05CBD">
        <w:rPr>
          <w:rFonts w:ascii="Cambria" w:hAnsi="Cambria"/>
          <w:sz w:val="16"/>
          <w:szCs w:val="16"/>
          <w:lang w:val="es-AR"/>
        </w:rPr>
        <w:t>Report</w:t>
      </w:r>
      <w:proofErr w:type="spellEnd"/>
      <w:r w:rsidRPr="00C05CBD">
        <w:rPr>
          <w:rFonts w:ascii="Cambria" w:hAnsi="Cambria"/>
          <w:sz w:val="16"/>
          <w:szCs w:val="16"/>
          <w:lang w:val="es-AR"/>
        </w:rPr>
        <w:t xml:space="preserve"> No. 143/18, </w:t>
      </w:r>
      <w:proofErr w:type="spellStart"/>
      <w:r w:rsidRPr="00C05CBD">
        <w:rPr>
          <w:rFonts w:ascii="Cambria" w:hAnsi="Cambria"/>
          <w:sz w:val="16"/>
          <w:szCs w:val="16"/>
          <w:lang w:val="es-AR"/>
        </w:rPr>
        <w:t>Petition</w:t>
      </w:r>
      <w:proofErr w:type="spellEnd"/>
      <w:r w:rsidRPr="00C05CBD">
        <w:rPr>
          <w:rFonts w:ascii="Cambria" w:hAnsi="Cambria"/>
          <w:sz w:val="16"/>
          <w:szCs w:val="16"/>
          <w:lang w:val="es-AR"/>
        </w:rPr>
        <w:t xml:space="preserve"> 940-08. </w:t>
      </w:r>
      <w:proofErr w:type="spellStart"/>
      <w:r w:rsidRPr="00C05CBD">
        <w:rPr>
          <w:rFonts w:ascii="Cambria" w:hAnsi="Cambria"/>
          <w:sz w:val="16"/>
          <w:szCs w:val="16"/>
          <w:lang w:val="es-AR"/>
        </w:rPr>
        <w:t>Admissibility</w:t>
      </w:r>
      <w:proofErr w:type="spellEnd"/>
      <w:r w:rsidRPr="00C05CBD">
        <w:rPr>
          <w:rFonts w:ascii="Cambria" w:hAnsi="Cambria"/>
          <w:sz w:val="16"/>
          <w:szCs w:val="16"/>
          <w:lang w:val="es-AR"/>
        </w:rPr>
        <w:t xml:space="preserve">. Luis Américo Ayala Gonzales. </w:t>
      </w:r>
      <w:r>
        <w:rPr>
          <w:rFonts w:ascii="Cambria" w:hAnsi="Cambria"/>
          <w:sz w:val="16"/>
          <w:szCs w:val="16"/>
          <w:lang w:val="en"/>
        </w:rPr>
        <w:t>Peru. December 4, 2018, par.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3B67" w14:textId="77777777" w:rsidR="00544CCE" w:rsidRDefault="00544CCE" w:rsidP="0074464F">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14:paraId="3800D5B4" w14:textId="77777777" w:rsidR="00544CCE" w:rsidRDefault="00544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481B9" w14:textId="77777777" w:rsidR="00544CCE" w:rsidRDefault="00544CCE"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44CCE" w:rsidRPr="00EC7D62" w:rsidRDefault="00F302F6" w:rsidP="00A50FCF">
    <w:pPr>
      <w:pStyle w:val="Header"/>
      <w:tabs>
        <w:tab w:val="clear" w:pos="4320"/>
        <w:tab w:val="clear" w:pos="8640"/>
      </w:tabs>
      <w:jc w:val="center"/>
      <w:rPr>
        <w:sz w:val="22"/>
        <w:szCs w:val="22"/>
      </w:rPr>
    </w:pPr>
    <w:r>
      <w:rPr>
        <w:sz w:val="22"/>
        <w:szCs w:val="22"/>
        <w:lang w:val="en"/>
      </w:rPr>
      <w:pict w14:anchorId="69C91BC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A8A37" w14:textId="77777777" w:rsidR="008E5560" w:rsidRDefault="008E55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544CCE" w:rsidRDefault="00544CCE" w:rsidP="0074464F">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14:paraId="598FAFAB" w14:textId="77777777" w:rsidR="00544CCE" w:rsidRDefault="00544C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24D711F6" w:rsidR="00544CCE" w:rsidRDefault="00C05CBD" w:rsidP="00A50FCF">
    <w:pPr>
      <w:pStyle w:val="Header"/>
      <w:tabs>
        <w:tab w:val="clear" w:pos="4320"/>
        <w:tab w:val="clear" w:pos="8640"/>
      </w:tabs>
      <w:jc w:val="center"/>
      <w:rPr>
        <w:sz w:val="22"/>
        <w:szCs w:val="22"/>
      </w:rPr>
    </w:pPr>
    <w:r>
      <w:rPr>
        <w:noProof/>
        <w:sz w:val="22"/>
        <w:szCs w:val="22"/>
      </w:rPr>
      <w:drawing>
        <wp:inline distT="0" distB="0" distL="0" distR="0" wp14:anchorId="69D8C6E8" wp14:editId="3C53A97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1CF3204D" w14:textId="77777777" w:rsidR="00544CCE" w:rsidRPr="00EC7D62" w:rsidRDefault="00F302F6" w:rsidP="00A50FCF">
    <w:pPr>
      <w:pStyle w:val="Header"/>
      <w:tabs>
        <w:tab w:val="clear" w:pos="4320"/>
        <w:tab w:val="clear" w:pos="8640"/>
      </w:tabs>
      <w:jc w:val="center"/>
      <w:rPr>
        <w:sz w:val="22"/>
        <w:szCs w:val="22"/>
      </w:rPr>
    </w:pPr>
    <w:r>
      <w:rPr>
        <w:sz w:val="22"/>
        <w:szCs w:val="22"/>
        <w:lang w:val="en"/>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F60244D"/>
    <w:multiLevelType w:val="hybridMultilevel"/>
    <w:tmpl w:val="91DC24B4"/>
    <w:lvl w:ilvl="0" w:tplc="043478A8">
      <w:start w:val="18"/>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034"/>
    <w:rsid w:val="00006E1F"/>
    <w:rsid w:val="000070D7"/>
    <w:rsid w:val="0001788C"/>
    <w:rsid w:val="000257E2"/>
    <w:rsid w:val="000271E8"/>
    <w:rsid w:val="000337EF"/>
    <w:rsid w:val="00040C3A"/>
    <w:rsid w:val="000419AD"/>
    <w:rsid w:val="000433C9"/>
    <w:rsid w:val="00050284"/>
    <w:rsid w:val="000673D0"/>
    <w:rsid w:val="000716C5"/>
    <w:rsid w:val="0007375C"/>
    <w:rsid w:val="00075E23"/>
    <w:rsid w:val="000869F2"/>
    <w:rsid w:val="00087F17"/>
    <w:rsid w:val="0009344A"/>
    <w:rsid w:val="000A392E"/>
    <w:rsid w:val="000A575F"/>
    <w:rsid w:val="000B04D4"/>
    <w:rsid w:val="000B5E85"/>
    <w:rsid w:val="000B7DC4"/>
    <w:rsid w:val="000D05CB"/>
    <w:rsid w:val="000D10DB"/>
    <w:rsid w:val="000E5EB5"/>
    <w:rsid w:val="000E6FDE"/>
    <w:rsid w:val="000F35ED"/>
    <w:rsid w:val="00104635"/>
    <w:rsid w:val="00105964"/>
    <w:rsid w:val="00107131"/>
    <w:rsid w:val="0010736F"/>
    <w:rsid w:val="001123A2"/>
    <w:rsid w:val="00113F73"/>
    <w:rsid w:val="00114186"/>
    <w:rsid w:val="00117B6F"/>
    <w:rsid w:val="00121CC2"/>
    <w:rsid w:val="00122F86"/>
    <w:rsid w:val="00126214"/>
    <w:rsid w:val="00131425"/>
    <w:rsid w:val="00133EE5"/>
    <w:rsid w:val="001401BA"/>
    <w:rsid w:val="00151E82"/>
    <w:rsid w:val="00154020"/>
    <w:rsid w:val="001550D0"/>
    <w:rsid w:val="00167A34"/>
    <w:rsid w:val="001A7870"/>
    <w:rsid w:val="001B3A00"/>
    <w:rsid w:val="001C1B41"/>
    <w:rsid w:val="001C3094"/>
    <w:rsid w:val="001D016C"/>
    <w:rsid w:val="001D65EF"/>
    <w:rsid w:val="001E49E7"/>
    <w:rsid w:val="001F2442"/>
    <w:rsid w:val="001F7201"/>
    <w:rsid w:val="002129A2"/>
    <w:rsid w:val="00223A29"/>
    <w:rsid w:val="002250A3"/>
    <w:rsid w:val="002307D0"/>
    <w:rsid w:val="00232906"/>
    <w:rsid w:val="00233029"/>
    <w:rsid w:val="00235217"/>
    <w:rsid w:val="00246D1F"/>
    <w:rsid w:val="00247403"/>
    <w:rsid w:val="00247542"/>
    <w:rsid w:val="002534B2"/>
    <w:rsid w:val="0025642C"/>
    <w:rsid w:val="00266B61"/>
    <w:rsid w:val="0026712A"/>
    <w:rsid w:val="002704DB"/>
    <w:rsid w:val="0027522A"/>
    <w:rsid w:val="0028009D"/>
    <w:rsid w:val="00291B95"/>
    <w:rsid w:val="00293D18"/>
    <w:rsid w:val="002A0AAE"/>
    <w:rsid w:val="002A5820"/>
    <w:rsid w:val="002D2B26"/>
    <w:rsid w:val="002D3B8E"/>
    <w:rsid w:val="002D7EA2"/>
    <w:rsid w:val="002E187C"/>
    <w:rsid w:val="002E5D33"/>
    <w:rsid w:val="002F5874"/>
    <w:rsid w:val="00302733"/>
    <w:rsid w:val="003071C8"/>
    <w:rsid w:val="00314078"/>
    <w:rsid w:val="0031535D"/>
    <w:rsid w:val="003208EB"/>
    <w:rsid w:val="003239B8"/>
    <w:rsid w:val="0032599E"/>
    <w:rsid w:val="00330572"/>
    <w:rsid w:val="0033169F"/>
    <w:rsid w:val="00344977"/>
    <w:rsid w:val="003457A8"/>
    <w:rsid w:val="00346C95"/>
    <w:rsid w:val="00356185"/>
    <w:rsid w:val="00356657"/>
    <w:rsid w:val="00360380"/>
    <w:rsid w:val="00365178"/>
    <w:rsid w:val="003654E4"/>
    <w:rsid w:val="003713EF"/>
    <w:rsid w:val="0037519E"/>
    <w:rsid w:val="0038546E"/>
    <w:rsid w:val="00386CF0"/>
    <w:rsid w:val="003A71F3"/>
    <w:rsid w:val="003B6E9C"/>
    <w:rsid w:val="003B70FB"/>
    <w:rsid w:val="003C6443"/>
    <w:rsid w:val="003C676B"/>
    <w:rsid w:val="003D1C06"/>
    <w:rsid w:val="003D3BC2"/>
    <w:rsid w:val="003E2B9C"/>
    <w:rsid w:val="003E6CA1"/>
    <w:rsid w:val="004065A8"/>
    <w:rsid w:val="004165C2"/>
    <w:rsid w:val="00425310"/>
    <w:rsid w:val="00434D45"/>
    <w:rsid w:val="00441ECB"/>
    <w:rsid w:val="00445193"/>
    <w:rsid w:val="00462C1B"/>
    <w:rsid w:val="00467B7E"/>
    <w:rsid w:val="00471F3C"/>
    <w:rsid w:val="00473BB4"/>
    <w:rsid w:val="00477592"/>
    <w:rsid w:val="00486F1C"/>
    <w:rsid w:val="0049419D"/>
    <w:rsid w:val="004A5844"/>
    <w:rsid w:val="004A60C4"/>
    <w:rsid w:val="004A6A54"/>
    <w:rsid w:val="004B167A"/>
    <w:rsid w:val="004C20D2"/>
    <w:rsid w:val="004C2312"/>
    <w:rsid w:val="004C2929"/>
    <w:rsid w:val="004C4B62"/>
    <w:rsid w:val="004C54C9"/>
    <w:rsid w:val="004D308D"/>
    <w:rsid w:val="004D39E3"/>
    <w:rsid w:val="004D4ABA"/>
    <w:rsid w:val="004D6025"/>
    <w:rsid w:val="004D6A8F"/>
    <w:rsid w:val="004E2649"/>
    <w:rsid w:val="004F1B82"/>
    <w:rsid w:val="004F626F"/>
    <w:rsid w:val="00501399"/>
    <w:rsid w:val="0050633D"/>
    <w:rsid w:val="00507BC4"/>
    <w:rsid w:val="005128E4"/>
    <w:rsid w:val="005133DB"/>
    <w:rsid w:val="00514504"/>
    <w:rsid w:val="00524EDC"/>
    <w:rsid w:val="00525560"/>
    <w:rsid w:val="00532D2F"/>
    <w:rsid w:val="00544C49"/>
    <w:rsid w:val="00544CCE"/>
    <w:rsid w:val="00550772"/>
    <w:rsid w:val="005516A1"/>
    <w:rsid w:val="0055412A"/>
    <w:rsid w:val="005559EF"/>
    <w:rsid w:val="00560B92"/>
    <w:rsid w:val="00563557"/>
    <w:rsid w:val="00565BB3"/>
    <w:rsid w:val="0057402A"/>
    <w:rsid w:val="005771D0"/>
    <w:rsid w:val="0059191A"/>
    <w:rsid w:val="005921FF"/>
    <w:rsid w:val="005972AA"/>
    <w:rsid w:val="005A24ED"/>
    <w:rsid w:val="005A6D0E"/>
    <w:rsid w:val="005A7843"/>
    <w:rsid w:val="005B3584"/>
    <w:rsid w:val="005B5111"/>
    <w:rsid w:val="005B52B0"/>
    <w:rsid w:val="005B6806"/>
    <w:rsid w:val="005C3B7C"/>
    <w:rsid w:val="005C4225"/>
    <w:rsid w:val="005E52AA"/>
    <w:rsid w:val="005E5681"/>
    <w:rsid w:val="005F0DAD"/>
    <w:rsid w:val="005F0F33"/>
    <w:rsid w:val="005F7A8D"/>
    <w:rsid w:val="00600DEB"/>
    <w:rsid w:val="00601F26"/>
    <w:rsid w:val="00605251"/>
    <w:rsid w:val="00607435"/>
    <w:rsid w:val="00610B1D"/>
    <w:rsid w:val="00627C9F"/>
    <w:rsid w:val="006311E9"/>
    <w:rsid w:val="00632354"/>
    <w:rsid w:val="00635421"/>
    <w:rsid w:val="00642810"/>
    <w:rsid w:val="00652333"/>
    <w:rsid w:val="00672709"/>
    <w:rsid w:val="006738EF"/>
    <w:rsid w:val="00675D21"/>
    <w:rsid w:val="0068009E"/>
    <w:rsid w:val="00682149"/>
    <w:rsid w:val="00692219"/>
    <w:rsid w:val="006A17D2"/>
    <w:rsid w:val="006A73E6"/>
    <w:rsid w:val="006B2D5C"/>
    <w:rsid w:val="006C4EB1"/>
    <w:rsid w:val="006E0166"/>
    <w:rsid w:val="006E0D53"/>
    <w:rsid w:val="006E0F71"/>
    <w:rsid w:val="006E2FFB"/>
    <w:rsid w:val="006E7B34"/>
    <w:rsid w:val="00700B7B"/>
    <w:rsid w:val="0070697F"/>
    <w:rsid w:val="00711FCC"/>
    <w:rsid w:val="0072199C"/>
    <w:rsid w:val="00722C9F"/>
    <w:rsid w:val="007253B8"/>
    <w:rsid w:val="00726F26"/>
    <w:rsid w:val="00737197"/>
    <w:rsid w:val="0073741F"/>
    <w:rsid w:val="007411DA"/>
    <w:rsid w:val="0074464F"/>
    <w:rsid w:val="0075440A"/>
    <w:rsid w:val="0076643F"/>
    <w:rsid w:val="0077184A"/>
    <w:rsid w:val="00777F63"/>
    <w:rsid w:val="007822E2"/>
    <w:rsid w:val="00786E6E"/>
    <w:rsid w:val="007A5817"/>
    <w:rsid w:val="007B05C4"/>
    <w:rsid w:val="007B60E9"/>
    <w:rsid w:val="007B6CC3"/>
    <w:rsid w:val="007B76D3"/>
    <w:rsid w:val="007B7B95"/>
    <w:rsid w:val="007C3334"/>
    <w:rsid w:val="007C5E15"/>
    <w:rsid w:val="007D2698"/>
    <w:rsid w:val="007D2B98"/>
    <w:rsid w:val="007E21BC"/>
    <w:rsid w:val="007E3825"/>
    <w:rsid w:val="007E58B4"/>
    <w:rsid w:val="007E7C82"/>
    <w:rsid w:val="007F2AA1"/>
    <w:rsid w:val="007F3D65"/>
    <w:rsid w:val="007F588D"/>
    <w:rsid w:val="0080185B"/>
    <w:rsid w:val="00803F1C"/>
    <w:rsid w:val="0080600E"/>
    <w:rsid w:val="00810015"/>
    <w:rsid w:val="008135D0"/>
    <w:rsid w:val="00814688"/>
    <w:rsid w:val="00817612"/>
    <w:rsid w:val="008217E8"/>
    <w:rsid w:val="008338A4"/>
    <w:rsid w:val="008348B8"/>
    <w:rsid w:val="00834D49"/>
    <w:rsid w:val="008351F2"/>
    <w:rsid w:val="00837C45"/>
    <w:rsid w:val="00844730"/>
    <w:rsid w:val="008457C2"/>
    <w:rsid w:val="00857A82"/>
    <w:rsid w:val="00873836"/>
    <w:rsid w:val="00885737"/>
    <w:rsid w:val="00886A61"/>
    <w:rsid w:val="00890650"/>
    <w:rsid w:val="00890F4F"/>
    <w:rsid w:val="00893046"/>
    <w:rsid w:val="00894733"/>
    <w:rsid w:val="008947D6"/>
    <w:rsid w:val="0089527D"/>
    <w:rsid w:val="008963AD"/>
    <w:rsid w:val="00897E12"/>
    <w:rsid w:val="008A7E0F"/>
    <w:rsid w:val="008B12F5"/>
    <w:rsid w:val="008B2145"/>
    <w:rsid w:val="008B4291"/>
    <w:rsid w:val="008B7990"/>
    <w:rsid w:val="008C5E2D"/>
    <w:rsid w:val="008D1350"/>
    <w:rsid w:val="008D768D"/>
    <w:rsid w:val="008E3759"/>
    <w:rsid w:val="008E3BFE"/>
    <w:rsid w:val="008E5560"/>
    <w:rsid w:val="008F1912"/>
    <w:rsid w:val="008F54DF"/>
    <w:rsid w:val="008F79C2"/>
    <w:rsid w:val="0090270B"/>
    <w:rsid w:val="009041DC"/>
    <w:rsid w:val="00907E6C"/>
    <w:rsid w:val="00912D32"/>
    <w:rsid w:val="00917B5A"/>
    <w:rsid w:val="00920A58"/>
    <w:rsid w:val="00920A8C"/>
    <w:rsid w:val="0093324F"/>
    <w:rsid w:val="00934A2C"/>
    <w:rsid w:val="009573C3"/>
    <w:rsid w:val="00957C67"/>
    <w:rsid w:val="0096706E"/>
    <w:rsid w:val="00974491"/>
    <w:rsid w:val="00975C4E"/>
    <w:rsid w:val="009766E2"/>
    <w:rsid w:val="00981FBA"/>
    <w:rsid w:val="00982C1A"/>
    <w:rsid w:val="00997BC5"/>
    <w:rsid w:val="009A43F0"/>
    <w:rsid w:val="009A4B90"/>
    <w:rsid w:val="009A4F41"/>
    <w:rsid w:val="009B2BBA"/>
    <w:rsid w:val="009B381B"/>
    <w:rsid w:val="009B51A5"/>
    <w:rsid w:val="009B5DF9"/>
    <w:rsid w:val="009C1E1E"/>
    <w:rsid w:val="009D1753"/>
    <w:rsid w:val="009D7611"/>
    <w:rsid w:val="009E0B61"/>
    <w:rsid w:val="009E53DE"/>
    <w:rsid w:val="00A00483"/>
    <w:rsid w:val="00A03A53"/>
    <w:rsid w:val="00A11212"/>
    <w:rsid w:val="00A1165A"/>
    <w:rsid w:val="00A11E44"/>
    <w:rsid w:val="00A166C0"/>
    <w:rsid w:val="00A24179"/>
    <w:rsid w:val="00A30100"/>
    <w:rsid w:val="00A31E2D"/>
    <w:rsid w:val="00A328B3"/>
    <w:rsid w:val="00A352A2"/>
    <w:rsid w:val="00A42259"/>
    <w:rsid w:val="00A50FCF"/>
    <w:rsid w:val="00A528D1"/>
    <w:rsid w:val="00A610CD"/>
    <w:rsid w:val="00A6358B"/>
    <w:rsid w:val="00A758AA"/>
    <w:rsid w:val="00AA09A2"/>
    <w:rsid w:val="00AA7996"/>
    <w:rsid w:val="00AB0896"/>
    <w:rsid w:val="00AB2CF2"/>
    <w:rsid w:val="00AB2E3E"/>
    <w:rsid w:val="00AB7254"/>
    <w:rsid w:val="00AC17F8"/>
    <w:rsid w:val="00AC19CB"/>
    <w:rsid w:val="00AD2190"/>
    <w:rsid w:val="00AD4153"/>
    <w:rsid w:val="00AD456D"/>
    <w:rsid w:val="00AD7C07"/>
    <w:rsid w:val="00AE5488"/>
    <w:rsid w:val="00AE6F91"/>
    <w:rsid w:val="00AF0F15"/>
    <w:rsid w:val="00AF5571"/>
    <w:rsid w:val="00B07341"/>
    <w:rsid w:val="00B11828"/>
    <w:rsid w:val="00B1440C"/>
    <w:rsid w:val="00B21B61"/>
    <w:rsid w:val="00B248BA"/>
    <w:rsid w:val="00B30539"/>
    <w:rsid w:val="00B314DB"/>
    <w:rsid w:val="00B361F2"/>
    <w:rsid w:val="00B3718B"/>
    <w:rsid w:val="00B3745F"/>
    <w:rsid w:val="00B4632A"/>
    <w:rsid w:val="00B530F1"/>
    <w:rsid w:val="00B84777"/>
    <w:rsid w:val="00B96ABE"/>
    <w:rsid w:val="00BA1241"/>
    <w:rsid w:val="00BA276C"/>
    <w:rsid w:val="00BA54A9"/>
    <w:rsid w:val="00BB1DBF"/>
    <w:rsid w:val="00BB306F"/>
    <w:rsid w:val="00BB4418"/>
    <w:rsid w:val="00BB5B2B"/>
    <w:rsid w:val="00BD4B89"/>
    <w:rsid w:val="00BD5341"/>
    <w:rsid w:val="00BD57F2"/>
    <w:rsid w:val="00BD5922"/>
    <w:rsid w:val="00BE29A1"/>
    <w:rsid w:val="00BF02CB"/>
    <w:rsid w:val="00BF6FD8"/>
    <w:rsid w:val="00BF7851"/>
    <w:rsid w:val="00C03680"/>
    <w:rsid w:val="00C054DF"/>
    <w:rsid w:val="00C05CBD"/>
    <w:rsid w:val="00C06298"/>
    <w:rsid w:val="00C1285C"/>
    <w:rsid w:val="00C21762"/>
    <w:rsid w:val="00C21FEF"/>
    <w:rsid w:val="00C23BA4"/>
    <w:rsid w:val="00C24543"/>
    <w:rsid w:val="00C256A2"/>
    <w:rsid w:val="00C25ADB"/>
    <w:rsid w:val="00C4720A"/>
    <w:rsid w:val="00C51515"/>
    <w:rsid w:val="00C5168D"/>
    <w:rsid w:val="00C5548C"/>
    <w:rsid w:val="00C5660B"/>
    <w:rsid w:val="00C66B72"/>
    <w:rsid w:val="00C71FE2"/>
    <w:rsid w:val="00C80D0E"/>
    <w:rsid w:val="00C87AC4"/>
    <w:rsid w:val="00C9497D"/>
    <w:rsid w:val="00C9567A"/>
    <w:rsid w:val="00C96913"/>
    <w:rsid w:val="00CA74D2"/>
    <w:rsid w:val="00CB212D"/>
    <w:rsid w:val="00CB2660"/>
    <w:rsid w:val="00CB7301"/>
    <w:rsid w:val="00CC5E90"/>
    <w:rsid w:val="00CC63E4"/>
    <w:rsid w:val="00CD046C"/>
    <w:rsid w:val="00CE076C"/>
    <w:rsid w:val="00CE5199"/>
    <w:rsid w:val="00CE66D5"/>
    <w:rsid w:val="00CF3698"/>
    <w:rsid w:val="00CF637A"/>
    <w:rsid w:val="00D02399"/>
    <w:rsid w:val="00D059DE"/>
    <w:rsid w:val="00D05ABD"/>
    <w:rsid w:val="00D119CC"/>
    <w:rsid w:val="00D13FCE"/>
    <w:rsid w:val="00D17253"/>
    <w:rsid w:val="00D306D1"/>
    <w:rsid w:val="00D30800"/>
    <w:rsid w:val="00D34786"/>
    <w:rsid w:val="00D37BFC"/>
    <w:rsid w:val="00D42170"/>
    <w:rsid w:val="00D47A8E"/>
    <w:rsid w:val="00D51ACC"/>
    <w:rsid w:val="00D51E4D"/>
    <w:rsid w:val="00D52D14"/>
    <w:rsid w:val="00D617A0"/>
    <w:rsid w:val="00D61E5B"/>
    <w:rsid w:val="00D712D3"/>
    <w:rsid w:val="00D71422"/>
    <w:rsid w:val="00D7212A"/>
    <w:rsid w:val="00D72DC6"/>
    <w:rsid w:val="00D7558D"/>
    <w:rsid w:val="00D81D92"/>
    <w:rsid w:val="00D82157"/>
    <w:rsid w:val="00D84565"/>
    <w:rsid w:val="00D867BB"/>
    <w:rsid w:val="00D876F9"/>
    <w:rsid w:val="00DA01B0"/>
    <w:rsid w:val="00DA7B5F"/>
    <w:rsid w:val="00DB622C"/>
    <w:rsid w:val="00DC11E7"/>
    <w:rsid w:val="00DC24E3"/>
    <w:rsid w:val="00DC7023"/>
    <w:rsid w:val="00DC769A"/>
    <w:rsid w:val="00DD04D0"/>
    <w:rsid w:val="00DD04E7"/>
    <w:rsid w:val="00DD3D86"/>
    <w:rsid w:val="00DD4AD2"/>
    <w:rsid w:val="00DE3DFB"/>
    <w:rsid w:val="00DF1EC4"/>
    <w:rsid w:val="00E00097"/>
    <w:rsid w:val="00E0340B"/>
    <w:rsid w:val="00E04A90"/>
    <w:rsid w:val="00E0551F"/>
    <w:rsid w:val="00E219C7"/>
    <w:rsid w:val="00E33833"/>
    <w:rsid w:val="00E4118C"/>
    <w:rsid w:val="00E43157"/>
    <w:rsid w:val="00E461CE"/>
    <w:rsid w:val="00E53A0D"/>
    <w:rsid w:val="00E573E4"/>
    <w:rsid w:val="00E709B3"/>
    <w:rsid w:val="00E720CA"/>
    <w:rsid w:val="00E80667"/>
    <w:rsid w:val="00E84EB5"/>
    <w:rsid w:val="00E85662"/>
    <w:rsid w:val="00E8789F"/>
    <w:rsid w:val="00E909A5"/>
    <w:rsid w:val="00E97B71"/>
    <w:rsid w:val="00EA3D34"/>
    <w:rsid w:val="00EB2D50"/>
    <w:rsid w:val="00EB454D"/>
    <w:rsid w:val="00EB72BC"/>
    <w:rsid w:val="00EB7FF9"/>
    <w:rsid w:val="00EC6CBF"/>
    <w:rsid w:val="00ED549D"/>
    <w:rsid w:val="00ED76BE"/>
    <w:rsid w:val="00EE00E9"/>
    <w:rsid w:val="00EF1AAA"/>
    <w:rsid w:val="00EF619B"/>
    <w:rsid w:val="00F00B55"/>
    <w:rsid w:val="00F01772"/>
    <w:rsid w:val="00F02AD1"/>
    <w:rsid w:val="00F05C0A"/>
    <w:rsid w:val="00F100CB"/>
    <w:rsid w:val="00F253CC"/>
    <w:rsid w:val="00F302F6"/>
    <w:rsid w:val="00F369F4"/>
    <w:rsid w:val="00F37106"/>
    <w:rsid w:val="00F37D75"/>
    <w:rsid w:val="00F44E25"/>
    <w:rsid w:val="00F474DA"/>
    <w:rsid w:val="00F519CF"/>
    <w:rsid w:val="00F5266F"/>
    <w:rsid w:val="00F56BA5"/>
    <w:rsid w:val="00F60E22"/>
    <w:rsid w:val="00F709AD"/>
    <w:rsid w:val="00F73F5C"/>
    <w:rsid w:val="00F81395"/>
    <w:rsid w:val="00F81BB8"/>
    <w:rsid w:val="00F90C64"/>
    <w:rsid w:val="00F917D1"/>
    <w:rsid w:val="00F91D76"/>
    <w:rsid w:val="00F94E7B"/>
    <w:rsid w:val="00F9653B"/>
    <w:rsid w:val="00FA58CD"/>
    <w:rsid w:val="00FB62CF"/>
    <w:rsid w:val="00FD101F"/>
    <w:rsid w:val="00FD3C3B"/>
    <w:rsid w:val="00FE07DD"/>
    <w:rsid w:val="00FE0A9E"/>
    <w:rsid w:val="00FE6B45"/>
    <w:rsid w:val="00FF0FB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uiPriority w:val="99"/>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4D4"/>
    <w:rPr>
      <w:sz w:val="16"/>
      <w:szCs w:val="16"/>
    </w:rPr>
  </w:style>
  <w:style w:type="paragraph" w:styleId="CommentText">
    <w:name w:val="annotation text"/>
    <w:basedOn w:val="Normal"/>
    <w:link w:val="CommentTextChar"/>
    <w:uiPriority w:val="99"/>
    <w:semiHidden/>
    <w:unhideWhenUsed/>
    <w:rsid w:val="000B04D4"/>
    <w:rPr>
      <w:sz w:val="20"/>
      <w:szCs w:val="20"/>
    </w:rPr>
  </w:style>
  <w:style w:type="character" w:customStyle="1" w:styleId="CommentTextChar">
    <w:name w:val="Comment Text Char"/>
    <w:basedOn w:val="DefaultParagraphFont"/>
    <w:link w:val="CommentText"/>
    <w:uiPriority w:val="99"/>
    <w:semiHidden/>
    <w:rsid w:val="000B04D4"/>
    <w:rPr>
      <w:lang w:val="en-US" w:eastAsia="en-US"/>
    </w:rPr>
  </w:style>
  <w:style w:type="paragraph" w:styleId="CommentSubject">
    <w:name w:val="annotation subject"/>
    <w:basedOn w:val="CommentText"/>
    <w:next w:val="CommentText"/>
    <w:link w:val="CommentSubjectChar"/>
    <w:uiPriority w:val="99"/>
    <w:semiHidden/>
    <w:unhideWhenUsed/>
    <w:rsid w:val="000B04D4"/>
    <w:rPr>
      <w:b/>
      <w:bCs/>
    </w:rPr>
  </w:style>
  <w:style w:type="character" w:customStyle="1" w:styleId="CommentSubjectChar">
    <w:name w:val="Comment Subject Char"/>
    <w:basedOn w:val="CommentTextChar"/>
    <w:link w:val="CommentSubject"/>
    <w:uiPriority w:val="99"/>
    <w:semiHidden/>
    <w:rsid w:val="000B04D4"/>
    <w:rPr>
      <w:b/>
      <w:bCs/>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A24179"/>
    <w:rPr>
      <w:rFonts w:ascii="Calibri" w:eastAsia="Times New Roman" w:hAnsi="Calibri"/>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BB1DB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EndnoteReference">
    <w:name w:val="endnote reference"/>
    <w:basedOn w:val="DefaultParagraphFont"/>
    <w:uiPriority w:val="99"/>
    <w:semiHidden/>
    <w:unhideWhenUsed/>
    <w:rsid w:val="00B118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57627907CB4FF2B74FE239B14B7826"/>
        <w:category>
          <w:name w:val="General"/>
          <w:gallery w:val="placeholder"/>
        </w:category>
        <w:types>
          <w:type w:val="bbPlcHdr"/>
        </w:types>
        <w:behaviors>
          <w:behavior w:val="content"/>
        </w:behaviors>
        <w:guid w:val="{74EEB328-E666-482B-B8B7-9DAD3D55F6DD}"/>
      </w:docPartPr>
      <w:docPartBody>
        <w:p w:rsidR="00472EC9" w:rsidRDefault="00974E95" w:rsidP="00974E95">
          <w:pPr>
            <w:pStyle w:val="5657627907CB4FF2B74FE239B14B782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62D"/>
    <w:rsid w:val="000D0C86"/>
    <w:rsid w:val="0013297C"/>
    <w:rsid w:val="0014415C"/>
    <w:rsid w:val="00166883"/>
    <w:rsid w:val="00200821"/>
    <w:rsid w:val="0025245B"/>
    <w:rsid w:val="002B2527"/>
    <w:rsid w:val="002F7F78"/>
    <w:rsid w:val="00354D03"/>
    <w:rsid w:val="00394049"/>
    <w:rsid w:val="004040E0"/>
    <w:rsid w:val="004261AD"/>
    <w:rsid w:val="00472EC9"/>
    <w:rsid w:val="004B5BBB"/>
    <w:rsid w:val="004E1822"/>
    <w:rsid w:val="004F2DF8"/>
    <w:rsid w:val="006E7149"/>
    <w:rsid w:val="006F24A1"/>
    <w:rsid w:val="00810AA5"/>
    <w:rsid w:val="00974E95"/>
    <w:rsid w:val="009A261B"/>
    <w:rsid w:val="00A41635"/>
    <w:rsid w:val="00AA2E17"/>
    <w:rsid w:val="00AC15A4"/>
    <w:rsid w:val="00B0336C"/>
    <w:rsid w:val="00BB54B6"/>
    <w:rsid w:val="00C35B5F"/>
    <w:rsid w:val="00C4173D"/>
    <w:rsid w:val="00CF6DC0"/>
    <w:rsid w:val="00D241E9"/>
    <w:rsid w:val="00D7750D"/>
    <w:rsid w:val="00D85E3F"/>
    <w:rsid w:val="00DD1972"/>
    <w:rsid w:val="00DD3F81"/>
    <w:rsid w:val="00EC7C95"/>
    <w:rsid w:val="00F00D2F"/>
    <w:rsid w:val="00F128DF"/>
    <w:rsid w:val="00F33445"/>
    <w:rsid w:val="00F87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E95"/>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6F10F8106C6B41A68AE460B6FEC61D9E">
    <w:name w:val="6F10F8106C6B41A68AE460B6FEC61D9E"/>
    <w:rsid w:val="00C35B5F"/>
    <w:pPr>
      <w:spacing w:after="160" w:line="259" w:lineRule="auto"/>
    </w:pPr>
  </w:style>
  <w:style w:type="paragraph" w:customStyle="1" w:styleId="5657627907CB4FF2B74FE239B14B7826">
    <w:name w:val="5657627907CB4FF2B74FE239B14B7826"/>
    <w:rsid w:val="00974E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4434-9E33-4A00-9F18-59BD00FF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3066</Words>
  <Characters>16348</Characters>
  <Application>Microsoft Office Word</Application>
  <DocSecurity>0</DocSecurity>
  <Lines>297</Lines>
  <Paragraphs>82</Paragraphs>
  <ScaleCrop>false</ScaleCrop>
  <Company/>
  <LinksUpToDate>false</LinksUpToDate>
  <CharactersWithSpaces>19332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238/20</dc:title>
  <dc:creator/>
  <cp:lastModifiedBy/>
  <cp:revision>1</cp:revision>
  <dcterms:created xsi:type="dcterms:W3CDTF">2020-10-20T17:58:00Z</dcterms:created>
  <dcterms:modified xsi:type="dcterms:W3CDTF">2020-10-20T17:59:00Z</dcterms:modified>
</cp:coreProperties>
</file>