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404C3D" w:rsidRDefault="00D306D1" w:rsidP="00627C9F">
      <w:pPr>
        <w:jc w:val="both"/>
        <w:rPr>
          <w:rFonts w:asciiTheme="majorHAnsi" w:hAnsiTheme="majorHAnsi" w:cs="Univers"/>
          <w:b/>
          <w:bCs/>
          <w:sz w:val="22"/>
          <w:szCs w:val="22"/>
        </w:rPr>
      </w:pPr>
      <w:r w:rsidRPr="00404C3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E0933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242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" fillcolor="#67ae3c" stroked="f" strokeweight="2pt"/>
            </w:pict>
          </mc:Fallback>
        </mc:AlternateContent>
      </w:r>
      <w:r w:rsidR="003E6CA1" w:rsidRPr="00404C3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577FB3D5" w:rsidR="00CB2660" w:rsidRDefault="00DD1ECD" w:rsidP="00AE5488">
                      <w:r>
                        <w:rPr>
                          <w:noProof/>
                        </w:rPr>
                        <w:drawing>
                          <wp:inline distT="0" distB="0" distL="0" distR="0" wp14:anchorId="5922D32F" wp14:editId="280CA5FD">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404C3D" w:rsidRDefault="00040C3A" w:rsidP="00040C3A">
      <w:pPr>
        <w:tabs>
          <w:tab w:val="center" w:pos="5400"/>
        </w:tabs>
        <w:suppressAutoHyphens/>
        <w:jc w:val="both"/>
        <w:rPr>
          <w:rFonts w:asciiTheme="majorHAnsi" w:hAnsiTheme="majorHAnsi"/>
          <w:sz w:val="22"/>
          <w:szCs w:val="22"/>
        </w:rPr>
      </w:pPr>
    </w:p>
    <w:p w14:paraId="5A87E141" w14:textId="77777777" w:rsidR="00040C3A" w:rsidRPr="00404C3D" w:rsidRDefault="00040C3A" w:rsidP="00040C3A">
      <w:pPr>
        <w:tabs>
          <w:tab w:val="center" w:pos="5400"/>
        </w:tabs>
        <w:suppressAutoHyphens/>
        <w:jc w:val="both"/>
        <w:rPr>
          <w:rFonts w:asciiTheme="majorHAnsi" w:hAnsiTheme="majorHAnsi"/>
          <w:sz w:val="22"/>
          <w:szCs w:val="22"/>
        </w:rPr>
      </w:pPr>
    </w:p>
    <w:p w14:paraId="29D95BCC" w14:textId="77777777" w:rsidR="005128E4" w:rsidRPr="00404C3D" w:rsidRDefault="005128E4" w:rsidP="00040C3A">
      <w:pPr>
        <w:tabs>
          <w:tab w:val="center" w:pos="5400"/>
        </w:tabs>
        <w:suppressAutoHyphens/>
        <w:rPr>
          <w:rFonts w:asciiTheme="majorHAnsi" w:hAnsiTheme="majorHAnsi"/>
          <w:sz w:val="22"/>
          <w:szCs w:val="22"/>
        </w:rPr>
      </w:pPr>
    </w:p>
    <w:p w14:paraId="12A36B24" w14:textId="77777777" w:rsidR="005128E4" w:rsidRPr="00404C3D" w:rsidRDefault="005128E4" w:rsidP="00040C3A">
      <w:pPr>
        <w:tabs>
          <w:tab w:val="center" w:pos="5400"/>
        </w:tabs>
        <w:suppressAutoHyphens/>
        <w:rPr>
          <w:rFonts w:asciiTheme="majorHAnsi" w:hAnsiTheme="majorHAnsi"/>
          <w:sz w:val="22"/>
          <w:szCs w:val="22"/>
        </w:rPr>
      </w:pPr>
    </w:p>
    <w:p w14:paraId="2252093D" w14:textId="77777777" w:rsidR="005128E4" w:rsidRPr="00404C3D" w:rsidRDefault="005128E4" w:rsidP="00040C3A">
      <w:pPr>
        <w:tabs>
          <w:tab w:val="center" w:pos="5400"/>
        </w:tabs>
        <w:suppressAutoHyphens/>
        <w:rPr>
          <w:rFonts w:asciiTheme="majorHAnsi" w:hAnsiTheme="majorHAnsi"/>
          <w:sz w:val="22"/>
          <w:szCs w:val="22"/>
        </w:rPr>
      </w:pPr>
    </w:p>
    <w:p w14:paraId="403935BD" w14:textId="77777777" w:rsidR="00040C3A" w:rsidRPr="00404C3D" w:rsidRDefault="00040C3A" w:rsidP="005128E4">
      <w:pPr>
        <w:tabs>
          <w:tab w:val="center" w:pos="5400"/>
        </w:tabs>
        <w:suppressAutoHyphens/>
        <w:jc w:val="center"/>
        <w:rPr>
          <w:rFonts w:asciiTheme="majorHAnsi" w:hAnsiTheme="majorHAnsi"/>
          <w:sz w:val="22"/>
          <w:szCs w:val="22"/>
        </w:rPr>
      </w:pPr>
    </w:p>
    <w:p w14:paraId="6DCF5F8F" w14:textId="77777777" w:rsidR="00040C3A" w:rsidRPr="00404C3D" w:rsidRDefault="00040C3A" w:rsidP="005128E4">
      <w:pPr>
        <w:tabs>
          <w:tab w:val="center" w:pos="5400"/>
        </w:tabs>
        <w:suppressAutoHyphens/>
        <w:jc w:val="center"/>
        <w:rPr>
          <w:rFonts w:asciiTheme="majorHAnsi" w:hAnsiTheme="majorHAnsi"/>
          <w:sz w:val="22"/>
          <w:szCs w:val="22"/>
        </w:rPr>
      </w:pPr>
    </w:p>
    <w:p w14:paraId="4791F13A" w14:textId="77777777" w:rsidR="005B52B0" w:rsidRPr="00404C3D" w:rsidRDefault="005B52B0" w:rsidP="005128E4">
      <w:pPr>
        <w:tabs>
          <w:tab w:val="center" w:pos="5400"/>
        </w:tabs>
        <w:suppressAutoHyphens/>
        <w:jc w:val="center"/>
        <w:rPr>
          <w:rFonts w:asciiTheme="majorHAnsi" w:hAnsiTheme="majorHAnsi"/>
          <w:sz w:val="22"/>
          <w:szCs w:val="22"/>
        </w:rPr>
      </w:pPr>
    </w:p>
    <w:p w14:paraId="44E016B6" w14:textId="77777777" w:rsidR="005B52B0" w:rsidRPr="00404C3D" w:rsidRDefault="005B52B0" w:rsidP="005128E4">
      <w:pPr>
        <w:tabs>
          <w:tab w:val="center" w:pos="5400"/>
        </w:tabs>
        <w:suppressAutoHyphens/>
        <w:jc w:val="center"/>
        <w:rPr>
          <w:rFonts w:asciiTheme="majorHAnsi" w:hAnsiTheme="majorHAnsi"/>
          <w:sz w:val="22"/>
          <w:szCs w:val="22"/>
        </w:rPr>
      </w:pPr>
    </w:p>
    <w:p w14:paraId="63D41962" w14:textId="77777777" w:rsidR="005B52B0" w:rsidRPr="00404C3D" w:rsidRDefault="005B52B0" w:rsidP="005128E4">
      <w:pPr>
        <w:tabs>
          <w:tab w:val="center" w:pos="5400"/>
        </w:tabs>
        <w:suppressAutoHyphens/>
        <w:jc w:val="center"/>
        <w:rPr>
          <w:rFonts w:asciiTheme="majorHAnsi" w:hAnsiTheme="majorHAnsi"/>
          <w:sz w:val="22"/>
          <w:szCs w:val="22"/>
        </w:rPr>
      </w:pPr>
    </w:p>
    <w:p w14:paraId="5ADEB990" w14:textId="77777777" w:rsidR="00040C3A" w:rsidRPr="00404C3D" w:rsidRDefault="00040C3A" w:rsidP="00040C3A">
      <w:pPr>
        <w:tabs>
          <w:tab w:val="center" w:pos="5400"/>
        </w:tabs>
        <w:suppressAutoHyphens/>
        <w:jc w:val="center"/>
        <w:rPr>
          <w:rFonts w:asciiTheme="majorHAnsi" w:hAnsiTheme="majorHAnsi"/>
          <w:sz w:val="22"/>
          <w:szCs w:val="22"/>
        </w:rPr>
      </w:pPr>
    </w:p>
    <w:p w14:paraId="2D81B7E8" w14:textId="77777777" w:rsidR="00040C3A" w:rsidRPr="00404C3D" w:rsidRDefault="00040C3A" w:rsidP="00040C3A">
      <w:pPr>
        <w:tabs>
          <w:tab w:val="center" w:pos="5400"/>
        </w:tabs>
        <w:suppressAutoHyphens/>
        <w:jc w:val="center"/>
        <w:rPr>
          <w:rFonts w:asciiTheme="majorHAnsi" w:hAnsiTheme="majorHAnsi"/>
          <w:sz w:val="22"/>
          <w:szCs w:val="22"/>
        </w:rPr>
      </w:pPr>
    </w:p>
    <w:p w14:paraId="64791D04" w14:textId="77777777" w:rsidR="00040C3A" w:rsidRPr="00404C3D" w:rsidRDefault="003D3BC2" w:rsidP="00040C3A">
      <w:pPr>
        <w:tabs>
          <w:tab w:val="center" w:pos="5400"/>
        </w:tabs>
        <w:suppressAutoHyphens/>
        <w:jc w:val="center"/>
        <w:rPr>
          <w:rFonts w:asciiTheme="majorHAnsi" w:hAnsiTheme="majorHAnsi"/>
          <w:sz w:val="22"/>
          <w:szCs w:val="22"/>
        </w:rPr>
      </w:pPr>
      <w:r w:rsidRPr="00404C3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FBB5E21">
                <wp:simplePos x="0" y="0"/>
                <wp:positionH relativeFrom="margin">
                  <wp:posOffset>1333500</wp:posOffset>
                </wp:positionH>
                <wp:positionV relativeFrom="paragraph">
                  <wp:posOffset>109220</wp:posOffset>
                </wp:positionV>
                <wp:extent cx="476250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625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4FB1551"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AE0BDB">
                              <w:rPr>
                                <w:rFonts w:asciiTheme="majorHAnsi" w:hAnsiTheme="majorHAnsi" w:cs="Arial"/>
                                <w:b/>
                                <w:bCs/>
                                <w:color w:val="0D0D0D" w:themeColor="text1" w:themeTint="F2"/>
                                <w:sz w:val="36"/>
                                <w:szCs w:val="22"/>
                                <w:lang w:val="es-ES_tradnl"/>
                              </w:rPr>
                              <w:t>185</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2955C7">
                              <w:rPr>
                                <w:rFonts w:asciiTheme="majorHAnsi" w:hAnsiTheme="majorHAnsi" w:cs="Arial"/>
                                <w:b/>
                                <w:bCs/>
                                <w:color w:val="0D0D0D" w:themeColor="text1" w:themeTint="F2"/>
                                <w:sz w:val="36"/>
                                <w:szCs w:val="22"/>
                                <w:lang w:val="en-US"/>
                              </w:rPr>
                              <w:t>3</w:t>
                            </w:r>
                          </w:p>
                          <w:p w14:paraId="09C54AB3" w14:textId="7B32840E"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6B6C04">
                              <w:rPr>
                                <w:rFonts w:asciiTheme="majorHAnsi" w:hAnsiTheme="majorHAnsi" w:cs="Arial"/>
                                <w:b/>
                                <w:color w:val="0D0D0D" w:themeColor="text1" w:themeTint="F2"/>
                                <w:sz w:val="36"/>
                                <w:szCs w:val="22"/>
                                <w:lang w:val="en-US"/>
                              </w:rPr>
                              <w:t>1533</w:t>
                            </w:r>
                            <w:r w:rsidR="002955C7">
                              <w:rPr>
                                <w:rFonts w:asciiTheme="majorHAnsi" w:hAnsiTheme="majorHAnsi" w:cs="Arial"/>
                                <w:b/>
                                <w:color w:val="0D0D0D" w:themeColor="text1" w:themeTint="F2"/>
                                <w:sz w:val="36"/>
                                <w:szCs w:val="22"/>
                                <w:lang w:val="en-US"/>
                              </w:rPr>
                              <w:t>-1</w:t>
                            </w:r>
                            <w:r w:rsidR="006B6C04">
                              <w:rPr>
                                <w:rFonts w:asciiTheme="majorHAnsi" w:hAnsiTheme="majorHAnsi" w:cs="Arial"/>
                                <w:b/>
                                <w:color w:val="0D0D0D" w:themeColor="text1" w:themeTint="F2"/>
                                <w:sz w:val="36"/>
                                <w:szCs w:val="22"/>
                                <w:lang w:val="en-US"/>
                              </w:rPr>
                              <w:t>7</w:t>
                            </w:r>
                            <w:r w:rsidR="00246D1F" w:rsidRPr="00AA6F30">
                              <w:rPr>
                                <w:rFonts w:asciiTheme="majorHAnsi" w:hAnsiTheme="majorHAnsi" w:cs="Arial"/>
                                <w:b/>
                                <w:color w:val="0D0D0D" w:themeColor="text1" w:themeTint="F2"/>
                                <w:sz w:val="36"/>
                                <w:szCs w:val="22"/>
                                <w:lang w:val="en-US"/>
                              </w:rPr>
                              <w:t xml:space="preserve"> </w:t>
                            </w:r>
                          </w:p>
                          <w:p w14:paraId="70CF6833" w14:textId="2D599939" w:rsidR="00CD046C" w:rsidRPr="006B6C04" w:rsidRDefault="00DD1ECD" w:rsidP="00997BC5">
                            <w:pPr>
                              <w:spacing w:line="276" w:lineRule="auto"/>
                              <w:rPr>
                                <w:rFonts w:asciiTheme="majorHAnsi" w:hAnsiTheme="majorHAnsi" w:cs="Arial"/>
                                <w:color w:val="0D0D0D" w:themeColor="text1" w:themeTint="F2"/>
                                <w:szCs w:val="22"/>
                                <w:lang w:val="en-US"/>
                              </w:rPr>
                            </w:pPr>
                            <w:r w:rsidRPr="006B6C04">
                              <w:rPr>
                                <w:rFonts w:asciiTheme="majorHAnsi" w:hAnsiTheme="majorHAnsi" w:cs="Arial"/>
                                <w:color w:val="0D0D0D" w:themeColor="text1" w:themeTint="F2"/>
                                <w:szCs w:val="22"/>
                                <w:lang w:val="en-US"/>
                              </w:rPr>
                              <w:t>REPORT ON ADMISSIBILITY</w:t>
                            </w:r>
                          </w:p>
                          <w:p w14:paraId="5FDD6F0D" w14:textId="77777777" w:rsidR="008F1912" w:rsidRDefault="008F1912" w:rsidP="00997BC5">
                            <w:pPr>
                              <w:spacing w:line="276" w:lineRule="auto"/>
                              <w:rPr>
                                <w:rFonts w:asciiTheme="majorHAnsi" w:hAnsiTheme="majorHAnsi" w:cs="Arial"/>
                                <w:color w:val="0D0D0D" w:themeColor="text1" w:themeTint="F2"/>
                                <w:szCs w:val="22"/>
                                <w:lang w:val="en-US"/>
                              </w:rPr>
                            </w:pPr>
                            <w:bookmarkStart w:id="0" w:name="_ftnref1"/>
                          </w:p>
                          <w:p w14:paraId="0504F8F1" w14:textId="294B75BB" w:rsidR="006B6C04" w:rsidRPr="00207AE2" w:rsidRDefault="00207AE2" w:rsidP="00997BC5">
                            <w:pPr>
                              <w:spacing w:line="276" w:lineRule="auto"/>
                              <w:rPr>
                                <w:rFonts w:asciiTheme="majorHAnsi" w:hAnsiTheme="majorHAnsi" w:cs="Arial"/>
                                <w:color w:val="0D0D0D" w:themeColor="text1" w:themeTint="F2"/>
                                <w:szCs w:val="22"/>
                                <w:lang w:val="en-US"/>
                              </w:rPr>
                            </w:pPr>
                            <w:r w:rsidRPr="00207AE2">
                              <w:rPr>
                                <w:rFonts w:asciiTheme="majorHAnsi" w:hAnsiTheme="majorHAnsi" w:cs="Arial"/>
                                <w:bCs/>
                                <w:color w:val="0D0D0D" w:themeColor="text1" w:themeTint="F2"/>
                                <w:szCs w:val="22"/>
                                <w:lang w:val="en-US"/>
                              </w:rPr>
                              <w:t>Q'EQCHI'S INDIGENOUS COMMUNITIES OF SANTA MARÍA</w:t>
                            </w:r>
                            <w:r w:rsidR="00AE0BDB">
                              <w:rPr>
                                <w:rFonts w:asciiTheme="majorHAnsi" w:hAnsiTheme="majorHAnsi" w:cs="Arial"/>
                                <w:bCs/>
                                <w:color w:val="0D0D0D" w:themeColor="text1" w:themeTint="F2"/>
                                <w:szCs w:val="22"/>
                                <w:lang w:val="en-US"/>
                              </w:rPr>
                              <w:t xml:space="preserve"> </w:t>
                            </w:r>
                            <w:r w:rsidRPr="00207AE2">
                              <w:rPr>
                                <w:rFonts w:asciiTheme="majorHAnsi" w:hAnsiTheme="majorHAnsi" w:cs="Arial"/>
                                <w:bCs/>
                                <w:color w:val="0D0D0D" w:themeColor="text1" w:themeTint="F2"/>
                                <w:szCs w:val="22"/>
                                <w:lang w:val="en-US"/>
                              </w:rPr>
                              <w:t>CAHABÓN</w:t>
                            </w:r>
                          </w:p>
                          <w:bookmarkEnd w:id="0"/>
                          <w:p w14:paraId="35068D0D" w14:textId="415A4BD7" w:rsidR="005B52B0" w:rsidRPr="0010736F" w:rsidRDefault="006B6C0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5pt;margin-top:8.6pt;width:375pt;height:17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" filled="f" stroked="f" strokeweight=".5pt">
                <v:textbox>
                  <w:txbxContent>
                    <w:p w14:paraId="4D9FE29C" w14:textId="24FB1551" w:rsidR="005B52B0" w:rsidRPr="00AA6F30" w:rsidRDefault="00DD1ECD" w:rsidP="00997BC5">
                      <w:pPr>
                        <w:spacing w:line="276" w:lineRule="auto"/>
                        <w:rPr>
                          <w:rFonts w:asciiTheme="majorHAnsi" w:hAnsiTheme="majorHAnsi" w:cs="Arial"/>
                          <w:b/>
                          <w:bCs/>
                          <w:color w:val="0D0D0D" w:themeColor="text1" w:themeTint="F2"/>
                          <w:sz w:val="36"/>
                          <w:szCs w:val="22"/>
                          <w:lang w:val="en-US"/>
                        </w:rPr>
                      </w:pPr>
                      <w:r w:rsidRPr="00AA6F30">
                        <w:rPr>
                          <w:rFonts w:asciiTheme="majorHAnsi" w:hAnsiTheme="majorHAnsi" w:cs="Arial"/>
                          <w:b/>
                          <w:bCs/>
                          <w:color w:val="0D0D0D" w:themeColor="text1" w:themeTint="F2"/>
                          <w:sz w:val="36"/>
                          <w:szCs w:val="22"/>
                          <w:lang w:val="en-US"/>
                        </w:rPr>
                        <w:t>REPORT</w:t>
                      </w:r>
                      <w:r w:rsidR="005B52B0" w:rsidRPr="00AA6F30">
                        <w:rPr>
                          <w:rFonts w:asciiTheme="majorHAnsi" w:hAnsiTheme="majorHAnsi" w:cs="Arial"/>
                          <w:b/>
                          <w:bCs/>
                          <w:color w:val="0D0D0D" w:themeColor="text1" w:themeTint="F2"/>
                          <w:sz w:val="36"/>
                          <w:szCs w:val="22"/>
                          <w:lang w:val="en-US"/>
                        </w:rPr>
                        <w:t xml:space="preserve"> </w:t>
                      </w:r>
                      <w:r w:rsidR="00477592" w:rsidRPr="00AA6F30">
                        <w:rPr>
                          <w:rFonts w:asciiTheme="majorHAnsi" w:hAnsiTheme="majorHAnsi" w:cs="Arial"/>
                          <w:b/>
                          <w:bCs/>
                          <w:color w:val="0D0D0D" w:themeColor="text1" w:themeTint="F2"/>
                          <w:sz w:val="36"/>
                          <w:szCs w:val="40"/>
                          <w:lang w:val="en-US"/>
                        </w:rPr>
                        <w:t>No.</w:t>
                      </w:r>
                      <w:r w:rsidR="007B05C4" w:rsidRPr="00AA6F30">
                        <w:rPr>
                          <w:rFonts w:asciiTheme="majorHAnsi" w:hAnsiTheme="majorHAnsi" w:cs="Arial"/>
                          <w:b/>
                          <w:bCs/>
                          <w:color w:val="0D0D0D" w:themeColor="text1" w:themeTint="F2"/>
                          <w:sz w:val="36"/>
                          <w:szCs w:val="22"/>
                          <w:lang w:val="en-US"/>
                        </w:rPr>
                        <w:t xml:space="preserve"> </w:t>
                      </w:r>
                      <w:r w:rsidR="00AE0BDB">
                        <w:rPr>
                          <w:rFonts w:asciiTheme="majorHAnsi" w:hAnsiTheme="majorHAnsi" w:cs="Arial"/>
                          <w:b/>
                          <w:bCs/>
                          <w:color w:val="0D0D0D" w:themeColor="text1" w:themeTint="F2"/>
                          <w:sz w:val="36"/>
                          <w:szCs w:val="22"/>
                          <w:lang w:val="es-ES_tradnl"/>
                        </w:rPr>
                        <w:t>185</w:t>
                      </w:r>
                      <w:r w:rsidR="007B05C4" w:rsidRPr="00AA6F30">
                        <w:rPr>
                          <w:rFonts w:asciiTheme="majorHAnsi" w:hAnsiTheme="majorHAnsi" w:cs="Arial"/>
                          <w:b/>
                          <w:bCs/>
                          <w:color w:val="0D0D0D" w:themeColor="text1" w:themeTint="F2"/>
                          <w:sz w:val="36"/>
                          <w:szCs w:val="22"/>
                          <w:lang w:val="en-US"/>
                        </w:rPr>
                        <w:t>/</w:t>
                      </w:r>
                      <w:r w:rsidR="00C23BA4" w:rsidRPr="00AA6F30">
                        <w:rPr>
                          <w:rFonts w:asciiTheme="majorHAnsi" w:hAnsiTheme="majorHAnsi" w:cs="Arial"/>
                          <w:b/>
                          <w:bCs/>
                          <w:color w:val="0D0D0D" w:themeColor="text1" w:themeTint="F2"/>
                          <w:sz w:val="36"/>
                          <w:szCs w:val="22"/>
                          <w:lang w:val="en-US"/>
                        </w:rPr>
                        <w:t>2</w:t>
                      </w:r>
                      <w:r w:rsidR="002955C7">
                        <w:rPr>
                          <w:rFonts w:asciiTheme="majorHAnsi" w:hAnsiTheme="majorHAnsi" w:cs="Arial"/>
                          <w:b/>
                          <w:bCs/>
                          <w:color w:val="0D0D0D" w:themeColor="text1" w:themeTint="F2"/>
                          <w:sz w:val="36"/>
                          <w:szCs w:val="22"/>
                          <w:lang w:val="en-US"/>
                        </w:rPr>
                        <w:t>3</w:t>
                      </w:r>
                    </w:p>
                    <w:p w14:paraId="09C54AB3" w14:textId="7B32840E" w:rsidR="007B05C4" w:rsidRPr="00AA6F30" w:rsidRDefault="005B52B0" w:rsidP="00997BC5">
                      <w:pPr>
                        <w:spacing w:line="276" w:lineRule="auto"/>
                        <w:rPr>
                          <w:rFonts w:asciiTheme="majorHAnsi" w:hAnsiTheme="majorHAnsi" w:cs="Arial"/>
                          <w:b/>
                          <w:color w:val="0D0D0D" w:themeColor="text1" w:themeTint="F2"/>
                          <w:sz w:val="36"/>
                          <w:szCs w:val="22"/>
                          <w:lang w:val="en-US"/>
                        </w:rPr>
                      </w:pPr>
                      <w:r w:rsidRPr="00AA6F30">
                        <w:rPr>
                          <w:rFonts w:asciiTheme="majorHAnsi" w:hAnsiTheme="majorHAnsi" w:cs="Arial"/>
                          <w:b/>
                          <w:color w:val="0D0D0D" w:themeColor="text1" w:themeTint="F2"/>
                          <w:sz w:val="36"/>
                          <w:szCs w:val="22"/>
                          <w:lang w:val="en-US"/>
                        </w:rPr>
                        <w:t>PETI</w:t>
                      </w:r>
                      <w:r w:rsidR="00DD1ECD" w:rsidRPr="00AA6F30">
                        <w:rPr>
                          <w:rFonts w:asciiTheme="majorHAnsi" w:hAnsiTheme="majorHAnsi" w:cs="Arial"/>
                          <w:b/>
                          <w:color w:val="0D0D0D" w:themeColor="text1" w:themeTint="F2"/>
                          <w:sz w:val="36"/>
                          <w:szCs w:val="22"/>
                          <w:lang w:val="en-US"/>
                        </w:rPr>
                        <w:t>TIO</w:t>
                      </w:r>
                      <w:r w:rsidRPr="00AA6F30">
                        <w:rPr>
                          <w:rFonts w:asciiTheme="majorHAnsi" w:hAnsiTheme="majorHAnsi" w:cs="Arial"/>
                          <w:b/>
                          <w:color w:val="0D0D0D" w:themeColor="text1" w:themeTint="F2"/>
                          <w:sz w:val="36"/>
                          <w:szCs w:val="22"/>
                          <w:lang w:val="en-US"/>
                        </w:rPr>
                        <w:t xml:space="preserve">N </w:t>
                      </w:r>
                      <w:r w:rsidR="006B6C04">
                        <w:rPr>
                          <w:rFonts w:asciiTheme="majorHAnsi" w:hAnsiTheme="majorHAnsi" w:cs="Arial"/>
                          <w:b/>
                          <w:color w:val="0D0D0D" w:themeColor="text1" w:themeTint="F2"/>
                          <w:sz w:val="36"/>
                          <w:szCs w:val="22"/>
                          <w:lang w:val="en-US"/>
                        </w:rPr>
                        <w:t>1533</w:t>
                      </w:r>
                      <w:r w:rsidR="002955C7">
                        <w:rPr>
                          <w:rFonts w:asciiTheme="majorHAnsi" w:hAnsiTheme="majorHAnsi" w:cs="Arial"/>
                          <w:b/>
                          <w:color w:val="0D0D0D" w:themeColor="text1" w:themeTint="F2"/>
                          <w:sz w:val="36"/>
                          <w:szCs w:val="22"/>
                          <w:lang w:val="en-US"/>
                        </w:rPr>
                        <w:t>-1</w:t>
                      </w:r>
                      <w:r w:rsidR="006B6C04">
                        <w:rPr>
                          <w:rFonts w:asciiTheme="majorHAnsi" w:hAnsiTheme="majorHAnsi" w:cs="Arial"/>
                          <w:b/>
                          <w:color w:val="0D0D0D" w:themeColor="text1" w:themeTint="F2"/>
                          <w:sz w:val="36"/>
                          <w:szCs w:val="22"/>
                          <w:lang w:val="en-US"/>
                        </w:rPr>
                        <w:t>7</w:t>
                      </w:r>
                      <w:r w:rsidR="00246D1F" w:rsidRPr="00AA6F30">
                        <w:rPr>
                          <w:rFonts w:asciiTheme="majorHAnsi" w:hAnsiTheme="majorHAnsi" w:cs="Arial"/>
                          <w:b/>
                          <w:color w:val="0D0D0D" w:themeColor="text1" w:themeTint="F2"/>
                          <w:sz w:val="36"/>
                          <w:szCs w:val="22"/>
                          <w:lang w:val="en-US"/>
                        </w:rPr>
                        <w:t xml:space="preserve"> </w:t>
                      </w:r>
                    </w:p>
                    <w:p w14:paraId="70CF6833" w14:textId="2D599939" w:rsidR="00CD046C" w:rsidRPr="006B6C04" w:rsidRDefault="00DD1ECD" w:rsidP="00997BC5">
                      <w:pPr>
                        <w:spacing w:line="276" w:lineRule="auto"/>
                        <w:rPr>
                          <w:rFonts w:asciiTheme="majorHAnsi" w:hAnsiTheme="majorHAnsi" w:cs="Arial"/>
                          <w:color w:val="0D0D0D" w:themeColor="text1" w:themeTint="F2"/>
                          <w:szCs w:val="22"/>
                          <w:lang w:val="en-US"/>
                        </w:rPr>
                      </w:pPr>
                      <w:r w:rsidRPr="006B6C04">
                        <w:rPr>
                          <w:rFonts w:asciiTheme="majorHAnsi" w:hAnsiTheme="majorHAnsi" w:cs="Arial"/>
                          <w:color w:val="0D0D0D" w:themeColor="text1" w:themeTint="F2"/>
                          <w:szCs w:val="22"/>
                          <w:lang w:val="en-US"/>
                        </w:rPr>
                        <w:t>REPORT ON ADMISSIBILITY</w:t>
                      </w:r>
                    </w:p>
                    <w:p w14:paraId="5FDD6F0D" w14:textId="77777777" w:rsidR="008F1912" w:rsidRDefault="008F1912" w:rsidP="00997BC5">
                      <w:pPr>
                        <w:spacing w:line="276" w:lineRule="auto"/>
                        <w:rPr>
                          <w:rFonts w:asciiTheme="majorHAnsi" w:hAnsiTheme="majorHAnsi" w:cs="Arial"/>
                          <w:color w:val="0D0D0D" w:themeColor="text1" w:themeTint="F2"/>
                          <w:szCs w:val="22"/>
                          <w:lang w:val="en-US"/>
                        </w:rPr>
                      </w:pPr>
                      <w:bookmarkStart w:id="1" w:name="_ftnref1"/>
                    </w:p>
                    <w:p w14:paraId="0504F8F1" w14:textId="294B75BB" w:rsidR="006B6C04" w:rsidRPr="00207AE2" w:rsidRDefault="00207AE2" w:rsidP="00997BC5">
                      <w:pPr>
                        <w:spacing w:line="276" w:lineRule="auto"/>
                        <w:rPr>
                          <w:rFonts w:asciiTheme="majorHAnsi" w:hAnsiTheme="majorHAnsi" w:cs="Arial"/>
                          <w:color w:val="0D0D0D" w:themeColor="text1" w:themeTint="F2"/>
                          <w:szCs w:val="22"/>
                          <w:lang w:val="en-US"/>
                        </w:rPr>
                      </w:pPr>
                      <w:r w:rsidRPr="00207AE2">
                        <w:rPr>
                          <w:rFonts w:asciiTheme="majorHAnsi" w:hAnsiTheme="majorHAnsi" w:cs="Arial"/>
                          <w:bCs/>
                          <w:color w:val="0D0D0D" w:themeColor="text1" w:themeTint="F2"/>
                          <w:szCs w:val="22"/>
                          <w:lang w:val="en-US"/>
                        </w:rPr>
                        <w:t>Q'EQCHI'S INDIGENOUS COMMUNITIES OF SANTA MARÍA</w:t>
                      </w:r>
                      <w:r w:rsidR="00AE0BDB">
                        <w:rPr>
                          <w:rFonts w:asciiTheme="majorHAnsi" w:hAnsiTheme="majorHAnsi" w:cs="Arial"/>
                          <w:bCs/>
                          <w:color w:val="0D0D0D" w:themeColor="text1" w:themeTint="F2"/>
                          <w:szCs w:val="22"/>
                          <w:lang w:val="en-US"/>
                        </w:rPr>
                        <w:t xml:space="preserve"> </w:t>
                      </w:r>
                      <w:r w:rsidRPr="00207AE2">
                        <w:rPr>
                          <w:rFonts w:asciiTheme="majorHAnsi" w:hAnsiTheme="majorHAnsi" w:cs="Arial"/>
                          <w:bCs/>
                          <w:color w:val="0D0D0D" w:themeColor="text1" w:themeTint="F2"/>
                          <w:szCs w:val="22"/>
                          <w:lang w:val="en-US"/>
                        </w:rPr>
                        <w:t>CAHABÓN</w:t>
                      </w:r>
                    </w:p>
                    <w:bookmarkEnd w:id="1"/>
                    <w:p w14:paraId="35068D0D" w14:textId="415A4BD7" w:rsidR="005B52B0" w:rsidRPr="0010736F" w:rsidRDefault="006B6C0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w10:wrap anchorx="margin"/>
              </v:shape>
            </w:pict>
          </mc:Fallback>
        </mc:AlternateContent>
      </w:r>
      <w:r w:rsidR="004E2649" w:rsidRPr="00404C3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02795E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404C3D">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X</w:t>
                            </w:r>
                          </w:p>
                          <w:p w14:paraId="6A41611B" w14:textId="117D347A" w:rsidR="00627C9F" w:rsidRPr="00AE0BDB" w:rsidRDefault="00627C9F" w:rsidP="007A5817">
                            <w:pPr>
                              <w:spacing w:line="276" w:lineRule="auto"/>
                              <w:jc w:val="right"/>
                              <w:rPr>
                                <w:rFonts w:asciiTheme="minorHAnsi" w:hAnsiTheme="minorHAnsi"/>
                                <w:color w:val="FFFFFF" w:themeColor="background1"/>
                                <w:sz w:val="22"/>
                                <w:lang w:val="pt-BR"/>
                              </w:rPr>
                            </w:pPr>
                            <w:r w:rsidRPr="00AE0BDB">
                              <w:rPr>
                                <w:rFonts w:asciiTheme="minorHAnsi" w:hAnsiTheme="minorHAnsi"/>
                                <w:color w:val="FFFFFF" w:themeColor="background1"/>
                                <w:sz w:val="22"/>
                                <w:lang w:val="pt-BR"/>
                              </w:rPr>
                              <w:t xml:space="preserve">Doc. </w:t>
                            </w:r>
                            <w:r w:rsidR="00AE0BDB" w:rsidRPr="00AE0BDB">
                              <w:rPr>
                                <w:rFonts w:asciiTheme="minorHAnsi" w:hAnsiTheme="minorHAnsi"/>
                                <w:color w:val="FFFFFF" w:themeColor="background1"/>
                                <w:sz w:val="22"/>
                                <w:lang w:val="pt-BR"/>
                              </w:rPr>
                              <w:t>202</w:t>
                            </w:r>
                          </w:p>
                          <w:p w14:paraId="69373ED2" w14:textId="20348ADD" w:rsidR="00627C9F" w:rsidRPr="00AE0BDB" w:rsidRDefault="00AE0BDB" w:rsidP="007A5817">
                            <w:pPr>
                              <w:spacing w:line="276" w:lineRule="auto"/>
                              <w:jc w:val="right"/>
                              <w:rPr>
                                <w:rFonts w:asciiTheme="minorHAnsi" w:hAnsiTheme="minorHAnsi"/>
                                <w:color w:val="FFFFFF" w:themeColor="background1"/>
                                <w:sz w:val="22"/>
                                <w:lang w:val="en-US"/>
                              </w:rPr>
                            </w:pPr>
                            <w:r w:rsidRPr="00AE0BDB">
                              <w:rPr>
                                <w:rFonts w:asciiTheme="minorHAnsi" w:hAnsiTheme="minorHAnsi"/>
                                <w:color w:val="FFFFFF" w:themeColor="background1"/>
                                <w:sz w:val="22"/>
                                <w:lang w:val="en-US"/>
                              </w:rPr>
                              <w:t>27</w:t>
                            </w:r>
                            <w:r w:rsidR="00DD1ECD" w:rsidRPr="00AE0BDB">
                              <w:rPr>
                                <w:rFonts w:asciiTheme="minorHAnsi" w:hAnsiTheme="minorHAnsi"/>
                                <w:color w:val="FFFFFF" w:themeColor="background1"/>
                                <w:sz w:val="22"/>
                                <w:lang w:val="en-US"/>
                              </w:rPr>
                              <w:t xml:space="preserve"> </w:t>
                            </w:r>
                            <w:r w:rsidRPr="00AE0BDB">
                              <w:rPr>
                                <w:rFonts w:asciiTheme="minorHAnsi" w:hAnsiTheme="minorHAnsi"/>
                                <w:color w:val="FFFFFF" w:themeColor="background1"/>
                                <w:sz w:val="22"/>
                                <w:lang w:val="en-US"/>
                              </w:rPr>
                              <w:t>September</w:t>
                            </w:r>
                            <w:r w:rsidR="007B05C4" w:rsidRPr="00AE0BDB">
                              <w:rPr>
                                <w:rFonts w:asciiTheme="minorHAnsi" w:hAnsiTheme="minorHAnsi"/>
                                <w:color w:val="FFFFFF" w:themeColor="background1"/>
                                <w:sz w:val="22"/>
                                <w:lang w:val="en-US"/>
                              </w:rPr>
                              <w:t xml:space="preserve"> </w:t>
                            </w:r>
                            <w:r w:rsidR="00627C9F" w:rsidRPr="00AE0BDB">
                              <w:rPr>
                                <w:rFonts w:asciiTheme="minorHAnsi" w:hAnsiTheme="minorHAnsi"/>
                                <w:color w:val="FFFFFF" w:themeColor="background1"/>
                                <w:sz w:val="22"/>
                                <w:lang w:val="en-US"/>
                              </w:rPr>
                              <w:t>20</w:t>
                            </w:r>
                            <w:r w:rsidR="00C23BA4" w:rsidRPr="00AE0BDB">
                              <w:rPr>
                                <w:rFonts w:asciiTheme="minorHAnsi" w:hAnsiTheme="minorHAnsi"/>
                                <w:color w:val="FFFFFF" w:themeColor="background1"/>
                                <w:sz w:val="22"/>
                                <w:lang w:val="en-US"/>
                              </w:rPr>
                              <w:t>2</w:t>
                            </w:r>
                            <w:r w:rsidR="002955C7" w:rsidRPr="00AE0BDB">
                              <w:rPr>
                                <w:rFonts w:asciiTheme="minorHAnsi" w:hAnsiTheme="minorHAnsi"/>
                                <w:color w:val="FFFFFF" w:themeColor="background1"/>
                                <w:sz w:val="22"/>
                                <w:lang w:val="en-US"/>
                              </w:rPr>
                              <w:t>3</w:t>
                            </w:r>
                          </w:p>
                          <w:p w14:paraId="0771DB5B" w14:textId="0BD13012"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DD1ECD">
                              <w:rPr>
                                <w:rFonts w:asciiTheme="minorHAnsi" w:hAnsiTheme="minorHAnsi"/>
                                <w:color w:val="FFFFFF" w:themeColor="background1"/>
                                <w:sz w:val="22"/>
                                <w:lang w:val="es-PA"/>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02795E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404C3D">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X</w:t>
                      </w:r>
                    </w:p>
                    <w:p w14:paraId="6A41611B" w14:textId="117D347A" w:rsidR="00627C9F" w:rsidRPr="00AE0BDB" w:rsidRDefault="00627C9F" w:rsidP="007A5817">
                      <w:pPr>
                        <w:spacing w:line="276" w:lineRule="auto"/>
                        <w:jc w:val="right"/>
                        <w:rPr>
                          <w:rFonts w:asciiTheme="minorHAnsi" w:hAnsiTheme="minorHAnsi"/>
                          <w:color w:val="FFFFFF" w:themeColor="background1"/>
                          <w:sz w:val="22"/>
                          <w:lang w:val="pt-BR"/>
                        </w:rPr>
                      </w:pPr>
                      <w:r w:rsidRPr="00AE0BDB">
                        <w:rPr>
                          <w:rFonts w:asciiTheme="minorHAnsi" w:hAnsiTheme="minorHAnsi"/>
                          <w:color w:val="FFFFFF" w:themeColor="background1"/>
                          <w:sz w:val="22"/>
                          <w:lang w:val="pt-BR"/>
                        </w:rPr>
                        <w:t xml:space="preserve">Doc. </w:t>
                      </w:r>
                      <w:r w:rsidR="00AE0BDB" w:rsidRPr="00AE0BDB">
                        <w:rPr>
                          <w:rFonts w:asciiTheme="minorHAnsi" w:hAnsiTheme="minorHAnsi"/>
                          <w:color w:val="FFFFFF" w:themeColor="background1"/>
                          <w:sz w:val="22"/>
                          <w:lang w:val="pt-BR"/>
                        </w:rPr>
                        <w:t>202</w:t>
                      </w:r>
                    </w:p>
                    <w:p w14:paraId="69373ED2" w14:textId="20348ADD" w:rsidR="00627C9F" w:rsidRPr="00AE0BDB" w:rsidRDefault="00AE0BDB" w:rsidP="007A5817">
                      <w:pPr>
                        <w:spacing w:line="276" w:lineRule="auto"/>
                        <w:jc w:val="right"/>
                        <w:rPr>
                          <w:rFonts w:asciiTheme="minorHAnsi" w:hAnsiTheme="minorHAnsi"/>
                          <w:color w:val="FFFFFF" w:themeColor="background1"/>
                          <w:sz w:val="22"/>
                          <w:lang w:val="en-US"/>
                        </w:rPr>
                      </w:pPr>
                      <w:r w:rsidRPr="00AE0BDB">
                        <w:rPr>
                          <w:rFonts w:asciiTheme="minorHAnsi" w:hAnsiTheme="minorHAnsi"/>
                          <w:color w:val="FFFFFF" w:themeColor="background1"/>
                          <w:sz w:val="22"/>
                          <w:lang w:val="en-US"/>
                        </w:rPr>
                        <w:t>27</w:t>
                      </w:r>
                      <w:r w:rsidR="00DD1ECD" w:rsidRPr="00AE0BDB">
                        <w:rPr>
                          <w:rFonts w:asciiTheme="minorHAnsi" w:hAnsiTheme="minorHAnsi"/>
                          <w:color w:val="FFFFFF" w:themeColor="background1"/>
                          <w:sz w:val="22"/>
                          <w:lang w:val="en-US"/>
                        </w:rPr>
                        <w:t xml:space="preserve"> </w:t>
                      </w:r>
                      <w:r w:rsidRPr="00AE0BDB">
                        <w:rPr>
                          <w:rFonts w:asciiTheme="minorHAnsi" w:hAnsiTheme="minorHAnsi"/>
                          <w:color w:val="FFFFFF" w:themeColor="background1"/>
                          <w:sz w:val="22"/>
                          <w:lang w:val="en-US"/>
                        </w:rPr>
                        <w:t>September</w:t>
                      </w:r>
                      <w:r w:rsidR="007B05C4" w:rsidRPr="00AE0BDB">
                        <w:rPr>
                          <w:rFonts w:asciiTheme="minorHAnsi" w:hAnsiTheme="minorHAnsi"/>
                          <w:color w:val="FFFFFF" w:themeColor="background1"/>
                          <w:sz w:val="22"/>
                          <w:lang w:val="en-US"/>
                        </w:rPr>
                        <w:t xml:space="preserve"> </w:t>
                      </w:r>
                      <w:r w:rsidR="00627C9F" w:rsidRPr="00AE0BDB">
                        <w:rPr>
                          <w:rFonts w:asciiTheme="minorHAnsi" w:hAnsiTheme="minorHAnsi"/>
                          <w:color w:val="FFFFFF" w:themeColor="background1"/>
                          <w:sz w:val="22"/>
                          <w:lang w:val="en-US"/>
                        </w:rPr>
                        <w:t>20</w:t>
                      </w:r>
                      <w:r w:rsidR="00C23BA4" w:rsidRPr="00AE0BDB">
                        <w:rPr>
                          <w:rFonts w:asciiTheme="minorHAnsi" w:hAnsiTheme="minorHAnsi"/>
                          <w:color w:val="FFFFFF" w:themeColor="background1"/>
                          <w:sz w:val="22"/>
                          <w:lang w:val="en-US"/>
                        </w:rPr>
                        <w:t>2</w:t>
                      </w:r>
                      <w:r w:rsidR="002955C7" w:rsidRPr="00AE0BDB">
                        <w:rPr>
                          <w:rFonts w:asciiTheme="minorHAnsi" w:hAnsiTheme="minorHAnsi"/>
                          <w:color w:val="FFFFFF" w:themeColor="background1"/>
                          <w:sz w:val="22"/>
                          <w:lang w:val="en-US"/>
                        </w:rPr>
                        <w:t>3</w:t>
                      </w:r>
                    </w:p>
                    <w:p w14:paraId="0771DB5B" w14:textId="0BD13012"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DD1ECD">
                        <w:rPr>
                          <w:rFonts w:asciiTheme="minorHAnsi" w:hAnsiTheme="minorHAnsi"/>
                          <w:color w:val="FFFFFF" w:themeColor="background1"/>
                          <w:sz w:val="22"/>
                          <w:lang w:val="es-PA"/>
                        </w:rPr>
                        <w:t>Spanish</w:t>
                      </w:r>
                    </w:p>
                  </w:txbxContent>
                </v:textbox>
              </v:shape>
            </w:pict>
          </mc:Fallback>
        </mc:AlternateContent>
      </w:r>
    </w:p>
    <w:p w14:paraId="155B0536" w14:textId="77777777" w:rsidR="00040C3A" w:rsidRPr="00404C3D" w:rsidRDefault="00040C3A" w:rsidP="00040C3A">
      <w:pPr>
        <w:tabs>
          <w:tab w:val="center" w:pos="5400"/>
        </w:tabs>
        <w:suppressAutoHyphens/>
        <w:jc w:val="center"/>
        <w:rPr>
          <w:rFonts w:asciiTheme="majorHAnsi" w:hAnsiTheme="majorHAnsi"/>
          <w:sz w:val="22"/>
          <w:szCs w:val="22"/>
        </w:rPr>
      </w:pPr>
    </w:p>
    <w:p w14:paraId="5FE3AB87" w14:textId="77777777" w:rsidR="00040C3A" w:rsidRPr="00404C3D" w:rsidRDefault="00040C3A" w:rsidP="00040C3A">
      <w:pPr>
        <w:tabs>
          <w:tab w:val="center" w:pos="5400"/>
        </w:tabs>
        <w:suppressAutoHyphens/>
        <w:jc w:val="center"/>
        <w:rPr>
          <w:rFonts w:asciiTheme="majorHAnsi" w:hAnsiTheme="majorHAnsi"/>
          <w:sz w:val="22"/>
          <w:szCs w:val="22"/>
        </w:rPr>
      </w:pPr>
    </w:p>
    <w:p w14:paraId="3C383BC0" w14:textId="77777777" w:rsidR="00040C3A" w:rsidRPr="00404C3D"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404C3D" w:rsidRDefault="00040C3A" w:rsidP="00040C3A">
      <w:pPr>
        <w:tabs>
          <w:tab w:val="center" w:pos="5400"/>
        </w:tabs>
        <w:suppressAutoHyphens/>
        <w:jc w:val="center"/>
        <w:rPr>
          <w:rFonts w:asciiTheme="majorHAnsi" w:hAnsiTheme="majorHAnsi"/>
          <w:sz w:val="22"/>
          <w:szCs w:val="22"/>
        </w:rPr>
      </w:pPr>
    </w:p>
    <w:p w14:paraId="76C291D6" w14:textId="77777777" w:rsidR="00040C3A" w:rsidRPr="00404C3D" w:rsidRDefault="00040C3A" w:rsidP="00040C3A">
      <w:pPr>
        <w:tabs>
          <w:tab w:val="center" w:pos="5400"/>
        </w:tabs>
        <w:suppressAutoHyphens/>
        <w:jc w:val="center"/>
        <w:rPr>
          <w:rFonts w:asciiTheme="majorHAnsi" w:hAnsiTheme="majorHAnsi"/>
          <w:sz w:val="22"/>
          <w:szCs w:val="22"/>
        </w:rPr>
      </w:pPr>
    </w:p>
    <w:p w14:paraId="2161B44F" w14:textId="77777777" w:rsidR="00040C3A" w:rsidRPr="00404C3D" w:rsidRDefault="00040C3A" w:rsidP="00040C3A">
      <w:pPr>
        <w:tabs>
          <w:tab w:val="center" w:pos="5400"/>
        </w:tabs>
        <w:suppressAutoHyphens/>
        <w:jc w:val="center"/>
        <w:rPr>
          <w:rFonts w:asciiTheme="majorHAnsi" w:hAnsiTheme="majorHAnsi"/>
          <w:sz w:val="22"/>
          <w:szCs w:val="22"/>
        </w:rPr>
      </w:pPr>
    </w:p>
    <w:p w14:paraId="3C4EEE07" w14:textId="77777777" w:rsidR="00040C3A" w:rsidRPr="00404C3D" w:rsidRDefault="00040C3A" w:rsidP="00040C3A">
      <w:pPr>
        <w:tabs>
          <w:tab w:val="center" w:pos="5400"/>
        </w:tabs>
        <w:suppressAutoHyphens/>
        <w:jc w:val="center"/>
        <w:rPr>
          <w:rFonts w:asciiTheme="majorHAnsi" w:hAnsiTheme="majorHAnsi"/>
          <w:sz w:val="22"/>
          <w:szCs w:val="22"/>
        </w:rPr>
      </w:pPr>
    </w:p>
    <w:p w14:paraId="3B0E4647" w14:textId="77777777" w:rsidR="005128E4" w:rsidRPr="00404C3D" w:rsidRDefault="005128E4" w:rsidP="00040C3A">
      <w:pPr>
        <w:tabs>
          <w:tab w:val="center" w:pos="5400"/>
        </w:tabs>
        <w:suppressAutoHyphens/>
        <w:jc w:val="center"/>
        <w:rPr>
          <w:rFonts w:asciiTheme="majorHAnsi" w:hAnsiTheme="majorHAnsi"/>
          <w:sz w:val="22"/>
          <w:szCs w:val="22"/>
        </w:rPr>
      </w:pPr>
    </w:p>
    <w:p w14:paraId="2DAAF36D" w14:textId="77777777" w:rsidR="00040C3A" w:rsidRPr="00404C3D" w:rsidRDefault="00040C3A" w:rsidP="00040C3A">
      <w:pPr>
        <w:tabs>
          <w:tab w:val="center" w:pos="5400"/>
        </w:tabs>
        <w:suppressAutoHyphens/>
        <w:jc w:val="center"/>
        <w:rPr>
          <w:rFonts w:asciiTheme="majorHAnsi" w:hAnsiTheme="majorHAnsi"/>
          <w:sz w:val="22"/>
          <w:szCs w:val="22"/>
        </w:rPr>
      </w:pPr>
    </w:p>
    <w:p w14:paraId="12496A14" w14:textId="77777777" w:rsidR="005128E4" w:rsidRPr="00404C3D" w:rsidRDefault="005128E4" w:rsidP="00040C3A">
      <w:pPr>
        <w:tabs>
          <w:tab w:val="center" w:pos="5400"/>
        </w:tabs>
        <w:suppressAutoHyphens/>
        <w:jc w:val="center"/>
        <w:rPr>
          <w:rFonts w:asciiTheme="majorHAnsi" w:hAnsiTheme="majorHAnsi"/>
          <w:sz w:val="22"/>
          <w:szCs w:val="22"/>
        </w:rPr>
      </w:pPr>
    </w:p>
    <w:p w14:paraId="25772DB3" w14:textId="77777777" w:rsidR="005128E4" w:rsidRPr="00404C3D" w:rsidRDefault="005128E4" w:rsidP="00040C3A">
      <w:pPr>
        <w:tabs>
          <w:tab w:val="center" w:pos="5400"/>
        </w:tabs>
        <w:suppressAutoHyphens/>
        <w:jc w:val="center"/>
        <w:rPr>
          <w:rFonts w:asciiTheme="majorHAnsi" w:hAnsiTheme="majorHAnsi"/>
          <w:sz w:val="22"/>
          <w:szCs w:val="22"/>
        </w:rPr>
      </w:pPr>
    </w:p>
    <w:p w14:paraId="6820FADA" w14:textId="77777777" w:rsidR="005128E4" w:rsidRPr="00404C3D" w:rsidRDefault="005128E4" w:rsidP="00040C3A">
      <w:pPr>
        <w:tabs>
          <w:tab w:val="center" w:pos="5400"/>
        </w:tabs>
        <w:suppressAutoHyphens/>
        <w:jc w:val="center"/>
        <w:rPr>
          <w:rFonts w:asciiTheme="majorHAnsi" w:hAnsiTheme="majorHAnsi"/>
          <w:sz w:val="22"/>
          <w:szCs w:val="22"/>
        </w:rPr>
      </w:pPr>
    </w:p>
    <w:p w14:paraId="54445A55" w14:textId="77777777" w:rsidR="00040C3A" w:rsidRPr="00404C3D" w:rsidRDefault="00040C3A" w:rsidP="00040C3A">
      <w:pPr>
        <w:tabs>
          <w:tab w:val="center" w:pos="5400"/>
        </w:tabs>
        <w:suppressAutoHyphens/>
        <w:jc w:val="center"/>
        <w:rPr>
          <w:rFonts w:asciiTheme="majorHAnsi" w:hAnsiTheme="majorHAnsi"/>
          <w:sz w:val="22"/>
          <w:szCs w:val="22"/>
        </w:rPr>
      </w:pPr>
    </w:p>
    <w:p w14:paraId="5D4A4040" w14:textId="77777777" w:rsidR="00040C3A" w:rsidRPr="00404C3D" w:rsidRDefault="00040C3A" w:rsidP="00040C3A">
      <w:pPr>
        <w:tabs>
          <w:tab w:val="center" w:pos="5400"/>
        </w:tabs>
        <w:suppressAutoHyphens/>
        <w:jc w:val="center"/>
        <w:rPr>
          <w:rFonts w:asciiTheme="majorHAnsi" w:hAnsiTheme="majorHAnsi"/>
          <w:sz w:val="22"/>
          <w:szCs w:val="22"/>
        </w:rPr>
      </w:pPr>
    </w:p>
    <w:p w14:paraId="048FBB22" w14:textId="77777777" w:rsidR="00A50FCF" w:rsidRPr="00404C3D" w:rsidRDefault="00A50FCF" w:rsidP="00040C3A">
      <w:pPr>
        <w:tabs>
          <w:tab w:val="center" w:pos="5400"/>
        </w:tabs>
        <w:suppressAutoHyphens/>
        <w:jc w:val="center"/>
        <w:rPr>
          <w:rFonts w:asciiTheme="majorHAnsi" w:hAnsiTheme="majorHAnsi"/>
          <w:sz w:val="18"/>
          <w:szCs w:val="22"/>
        </w:rPr>
      </w:pPr>
    </w:p>
    <w:p w14:paraId="190ABFB3" w14:textId="77777777" w:rsidR="00A50FCF" w:rsidRPr="00404C3D" w:rsidRDefault="00A50FCF" w:rsidP="00040C3A">
      <w:pPr>
        <w:tabs>
          <w:tab w:val="center" w:pos="5400"/>
        </w:tabs>
        <w:suppressAutoHyphens/>
        <w:jc w:val="center"/>
        <w:rPr>
          <w:rFonts w:asciiTheme="majorHAnsi" w:hAnsiTheme="majorHAnsi"/>
          <w:sz w:val="18"/>
          <w:szCs w:val="22"/>
        </w:rPr>
      </w:pPr>
    </w:p>
    <w:p w14:paraId="4C690048" w14:textId="77777777" w:rsidR="00A50FCF" w:rsidRPr="00404C3D" w:rsidRDefault="00A50FCF" w:rsidP="00040C3A">
      <w:pPr>
        <w:tabs>
          <w:tab w:val="center" w:pos="5400"/>
        </w:tabs>
        <w:suppressAutoHyphens/>
        <w:jc w:val="center"/>
        <w:rPr>
          <w:rFonts w:asciiTheme="majorHAnsi" w:hAnsiTheme="majorHAnsi"/>
          <w:sz w:val="18"/>
          <w:szCs w:val="22"/>
        </w:rPr>
      </w:pPr>
    </w:p>
    <w:p w14:paraId="733CA438" w14:textId="77777777" w:rsidR="00A50FCF" w:rsidRPr="00404C3D" w:rsidRDefault="00A50FCF" w:rsidP="00040C3A">
      <w:pPr>
        <w:tabs>
          <w:tab w:val="center" w:pos="5400"/>
        </w:tabs>
        <w:suppressAutoHyphens/>
        <w:jc w:val="center"/>
        <w:rPr>
          <w:rFonts w:asciiTheme="majorHAnsi" w:hAnsiTheme="majorHAnsi"/>
          <w:sz w:val="18"/>
          <w:szCs w:val="22"/>
        </w:rPr>
      </w:pPr>
    </w:p>
    <w:p w14:paraId="7874DEEB" w14:textId="77777777" w:rsidR="00A50FCF" w:rsidRPr="00404C3D" w:rsidRDefault="00A50FCF" w:rsidP="00040C3A">
      <w:pPr>
        <w:tabs>
          <w:tab w:val="center" w:pos="5400"/>
        </w:tabs>
        <w:suppressAutoHyphens/>
        <w:jc w:val="center"/>
        <w:rPr>
          <w:rFonts w:asciiTheme="majorHAnsi" w:hAnsiTheme="majorHAnsi"/>
          <w:sz w:val="18"/>
          <w:szCs w:val="22"/>
        </w:rPr>
      </w:pPr>
    </w:p>
    <w:p w14:paraId="3698D0D6" w14:textId="77777777" w:rsidR="00A50FCF" w:rsidRPr="00404C3D" w:rsidRDefault="00A50FCF" w:rsidP="00040C3A">
      <w:pPr>
        <w:tabs>
          <w:tab w:val="center" w:pos="5400"/>
        </w:tabs>
        <w:suppressAutoHyphens/>
        <w:jc w:val="center"/>
        <w:rPr>
          <w:rFonts w:asciiTheme="majorHAnsi" w:hAnsiTheme="majorHAnsi"/>
          <w:sz w:val="18"/>
          <w:szCs w:val="22"/>
        </w:rPr>
      </w:pPr>
    </w:p>
    <w:p w14:paraId="1F907823" w14:textId="77777777" w:rsidR="00A50FCF" w:rsidRPr="00404C3D" w:rsidRDefault="00A50FCF" w:rsidP="00040C3A">
      <w:pPr>
        <w:tabs>
          <w:tab w:val="center" w:pos="5400"/>
        </w:tabs>
        <w:suppressAutoHyphens/>
        <w:jc w:val="center"/>
        <w:rPr>
          <w:rFonts w:asciiTheme="majorHAnsi" w:hAnsiTheme="majorHAnsi"/>
          <w:sz w:val="18"/>
          <w:szCs w:val="22"/>
        </w:rPr>
      </w:pPr>
    </w:p>
    <w:p w14:paraId="045D9AC1" w14:textId="77777777" w:rsidR="00A50FCF" w:rsidRPr="00404C3D" w:rsidRDefault="00A50FCF" w:rsidP="00040C3A">
      <w:pPr>
        <w:tabs>
          <w:tab w:val="center" w:pos="5400"/>
        </w:tabs>
        <w:suppressAutoHyphens/>
        <w:jc w:val="center"/>
        <w:rPr>
          <w:rFonts w:asciiTheme="majorHAnsi" w:hAnsiTheme="majorHAnsi"/>
          <w:sz w:val="18"/>
          <w:szCs w:val="22"/>
        </w:rPr>
      </w:pPr>
    </w:p>
    <w:p w14:paraId="16068EE5" w14:textId="77777777" w:rsidR="00A50FCF" w:rsidRPr="00404C3D" w:rsidRDefault="00A50FCF" w:rsidP="00040C3A">
      <w:pPr>
        <w:tabs>
          <w:tab w:val="center" w:pos="5400"/>
        </w:tabs>
        <w:suppressAutoHyphens/>
        <w:jc w:val="center"/>
        <w:rPr>
          <w:rFonts w:asciiTheme="majorHAnsi" w:hAnsiTheme="majorHAnsi"/>
          <w:sz w:val="18"/>
          <w:szCs w:val="22"/>
        </w:rPr>
      </w:pPr>
    </w:p>
    <w:p w14:paraId="14A4A430" w14:textId="70ABF445" w:rsidR="00A50FCF" w:rsidRPr="00404C3D" w:rsidRDefault="00894FEF" w:rsidP="00040C3A">
      <w:pPr>
        <w:tabs>
          <w:tab w:val="center" w:pos="5400"/>
        </w:tabs>
        <w:suppressAutoHyphens/>
        <w:jc w:val="center"/>
        <w:rPr>
          <w:rFonts w:asciiTheme="majorHAnsi" w:hAnsiTheme="majorHAnsi"/>
          <w:sz w:val="18"/>
          <w:szCs w:val="22"/>
        </w:rPr>
      </w:pPr>
      <w:r w:rsidRPr="00404C3D">
        <w:rPr>
          <w:rFonts w:asciiTheme="majorHAnsi" w:hAnsiTheme="majorHAnsi"/>
          <w:sz w:val="18"/>
          <w:szCs w:val="22"/>
        </w:rPr>
        <w:t xml:space="preserve"> </w:t>
      </w:r>
    </w:p>
    <w:p w14:paraId="0B3B735F" w14:textId="77777777" w:rsidR="00A50FCF" w:rsidRPr="00404C3D" w:rsidRDefault="00A50FCF" w:rsidP="00040C3A">
      <w:pPr>
        <w:tabs>
          <w:tab w:val="center" w:pos="5400"/>
        </w:tabs>
        <w:suppressAutoHyphens/>
        <w:jc w:val="center"/>
        <w:rPr>
          <w:rFonts w:asciiTheme="majorHAnsi" w:hAnsiTheme="majorHAnsi"/>
          <w:sz w:val="18"/>
          <w:szCs w:val="22"/>
        </w:rPr>
      </w:pPr>
    </w:p>
    <w:p w14:paraId="02C5C441" w14:textId="77777777" w:rsidR="00A50FCF" w:rsidRPr="00404C3D" w:rsidRDefault="00A50FCF" w:rsidP="00040C3A">
      <w:pPr>
        <w:tabs>
          <w:tab w:val="center" w:pos="5400"/>
        </w:tabs>
        <w:suppressAutoHyphens/>
        <w:jc w:val="center"/>
        <w:rPr>
          <w:rFonts w:asciiTheme="majorHAnsi" w:hAnsiTheme="majorHAnsi"/>
          <w:sz w:val="18"/>
          <w:szCs w:val="22"/>
        </w:rPr>
      </w:pPr>
    </w:p>
    <w:p w14:paraId="7806A2B0" w14:textId="77777777" w:rsidR="00A50FCF" w:rsidRPr="00404C3D" w:rsidRDefault="00A50FCF" w:rsidP="00040C3A">
      <w:pPr>
        <w:tabs>
          <w:tab w:val="center" w:pos="5400"/>
        </w:tabs>
        <w:suppressAutoHyphens/>
        <w:jc w:val="center"/>
        <w:rPr>
          <w:rFonts w:asciiTheme="majorHAnsi" w:hAnsiTheme="majorHAnsi"/>
          <w:sz w:val="18"/>
          <w:szCs w:val="22"/>
        </w:rPr>
      </w:pPr>
    </w:p>
    <w:p w14:paraId="319C392B" w14:textId="77777777" w:rsidR="00A50FCF" w:rsidRPr="00404C3D" w:rsidRDefault="00A50FCF" w:rsidP="00040C3A">
      <w:pPr>
        <w:tabs>
          <w:tab w:val="center" w:pos="5400"/>
        </w:tabs>
        <w:suppressAutoHyphens/>
        <w:jc w:val="center"/>
        <w:rPr>
          <w:rFonts w:asciiTheme="majorHAnsi" w:hAnsiTheme="majorHAnsi"/>
          <w:sz w:val="18"/>
          <w:szCs w:val="22"/>
        </w:rPr>
      </w:pPr>
    </w:p>
    <w:p w14:paraId="514A0182" w14:textId="77777777" w:rsidR="00A50FCF" w:rsidRPr="00404C3D" w:rsidRDefault="0090270B" w:rsidP="00040C3A">
      <w:pPr>
        <w:tabs>
          <w:tab w:val="center" w:pos="5400"/>
        </w:tabs>
        <w:suppressAutoHyphens/>
        <w:jc w:val="center"/>
        <w:rPr>
          <w:rFonts w:asciiTheme="majorHAnsi" w:hAnsiTheme="majorHAnsi"/>
          <w:sz w:val="18"/>
          <w:szCs w:val="22"/>
        </w:rPr>
      </w:pPr>
      <w:r w:rsidRPr="00404C3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4AF792F" w:rsidR="00DD3D86" w:rsidRPr="00AA6F30" w:rsidRDefault="00DD1ECD" w:rsidP="00DD3D86">
                            <w:pPr>
                              <w:tabs>
                                <w:tab w:val="center" w:pos="5400"/>
                              </w:tabs>
                              <w:suppressAutoHyphens/>
                              <w:spacing w:before="60"/>
                              <w:rPr>
                                <w:rFonts w:asciiTheme="majorHAnsi" w:hAnsiTheme="majorHAnsi"/>
                                <w:color w:val="0D0D0D" w:themeColor="text1" w:themeTint="F2"/>
                                <w:sz w:val="18"/>
                                <w:szCs w:val="22"/>
                                <w:lang w:val="en-US"/>
                              </w:rPr>
                            </w:pPr>
                            <w:r w:rsidRPr="00AA6F30">
                              <w:rPr>
                                <w:rFonts w:asciiTheme="majorHAnsi" w:hAnsiTheme="majorHAnsi"/>
                                <w:color w:val="0D0D0D" w:themeColor="text1" w:themeTint="F2"/>
                                <w:sz w:val="18"/>
                                <w:szCs w:val="22"/>
                                <w:lang w:val="en-US"/>
                              </w:rPr>
                              <w:t xml:space="preserve">Electronically approved by the Commission on </w:t>
                            </w:r>
                            <w:r w:rsidR="00AE0BDB" w:rsidRPr="00AE0BDB">
                              <w:rPr>
                                <w:rFonts w:asciiTheme="majorHAnsi" w:hAnsiTheme="majorHAnsi"/>
                                <w:color w:val="0D0D0D" w:themeColor="text1" w:themeTint="F2"/>
                                <w:sz w:val="18"/>
                                <w:szCs w:val="22"/>
                                <w:lang w:val="en-US"/>
                              </w:rPr>
                              <w:t>September</w:t>
                            </w:r>
                            <w:r w:rsidRPr="00AA6F30">
                              <w:rPr>
                                <w:rFonts w:asciiTheme="majorHAnsi" w:hAnsiTheme="majorHAnsi"/>
                                <w:color w:val="0D0D0D" w:themeColor="text1" w:themeTint="F2"/>
                                <w:sz w:val="18"/>
                                <w:szCs w:val="22"/>
                                <w:lang w:val="en-US"/>
                              </w:rPr>
                              <w:t xml:space="preserve"> </w:t>
                            </w:r>
                            <w:r w:rsidR="00AE0BDB" w:rsidRPr="00AE0BDB">
                              <w:rPr>
                                <w:rFonts w:asciiTheme="majorHAnsi" w:hAnsiTheme="majorHAnsi"/>
                                <w:color w:val="0D0D0D" w:themeColor="text1" w:themeTint="F2"/>
                                <w:sz w:val="18"/>
                                <w:szCs w:val="22"/>
                                <w:lang w:val="en-US"/>
                              </w:rPr>
                              <w:t>27</w:t>
                            </w:r>
                            <w:r w:rsidR="00AE0BDB">
                              <w:rPr>
                                <w:rFonts w:asciiTheme="majorHAnsi" w:hAnsiTheme="majorHAnsi"/>
                                <w:color w:val="0D0D0D" w:themeColor="text1" w:themeTint="F2"/>
                                <w:sz w:val="18"/>
                                <w:szCs w:val="22"/>
                                <w:lang w:val="en-US"/>
                              </w:rPr>
                              <w:t xml:space="preserve">, </w:t>
                            </w:r>
                            <w:r w:rsidRPr="00AA6F30">
                              <w:rPr>
                                <w:rFonts w:asciiTheme="majorHAnsi" w:hAnsiTheme="majorHAnsi"/>
                                <w:color w:val="0D0D0D" w:themeColor="text1" w:themeTint="F2"/>
                                <w:sz w:val="18"/>
                                <w:szCs w:val="22"/>
                                <w:lang w:val="en-US"/>
                              </w:rPr>
                              <w:t>202</w:t>
                            </w:r>
                            <w:r w:rsidR="002955C7">
                              <w:rPr>
                                <w:rFonts w:asciiTheme="majorHAnsi" w:hAnsiTheme="majorHAnsi"/>
                                <w:color w:val="0D0D0D" w:themeColor="text1" w:themeTint="F2"/>
                                <w:sz w:val="18"/>
                                <w:szCs w:val="22"/>
                                <w:lang w:val="en-US"/>
                              </w:rPr>
                              <w:t>3</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4AF792F" w:rsidR="00DD3D86" w:rsidRPr="00AA6F30" w:rsidRDefault="00DD1ECD" w:rsidP="00DD3D86">
                      <w:pPr>
                        <w:tabs>
                          <w:tab w:val="center" w:pos="5400"/>
                        </w:tabs>
                        <w:suppressAutoHyphens/>
                        <w:spacing w:before="60"/>
                        <w:rPr>
                          <w:rFonts w:asciiTheme="majorHAnsi" w:hAnsiTheme="majorHAnsi"/>
                          <w:color w:val="0D0D0D" w:themeColor="text1" w:themeTint="F2"/>
                          <w:sz w:val="18"/>
                          <w:szCs w:val="22"/>
                          <w:lang w:val="en-US"/>
                        </w:rPr>
                      </w:pPr>
                      <w:r w:rsidRPr="00AA6F30">
                        <w:rPr>
                          <w:rFonts w:asciiTheme="majorHAnsi" w:hAnsiTheme="majorHAnsi"/>
                          <w:color w:val="0D0D0D" w:themeColor="text1" w:themeTint="F2"/>
                          <w:sz w:val="18"/>
                          <w:szCs w:val="22"/>
                          <w:lang w:val="en-US"/>
                        </w:rPr>
                        <w:t xml:space="preserve">Electronically approved by the Commission on </w:t>
                      </w:r>
                      <w:r w:rsidR="00AE0BDB" w:rsidRPr="00AE0BDB">
                        <w:rPr>
                          <w:rFonts w:asciiTheme="majorHAnsi" w:hAnsiTheme="majorHAnsi"/>
                          <w:color w:val="0D0D0D" w:themeColor="text1" w:themeTint="F2"/>
                          <w:sz w:val="18"/>
                          <w:szCs w:val="22"/>
                          <w:lang w:val="en-US"/>
                        </w:rPr>
                        <w:t>September</w:t>
                      </w:r>
                      <w:r w:rsidRPr="00AA6F30">
                        <w:rPr>
                          <w:rFonts w:asciiTheme="majorHAnsi" w:hAnsiTheme="majorHAnsi"/>
                          <w:color w:val="0D0D0D" w:themeColor="text1" w:themeTint="F2"/>
                          <w:sz w:val="18"/>
                          <w:szCs w:val="22"/>
                          <w:lang w:val="en-US"/>
                        </w:rPr>
                        <w:t xml:space="preserve"> </w:t>
                      </w:r>
                      <w:r w:rsidR="00AE0BDB" w:rsidRPr="00AE0BDB">
                        <w:rPr>
                          <w:rFonts w:asciiTheme="majorHAnsi" w:hAnsiTheme="majorHAnsi"/>
                          <w:color w:val="0D0D0D" w:themeColor="text1" w:themeTint="F2"/>
                          <w:sz w:val="18"/>
                          <w:szCs w:val="22"/>
                          <w:lang w:val="en-US"/>
                        </w:rPr>
                        <w:t>27</w:t>
                      </w:r>
                      <w:r w:rsidR="00AE0BDB">
                        <w:rPr>
                          <w:rFonts w:asciiTheme="majorHAnsi" w:hAnsiTheme="majorHAnsi"/>
                          <w:color w:val="0D0D0D" w:themeColor="text1" w:themeTint="F2"/>
                          <w:sz w:val="18"/>
                          <w:szCs w:val="22"/>
                          <w:lang w:val="en-US"/>
                        </w:rPr>
                        <w:t xml:space="preserve">, </w:t>
                      </w:r>
                      <w:r w:rsidRPr="00AA6F30">
                        <w:rPr>
                          <w:rFonts w:asciiTheme="majorHAnsi" w:hAnsiTheme="majorHAnsi"/>
                          <w:color w:val="0D0D0D" w:themeColor="text1" w:themeTint="F2"/>
                          <w:sz w:val="18"/>
                          <w:szCs w:val="22"/>
                          <w:lang w:val="en-US"/>
                        </w:rPr>
                        <w:t>202</w:t>
                      </w:r>
                      <w:r w:rsidR="002955C7">
                        <w:rPr>
                          <w:rFonts w:asciiTheme="majorHAnsi" w:hAnsiTheme="majorHAnsi"/>
                          <w:color w:val="0D0D0D" w:themeColor="text1" w:themeTint="F2"/>
                          <w:sz w:val="18"/>
                          <w:szCs w:val="22"/>
                          <w:lang w:val="en-US"/>
                        </w:rPr>
                        <w:t>3</w:t>
                      </w:r>
                    </w:p>
                    <w:p w14:paraId="4BDF3581" w14:textId="77777777" w:rsidR="00DD3D86" w:rsidRPr="00AA6F30" w:rsidRDefault="00DD3D86" w:rsidP="00247403">
                      <w:pPr>
                        <w:tabs>
                          <w:tab w:val="center" w:pos="5400"/>
                        </w:tabs>
                        <w:suppressAutoHyphens/>
                        <w:spacing w:before="60"/>
                        <w:rPr>
                          <w:rFonts w:asciiTheme="minorHAnsi" w:hAnsiTheme="minorHAnsi" w:cs="Univers"/>
                          <w:color w:val="0D0D0D" w:themeColor="text1" w:themeTint="F2"/>
                          <w:sz w:val="20"/>
                          <w:szCs w:val="20"/>
                          <w:lang w:val="en-US"/>
                        </w:rPr>
                      </w:pPr>
                    </w:p>
                    <w:p w14:paraId="4D148488" w14:textId="77777777" w:rsidR="005B52B0" w:rsidRPr="00AA6F30" w:rsidRDefault="005B52B0"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1F28BEBB" w14:textId="77777777" w:rsidR="00A50FCF" w:rsidRPr="00404C3D" w:rsidRDefault="00A50FCF" w:rsidP="00040C3A">
      <w:pPr>
        <w:tabs>
          <w:tab w:val="center" w:pos="5400"/>
        </w:tabs>
        <w:suppressAutoHyphens/>
        <w:jc w:val="center"/>
        <w:rPr>
          <w:rFonts w:asciiTheme="majorHAnsi" w:hAnsiTheme="majorHAnsi"/>
          <w:sz w:val="18"/>
          <w:szCs w:val="22"/>
        </w:rPr>
      </w:pPr>
    </w:p>
    <w:p w14:paraId="7929D1FD" w14:textId="77777777" w:rsidR="00A50FCF" w:rsidRPr="00404C3D" w:rsidRDefault="00A50FCF" w:rsidP="00040C3A">
      <w:pPr>
        <w:tabs>
          <w:tab w:val="center" w:pos="5400"/>
        </w:tabs>
        <w:suppressAutoHyphens/>
        <w:jc w:val="center"/>
        <w:rPr>
          <w:rFonts w:asciiTheme="majorHAnsi" w:hAnsiTheme="majorHAnsi"/>
          <w:sz w:val="18"/>
          <w:szCs w:val="22"/>
        </w:rPr>
      </w:pPr>
    </w:p>
    <w:p w14:paraId="5469D0BE" w14:textId="77777777" w:rsidR="00A50FCF" w:rsidRPr="00404C3D" w:rsidRDefault="00A50FCF" w:rsidP="00040C3A">
      <w:pPr>
        <w:tabs>
          <w:tab w:val="center" w:pos="5400"/>
        </w:tabs>
        <w:suppressAutoHyphens/>
        <w:jc w:val="center"/>
        <w:rPr>
          <w:rFonts w:asciiTheme="majorHAnsi" w:hAnsiTheme="majorHAnsi"/>
          <w:sz w:val="18"/>
          <w:szCs w:val="22"/>
        </w:rPr>
      </w:pPr>
    </w:p>
    <w:p w14:paraId="7A79F059" w14:textId="77777777" w:rsidR="00A50FCF" w:rsidRPr="00404C3D" w:rsidRDefault="00A50FCF" w:rsidP="00040C3A">
      <w:pPr>
        <w:tabs>
          <w:tab w:val="center" w:pos="5400"/>
        </w:tabs>
        <w:suppressAutoHyphens/>
        <w:jc w:val="center"/>
        <w:rPr>
          <w:rFonts w:asciiTheme="majorHAnsi" w:hAnsiTheme="majorHAnsi"/>
          <w:sz w:val="18"/>
          <w:szCs w:val="22"/>
        </w:rPr>
      </w:pPr>
    </w:p>
    <w:p w14:paraId="330672AE" w14:textId="77777777" w:rsidR="00A50FCF" w:rsidRPr="00404C3D" w:rsidRDefault="0090270B" w:rsidP="00040C3A">
      <w:pPr>
        <w:tabs>
          <w:tab w:val="center" w:pos="5400"/>
        </w:tabs>
        <w:suppressAutoHyphens/>
        <w:jc w:val="center"/>
        <w:rPr>
          <w:rFonts w:asciiTheme="majorHAnsi" w:hAnsiTheme="majorHAnsi"/>
          <w:sz w:val="18"/>
          <w:szCs w:val="22"/>
        </w:rPr>
      </w:pPr>
      <w:r w:rsidRPr="00404C3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5BB06BB" w:rsidR="00113F73" w:rsidRPr="00AA6F30" w:rsidRDefault="00113F73" w:rsidP="00113F73">
                            <w:pPr>
                              <w:spacing w:line="276" w:lineRule="auto"/>
                              <w:rPr>
                                <w:rFonts w:asciiTheme="majorHAnsi" w:hAnsiTheme="majorHAnsi"/>
                                <w:color w:val="595959" w:themeColor="text1" w:themeTint="A6"/>
                                <w:sz w:val="18"/>
                                <w:szCs w:val="18"/>
                                <w:lang w:val="en-US"/>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Report</w:t>
                            </w:r>
                            <w:r w:rsidRPr="00DD1ECD">
                              <w:rPr>
                                <w:rFonts w:asciiTheme="majorHAnsi" w:hAnsiTheme="majorHAnsi"/>
                                <w:color w:val="595959" w:themeColor="text1" w:themeTint="A6"/>
                                <w:sz w:val="18"/>
                                <w:szCs w:val="18"/>
                                <w:lang w:val="en-US"/>
                              </w:rPr>
                              <w:t xml:space="preserve"> No. </w:t>
                            </w:r>
                            <w:r w:rsidR="00AE0BDB" w:rsidRPr="00AE0BDB">
                              <w:rPr>
                                <w:rFonts w:asciiTheme="majorHAnsi" w:hAnsiTheme="majorHAnsi"/>
                                <w:bCs/>
                                <w:color w:val="595959" w:themeColor="text1" w:themeTint="A6"/>
                                <w:sz w:val="18"/>
                                <w:szCs w:val="18"/>
                                <w:lang w:val="en-US"/>
                              </w:rPr>
                              <w:t>185</w:t>
                            </w:r>
                            <w:r w:rsidR="007B05C4" w:rsidRPr="00AE0BDB">
                              <w:rPr>
                                <w:rFonts w:asciiTheme="majorHAnsi" w:hAnsiTheme="majorHAnsi"/>
                                <w:bCs/>
                                <w:color w:val="595959" w:themeColor="text1" w:themeTint="A6"/>
                                <w:sz w:val="18"/>
                                <w:szCs w:val="18"/>
                                <w:lang w:val="en-US"/>
                              </w:rPr>
                              <w:t>/</w:t>
                            </w:r>
                            <w:r w:rsidR="002955C7" w:rsidRPr="00AE0BDB">
                              <w:rPr>
                                <w:rFonts w:asciiTheme="majorHAnsi" w:hAnsiTheme="majorHAnsi"/>
                                <w:bCs/>
                                <w:color w:val="595959" w:themeColor="text1" w:themeTint="A6"/>
                                <w:sz w:val="18"/>
                                <w:szCs w:val="18"/>
                                <w:lang w:val="en-US"/>
                              </w:rPr>
                              <w:t>23</w:t>
                            </w:r>
                            <w:r w:rsidRPr="0081085D">
                              <w:rPr>
                                <w:rFonts w:asciiTheme="majorHAnsi" w:hAnsiTheme="majorHAnsi"/>
                                <w:color w:val="595959" w:themeColor="text1" w:themeTint="A6"/>
                                <w:sz w:val="18"/>
                                <w:szCs w:val="18"/>
                                <w:lang w:val="en-US"/>
                              </w:rPr>
                              <w:t xml:space="preserve">. </w:t>
                            </w:r>
                            <w:r w:rsidR="000433C9" w:rsidRPr="006B6C04">
                              <w:rPr>
                                <w:rFonts w:asciiTheme="majorHAnsi" w:hAnsiTheme="majorHAnsi"/>
                                <w:color w:val="595959" w:themeColor="text1" w:themeTint="A6"/>
                                <w:sz w:val="18"/>
                                <w:szCs w:val="18"/>
                                <w:lang w:val="en-US"/>
                              </w:rPr>
                              <w:t>Peti</w:t>
                            </w:r>
                            <w:r w:rsidR="00DD1ECD" w:rsidRPr="006B6C04">
                              <w:rPr>
                                <w:rFonts w:asciiTheme="majorHAnsi" w:hAnsiTheme="majorHAnsi"/>
                                <w:color w:val="595959" w:themeColor="text1" w:themeTint="A6"/>
                                <w:sz w:val="18"/>
                                <w:szCs w:val="18"/>
                                <w:lang w:val="en-US"/>
                              </w:rPr>
                              <w:t>tio</w:t>
                            </w:r>
                            <w:r w:rsidR="000433C9" w:rsidRPr="006B6C04">
                              <w:rPr>
                                <w:rFonts w:asciiTheme="majorHAnsi" w:hAnsiTheme="majorHAnsi"/>
                                <w:color w:val="595959" w:themeColor="text1" w:themeTint="A6"/>
                                <w:sz w:val="18"/>
                                <w:szCs w:val="18"/>
                                <w:lang w:val="en-US"/>
                              </w:rPr>
                              <w:t xml:space="preserve">n </w:t>
                            </w:r>
                            <w:r w:rsidR="006B6C04" w:rsidRPr="006B6C04">
                              <w:rPr>
                                <w:rFonts w:asciiTheme="majorHAnsi" w:hAnsiTheme="majorHAnsi"/>
                                <w:color w:val="595959" w:themeColor="text1" w:themeTint="A6"/>
                                <w:sz w:val="18"/>
                                <w:szCs w:val="18"/>
                                <w:lang w:val="en-US"/>
                              </w:rPr>
                              <w:t>1533</w:t>
                            </w:r>
                            <w:r w:rsidR="002955C7" w:rsidRPr="006B6C04">
                              <w:rPr>
                                <w:rFonts w:asciiTheme="majorHAnsi" w:hAnsiTheme="majorHAnsi"/>
                                <w:color w:val="595959" w:themeColor="text1" w:themeTint="A6"/>
                                <w:sz w:val="18"/>
                                <w:szCs w:val="18"/>
                                <w:lang w:val="en-US"/>
                              </w:rPr>
                              <w:t>-</w:t>
                            </w:r>
                            <w:r w:rsidR="006B6C04" w:rsidRPr="006B6C04">
                              <w:rPr>
                                <w:rFonts w:asciiTheme="majorHAnsi" w:hAnsiTheme="majorHAnsi"/>
                                <w:color w:val="595959" w:themeColor="text1" w:themeTint="A6"/>
                                <w:sz w:val="18"/>
                                <w:szCs w:val="18"/>
                                <w:lang w:val="en-US"/>
                              </w:rPr>
                              <w:t>17</w:t>
                            </w:r>
                            <w:r w:rsidR="000433C9" w:rsidRPr="006B6C04">
                              <w:rPr>
                                <w:rFonts w:asciiTheme="majorHAnsi" w:hAnsiTheme="majorHAnsi"/>
                                <w:color w:val="595959" w:themeColor="text1" w:themeTint="A6"/>
                                <w:sz w:val="18"/>
                                <w:szCs w:val="18"/>
                                <w:lang w:val="en-US"/>
                              </w:rPr>
                              <w:t xml:space="preserve">. </w:t>
                            </w:r>
                            <w:r w:rsidR="006B6C04" w:rsidRPr="006B6C04">
                              <w:rPr>
                                <w:rFonts w:asciiTheme="majorHAnsi" w:hAnsiTheme="majorHAnsi"/>
                                <w:color w:val="595959" w:themeColor="text1" w:themeTint="A6"/>
                                <w:sz w:val="18"/>
                                <w:szCs w:val="18"/>
                                <w:lang w:val="en-US"/>
                              </w:rPr>
                              <w:t>A</w:t>
                            </w:r>
                            <w:r w:rsidRPr="006B6C04">
                              <w:rPr>
                                <w:rFonts w:asciiTheme="majorHAnsi" w:hAnsiTheme="majorHAnsi"/>
                                <w:color w:val="595959" w:themeColor="text1" w:themeTint="A6"/>
                                <w:sz w:val="18"/>
                                <w:szCs w:val="18"/>
                                <w:lang w:val="en-US"/>
                              </w:rPr>
                              <w:t>dmis</w:t>
                            </w:r>
                            <w:r w:rsidR="00DD1ECD" w:rsidRPr="006B6C04">
                              <w:rPr>
                                <w:rFonts w:asciiTheme="majorHAnsi" w:hAnsiTheme="majorHAnsi"/>
                                <w:color w:val="595959" w:themeColor="text1" w:themeTint="A6"/>
                                <w:sz w:val="18"/>
                                <w:szCs w:val="18"/>
                                <w:lang w:val="en-US"/>
                              </w:rPr>
                              <w:t>sibility</w:t>
                            </w:r>
                            <w:r w:rsidRPr="006B6C04">
                              <w:rPr>
                                <w:rFonts w:asciiTheme="majorHAnsi" w:hAnsiTheme="majorHAnsi"/>
                                <w:color w:val="595959" w:themeColor="text1" w:themeTint="A6"/>
                                <w:sz w:val="18"/>
                                <w:szCs w:val="18"/>
                                <w:lang w:val="en-US"/>
                              </w:rPr>
                              <w:t xml:space="preserve">. </w:t>
                            </w:r>
                            <w:r w:rsidR="00207AE2" w:rsidRPr="00207AE2">
                              <w:rPr>
                                <w:rFonts w:asciiTheme="majorHAnsi" w:hAnsiTheme="majorHAnsi"/>
                                <w:bCs/>
                                <w:color w:val="595959" w:themeColor="text1" w:themeTint="A6"/>
                                <w:sz w:val="18"/>
                                <w:szCs w:val="18"/>
                                <w:lang w:val="en-US"/>
                              </w:rPr>
                              <w:t>Q'eqchi's indigenous Communities of Santa María Cahabón</w:t>
                            </w:r>
                            <w:r w:rsidRPr="006B6C04">
                              <w:rPr>
                                <w:rFonts w:asciiTheme="majorHAnsi" w:hAnsiTheme="majorHAnsi"/>
                                <w:color w:val="595959" w:themeColor="text1" w:themeTint="A6"/>
                                <w:sz w:val="18"/>
                                <w:szCs w:val="18"/>
                                <w:lang w:val="en-US"/>
                              </w:rPr>
                              <w:t xml:space="preserve">. </w:t>
                            </w:r>
                            <w:r w:rsidR="006B6C04" w:rsidRPr="00207AE2">
                              <w:rPr>
                                <w:rFonts w:asciiTheme="majorHAnsi" w:hAnsiTheme="majorHAnsi"/>
                                <w:color w:val="595959" w:themeColor="text1" w:themeTint="A6"/>
                                <w:sz w:val="18"/>
                                <w:szCs w:val="18"/>
                                <w:lang w:val="en-US"/>
                              </w:rPr>
                              <w:t>Guatemala</w:t>
                            </w:r>
                            <w:r w:rsidRPr="00207AE2">
                              <w:rPr>
                                <w:rFonts w:asciiTheme="majorHAnsi" w:hAnsiTheme="majorHAnsi"/>
                                <w:color w:val="595959" w:themeColor="text1" w:themeTint="A6"/>
                                <w:sz w:val="18"/>
                                <w:szCs w:val="18"/>
                                <w:lang w:val="en-US"/>
                              </w:rPr>
                              <w:t xml:space="preserve">. </w:t>
                            </w:r>
                            <w:r w:rsidR="00AE0BDB" w:rsidRPr="00AE0BDB">
                              <w:rPr>
                                <w:rFonts w:asciiTheme="majorHAnsi" w:hAnsiTheme="majorHAnsi"/>
                                <w:bCs/>
                                <w:color w:val="595959" w:themeColor="text1" w:themeTint="A6"/>
                                <w:sz w:val="18"/>
                                <w:szCs w:val="18"/>
                                <w:lang w:val="en-US"/>
                              </w:rPr>
                              <w:t>September 27</w:t>
                            </w:r>
                            <w:r w:rsidR="00AE0BDB">
                              <w:rPr>
                                <w:rFonts w:asciiTheme="majorHAnsi" w:hAnsiTheme="majorHAnsi"/>
                                <w:bCs/>
                                <w:color w:val="595959" w:themeColor="text1" w:themeTint="A6"/>
                                <w:sz w:val="18"/>
                                <w:szCs w:val="18"/>
                                <w:lang w:val="en-US"/>
                              </w:rPr>
                              <w:t xml:space="preserve">, </w:t>
                            </w:r>
                            <w:r w:rsidR="00AE0BDB" w:rsidRPr="00AE0BDB">
                              <w:rPr>
                                <w:rFonts w:asciiTheme="majorHAnsi" w:hAnsiTheme="majorHAnsi"/>
                                <w:bCs/>
                                <w:color w:val="595959" w:themeColor="text1" w:themeTint="A6"/>
                                <w:sz w:val="18"/>
                                <w:szCs w:val="18"/>
                                <w:lang w:val="en-US"/>
                              </w:rPr>
                              <w:t>2023</w:t>
                            </w:r>
                            <w:r w:rsidRPr="00AA6F30">
                              <w:rPr>
                                <w:rFonts w:asciiTheme="majorHAnsi" w:hAnsiTheme="majorHAnsi"/>
                                <w:color w:val="595959" w:themeColor="text1" w:themeTint="A6"/>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5BB06BB" w:rsidR="00113F73" w:rsidRPr="00AA6F30" w:rsidRDefault="00113F73" w:rsidP="00113F73">
                      <w:pPr>
                        <w:spacing w:line="276" w:lineRule="auto"/>
                        <w:rPr>
                          <w:rFonts w:asciiTheme="majorHAnsi" w:hAnsiTheme="majorHAnsi"/>
                          <w:color w:val="595959" w:themeColor="text1" w:themeTint="A6"/>
                          <w:sz w:val="18"/>
                          <w:szCs w:val="18"/>
                          <w:lang w:val="en-US"/>
                        </w:rPr>
                      </w:pPr>
                      <w:r w:rsidRPr="00DD1ECD">
                        <w:rPr>
                          <w:rFonts w:asciiTheme="majorHAnsi" w:hAnsiTheme="majorHAnsi"/>
                          <w:b/>
                          <w:color w:val="595959" w:themeColor="text1" w:themeTint="A6"/>
                          <w:sz w:val="18"/>
                          <w:szCs w:val="18"/>
                          <w:lang w:val="en-US"/>
                        </w:rPr>
                        <w:t>Cit</w:t>
                      </w:r>
                      <w:r w:rsidR="00DD1ECD" w:rsidRPr="00DD1ECD">
                        <w:rPr>
                          <w:rFonts w:asciiTheme="majorHAnsi" w:hAnsiTheme="majorHAnsi"/>
                          <w:b/>
                          <w:color w:val="595959" w:themeColor="text1" w:themeTint="A6"/>
                          <w:sz w:val="18"/>
                          <w:szCs w:val="18"/>
                          <w:lang w:val="en-US"/>
                        </w:rPr>
                        <w:t>e as</w:t>
                      </w:r>
                      <w:r w:rsidRPr="00DD1ECD">
                        <w:rPr>
                          <w:rFonts w:asciiTheme="majorHAnsi" w:hAnsiTheme="majorHAnsi"/>
                          <w:b/>
                          <w:color w:val="595959" w:themeColor="text1" w:themeTint="A6"/>
                          <w:sz w:val="18"/>
                          <w:szCs w:val="18"/>
                          <w:lang w:val="en-US"/>
                        </w:rPr>
                        <w:t>:</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IACHR</w:t>
                      </w:r>
                      <w:r w:rsidRPr="00DD1ECD">
                        <w:rPr>
                          <w:rFonts w:asciiTheme="majorHAnsi" w:hAnsiTheme="majorHAnsi"/>
                          <w:color w:val="595959" w:themeColor="text1" w:themeTint="A6"/>
                          <w:sz w:val="18"/>
                          <w:szCs w:val="18"/>
                          <w:lang w:val="en-US"/>
                        </w:rPr>
                        <w:t xml:space="preserve">, </w:t>
                      </w:r>
                      <w:r w:rsidR="00DD1ECD" w:rsidRPr="00DD1ECD">
                        <w:rPr>
                          <w:rFonts w:asciiTheme="majorHAnsi" w:hAnsiTheme="majorHAnsi"/>
                          <w:color w:val="595959" w:themeColor="text1" w:themeTint="A6"/>
                          <w:sz w:val="18"/>
                          <w:szCs w:val="18"/>
                          <w:lang w:val="en-US"/>
                        </w:rPr>
                        <w:t>Report</w:t>
                      </w:r>
                      <w:r w:rsidRPr="00DD1ECD">
                        <w:rPr>
                          <w:rFonts w:asciiTheme="majorHAnsi" w:hAnsiTheme="majorHAnsi"/>
                          <w:color w:val="595959" w:themeColor="text1" w:themeTint="A6"/>
                          <w:sz w:val="18"/>
                          <w:szCs w:val="18"/>
                          <w:lang w:val="en-US"/>
                        </w:rPr>
                        <w:t xml:space="preserve"> No. </w:t>
                      </w:r>
                      <w:r w:rsidR="00AE0BDB" w:rsidRPr="00AE0BDB">
                        <w:rPr>
                          <w:rFonts w:asciiTheme="majorHAnsi" w:hAnsiTheme="majorHAnsi"/>
                          <w:bCs/>
                          <w:color w:val="595959" w:themeColor="text1" w:themeTint="A6"/>
                          <w:sz w:val="18"/>
                          <w:szCs w:val="18"/>
                          <w:lang w:val="en-US"/>
                        </w:rPr>
                        <w:t>185</w:t>
                      </w:r>
                      <w:r w:rsidR="007B05C4" w:rsidRPr="00AE0BDB">
                        <w:rPr>
                          <w:rFonts w:asciiTheme="majorHAnsi" w:hAnsiTheme="majorHAnsi"/>
                          <w:bCs/>
                          <w:color w:val="595959" w:themeColor="text1" w:themeTint="A6"/>
                          <w:sz w:val="18"/>
                          <w:szCs w:val="18"/>
                          <w:lang w:val="en-US"/>
                        </w:rPr>
                        <w:t>/</w:t>
                      </w:r>
                      <w:r w:rsidR="002955C7" w:rsidRPr="00AE0BDB">
                        <w:rPr>
                          <w:rFonts w:asciiTheme="majorHAnsi" w:hAnsiTheme="majorHAnsi"/>
                          <w:bCs/>
                          <w:color w:val="595959" w:themeColor="text1" w:themeTint="A6"/>
                          <w:sz w:val="18"/>
                          <w:szCs w:val="18"/>
                          <w:lang w:val="en-US"/>
                        </w:rPr>
                        <w:t>23</w:t>
                      </w:r>
                      <w:r w:rsidRPr="0081085D">
                        <w:rPr>
                          <w:rFonts w:asciiTheme="majorHAnsi" w:hAnsiTheme="majorHAnsi"/>
                          <w:color w:val="595959" w:themeColor="text1" w:themeTint="A6"/>
                          <w:sz w:val="18"/>
                          <w:szCs w:val="18"/>
                          <w:lang w:val="en-US"/>
                        </w:rPr>
                        <w:t xml:space="preserve">. </w:t>
                      </w:r>
                      <w:r w:rsidR="000433C9" w:rsidRPr="006B6C04">
                        <w:rPr>
                          <w:rFonts w:asciiTheme="majorHAnsi" w:hAnsiTheme="majorHAnsi"/>
                          <w:color w:val="595959" w:themeColor="text1" w:themeTint="A6"/>
                          <w:sz w:val="18"/>
                          <w:szCs w:val="18"/>
                          <w:lang w:val="en-US"/>
                        </w:rPr>
                        <w:t>Peti</w:t>
                      </w:r>
                      <w:r w:rsidR="00DD1ECD" w:rsidRPr="006B6C04">
                        <w:rPr>
                          <w:rFonts w:asciiTheme="majorHAnsi" w:hAnsiTheme="majorHAnsi"/>
                          <w:color w:val="595959" w:themeColor="text1" w:themeTint="A6"/>
                          <w:sz w:val="18"/>
                          <w:szCs w:val="18"/>
                          <w:lang w:val="en-US"/>
                        </w:rPr>
                        <w:t>tio</w:t>
                      </w:r>
                      <w:r w:rsidR="000433C9" w:rsidRPr="006B6C04">
                        <w:rPr>
                          <w:rFonts w:asciiTheme="majorHAnsi" w:hAnsiTheme="majorHAnsi"/>
                          <w:color w:val="595959" w:themeColor="text1" w:themeTint="A6"/>
                          <w:sz w:val="18"/>
                          <w:szCs w:val="18"/>
                          <w:lang w:val="en-US"/>
                        </w:rPr>
                        <w:t xml:space="preserve">n </w:t>
                      </w:r>
                      <w:r w:rsidR="006B6C04" w:rsidRPr="006B6C04">
                        <w:rPr>
                          <w:rFonts w:asciiTheme="majorHAnsi" w:hAnsiTheme="majorHAnsi"/>
                          <w:color w:val="595959" w:themeColor="text1" w:themeTint="A6"/>
                          <w:sz w:val="18"/>
                          <w:szCs w:val="18"/>
                          <w:lang w:val="en-US"/>
                        </w:rPr>
                        <w:t>1533</w:t>
                      </w:r>
                      <w:r w:rsidR="002955C7" w:rsidRPr="006B6C04">
                        <w:rPr>
                          <w:rFonts w:asciiTheme="majorHAnsi" w:hAnsiTheme="majorHAnsi"/>
                          <w:color w:val="595959" w:themeColor="text1" w:themeTint="A6"/>
                          <w:sz w:val="18"/>
                          <w:szCs w:val="18"/>
                          <w:lang w:val="en-US"/>
                        </w:rPr>
                        <w:t>-</w:t>
                      </w:r>
                      <w:r w:rsidR="006B6C04" w:rsidRPr="006B6C04">
                        <w:rPr>
                          <w:rFonts w:asciiTheme="majorHAnsi" w:hAnsiTheme="majorHAnsi"/>
                          <w:color w:val="595959" w:themeColor="text1" w:themeTint="A6"/>
                          <w:sz w:val="18"/>
                          <w:szCs w:val="18"/>
                          <w:lang w:val="en-US"/>
                        </w:rPr>
                        <w:t>17</w:t>
                      </w:r>
                      <w:r w:rsidR="000433C9" w:rsidRPr="006B6C04">
                        <w:rPr>
                          <w:rFonts w:asciiTheme="majorHAnsi" w:hAnsiTheme="majorHAnsi"/>
                          <w:color w:val="595959" w:themeColor="text1" w:themeTint="A6"/>
                          <w:sz w:val="18"/>
                          <w:szCs w:val="18"/>
                          <w:lang w:val="en-US"/>
                        </w:rPr>
                        <w:t xml:space="preserve">. </w:t>
                      </w:r>
                      <w:r w:rsidR="006B6C04" w:rsidRPr="006B6C04">
                        <w:rPr>
                          <w:rFonts w:asciiTheme="majorHAnsi" w:hAnsiTheme="majorHAnsi"/>
                          <w:color w:val="595959" w:themeColor="text1" w:themeTint="A6"/>
                          <w:sz w:val="18"/>
                          <w:szCs w:val="18"/>
                          <w:lang w:val="en-US"/>
                        </w:rPr>
                        <w:t>A</w:t>
                      </w:r>
                      <w:r w:rsidRPr="006B6C04">
                        <w:rPr>
                          <w:rFonts w:asciiTheme="majorHAnsi" w:hAnsiTheme="majorHAnsi"/>
                          <w:color w:val="595959" w:themeColor="text1" w:themeTint="A6"/>
                          <w:sz w:val="18"/>
                          <w:szCs w:val="18"/>
                          <w:lang w:val="en-US"/>
                        </w:rPr>
                        <w:t>dmis</w:t>
                      </w:r>
                      <w:r w:rsidR="00DD1ECD" w:rsidRPr="006B6C04">
                        <w:rPr>
                          <w:rFonts w:asciiTheme="majorHAnsi" w:hAnsiTheme="majorHAnsi"/>
                          <w:color w:val="595959" w:themeColor="text1" w:themeTint="A6"/>
                          <w:sz w:val="18"/>
                          <w:szCs w:val="18"/>
                          <w:lang w:val="en-US"/>
                        </w:rPr>
                        <w:t>sibility</w:t>
                      </w:r>
                      <w:r w:rsidRPr="006B6C04">
                        <w:rPr>
                          <w:rFonts w:asciiTheme="majorHAnsi" w:hAnsiTheme="majorHAnsi"/>
                          <w:color w:val="595959" w:themeColor="text1" w:themeTint="A6"/>
                          <w:sz w:val="18"/>
                          <w:szCs w:val="18"/>
                          <w:lang w:val="en-US"/>
                        </w:rPr>
                        <w:t xml:space="preserve">. </w:t>
                      </w:r>
                      <w:r w:rsidR="00207AE2" w:rsidRPr="00207AE2">
                        <w:rPr>
                          <w:rFonts w:asciiTheme="majorHAnsi" w:hAnsiTheme="majorHAnsi"/>
                          <w:bCs/>
                          <w:color w:val="595959" w:themeColor="text1" w:themeTint="A6"/>
                          <w:sz w:val="18"/>
                          <w:szCs w:val="18"/>
                          <w:lang w:val="en-US"/>
                        </w:rPr>
                        <w:t>Q'eqchi's indigenous Communities of Santa María Cahabón</w:t>
                      </w:r>
                      <w:r w:rsidRPr="006B6C04">
                        <w:rPr>
                          <w:rFonts w:asciiTheme="majorHAnsi" w:hAnsiTheme="majorHAnsi"/>
                          <w:color w:val="595959" w:themeColor="text1" w:themeTint="A6"/>
                          <w:sz w:val="18"/>
                          <w:szCs w:val="18"/>
                          <w:lang w:val="en-US"/>
                        </w:rPr>
                        <w:t xml:space="preserve">. </w:t>
                      </w:r>
                      <w:r w:rsidR="006B6C04" w:rsidRPr="00207AE2">
                        <w:rPr>
                          <w:rFonts w:asciiTheme="majorHAnsi" w:hAnsiTheme="majorHAnsi"/>
                          <w:color w:val="595959" w:themeColor="text1" w:themeTint="A6"/>
                          <w:sz w:val="18"/>
                          <w:szCs w:val="18"/>
                          <w:lang w:val="en-US"/>
                        </w:rPr>
                        <w:t>Guatemala</w:t>
                      </w:r>
                      <w:r w:rsidRPr="00207AE2">
                        <w:rPr>
                          <w:rFonts w:asciiTheme="majorHAnsi" w:hAnsiTheme="majorHAnsi"/>
                          <w:color w:val="595959" w:themeColor="text1" w:themeTint="A6"/>
                          <w:sz w:val="18"/>
                          <w:szCs w:val="18"/>
                          <w:lang w:val="en-US"/>
                        </w:rPr>
                        <w:t xml:space="preserve">. </w:t>
                      </w:r>
                      <w:r w:rsidR="00AE0BDB" w:rsidRPr="00AE0BDB">
                        <w:rPr>
                          <w:rFonts w:asciiTheme="majorHAnsi" w:hAnsiTheme="majorHAnsi"/>
                          <w:bCs/>
                          <w:color w:val="595959" w:themeColor="text1" w:themeTint="A6"/>
                          <w:sz w:val="18"/>
                          <w:szCs w:val="18"/>
                          <w:lang w:val="en-US"/>
                        </w:rPr>
                        <w:t>September 27</w:t>
                      </w:r>
                      <w:r w:rsidR="00AE0BDB">
                        <w:rPr>
                          <w:rFonts w:asciiTheme="majorHAnsi" w:hAnsiTheme="majorHAnsi"/>
                          <w:bCs/>
                          <w:color w:val="595959" w:themeColor="text1" w:themeTint="A6"/>
                          <w:sz w:val="18"/>
                          <w:szCs w:val="18"/>
                          <w:lang w:val="en-US"/>
                        </w:rPr>
                        <w:t xml:space="preserve">, </w:t>
                      </w:r>
                      <w:r w:rsidR="00AE0BDB" w:rsidRPr="00AE0BDB">
                        <w:rPr>
                          <w:rFonts w:asciiTheme="majorHAnsi" w:hAnsiTheme="majorHAnsi"/>
                          <w:bCs/>
                          <w:color w:val="595959" w:themeColor="text1" w:themeTint="A6"/>
                          <w:sz w:val="18"/>
                          <w:szCs w:val="18"/>
                          <w:lang w:val="en-US"/>
                        </w:rPr>
                        <w:t>2023</w:t>
                      </w:r>
                      <w:r w:rsidRPr="00AA6F30">
                        <w:rPr>
                          <w:rFonts w:asciiTheme="majorHAnsi" w:hAnsiTheme="majorHAnsi"/>
                          <w:color w:val="595959" w:themeColor="text1" w:themeTint="A6"/>
                          <w:sz w:val="18"/>
                          <w:szCs w:val="18"/>
                          <w:lang w:val="en-US"/>
                        </w:rPr>
                        <w:t>.</w:t>
                      </w:r>
                    </w:p>
                  </w:txbxContent>
                </v:textbox>
              </v:shape>
            </w:pict>
          </mc:Fallback>
        </mc:AlternateContent>
      </w:r>
    </w:p>
    <w:p w14:paraId="196A49DE" w14:textId="77777777" w:rsidR="00A50FCF" w:rsidRPr="00404C3D" w:rsidRDefault="00A50FCF" w:rsidP="00040C3A">
      <w:pPr>
        <w:tabs>
          <w:tab w:val="center" w:pos="5400"/>
        </w:tabs>
        <w:suppressAutoHyphens/>
        <w:jc w:val="center"/>
        <w:rPr>
          <w:rFonts w:asciiTheme="majorHAnsi" w:hAnsiTheme="majorHAnsi"/>
          <w:sz w:val="18"/>
          <w:szCs w:val="22"/>
        </w:rPr>
      </w:pPr>
    </w:p>
    <w:p w14:paraId="1DA07629" w14:textId="77777777" w:rsidR="0090270B" w:rsidRPr="00404C3D" w:rsidRDefault="00D306D1" w:rsidP="005516A1">
      <w:pPr>
        <w:tabs>
          <w:tab w:val="center" w:pos="5400"/>
        </w:tabs>
        <w:suppressAutoHyphens/>
        <w:jc w:val="center"/>
        <w:rPr>
          <w:rFonts w:asciiTheme="majorHAnsi" w:hAnsiTheme="majorHAnsi"/>
          <w:b/>
          <w:sz w:val="20"/>
        </w:rPr>
      </w:pPr>
      <w:r w:rsidRPr="00404C3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7AA98B73">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00FB1BA" w:rsidR="00D72DC6" w:rsidRPr="00D72DC6" w:rsidRDefault="00DD1ECD" w:rsidP="00F02AD1">
                      <w:pPr>
                        <w:rPr>
                          <w:color w:val="FFFFFF" w:themeColor="background1"/>
                          <w14:textFill>
                            <w14:noFill/>
                          </w14:textFill>
                        </w:rPr>
                      </w:pPr>
                      <w:r>
                        <w:rPr>
                          <w:noProof/>
                        </w:rPr>
                        <w:drawing>
                          <wp:inline distT="0" distB="0" distL="0" distR="0" wp14:anchorId="4C9E943B" wp14:editId="7AA98B73">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404C3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04C3D" w:rsidRDefault="004A6A54" w:rsidP="005516A1">
      <w:pPr>
        <w:tabs>
          <w:tab w:val="center" w:pos="5400"/>
        </w:tabs>
        <w:suppressAutoHyphens/>
        <w:jc w:val="center"/>
        <w:rPr>
          <w:rFonts w:asciiTheme="majorHAnsi" w:hAnsiTheme="majorHAnsi"/>
          <w:b/>
          <w:sz w:val="20"/>
        </w:rPr>
        <w:sectPr w:rsidR="0070697F" w:rsidRPr="00404C3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04C3D">
        <w:rPr>
          <w:rFonts w:asciiTheme="majorHAnsi" w:hAnsiTheme="majorHAnsi"/>
          <w:b/>
          <w:sz w:val="20"/>
        </w:rPr>
        <w:tab/>
      </w:r>
    </w:p>
    <w:p w14:paraId="376DDC8B" w14:textId="371C1C00" w:rsidR="003239B8" w:rsidRPr="00BE3B9C" w:rsidRDefault="003239B8" w:rsidP="004A6A54">
      <w:pPr>
        <w:spacing w:after="240"/>
        <w:ind w:firstLine="720"/>
        <w:jc w:val="both"/>
        <w:rPr>
          <w:rFonts w:asciiTheme="majorHAnsi" w:hAnsiTheme="majorHAnsi"/>
          <w:b/>
          <w:bCs/>
          <w:sz w:val="20"/>
          <w:szCs w:val="20"/>
          <w:lang w:val="en-US"/>
        </w:rPr>
      </w:pPr>
      <w:r w:rsidRPr="00BE3B9C">
        <w:rPr>
          <w:rFonts w:asciiTheme="majorHAnsi" w:hAnsiTheme="majorHAnsi"/>
          <w:b/>
          <w:bCs/>
          <w:sz w:val="20"/>
          <w:szCs w:val="20"/>
          <w:lang w:val="en-US"/>
        </w:rPr>
        <w:lastRenderedPageBreak/>
        <w:t>I.</w:t>
      </w:r>
      <w:r w:rsidRPr="00BE3B9C">
        <w:rPr>
          <w:rFonts w:asciiTheme="majorHAnsi" w:hAnsiTheme="majorHAnsi"/>
          <w:b/>
          <w:bCs/>
          <w:sz w:val="20"/>
          <w:szCs w:val="20"/>
          <w:lang w:val="en-US"/>
        </w:rPr>
        <w:tab/>
      </w:r>
      <w:r w:rsidR="00BE3B9C" w:rsidRPr="00BE3B9C">
        <w:rPr>
          <w:rFonts w:asciiTheme="majorHAnsi" w:hAnsiTheme="majorHAnsi"/>
          <w:b/>
          <w:bCs/>
          <w:sz w:val="20"/>
          <w:szCs w:val="20"/>
          <w:lang w:val="en-US"/>
        </w:rPr>
        <w:t>INFORMATION ABOUT THE PETITION</w:t>
      </w:r>
      <w:r w:rsidRPr="00BE3B9C">
        <w:rPr>
          <w:rFonts w:asciiTheme="majorHAnsi" w:hAnsiTheme="majorHAnsi"/>
          <w:b/>
          <w:bCs/>
          <w:sz w:val="20"/>
          <w:szCs w:val="20"/>
          <w:lang w:val="en-U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E0BDB" w14:paraId="5A79D1F7" w14:textId="77777777" w:rsidTr="00DD1ECD">
        <w:tc>
          <w:tcPr>
            <w:tcW w:w="3600" w:type="dxa"/>
            <w:tcBorders>
              <w:top w:val="single" w:sz="4" w:space="0" w:color="auto"/>
              <w:bottom w:val="single" w:sz="6" w:space="0" w:color="auto"/>
            </w:tcBorders>
            <w:shd w:val="clear" w:color="auto" w:fill="67AE3C"/>
            <w:vAlign w:val="center"/>
          </w:tcPr>
          <w:p w14:paraId="0CB2A43B" w14:textId="13D64719" w:rsidR="003239B8" w:rsidRPr="00404C3D"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3239B8" w:rsidRPr="00404C3D">
              <w:rPr>
                <w:rFonts w:ascii="Cambria" w:hAnsi="Cambria"/>
                <w:b/>
                <w:bCs/>
                <w:color w:val="FFFFFF" w:themeColor="background1"/>
                <w:sz w:val="20"/>
                <w:szCs w:val="20"/>
              </w:rPr>
              <w:t>:</w:t>
            </w:r>
          </w:p>
        </w:tc>
        <w:tc>
          <w:tcPr>
            <w:tcW w:w="5760" w:type="dxa"/>
            <w:vAlign w:val="center"/>
          </w:tcPr>
          <w:p w14:paraId="3C5315D8" w14:textId="6B552801" w:rsidR="003239B8" w:rsidRPr="00AE0BDB" w:rsidRDefault="006B6C04" w:rsidP="00FC4870">
            <w:pPr>
              <w:jc w:val="both"/>
              <w:rPr>
                <w:rFonts w:ascii="Cambria" w:hAnsi="Cambria"/>
                <w:bCs/>
                <w:sz w:val="20"/>
                <w:szCs w:val="20"/>
                <w:lang w:val="pt-BR"/>
              </w:rPr>
            </w:pPr>
            <w:r w:rsidRPr="00AE0BDB">
              <w:rPr>
                <w:rFonts w:ascii="Cambria" w:hAnsi="Cambria"/>
                <w:bCs/>
                <w:sz w:val="20"/>
                <w:szCs w:val="20"/>
                <w:lang w:val="pt-BR"/>
              </w:rPr>
              <w:t>Colectivo Madre Selva and Bernardo Caal Xól</w:t>
            </w:r>
            <w:r>
              <w:rPr>
                <w:rStyle w:val="FootnoteReference"/>
                <w:rFonts w:ascii="Cambria" w:hAnsi="Cambria"/>
                <w:bCs/>
                <w:sz w:val="20"/>
                <w:szCs w:val="20"/>
              </w:rPr>
              <w:footnoteReference w:id="2"/>
            </w:r>
          </w:p>
        </w:tc>
      </w:tr>
      <w:tr w:rsidR="00BE3B9C" w:rsidRPr="00AE0BDB" w14:paraId="20C1FD99" w14:textId="77777777" w:rsidTr="00DD1ECD">
        <w:tc>
          <w:tcPr>
            <w:tcW w:w="3600" w:type="dxa"/>
            <w:tcBorders>
              <w:top w:val="single" w:sz="6" w:space="0" w:color="auto"/>
              <w:bottom w:val="single" w:sz="6" w:space="0" w:color="auto"/>
            </w:tcBorders>
            <w:shd w:val="clear" w:color="auto" w:fill="67AE3C"/>
            <w:vAlign w:val="center"/>
          </w:tcPr>
          <w:p w14:paraId="579A0B89" w14:textId="0661F726" w:rsidR="00BE3B9C"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p>
        </w:tc>
        <w:tc>
          <w:tcPr>
            <w:tcW w:w="5760" w:type="dxa"/>
            <w:vAlign w:val="center"/>
          </w:tcPr>
          <w:p w14:paraId="4BB95A17" w14:textId="4C581CC9" w:rsidR="00BE3B9C" w:rsidRPr="006B6C04" w:rsidRDefault="006B6C04" w:rsidP="00FC4870">
            <w:pPr>
              <w:jc w:val="both"/>
              <w:rPr>
                <w:rFonts w:ascii="Cambria" w:hAnsi="Cambria"/>
                <w:bCs/>
                <w:sz w:val="20"/>
                <w:szCs w:val="20"/>
                <w:lang w:val="en-US"/>
              </w:rPr>
            </w:pPr>
            <w:r w:rsidRPr="006B6C04">
              <w:rPr>
                <w:rFonts w:ascii="Cambria" w:hAnsi="Cambria"/>
                <w:bCs/>
                <w:sz w:val="20"/>
                <w:szCs w:val="20"/>
                <w:lang w:val="en-US"/>
              </w:rPr>
              <w:t>Q'eqchi's indigenous Communities of Santa María Cahabón</w:t>
            </w:r>
          </w:p>
        </w:tc>
      </w:tr>
      <w:tr w:rsidR="003239B8" w:rsidRPr="00404C3D" w14:paraId="3E62E1D3" w14:textId="77777777" w:rsidTr="00DD1ECD">
        <w:tc>
          <w:tcPr>
            <w:tcW w:w="3600" w:type="dxa"/>
            <w:tcBorders>
              <w:top w:val="single" w:sz="6" w:space="0" w:color="auto"/>
              <w:bottom w:val="single" w:sz="6" w:space="0" w:color="auto"/>
            </w:tcBorders>
            <w:shd w:val="clear" w:color="auto" w:fill="67AE3C"/>
            <w:vAlign w:val="center"/>
          </w:tcPr>
          <w:p w14:paraId="340B0F09" w14:textId="3993EA3F" w:rsidR="003239B8" w:rsidRPr="00404C3D"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r w:rsidR="003239B8" w:rsidRPr="00404C3D">
              <w:rPr>
                <w:rFonts w:ascii="Cambria" w:hAnsi="Cambria"/>
                <w:b/>
                <w:bCs/>
                <w:color w:val="FFFFFF" w:themeColor="background1"/>
                <w:sz w:val="20"/>
                <w:szCs w:val="20"/>
              </w:rPr>
              <w:t>:</w:t>
            </w:r>
          </w:p>
        </w:tc>
        <w:tc>
          <w:tcPr>
            <w:tcW w:w="5760" w:type="dxa"/>
            <w:vAlign w:val="center"/>
          </w:tcPr>
          <w:p w14:paraId="274C8A50" w14:textId="7E8436C9" w:rsidR="003239B8" w:rsidRPr="00404C3D" w:rsidRDefault="006B6C04" w:rsidP="00FC4870">
            <w:pPr>
              <w:jc w:val="both"/>
              <w:rPr>
                <w:rFonts w:ascii="Cambria" w:hAnsi="Cambria"/>
                <w:bCs/>
                <w:sz w:val="20"/>
                <w:szCs w:val="20"/>
              </w:rPr>
            </w:pPr>
            <w:r>
              <w:rPr>
                <w:rFonts w:ascii="Cambria" w:hAnsi="Cambria"/>
                <w:bCs/>
                <w:sz w:val="20"/>
                <w:szCs w:val="20"/>
              </w:rPr>
              <w:t>Guatemala</w:t>
            </w:r>
            <w:r>
              <w:rPr>
                <w:rStyle w:val="FootnoteReference"/>
                <w:rFonts w:ascii="Cambria" w:hAnsi="Cambria"/>
                <w:bCs/>
                <w:sz w:val="20"/>
                <w:szCs w:val="20"/>
              </w:rPr>
              <w:footnoteReference w:id="3"/>
            </w:r>
          </w:p>
        </w:tc>
      </w:tr>
      <w:tr w:rsidR="00223A29" w:rsidRPr="00AE0BDB" w14:paraId="632511BC" w14:textId="77777777" w:rsidTr="00DD1ECD">
        <w:tc>
          <w:tcPr>
            <w:tcW w:w="3600" w:type="dxa"/>
            <w:tcBorders>
              <w:top w:val="single" w:sz="6" w:space="0" w:color="auto"/>
              <w:bottom w:val="single" w:sz="6" w:space="0" w:color="auto"/>
            </w:tcBorders>
            <w:shd w:val="clear" w:color="auto" w:fill="67AE3C"/>
            <w:vAlign w:val="center"/>
          </w:tcPr>
          <w:p w14:paraId="727E2F6B" w14:textId="2E491366" w:rsidR="00223A29" w:rsidRPr="00404C3D" w:rsidRDefault="00BE3B9C"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001B3A00" w:rsidRPr="00404C3D">
              <w:rPr>
                <w:rFonts w:ascii="Cambria" w:hAnsi="Cambria"/>
                <w:b/>
                <w:bCs/>
                <w:color w:val="FFFFFF" w:themeColor="background1"/>
                <w:sz w:val="20"/>
                <w:szCs w:val="20"/>
              </w:rPr>
              <w:t>:</w:t>
            </w:r>
          </w:p>
        </w:tc>
        <w:tc>
          <w:tcPr>
            <w:tcW w:w="5760" w:type="dxa"/>
            <w:vAlign w:val="center"/>
          </w:tcPr>
          <w:p w14:paraId="6DEE1EEB" w14:textId="19CF4296" w:rsidR="004778EC" w:rsidRPr="006B6C04" w:rsidRDefault="002955C7" w:rsidP="00BE3B9C">
            <w:pPr>
              <w:jc w:val="both"/>
              <w:rPr>
                <w:rFonts w:ascii="Cambria" w:hAnsi="Cambria"/>
                <w:sz w:val="20"/>
                <w:szCs w:val="20"/>
                <w:highlight w:val="yellow"/>
                <w:lang w:val="en-US"/>
              </w:rPr>
            </w:pPr>
            <w:r w:rsidRPr="00D17564">
              <w:rPr>
                <w:rFonts w:ascii="Cambria" w:hAnsi="Cambria"/>
                <w:sz w:val="20"/>
                <w:szCs w:val="20"/>
                <w:lang w:val="en-US"/>
              </w:rPr>
              <w:t xml:space="preserve">Article </w:t>
            </w:r>
            <w:r w:rsidR="006B6C04" w:rsidRPr="00D17564">
              <w:rPr>
                <w:rFonts w:ascii="Cambria" w:hAnsi="Cambria"/>
                <w:sz w:val="20"/>
                <w:szCs w:val="20"/>
                <w:lang w:val="en-US"/>
              </w:rPr>
              <w:t>3</w:t>
            </w:r>
            <w:r w:rsidR="00BD625F" w:rsidRPr="00D17564">
              <w:rPr>
                <w:rFonts w:ascii="Cambria" w:hAnsi="Cambria"/>
                <w:sz w:val="20"/>
                <w:szCs w:val="20"/>
                <w:lang w:val="en-US"/>
              </w:rPr>
              <w:t xml:space="preserve"> (right to juridical personality)</w:t>
            </w:r>
            <w:r w:rsidR="006B6C04" w:rsidRPr="00D17564">
              <w:rPr>
                <w:rFonts w:ascii="Cambria" w:hAnsi="Cambria"/>
                <w:sz w:val="20"/>
                <w:szCs w:val="20"/>
                <w:lang w:val="en-US"/>
              </w:rPr>
              <w:t>, 7</w:t>
            </w:r>
            <w:r w:rsidR="00BD625F" w:rsidRPr="00D17564">
              <w:rPr>
                <w:rFonts w:ascii="Cambria" w:hAnsi="Cambria"/>
                <w:sz w:val="20"/>
                <w:szCs w:val="20"/>
                <w:lang w:val="en-US"/>
              </w:rPr>
              <w:t xml:space="preserve"> (right to personal liberty)</w:t>
            </w:r>
            <w:r w:rsidR="006B6C04" w:rsidRPr="00D17564">
              <w:rPr>
                <w:rFonts w:ascii="Cambria" w:hAnsi="Cambria"/>
                <w:sz w:val="20"/>
                <w:szCs w:val="20"/>
                <w:lang w:val="en-US"/>
              </w:rPr>
              <w:t xml:space="preserve">, 8 (right to </w:t>
            </w:r>
            <w:r w:rsidR="00D17564" w:rsidRPr="00D17564">
              <w:rPr>
                <w:rFonts w:ascii="Cambria" w:hAnsi="Cambria"/>
                <w:sz w:val="20"/>
                <w:szCs w:val="20"/>
                <w:lang w:val="en-US"/>
              </w:rPr>
              <w:t xml:space="preserve">a </w:t>
            </w:r>
            <w:r w:rsidR="006B6C04" w:rsidRPr="00D17564">
              <w:rPr>
                <w:rFonts w:ascii="Cambria" w:hAnsi="Cambria"/>
                <w:sz w:val="20"/>
                <w:szCs w:val="20"/>
                <w:lang w:val="en-US"/>
              </w:rPr>
              <w:t>fair trial</w:t>
            </w:r>
            <w:r w:rsidR="00EE0BE2">
              <w:rPr>
                <w:rFonts w:ascii="Cambria" w:hAnsi="Cambria"/>
                <w:sz w:val="20"/>
                <w:szCs w:val="20"/>
                <w:lang w:val="en-US"/>
              </w:rPr>
              <w:t>, 13 (freedom of expression), 15 (freedom of assembly) and 25 (judicial protection)</w:t>
            </w:r>
            <w:r w:rsidR="00735EDA" w:rsidRPr="00D17564">
              <w:rPr>
                <w:rFonts w:ascii="Cambria" w:hAnsi="Cambria"/>
                <w:sz w:val="20"/>
                <w:szCs w:val="20"/>
                <w:lang w:val="en-US"/>
              </w:rPr>
              <w:t xml:space="preserve"> </w:t>
            </w:r>
            <w:r w:rsidRPr="00D17564">
              <w:rPr>
                <w:rFonts w:ascii="Cambria" w:hAnsi="Cambria"/>
                <w:sz w:val="20"/>
                <w:szCs w:val="20"/>
                <w:lang w:val="en-US"/>
              </w:rPr>
              <w:t>of the American Convention on Human Rights</w:t>
            </w:r>
            <w:r w:rsidRPr="00D17564">
              <w:rPr>
                <w:rStyle w:val="FootnoteReference"/>
                <w:rFonts w:ascii="Cambria" w:hAnsi="Cambria"/>
                <w:sz w:val="20"/>
                <w:szCs w:val="20"/>
                <w:lang w:val="en-US"/>
              </w:rPr>
              <w:footnoteReference w:id="4"/>
            </w:r>
            <w:r w:rsidR="006B6C04" w:rsidRPr="00D17564">
              <w:rPr>
                <w:rFonts w:ascii="Cambria" w:hAnsi="Cambria"/>
                <w:sz w:val="20"/>
                <w:szCs w:val="20"/>
                <w:lang w:val="en-US"/>
              </w:rPr>
              <w:t xml:space="preserve"> in relation to article 1.1</w:t>
            </w:r>
            <w:r w:rsidR="00D17564" w:rsidRPr="00D17564">
              <w:rPr>
                <w:rFonts w:ascii="Cambria" w:hAnsi="Cambria"/>
                <w:sz w:val="20"/>
                <w:szCs w:val="20"/>
                <w:lang w:val="en-US"/>
              </w:rPr>
              <w:t xml:space="preserve"> (obligation to respect rights)</w:t>
            </w:r>
            <w:r w:rsidR="006B6C04" w:rsidRPr="00D17564">
              <w:rPr>
                <w:rStyle w:val="FootnoteReference"/>
                <w:rFonts w:ascii="Cambria" w:hAnsi="Cambria"/>
                <w:sz w:val="20"/>
                <w:szCs w:val="20"/>
                <w:lang w:val="en-US"/>
              </w:rPr>
              <w:footnoteReference w:id="5"/>
            </w:r>
            <w:r w:rsidR="006B6C04" w:rsidRPr="00D17564">
              <w:rPr>
                <w:rFonts w:ascii="Cambria" w:hAnsi="Cambria"/>
                <w:sz w:val="20"/>
                <w:szCs w:val="20"/>
                <w:lang w:val="en-US"/>
              </w:rPr>
              <w:t xml:space="preserve"> and other international treaties</w:t>
            </w:r>
            <w:r w:rsidR="006B6C04" w:rsidRPr="00D17564">
              <w:rPr>
                <w:rStyle w:val="FootnoteReference"/>
                <w:rFonts w:ascii="Cambria" w:hAnsi="Cambria"/>
                <w:sz w:val="20"/>
                <w:szCs w:val="20"/>
                <w:lang w:val="en-US"/>
              </w:rPr>
              <w:footnoteReference w:id="6"/>
            </w:r>
          </w:p>
        </w:tc>
      </w:tr>
    </w:tbl>
    <w:p w14:paraId="20263696" w14:textId="461B230A" w:rsidR="003239B8" w:rsidRPr="00BE3B9C" w:rsidRDefault="003239B8" w:rsidP="003239B8">
      <w:pPr>
        <w:spacing w:before="240" w:after="240"/>
        <w:ind w:firstLine="720"/>
        <w:jc w:val="both"/>
        <w:rPr>
          <w:rFonts w:asciiTheme="majorHAnsi" w:hAnsiTheme="majorHAnsi"/>
          <w:b/>
          <w:bCs/>
          <w:sz w:val="20"/>
          <w:szCs w:val="20"/>
          <w:lang w:val="en-US"/>
        </w:rPr>
      </w:pPr>
      <w:r w:rsidRPr="00BE3B9C">
        <w:rPr>
          <w:rFonts w:asciiTheme="majorHAnsi" w:hAnsiTheme="majorHAnsi"/>
          <w:b/>
          <w:bCs/>
          <w:sz w:val="20"/>
          <w:szCs w:val="20"/>
          <w:lang w:val="en-US"/>
        </w:rPr>
        <w:t>II.</w:t>
      </w:r>
      <w:r w:rsidRPr="00BE3B9C">
        <w:rPr>
          <w:rFonts w:asciiTheme="majorHAnsi" w:hAnsiTheme="majorHAnsi"/>
          <w:b/>
          <w:bCs/>
          <w:sz w:val="20"/>
          <w:szCs w:val="20"/>
          <w:lang w:val="en-US"/>
        </w:rPr>
        <w:tab/>
      </w:r>
      <w:r w:rsidR="00BE3B9C" w:rsidRPr="00BE3B9C">
        <w:rPr>
          <w:rFonts w:asciiTheme="majorHAnsi" w:hAnsiTheme="majorHAnsi"/>
          <w:b/>
          <w:bCs/>
          <w:sz w:val="20"/>
          <w:szCs w:val="20"/>
          <w:lang w:val="en-US"/>
        </w:rPr>
        <w:t>PROCEEDINGS BEFORE THE IACHR</w:t>
      </w:r>
      <w:r w:rsidR="008E3BFE" w:rsidRPr="00404C3D">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04C3D" w14:paraId="306EFCB0" w14:textId="77777777" w:rsidTr="00DD1ECD">
        <w:tc>
          <w:tcPr>
            <w:tcW w:w="3600" w:type="dxa"/>
            <w:tcBorders>
              <w:top w:val="single" w:sz="6" w:space="0" w:color="auto"/>
              <w:bottom w:val="single" w:sz="6" w:space="0" w:color="auto"/>
            </w:tcBorders>
            <w:shd w:val="clear" w:color="auto" w:fill="67AE3C"/>
            <w:vAlign w:val="center"/>
          </w:tcPr>
          <w:p w14:paraId="7508D16F" w14:textId="538FFCBE" w:rsidR="004C2312" w:rsidRPr="00404C3D" w:rsidRDefault="00BE3B9C"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w:t>
            </w:r>
            <w:r w:rsidR="00FC4C8E">
              <w:rPr>
                <w:rFonts w:ascii="Cambria" w:hAnsi="Cambria"/>
                <w:b/>
                <w:bCs/>
                <w:color w:val="FFFFFF" w:themeColor="background1"/>
                <w:sz w:val="20"/>
                <w:szCs w:val="20"/>
              </w:rPr>
              <w:t>l</w:t>
            </w:r>
            <w:r>
              <w:rPr>
                <w:rFonts w:ascii="Cambria" w:hAnsi="Cambria"/>
                <w:b/>
                <w:bCs/>
                <w:color w:val="FFFFFF" w:themeColor="background1"/>
                <w:sz w:val="20"/>
                <w:szCs w:val="20"/>
              </w:rPr>
              <w:t>ing of the petition</w:t>
            </w:r>
            <w:r w:rsidR="004C2312" w:rsidRPr="00404C3D">
              <w:rPr>
                <w:rFonts w:ascii="Cambria" w:hAnsi="Cambria"/>
                <w:b/>
                <w:bCs/>
                <w:color w:val="FFFFFF" w:themeColor="background1"/>
                <w:sz w:val="20"/>
                <w:szCs w:val="20"/>
              </w:rPr>
              <w:t>:</w:t>
            </w:r>
          </w:p>
        </w:tc>
        <w:tc>
          <w:tcPr>
            <w:tcW w:w="5760" w:type="dxa"/>
            <w:vAlign w:val="center"/>
          </w:tcPr>
          <w:p w14:paraId="6E579153" w14:textId="4111D690" w:rsidR="004C2312" w:rsidRPr="00404C3D" w:rsidRDefault="006B6C04" w:rsidP="00FC4870">
            <w:pPr>
              <w:jc w:val="both"/>
              <w:rPr>
                <w:rFonts w:ascii="Cambria" w:hAnsi="Cambria"/>
                <w:bCs/>
                <w:sz w:val="20"/>
                <w:szCs w:val="20"/>
              </w:rPr>
            </w:pPr>
            <w:r>
              <w:rPr>
                <w:rFonts w:ascii="Cambria" w:hAnsi="Cambria"/>
                <w:bCs/>
                <w:sz w:val="20"/>
                <w:szCs w:val="20"/>
              </w:rPr>
              <w:t>August 2, 2017</w:t>
            </w:r>
          </w:p>
        </w:tc>
      </w:tr>
      <w:tr w:rsidR="00131425" w:rsidRPr="00404C3D" w14:paraId="337129E8" w14:textId="77777777" w:rsidTr="00DD1ECD">
        <w:tc>
          <w:tcPr>
            <w:tcW w:w="3600" w:type="dxa"/>
            <w:tcBorders>
              <w:top w:val="single" w:sz="6" w:space="0" w:color="auto"/>
              <w:bottom w:val="single" w:sz="6" w:space="0" w:color="auto"/>
            </w:tcBorders>
            <w:shd w:val="clear" w:color="auto" w:fill="67AE3C"/>
            <w:vAlign w:val="center"/>
          </w:tcPr>
          <w:p w14:paraId="3D52E482" w14:textId="73341928" w:rsidR="00131425" w:rsidRPr="00BE3B9C" w:rsidRDefault="00BE3B9C" w:rsidP="00BE3B9C">
            <w:pPr>
              <w:jc w:val="center"/>
              <w:rPr>
                <w:rFonts w:ascii="Cambria" w:hAnsi="Cambria"/>
                <w:b/>
                <w:bCs/>
                <w:color w:val="FFFFFF" w:themeColor="background1"/>
                <w:sz w:val="20"/>
                <w:szCs w:val="20"/>
                <w:lang w:val="en-US"/>
              </w:rPr>
            </w:pPr>
            <w:r w:rsidRPr="00BE3B9C">
              <w:rPr>
                <w:rFonts w:ascii="Cambria" w:hAnsi="Cambria"/>
                <w:b/>
                <w:bCs/>
                <w:color w:val="FFFFFF" w:themeColor="background1"/>
                <w:sz w:val="20"/>
                <w:szCs w:val="20"/>
                <w:lang w:val="en-US"/>
              </w:rPr>
              <w:t>Additional information received during t</w:t>
            </w:r>
            <w:r>
              <w:rPr>
                <w:rFonts w:ascii="Cambria" w:hAnsi="Cambria"/>
                <w:b/>
                <w:bCs/>
                <w:color w:val="FFFFFF" w:themeColor="background1"/>
                <w:sz w:val="20"/>
                <w:szCs w:val="20"/>
                <w:lang w:val="en-US"/>
              </w:rPr>
              <w:t>he stage of initial review:</w:t>
            </w:r>
          </w:p>
        </w:tc>
        <w:tc>
          <w:tcPr>
            <w:tcW w:w="5760" w:type="dxa"/>
            <w:vAlign w:val="center"/>
          </w:tcPr>
          <w:p w14:paraId="30151270" w14:textId="2050B32B" w:rsidR="00131425" w:rsidRPr="00404C3D" w:rsidRDefault="006B6C04" w:rsidP="00BE3B9C">
            <w:pPr>
              <w:jc w:val="both"/>
              <w:rPr>
                <w:rFonts w:ascii="Cambria" w:hAnsi="Cambria"/>
                <w:bCs/>
                <w:sz w:val="20"/>
                <w:szCs w:val="20"/>
              </w:rPr>
            </w:pPr>
            <w:r>
              <w:rPr>
                <w:rFonts w:ascii="Cambria" w:hAnsi="Cambria"/>
                <w:bCs/>
                <w:sz w:val="20"/>
                <w:szCs w:val="20"/>
              </w:rPr>
              <w:t>December 6, 2017</w:t>
            </w:r>
          </w:p>
        </w:tc>
      </w:tr>
      <w:tr w:rsidR="004C2312" w:rsidRPr="00404C3D" w14:paraId="1BDCD5C6" w14:textId="77777777" w:rsidTr="00DD1ECD">
        <w:tc>
          <w:tcPr>
            <w:tcW w:w="3600" w:type="dxa"/>
            <w:tcBorders>
              <w:top w:val="single" w:sz="6" w:space="0" w:color="auto"/>
              <w:bottom w:val="single" w:sz="6" w:space="0" w:color="auto"/>
            </w:tcBorders>
            <w:shd w:val="clear" w:color="auto" w:fill="67AE3C"/>
            <w:vAlign w:val="center"/>
          </w:tcPr>
          <w:p w14:paraId="7A18664F" w14:textId="2A4A9465" w:rsidR="004C2312" w:rsidRPr="00404C3D" w:rsidRDefault="00BE3B9C"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w:t>
            </w:r>
            <w:r w:rsidR="004C2312" w:rsidRPr="00404C3D">
              <w:rPr>
                <w:rFonts w:ascii="Cambria" w:hAnsi="Cambria"/>
                <w:b/>
                <w:color w:val="FFFFFF" w:themeColor="background1"/>
                <w:sz w:val="20"/>
                <w:szCs w:val="20"/>
              </w:rPr>
              <w:t>:</w:t>
            </w:r>
          </w:p>
        </w:tc>
        <w:tc>
          <w:tcPr>
            <w:tcW w:w="5760" w:type="dxa"/>
            <w:vAlign w:val="center"/>
          </w:tcPr>
          <w:p w14:paraId="1519DA6A" w14:textId="5CF81B98" w:rsidR="004C2312" w:rsidRPr="00404C3D" w:rsidRDefault="006B6C04" w:rsidP="00BE3B9C">
            <w:pPr>
              <w:jc w:val="both"/>
              <w:rPr>
                <w:rFonts w:ascii="Cambria" w:hAnsi="Cambria"/>
                <w:bCs/>
                <w:sz w:val="20"/>
                <w:szCs w:val="20"/>
              </w:rPr>
            </w:pPr>
            <w:r>
              <w:rPr>
                <w:rFonts w:ascii="Cambria" w:hAnsi="Cambria"/>
                <w:bCs/>
                <w:sz w:val="20"/>
                <w:szCs w:val="20"/>
              </w:rPr>
              <w:t>June 10, 2022</w:t>
            </w:r>
          </w:p>
        </w:tc>
      </w:tr>
      <w:tr w:rsidR="004C2312" w:rsidRPr="00404C3D" w14:paraId="6147A8D5" w14:textId="77777777" w:rsidTr="00DD1ECD">
        <w:tc>
          <w:tcPr>
            <w:tcW w:w="3600" w:type="dxa"/>
            <w:tcBorders>
              <w:top w:val="single" w:sz="6" w:space="0" w:color="auto"/>
              <w:bottom w:val="single" w:sz="6" w:space="0" w:color="auto"/>
            </w:tcBorders>
            <w:shd w:val="clear" w:color="auto" w:fill="67AE3C"/>
            <w:vAlign w:val="center"/>
          </w:tcPr>
          <w:p w14:paraId="0201C86D" w14:textId="57560EA4" w:rsidR="004C2312" w:rsidRPr="00404C3D" w:rsidRDefault="00BE3B9C"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r w:rsidR="004C2312" w:rsidRPr="00404C3D">
              <w:rPr>
                <w:rFonts w:ascii="Cambria" w:hAnsi="Cambria"/>
                <w:b/>
                <w:color w:val="FFFFFF" w:themeColor="background1"/>
                <w:sz w:val="20"/>
                <w:szCs w:val="20"/>
              </w:rPr>
              <w:t>:</w:t>
            </w:r>
          </w:p>
        </w:tc>
        <w:tc>
          <w:tcPr>
            <w:tcW w:w="5760" w:type="dxa"/>
            <w:vAlign w:val="center"/>
          </w:tcPr>
          <w:p w14:paraId="1972B99E" w14:textId="309E4B68" w:rsidR="004C2312" w:rsidRPr="00404C3D" w:rsidRDefault="006B6C04" w:rsidP="00BE3B9C">
            <w:pPr>
              <w:jc w:val="both"/>
              <w:rPr>
                <w:rFonts w:ascii="Cambria" w:hAnsi="Cambria"/>
                <w:bCs/>
                <w:sz w:val="20"/>
                <w:szCs w:val="20"/>
              </w:rPr>
            </w:pPr>
            <w:r>
              <w:rPr>
                <w:rFonts w:ascii="Cambria" w:hAnsi="Cambria"/>
                <w:bCs/>
                <w:sz w:val="20"/>
                <w:szCs w:val="20"/>
              </w:rPr>
              <w:t>October 7, 2022</w:t>
            </w:r>
            <w:r>
              <w:rPr>
                <w:rStyle w:val="FootnoteReference"/>
                <w:rFonts w:ascii="Cambria" w:hAnsi="Cambria"/>
                <w:bCs/>
                <w:sz w:val="20"/>
                <w:szCs w:val="20"/>
              </w:rPr>
              <w:footnoteReference w:id="8"/>
            </w:r>
          </w:p>
        </w:tc>
      </w:tr>
      <w:tr w:rsidR="003C06EB" w:rsidRPr="00D845A9" w14:paraId="12396468" w14:textId="77777777" w:rsidTr="00DD1ECD">
        <w:tc>
          <w:tcPr>
            <w:tcW w:w="3600" w:type="dxa"/>
            <w:tcBorders>
              <w:top w:val="single" w:sz="6" w:space="0" w:color="auto"/>
              <w:bottom w:val="single" w:sz="6" w:space="0" w:color="auto"/>
            </w:tcBorders>
            <w:shd w:val="clear" w:color="auto" w:fill="67AE3C"/>
            <w:vAlign w:val="center"/>
          </w:tcPr>
          <w:p w14:paraId="391E58C1" w14:textId="748D2706" w:rsidR="003C06EB" w:rsidRPr="00EE0BE2" w:rsidRDefault="006B6C04" w:rsidP="003C06EB">
            <w:pPr>
              <w:jc w:val="center"/>
              <w:rPr>
                <w:rFonts w:ascii="Cambria" w:hAnsi="Cambria"/>
                <w:b/>
                <w:color w:val="FFFFFF" w:themeColor="background1"/>
                <w:sz w:val="20"/>
                <w:szCs w:val="20"/>
                <w:lang w:val="en-US"/>
              </w:rPr>
            </w:pPr>
            <w:r w:rsidRPr="00EE0BE2">
              <w:rPr>
                <w:rFonts w:ascii="Cambria" w:hAnsi="Cambria"/>
                <w:b/>
                <w:color w:val="FFFFFF" w:themeColor="background1"/>
                <w:sz w:val="20"/>
                <w:szCs w:val="20"/>
                <w:lang w:val="en-US"/>
              </w:rPr>
              <w:t xml:space="preserve">Warning of </w:t>
            </w:r>
            <w:r w:rsidR="00EE0BE2" w:rsidRPr="00EE0BE2">
              <w:rPr>
                <w:rFonts w:ascii="Cambria" w:hAnsi="Cambria"/>
                <w:b/>
                <w:color w:val="FFFFFF" w:themeColor="background1"/>
                <w:sz w:val="20"/>
                <w:szCs w:val="20"/>
                <w:lang w:val="en-US"/>
              </w:rPr>
              <w:t xml:space="preserve">potential </w:t>
            </w:r>
            <w:r w:rsidRPr="00EE0BE2">
              <w:rPr>
                <w:rFonts w:ascii="Cambria" w:hAnsi="Cambria"/>
                <w:b/>
                <w:color w:val="FFFFFF" w:themeColor="background1"/>
                <w:sz w:val="20"/>
                <w:szCs w:val="20"/>
                <w:lang w:val="en-US"/>
              </w:rPr>
              <w:t>archiv</w:t>
            </w:r>
            <w:r w:rsidR="00873AD6">
              <w:rPr>
                <w:rFonts w:ascii="Cambria" w:hAnsi="Cambria"/>
                <w:b/>
                <w:color w:val="FFFFFF" w:themeColor="background1"/>
                <w:sz w:val="20"/>
                <w:szCs w:val="20"/>
                <w:lang w:val="en-US"/>
              </w:rPr>
              <w:t>ing</w:t>
            </w:r>
            <w:r w:rsidRPr="00EE0BE2">
              <w:rPr>
                <w:rFonts w:ascii="Cambria" w:hAnsi="Cambria"/>
                <w:b/>
                <w:color w:val="FFFFFF" w:themeColor="background1"/>
                <w:sz w:val="20"/>
                <w:szCs w:val="20"/>
                <w:lang w:val="en-US"/>
              </w:rPr>
              <w:t xml:space="preserve"> of the petition:</w:t>
            </w:r>
          </w:p>
        </w:tc>
        <w:tc>
          <w:tcPr>
            <w:tcW w:w="5760" w:type="dxa"/>
            <w:vAlign w:val="center"/>
          </w:tcPr>
          <w:p w14:paraId="5C3FAF6A" w14:textId="0F440339" w:rsidR="003C06EB" w:rsidRPr="00AA6F30" w:rsidRDefault="002955C7" w:rsidP="00BE3B9C">
            <w:pPr>
              <w:jc w:val="both"/>
              <w:rPr>
                <w:rFonts w:ascii="Cambria" w:hAnsi="Cambria"/>
                <w:bCs/>
                <w:sz w:val="20"/>
                <w:szCs w:val="20"/>
                <w:lang w:val="en-US"/>
              </w:rPr>
            </w:pPr>
            <w:r>
              <w:rPr>
                <w:rFonts w:ascii="Cambria" w:hAnsi="Cambria"/>
                <w:bCs/>
                <w:sz w:val="20"/>
                <w:szCs w:val="20"/>
                <w:lang w:val="en-US"/>
              </w:rPr>
              <w:t xml:space="preserve">March 30, 2016; April 29, </w:t>
            </w:r>
            <w:r w:rsidR="00AE0BDB">
              <w:rPr>
                <w:rFonts w:ascii="Cambria" w:hAnsi="Cambria"/>
                <w:bCs/>
                <w:sz w:val="20"/>
                <w:szCs w:val="20"/>
                <w:lang w:val="en-US"/>
              </w:rPr>
              <w:t>2019,</w:t>
            </w:r>
            <w:r>
              <w:rPr>
                <w:rFonts w:ascii="Cambria" w:hAnsi="Cambria"/>
                <w:bCs/>
                <w:sz w:val="20"/>
                <w:szCs w:val="20"/>
                <w:lang w:val="en-US"/>
              </w:rPr>
              <w:t xml:space="preserve"> and April 16, 2020</w:t>
            </w:r>
          </w:p>
        </w:tc>
      </w:tr>
      <w:tr w:rsidR="003C06EB" w:rsidRPr="00D845A9" w14:paraId="527016FB" w14:textId="77777777" w:rsidTr="00DD1ECD">
        <w:tc>
          <w:tcPr>
            <w:tcW w:w="3600" w:type="dxa"/>
            <w:tcBorders>
              <w:top w:val="single" w:sz="6" w:space="0" w:color="auto"/>
              <w:bottom w:val="single" w:sz="6" w:space="0" w:color="auto"/>
            </w:tcBorders>
            <w:shd w:val="clear" w:color="auto" w:fill="67AE3C"/>
            <w:vAlign w:val="center"/>
          </w:tcPr>
          <w:p w14:paraId="28685951" w14:textId="62E4A03D" w:rsidR="003C06EB" w:rsidRPr="00EE0BE2" w:rsidRDefault="006B6C04" w:rsidP="003C06EB">
            <w:pPr>
              <w:jc w:val="center"/>
              <w:rPr>
                <w:rFonts w:ascii="Cambria" w:hAnsi="Cambria"/>
                <w:b/>
                <w:color w:val="FFFFFF" w:themeColor="background1"/>
                <w:sz w:val="20"/>
                <w:szCs w:val="20"/>
                <w:lang w:val="en-US"/>
              </w:rPr>
            </w:pPr>
            <w:r w:rsidRPr="00EE0BE2">
              <w:rPr>
                <w:rFonts w:ascii="Cambria" w:hAnsi="Cambria"/>
                <w:b/>
                <w:color w:val="FFFFFF" w:themeColor="background1"/>
                <w:sz w:val="20"/>
                <w:szCs w:val="20"/>
                <w:lang w:val="en-US"/>
              </w:rPr>
              <w:t xml:space="preserve">Response of the petitioner party to the warning of </w:t>
            </w:r>
            <w:r w:rsidR="00EE0BE2" w:rsidRPr="00EE0BE2">
              <w:rPr>
                <w:rFonts w:ascii="Cambria" w:hAnsi="Cambria"/>
                <w:b/>
                <w:color w:val="FFFFFF" w:themeColor="background1"/>
                <w:sz w:val="20"/>
                <w:szCs w:val="20"/>
                <w:lang w:val="en-US"/>
              </w:rPr>
              <w:t xml:space="preserve">potential </w:t>
            </w:r>
            <w:r w:rsidRPr="00EE0BE2">
              <w:rPr>
                <w:rFonts w:ascii="Cambria" w:hAnsi="Cambria"/>
                <w:b/>
                <w:color w:val="FFFFFF" w:themeColor="background1"/>
                <w:sz w:val="20"/>
                <w:szCs w:val="20"/>
                <w:lang w:val="en-US"/>
              </w:rPr>
              <w:t>archi</w:t>
            </w:r>
            <w:r w:rsidR="00873AD6">
              <w:rPr>
                <w:rFonts w:ascii="Cambria" w:hAnsi="Cambria"/>
                <w:b/>
                <w:color w:val="FFFFFF" w:themeColor="background1"/>
                <w:sz w:val="20"/>
                <w:szCs w:val="20"/>
                <w:lang w:val="en-US"/>
              </w:rPr>
              <w:t>ving</w:t>
            </w:r>
            <w:r w:rsidRPr="00EE0BE2">
              <w:rPr>
                <w:rFonts w:ascii="Cambria" w:hAnsi="Cambria"/>
                <w:b/>
                <w:color w:val="FFFFFF" w:themeColor="background1"/>
                <w:sz w:val="20"/>
                <w:szCs w:val="20"/>
                <w:lang w:val="en-US"/>
              </w:rPr>
              <w:t>:</w:t>
            </w:r>
          </w:p>
        </w:tc>
        <w:tc>
          <w:tcPr>
            <w:tcW w:w="5760" w:type="dxa"/>
            <w:vAlign w:val="center"/>
          </w:tcPr>
          <w:p w14:paraId="46374C1F" w14:textId="4C84EC31" w:rsidR="003C06EB" w:rsidRPr="00AA6F30" w:rsidRDefault="002955C7" w:rsidP="00BE3B9C">
            <w:pPr>
              <w:jc w:val="both"/>
              <w:rPr>
                <w:rFonts w:ascii="Cambria" w:hAnsi="Cambria"/>
                <w:bCs/>
                <w:sz w:val="20"/>
                <w:szCs w:val="20"/>
                <w:lang w:val="en-US"/>
              </w:rPr>
            </w:pPr>
            <w:r>
              <w:rPr>
                <w:rFonts w:ascii="Cambria" w:hAnsi="Cambria"/>
                <w:bCs/>
                <w:sz w:val="20"/>
                <w:szCs w:val="20"/>
                <w:lang w:val="en-US"/>
              </w:rPr>
              <w:t xml:space="preserve">October 7, </w:t>
            </w:r>
            <w:r w:rsidR="00AE0BDB">
              <w:rPr>
                <w:rFonts w:ascii="Cambria" w:hAnsi="Cambria"/>
                <w:bCs/>
                <w:sz w:val="20"/>
                <w:szCs w:val="20"/>
                <w:lang w:val="en-US"/>
              </w:rPr>
              <w:t>2019,</w:t>
            </w:r>
            <w:r>
              <w:rPr>
                <w:rFonts w:ascii="Cambria" w:hAnsi="Cambria"/>
                <w:bCs/>
                <w:sz w:val="20"/>
                <w:szCs w:val="20"/>
                <w:lang w:val="en-US"/>
              </w:rPr>
              <w:t xml:space="preserve"> and September 28, 2020</w:t>
            </w:r>
          </w:p>
        </w:tc>
      </w:tr>
      <w:tr w:rsidR="006B6C04" w:rsidRPr="00D845A9" w14:paraId="48E97404" w14:textId="77777777" w:rsidTr="00DD1ECD">
        <w:tc>
          <w:tcPr>
            <w:tcW w:w="3600" w:type="dxa"/>
            <w:tcBorders>
              <w:top w:val="single" w:sz="6" w:space="0" w:color="auto"/>
              <w:bottom w:val="single" w:sz="6" w:space="0" w:color="auto"/>
            </w:tcBorders>
            <w:shd w:val="clear" w:color="auto" w:fill="67AE3C"/>
            <w:vAlign w:val="center"/>
          </w:tcPr>
          <w:p w14:paraId="148196D5" w14:textId="33C7CC6A" w:rsidR="006B6C04" w:rsidRPr="006B6C04" w:rsidRDefault="006B6C04" w:rsidP="003C06EB">
            <w:pPr>
              <w:jc w:val="center"/>
              <w:rPr>
                <w:rFonts w:ascii="Cambria" w:hAnsi="Cambria"/>
                <w:b/>
                <w:color w:val="FFFFFF" w:themeColor="background1"/>
                <w:sz w:val="20"/>
                <w:szCs w:val="20"/>
                <w:lang w:val="en-US"/>
              </w:rPr>
            </w:pPr>
            <w:r w:rsidRPr="006B6C04">
              <w:rPr>
                <w:rFonts w:ascii="Cambria" w:hAnsi="Cambria"/>
                <w:b/>
                <w:color w:val="FFFFFF" w:themeColor="background1"/>
                <w:sz w:val="20"/>
                <w:szCs w:val="20"/>
                <w:lang w:val="en-US"/>
              </w:rPr>
              <w:t>Associated precautionary measure:</w:t>
            </w:r>
          </w:p>
        </w:tc>
        <w:tc>
          <w:tcPr>
            <w:tcW w:w="5760" w:type="dxa"/>
            <w:vAlign w:val="center"/>
          </w:tcPr>
          <w:p w14:paraId="4A841A15" w14:textId="76DCD202" w:rsidR="006B6C04" w:rsidRDefault="006B6C04" w:rsidP="00BE3B9C">
            <w:pPr>
              <w:jc w:val="both"/>
              <w:rPr>
                <w:rFonts w:ascii="Cambria" w:hAnsi="Cambria"/>
                <w:bCs/>
                <w:sz w:val="20"/>
                <w:szCs w:val="20"/>
                <w:lang w:val="en-US"/>
              </w:rPr>
            </w:pPr>
            <w:r>
              <w:rPr>
                <w:rFonts w:ascii="Cambria" w:hAnsi="Cambria"/>
                <w:bCs/>
                <w:sz w:val="20"/>
                <w:szCs w:val="20"/>
                <w:lang w:val="en-US"/>
              </w:rPr>
              <w:t>613-17 (closure under study)</w:t>
            </w:r>
          </w:p>
        </w:tc>
      </w:tr>
    </w:tbl>
    <w:p w14:paraId="21DAA666" w14:textId="715DFC15" w:rsidR="003239B8" w:rsidRPr="00404C3D" w:rsidRDefault="003239B8" w:rsidP="003239B8">
      <w:pPr>
        <w:spacing w:before="240" w:after="240"/>
        <w:ind w:firstLine="720"/>
        <w:jc w:val="both"/>
        <w:rPr>
          <w:rFonts w:asciiTheme="majorHAnsi" w:hAnsiTheme="majorHAnsi"/>
          <w:b/>
          <w:bCs/>
          <w:sz w:val="20"/>
          <w:szCs w:val="20"/>
        </w:rPr>
      </w:pPr>
      <w:r w:rsidRPr="00404C3D">
        <w:rPr>
          <w:rFonts w:asciiTheme="majorHAnsi" w:hAnsiTheme="majorHAnsi"/>
          <w:b/>
          <w:bCs/>
          <w:sz w:val="20"/>
          <w:szCs w:val="20"/>
        </w:rPr>
        <w:t xml:space="preserve">III. </w:t>
      </w:r>
      <w:r w:rsidRPr="00404C3D">
        <w:rPr>
          <w:rFonts w:asciiTheme="majorHAnsi" w:hAnsiTheme="majorHAnsi"/>
          <w:b/>
          <w:bCs/>
          <w:sz w:val="20"/>
          <w:szCs w:val="20"/>
        </w:rPr>
        <w:tab/>
        <w:t>COMPETENC</w:t>
      </w:r>
      <w:r w:rsidR="00BE3B9C">
        <w:rPr>
          <w:rFonts w:asciiTheme="majorHAnsi" w:hAnsiTheme="majorHAnsi"/>
          <w:b/>
          <w:bCs/>
          <w:sz w:val="20"/>
          <w:szCs w:val="20"/>
        </w:rPr>
        <w:t>E</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404C3D" w14:paraId="072532AD" w14:textId="77777777" w:rsidTr="00DD1ECD">
        <w:trPr>
          <w:cantSplit/>
        </w:trPr>
        <w:tc>
          <w:tcPr>
            <w:tcW w:w="3561" w:type="dxa"/>
            <w:tcBorders>
              <w:top w:val="single" w:sz="4" w:space="0" w:color="auto"/>
              <w:bottom w:val="single" w:sz="6" w:space="0" w:color="auto"/>
            </w:tcBorders>
            <w:shd w:val="clear" w:color="auto" w:fill="67AE3C"/>
            <w:vAlign w:val="center"/>
          </w:tcPr>
          <w:p w14:paraId="5C2E4B34" w14:textId="4581A553" w:rsidR="003239B8" w:rsidRPr="00404C3D" w:rsidRDefault="00152521" w:rsidP="00FC4870">
            <w:pPr>
              <w:jc w:val="center"/>
              <w:rPr>
                <w:rFonts w:ascii="Cambria" w:hAnsi="Cambria"/>
                <w:b/>
                <w:bCs/>
                <w:i/>
                <w:color w:val="FFFFFF" w:themeColor="background1"/>
                <w:sz w:val="20"/>
                <w:szCs w:val="20"/>
              </w:rPr>
            </w:pPr>
            <w:r w:rsidRPr="00404C3D">
              <w:rPr>
                <w:rFonts w:ascii="Cambria" w:hAnsi="Cambria"/>
                <w:b/>
                <w:bCs/>
                <w:color w:val="FFFFFF" w:themeColor="background1"/>
                <w:sz w:val="20"/>
                <w:szCs w:val="20"/>
              </w:rPr>
              <w:t>Competenc</w:t>
            </w:r>
            <w:r w:rsidR="00BE3B9C">
              <w:rPr>
                <w:rFonts w:ascii="Cambria" w:hAnsi="Cambria"/>
                <w:b/>
                <w:bCs/>
                <w:color w:val="FFFFFF" w:themeColor="background1"/>
                <w:sz w:val="20"/>
                <w:szCs w:val="20"/>
              </w:rPr>
              <w:t>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personae:</w:t>
            </w:r>
          </w:p>
        </w:tc>
        <w:tc>
          <w:tcPr>
            <w:tcW w:w="5776" w:type="dxa"/>
            <w:vAlign w:val="center"/>
          </w:tcPr>
          <w:p w14:paraId="7707F3E9" w14:textId="2EC22C59" w:rsidR="003239B8" w:rsidRPr="00404C3D" w:rsidRDefault="00BE3B9C" w:rsidP="00FC4870">
            <w:pPr>
              <w:rPr>
                <w:rFonts w:ascii="Cambria" w:hAnsi="Cambria"/>
                <w:bCs/>
                <w:sz w:val="20"/>
                <w:szCs w:val="20"/>
              </w:rPr>
            </w:pPr>
            <w:r>
              <w:rPr>
                <w:rFonts w:ascii="Cambria" w:hAnsi="Cambria"/>
                <w:bCs/>
                <w:sz w:val="20"/>
                <w:szCs w:val="20"/>
              </w:rPr>
              <w:t>Yes</w:t>
            </w:r>
          </w:p>
        </w:tc>
      </w:tr>
      <w:tr w:rsidR="003239B8" w:rsidRPr="00404C3D" w14:paraId="4B8802DA" w14:textId="77777777" w:rsidTr="00DD1ECD">
        <w:trPr>
          <w:cantSplit/>
        </w:trPr>
        <w:tc>
          <w:tcPr>
            <w:tcW w:w="3561" w:type="dxa"/>
            <w:tcBorders>
              <w:top w:val="single" w:sz="6" w:space="0" w:color="auto"/>
              <w:bottom w:val="single" w:sz="6" w:space="0" w:color="auto"/>
            </w:tcBorders>
            <w:shd w:val="clear" w:color="auto" w:fill="67AE3C"/>
            <w:vAlign w:val="center"/>
          </w:tcPr>
          <w:p w14:paraId="3915C23B" w14:textId="3CA5826C"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w:t>
            </w:r>
            <w:r w:rsidR="00BE3B9C">
              <w:rPr>
                <w:rFonts w:ascii="Cambria" w:hAnsi="Cambria"/>
                <w:b/>
                <w:bCs/>
                <w:color w:val="FFFFFF" w:themeColor="background1"/>
                <w:sz w:val="20"/>
                <w:szCs w:val="20"/>
              </w:rPr>
              <w:t>ce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loci</w:t>
            </w:r>
            <w:r w:rsidR="003239B8" w:rsidRPr="00404C3D">
              <w:rPr>
                <w:rFonts w:ascii="Cambria" w:hAnsi="Cambria"/>
                <w:b/>
                <w:bCs/>
                <w:color w:val="FFFFFF" w:themeColor="background1"/>
                <w:sz w:val="20"/>
                <w:szCs w:val="20"/>
              </w:rPr>
              <w:t>:</w:t>
            </w:r>
          </w:p>
        </w:tc>
        <w:tc>
          <w:tcPr>
            <w:tcW w:w="5776" w:type="dxa"/>
            <w:vAlign w:val="center"/>
          </w:tcPr>
          <w:p w14:paraId="12C931CB" w14:textId="18D2EE8D" w:rsidR="003239B8" w:rsidRPr="00404C3D" w:rsidRDefault="00BE3B9C" w:rsidP="00FC4870">
            <w:pPr>
              <w:rPr>
                <w:rFonts w:ascii="Cambria" w:hAnsi="Cambria"/>
                <w:bCs/>
                <w:sz w:val="20"/>
                <w:szCs w:val="20"/>
              </w:rPr>
            </w:pPr>
            <w:r>
              <w:rPr>
                <w:rFonts w:ascii="Cambria" w:hAnsi="Cambria"/>
                <w:bCs/>
                <w:sz w:val="20"/>
                <w:szCs w:val="20"/>
              </w:rPr>
              <w:t>Yes</w:t>
            </w:r>
          </w:p>
        </w:tc>
      </w:tr>
      <w:tr w:rsidR="003239B8" w:rsidRPr="00404C3D" w14:paraId="4362FDF3" w14:textId="77777777" w:rsidTr="00DD1ECD">
        <w:trPr>
          <w:cantSplit/>
        </w:trPr>
        <w:tc>
          <w:tcPr>
            <w:tcW w:w="3561" w:type="dxa"/>
            <w:tcBorders>
              <w:top w:val="single" w:sz="6" w:space="0" w:color="auto"/>
              <w:bottom w:val="single" w:sz="6" w:space="0" w:color="auto"/>
            </w:tcBorders>
            <w:shd w:val="clear" w:color="auto" w:fill="67AE3C"/>
            <w:vAlign w:val="center"/>
          </w:tcPr>
          <w:p w14:paraId="3BE23153" w14:textId="0F6F1222"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Competenc</w:t>
            </w:r>
            <w:r w:rsidR="00BE3B9C">
              <w:rPr>
                <w:rFonts w:ascii="Cambria" w:hAnsi="Cambria"/>
                <w:b/>
                <w:bCs/>
                <w:color w:val="FFFFFF" w:themeColor="background1"/>
                <w:sz w:val="20"/>
                <w:szCs w:val="20"/>
              </w:rPr>
              <w:t>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temporis</w:t>
            </w:r>
            <w:r w:rsidR="003239B8" w:rsidRPr="00404C3D">
              <w:rPr>
                <w:rFonts w:ascii="Cambria" w:hAnsi="Cambria"/>
                <w:b/>
                <w:bCs/>
                <w:color w:val="FFFFFF" w:themeColor="background1"/>
                <w:sz w:val="20"/>
                <w:szCs w:val="20"/>
              </w:rPr>
              <w:t>:</w:t>
            </w:r>
          </w:p>
        </w:tc>
        <w:tc>
          <w:tcPr>
            <w:tcW w:w="5776" w:type="dxa"/>
            <w:vAlign w:val="center"/>
          </w:tcPr>
          <w:p w14:paraId="6F8B059B" w14:textId="54250F9F" w:rsidR="003239B8" w:rsidRPr="00404C3D" w:rsidRDefault="00BE3B9C" w:rsidP="00FC4870">
            <w:pPr>
              <w:rPr>
                <w:rFonts w:ascii="Cambria" w:hAnsi="Cambria"/>
                <w:bCs/>
                <w:sz w:val="20"/>
                <w:szCs w:val="20"/>
              </w:rPr>
            </w:pPr>
            <w:r>
              <w:rPr>
                <w:rFonts w:ascii="Cambria" w:hAnsi="Cambria"/>
                <w:bCs/>
                <w:sz w:val="20"/>
                <w:szCs w:val="20"/>
              </w:rPr>
              <w:t>Yes</w:t>
            </w:r>
          </w:p>
        </w:tc>
      </w:tr>
      <w:tr w:rsidR="003239B8" w:rsidRPr="00AE0BDB" w14:paraId="30ABEC3E" w14:textId="77777777" w:rsidTr="00DD1ECD">
        <w:trPr>
          <w:cantSplit/>
        </w:trPr>
        <w:tc>
          <w:tcPr>
            <w:tcW w:w="3561" w:type="dxa"/>
            <w:tcBorders>
              <w:top w:val="single" w:sz="6" w:space="0" w:color="auto"/>
              <w:bottom w:val="single" w:sz="6" w:space="0" w:color="auto"/>
            </w:tcBorders>
            <w:shd w:val="clear" w:color="auto" w:fill="67AE3C"/>
            <w:vAlign w:val="center"/>
          </w:tcPr>
          <w:p w14:paraId="47B529D2" w14:textId="1FC34905" w:rsidR="003239B8" w:rsidRPr="00404C3D" w:rsidRDefault="00152521" w:rsidP="00FC4870">
            <w:pPr>
              <w:jc w:val="center"/>
              <w:rPr>
                <w:rFonts w:ascii="Cambria" w:hAnsi="Cambria"/>
                <w:b/>
                <w:bCs/>
                <w:color w:val="FFFFFF" w:themeColor="background1"/>
                <w:sz w:val="20"/>
                <w:szCs w:val="20"/>
              </w:rPr>
            </w:pPr>
            <w:r w:rsidRPr="00404C3D">
              <w:rPr>
                <w:rFonts w:ascii="Cambria" w:hAnsi="Cambria"/>
                <w:b/>
                <w:bCs/>
                <w:color w:val="FFFFFF" w:themeColor="background1"/>
                <w:sz w:val="20"/>
                <w:szCs w:val="20"/>
              </w:rPr>
              <w:t>Competenc</w:t>
            </w:r>
            <w:r w:rsidR="00BE3B9C">
              <w:rPr>
                <w:rFonts w:ascii="Cambria" w:hAnsi="Cambria"/>
                <w:b/>
                <w:bCs/>
                <w:color w:val="FFFFFF" w:themeColor="background1"/>
                <w:sz w:val="20"/>
                <w:szCs w:val="20"/>
              </w:rPr>
              <w:t>e</w:t>
            </w:r>
            <w:r w:rsidRPr="00404C3D">
              <w:rPr>
                <w:rFonts w:ascii="Cambria" w:hAnsi="Cambria"/>
                <w:b/>
                <w:bCs/>
                <w:i/>
                <w:color w:val="FFFFFF" w:themeColor="background1"/>
                <w:sz w:val="20"/>
                <w:szCs w:val="20"/>
              </w:rPr>
              <w:t xml:space="preserve"> </w:t>
            </w:r>
            <w:r w:rsidR="003239B8" w:rsidRPr="00404C3D">
              <w:rPr>
                <w:rFonts w:ascii="Cambria" w:hAnsi="Cambria"/>
                <w:b/>
                <w:bCs/>
                <w:i/>
                <w:color w:val="FFFFFF" w:themeColor="background1"/>
                <w:sz w:val="20"/>
                <w:szCs w:val="20"/>
              </w:rPr>
              <w:t>Ratione materia</w:t>
            </w:r>
            <w:r w:rsidR="00EE00E9" w:rsidRPr="00404C3D">
              <w:rPr>
                <w:rFonts w:ascii="Cambria" w:hAnsi="Cambria"/>
                <w:b/>
                <w:bCs/>
                <w:i/>
                <w:color w:val="FFFFFF" w:themeColor="background1"/>
                <w:sz w:val="20"/>
                <w:szCs w:val="20"/>
              </w:rPr>
              <w:t>e</w:t>
            </w:r>
            <w:r w:rsidR="003239B8" w:rsidRPr="00404C3D">
              <w:rPr>
                <w:rFonts w:ascii="Cambria" w:hAnsi="Cambria"/>
                <w:b/>
                <w:bCs/>
                <w:color w:val="FFFFFF" w:themeColor="background1"/>
                <w:sz w:val="20"/>
                <w:szCs w:val="20"/>
              </w:rPr>
              <w:t>:</w:t>
            </w:r>
          </w:p>
        </w:tc>
        <w:tc>
          <w:tcPr>
            <w:tcW w:w="5776" w:type="dxa"/>
            <w:vAlign w:val="center"/>
          </w:tcPr>
          <w:p w14:paraId="0C122F44" w14:textId="75DB2846" w:rsidR="003239B8" w:rsidRPr="00AA6F30" w:rsidRDefault="00BE3B9C" w:rsidP="00BE3B9C">
            <w:pPr>
              <w:jc w:val="both"/>
              <w:rPr>
                <w:rFonts w:ascii="Cambria" w:hAnsi="Cambria"/>
                <w:bCs/>
                <w:sz w:val="20"/>
                <w:szCs w:val="20"/>
                <w:lang w:val="en-US"/>
              </w:rPr>
            </w:pPr>
            <w:r w:rsidRPr="00BE3B9C">
              <w:rPr>
                <w:rFonts w:ascii="Cambria" w:hAnsi="Cambria"/>
                <w:bCs/>
                <w:sz w:val="20"/>
                <w:szCs w:val="20"/>
                <w:lang w:val="en-US"/>
              </w:rPr>
              <w:t>Yes, American Convention (</w:t>
            </w:r>
            <w:r>
              <w:rPr>
                <w:rFonts w:ascii="Cambria" w:hAnsi="Cambria"/>
                <w:bCs/>
                <w:sz w:val="20"/>
                <w:szCs w:val="20"/>
                <w:lang w:val="en-US"/>
              </w:rPr>
              <w:t xml:space="preserve">instrument of ratification deposited on </w:t>
            </w:r>
            <w:r w:rsidR="006B6C04">
              <w:rPr>
                <w:rFonts w:ascii="Cambria" w:hAnsi="Cambria"/>
                <w:bCs/>
                <w:sz w:val="20"/>
                <w:szCs w:val="20"/>
                <w:lang w:val="en-US"/>
              </w:rPr>
              <w:t>May 25, 1978</w:t>
            </w:r>
            <w:r>
              <w:rPr>
                <w:rFonts w:ascii="Cambria" w:hAnsi="Cambria"/>
                <w:bCs/>
                <w:sz w:val="20"/>
                <w:szCs w:val="20"/>
                <w:lang w:val="en-US"/>
              </w:rPr>
              <w:t>)</w:t>
            </w:r>
          </w:p>
        </w:tc>
      </w:tr>
    </w:tbl>
    <w:p w14:paraId="4E92C444" w14:textId="529C45C4" w:rsidR="003239B8" w:rsidRPr="00BE3B9C" w:rsidRDefault="003239B8" w:rsidP="003239B8">
      <w:pPr>
        <w:spacing w:before="240" w:after="240"/>
        <w:ind w:firstLine="720"/>
        <w:jc w:val="both"/>
        <w:rPr>
          <w:rFonts w:asciiTheme="majorHAnsi" w:hAnsiTheme="majorHAnsi"/>
          <w:b/>
          <w:bCs/>
          <w:sz w:val="20"/>
          <w:szCs w:val="20"/>
          <w:lang w:val="en-US"/>
        </w:rPr>
      </w:pPr>
      <w:r w:rsidRPr="00AA6F30">
        <w:rPr>
          <w:rFonts w:asciiTheme="majorHAnsi" w:hAnsiTheme="majorHAnsi"/>
          <w:b/>
          <w:bCs/>
          <w:sz w:val="20"/>
          <w:szCs w:val="20"/>
          <w:lang w:val="en-US"/>
        </w:rPr>
        <w:t xml:space="preserve">IV. </w:t>
      </w:r>
      <w:r w:rsidRPr="00AA6F30">
        <w:rPr>
          <w:rFonts w:asciiTheme="majorHAnsi" w:hAnsiTheme="majorHAnsi"/>
          <w:b/>
          <w:bCs/>
          <w:sz w:val="20"/>
          <w:szCs w:val="20"/>
          <w:lang w:val="en-US"/>
        </w:rPr>
        <w:tab/>
      </w:r>
      <w:r w:rsidR="00BE3B9C" w:rsidRPr="00BE3B9C">
        <w:rPr>
          <w:rFonts w:asciiTheme="majorHAnsi" w:hAnsiTheme="majorHAnsi"/>
          <w:b/>
          <w:bCs/>
          <w:sz w:val="20"/>
          <w:szCs w:val="20"/>
          <w:lang w:val="en-US"/>
        </w:rPr>
        <w:t>DUPLICATION OF PROCEDURES AND INTERNATIONAL RES JUDICATA,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29"/>
        <w:gridCol w:w="5808"/>
      </w:tblGrid>
      <w:tr w:rsidR="00EE00E9" w:rsidRPr="00404C3D" w14:paraId="1231C988" w14:textId="77777777" w:rsidTr="00DD1ECD">
        <w:trPr>
          <w:cantSplit/>
        </w:trPr>
        <w:tc>
          <w:tcPr>
            <w:tcW w:w="3529" w:type="dxa"/>
            <w:tcBorders>
              <w:top w:val="single" w:sz="4" w:space="0" w:color="auto"/>
              <w:bottom w:val="single" w:sz="6" w:space="0" w:color="auto"/>
            </w:tcBorders>
            <w:shd w:val="clear" w:color="auto" w:fill="67AE3C"/>
            <w:vAlign w:val="center"/>
          </w:tcPr>
          <w:p w14:paraId="6F8031F4" w14:textId="6DCBB7A0" w:rsidR="00EE00E9" w:rsidRPr="00AA6F30" w:rsidRDefault="00BE3B9C" w:rsidP="00BE3B9C">
            <w:pPr>
              <w:jc w:val="center"/>
              <w:rPr>
                <w:rFonts w:ascii="Cambria" w:hAnsi="Cambria"/>
                <w:b/>
                <w:bCs/>
                <w:color w:val="FFFFFF" w:themeColor="background1"/>
                <w:sz w:val="20"/>
                <w:szCs w:val="20"/>
                <w:lang w:val="en-US"/>
              </w:rPr>
            </w:pPr>
            <w:r w:rsidRPr="00BE3B9C">
              <w:rPr>
                <w:rFonts w:ascii="Cambria" w:hAnsi="Cambria"/>
                <w:b/>
                <w:bCs/>
                <w:color w:val="FFFFFF" w:themeColor="background1"/>
                <w:sz w:val="20"/>
                <w:szCs w:val="20"/>
                <w:lang w:val="en-US"/>
              </w:rPr>
              <w:t>Duplication of procedures and i</w:t>
            </w:r>
            <w:r>
              <w:rPr>
                <w:rFonts w:ascii="Cambria" w:hAnsi="Cambria"/>
                <w:b/>
                <w:bCs/>
                <w:color w:val="FFFFFF" w:themeColor="background1"/>
                <w:sz w:val="20"/>
                <w:szCs w:val="20"/>
                <w:lang w:val="en-US"/>
              </w:rPr>
              <w:t>nternational res judicata:</w:t>
            </w:r>
          </w:p>
        </w:tc>
        <w:tc>
          <w:tcPr>
            <w:tcW w:w="5808" w:type="dxa"/>
            <w:vAlign w:val="center"/>
          </w:tcPr>
          <w:p w14:paraId="240941E6" w14:textId="5171B395" w:rsidR="00EE00E9" w:rsidRPr="00404C3D" w:rsidRDefault="00BB6A0F" w:rsidP="00FC4870">
            <w:pPr>
              <w:jc w:val="both"/>
              <w:rPr>
                <w:rFonts w:ascii="Cambria" w:hAnsi="Cambria"/>
                <w:bCs/>
                <w:sz w:val="20"/>
                <w:szCs w:val="20"/>
              </w:rPr>
            </w:pPr>
            <w:r w:rsidRPr="00404C3D">
              <w:rPr>
                <w:rFonts w:ascii="Cambria" w:hAnsi="Cambria"/>
                <w:bCs/>
                <w:sz w:val="20"/>
                <w:szCs w:val="20"/>
              </w:rPr>
              <w:t>No</w:t>
            </w:r>
          </w:p>
        </w:tc>
      </w:tr>
      <w:tr w:rsidR="002B3E6B" w:rsidRPr="00AE0BDB" w14:paraId="15FAA7D1" w14:textId="77777777" w:rsidTr="00DD1ECD">
        <w:trPr>
          <w:cantSplit/>
        </w:trPr>
        <w:tc>
          <w:tcPr>
            <w:tcW w:w="3529" w:type="dxa"/>
            <w:tcBorders>
              <w:top w:val="single" w:sz="4" w:space="0" w:color="auto"/>
              <w:bottom w:val="single" w:sz="6" w:space="0" w:color="auto"/>
            </w:tcBorders>
            <w:shd w:val="clear" w:color="auto" w:fill="67AE3C"/>
            <w:vAlign w:val="center"/>
          </w:tcPr>
          <w:p w14:paraId="1B0D29FF" w14:textId="4DD2440A" w:rsidR="002B3E6B" w:rsidRPr="00BE3B9C" w:rsidRDefault="00BE3B9C" w:rsidP="00BE3B9C">
            <w:pPr>
              <w:jc w:val="center"/>
              <w:rPr>
                <w:rFonts w:ascii="Cambria" w:hAnsi="Cambria"/>
                <w:b/>
                <w:bCs/>
                <w:color w:val="FFFFFF" w:themeColor="background1"/>
                <w:sz w:val="20"/>
                <w:szCs w:val="20"/>
              </w:rPr>
            </w:pPr>
            <w:r>
              <w:rPr>
                <w:rFonts w:ascii="Cambria" w:hAnsi="Cambria"/>
                <w:b/>
                <w:bCs/>
                <w:color w:val="FFFFFF" w:themeColor="background1"/>
                <w:sz w:val="20"/>
                <w:szCs w:val="20"/>
              </w:rPr>
              <w:t>Rights declared admissible:</w:t>
            </w:r>
          </w:p>
        </w:tc>
        <w:tc>
          <w:tcPr>
            <w:tcW w:w="5808" w:type="dxa"/>
            <w:vAlign w:val="center"/>
          </w:tcPr>
          <w:p w14:paraId="6310C8F7" w14:textId="404AB507" w:rsidR="002B3E6B" w:rsidRPr="006B6C04" w:rsidRDefault="006B6C04" w:rsidP="00E37F2C">
            <w:pPr>
              <w:jc w:val="both"/>
              <w:rPr>
                <w:rFonts w:ascii="Cambria" w:hAnsi="Cambria"/>
                <w:bCs/>
                <w:sz w:val="20"/>
                <w:szCs w:val="20"/>
                <w:highlight w:val="yellow"/>
                <w:lang w:val="en-US"/>
              </w:rPr>
            </w:pPr>
            <w:r w:rsidRPr="00D17564">
              <w:rPr>
                <w:rFonts w:ascii="Cambria" w:hAnsi="Cambria"/>
                <w:bCs/>
                <w:sz w:val="20"/>
                <w:szCs w:val="20"/>
                <w:lang w:val="en-US"/>
              </w:rPr>
              <w:t>Articles 7</w:t>
            </w:r>
            <w:r w:rsidR="00D17564" w:rsidRPr="00D17564">
              <w:rPr>
                <w:rFonts w:ascii="Cambria" w:hAnsi="Cambria"/>
                <w:bCs/>
                <w:sz w:val="20"/>
                <w:szCs w:val="20"/>
                <w:lang w:val="en-US"/>
              </w:rPr>
              <w:t xml:space="preserve"> (right to personal liberty)</w:t>
            </w:r>
            <w:r w:rsidRPr="00D17564">
              <w:rPr>
                <w:rFonts w:ascii="Cambria" w:hAnsi="Cambria"/>
                <w:bCs/>
                <w:sz w:val="20"/>
                <w:szCs w:val="20"/>
                <w:lang w:val="en-US"/>
              </w:rPr>
              <w:t xml:space="preserve">, 8 (right to </w:t>
            </w:r>
            <w:r w:rsidR="00D17564" w:rsidRPr="00D17564">
              <w:rPr>
                <w:rFonts w:ascii="Cambria" w:hAnsi="Cambria"/>
                <w:bCs/>
                <w:sz w:val="20"/>
                <w:szCs w:val="20"/>
                <w:lang w:val="en-US"/>
              </w:rPr>
              <w:t xml:space="preserve">a </w:t>
            </w:r>
            <w:r w:rsidRPr="00D17564">
              <w:rPr>
                <w:rFonts w:ascii="Cambria" w:hAnsi="Cambria"/>
                <w:bCs/>
                <w:sz w:val="20"/>
                <w:szCs w:val="20"/>
                <w:lang w:val="en-US"/>
              </w:rPr>
              <w:t xml:space="preserve">fair trial), 25 </w:t>
            </w:r>
            <w:r w:rsidR="00D17564" w:rsidRPr="00D17564">
              <w:rPr>
                <w:rFonts w:ascii="Cambria" w:hAnsi="Cambria"/>
                <w:bCs/>
                <w:sz w:val="20"/>
                <w:szCs w:val="20"/>
                <w:lang w:val="en-US"/>
              </w:rPr>
              <w:t xml:space="preserve">(right to judicial protection) </w:t>
            </w:r>
            <w:r w:rsidRPr="00D17564">
              <w:rPr>
                <w:rFonts w:ascii="Cambria" w:hAnsi="Cambria"/>
                <w:bCs/>
                <w:sz w:val="20"/>
                <w:szCs w:val="20"/>
                <w:lang w:val="en-US"/>
              </w:rPr>
              <w:t xml:space="preserve">and 26 </w:t>
            </w:r>
            <w:r w:rsidR="00D17564" w:rsidRPr="00D17564">
              <w:rPr>
                <w:rFonts w:ascii="Cambria" w:hAnsi="Cambria"/>
                <w:bCs/>
                <w:sz w:val="20"/>
                <w:szCs w:val="20"/>
                <w:lang w:val="en-US"/>
              </w:rPr>
              <w:t xml:space="preserve">(progressive development) </w:t>
            </w:r>
            <w:r w:rsidRPr="00D17564">
              <w:rPr>
                <w:rFonts w:ascii="Cambria" w:hAnsi="Cambria"/>
                <w:bCs/>
                <w:sz w:val="20"/>
                <w:szCs w:val="20"/>
                <w:lang w:val="en-US"/>
              </w:rPr>
              <w:t xml:space="preserve">in relation to article 1.1 </w:t>
            </w:r>
            <w:r w:rsidR="00D17564" w:rsidRPr="00D17564">
              <w:rPr>
                <w:rFonts w:ascii="Cambria" w:hAnsi="Cambria"/>
                <w:bCs/>
                <w:sz w:val="20"/>
                <w:szCs w:val="20"/>
                <w:lang w:val="en-US"/>
              </w:rPr>
              <w:t>(obligation to respect rights)</w:t>
            </w:r>
          </w:p>
        </w:tc>
      </w:tr>
      <w:tr w:rsidR="003239B8" w:rsidRPr="00AE0BDB" w14:paraId="4EFD141E" w14:textId="77777777" w:rsidTr="00DD1ECD">
        <w:trPr>
          <w:cantSplit/>
        </w:trPr>
        <w:tc>
          <w:tcPr>
            <w:tcW w:w="3529" w:type="dxa"/>
            <w:tcBorders>
              <w:top w:val="single" w:sz="6" w:space="0" w:color="auto"/>
              <w:bottom w:val="single" w:sz="6" w:space="0" w:color="auto"/>
            </w:tcBorders>
            <w:shd w:val="clear" w:color="auto" w:fill="67AE3C"/>
            <w:vAlign w:val="center"/>
          </w:tcPr>
          <w:p w14:paraId="4C04A89C" w14:textId="6A8E50F3" w:rsidR="003239B8" w:rsidRPr="00AA6F30" w:rsidRDefault="00BE3B9C" w:rsidP="00BE3B9C">
            <w:pPr>
              <w:jc w:val="center"/>
              <w:rPr>
                <w:rFonts w:ascii="Cambria" w:hAnsi="Cambria"/>
                <w:b/>
                <w:bCs/>
                <w:color w:val="FFFFFF" w:themeColor="background1"/>
                <w:sz w:val="20"/>
                <w:szCs w:val="20"/>
                <w:lang w:val="en-US"/>
              </w:rPr>
            </w:pPr>
            <w:r w:rsidRPr="00BE3B9C">
              <w:rPr>
                <w:rFonts w:ascii="Cambria" w:hAnsi="Cambria"/>
                <w:b/>
                <w:bCs/>
                <w:color w:val="FFFFFF" w:themeColor="background1"/>
                <w:sz w:val="20"/>
                <w:szCs w:val="20"/>
                <w:lang w:val="en-US"/>
              </w:rPr>
              <w:t>Exhaustion or exception to t</w:t>
            </w:r>
            <w:r>
              <w:rPr>
                <w:rFonts w:ascii="Cambria" w:hAnsi="Cambria"/>
                <w:b/>
                <w:bCs/>
                <w:color w:val="FFFFFF" w:themeColor="background1"/>
                <w:sz w:val="20"/>
                <w:szCs w:val="20"/>
                <w:lang w:val="en-US"/>
              </w:rPr>
              <w:t>he exhaustion of domestic remedies:</w:t>
            </w:r>
          </w:p>
        </w:tc>
        <w:tc>
          <w:tcPr>
            <w:tcW w:w="5808" w:type="dxa"/>
            <w:vAlign w:val="center"/>
          </w:tcPr>
          <w:p w14:paraId="69C53E8A" w14:textId="209D0111" w:rsidR="003239B8" w:rsidRPr="00BE3B9C" w:rsidRDefault="006B6C04" w:rsidP="00FC4870">
            <w:pPr>
              <w:rPr>
                <w:rFonts w:asciiTheme="majorHAnsi" w:hAnsiTheme="majorHAnsi"/>
                <w:bCs/>
                <w:color w:val="000000" w:themeColor="text1"/>
                <w:sz w:val="20"/>
                <w:szCs w:val="20"/>
                <w:lang w:val="en-US"/>
              </w:rPr>
            </w:pPr>
            <w:r>
              <w:rPr>
                <w:rFonts w:asciiTheme="majorHAnsi" w:hAnsiTheme="majorHAnsi"/>
                <w:bCs/>
                <w:color w:val="000000" w:themeColor="text1"/>
                <w:sz w:val="20"/>
                <w:szCs w:val="20"/>
                <w:lang w:val="en-US"/>
              </w:rPr>
              <w:t>Yes</w:t>
            </w:r>
            <w:r w:rsidR="00BE3B9C" w:rsidRPr="00BE3B9C">
              <w:rPr>
                <w:rFonts w:asciiTheme="majorHAnsi" w:hAnsiTheme="majorHAnsi"/>
                <w:bCs/>
                <w:color w:val="000000" w:themeColor="text1"/>
                <w:sz w:val="20"/>
                <w:szCs w:val="20"/>
                <w:lang w:val="en-US"/>
              </w:rPr>
              <w:t>, in the terms o</w:t>
            </w:r>
            <w:r w:rsidR="00BE3B9C">
              <w:rPr>
                <w:rFonts w:asciiTheme="majorHAnsi" w:hAnsiTheme="majorHAnsi"/>
                <w:bCs/>
                <w:color w:val="000000" w:themeColor="text1"/>
                <w:sz w:val="20"/>
                <w:szCs w:val="20"/>
                <w:lang w:val="en-US"/>
              </w:rPr>
              <w:t>f Section VI</w:t>
            </w:r>
            <w:r>
              <w:rPr>
                <w:rFonts w:asciiTheme="majorHAnsi" w:hAnsiTheme="majorHAnsi"/>
                <w:bCs/>
                <w:color w:val="000000" w:themeColor="text1"/>
                <w:sz w:val="20"/>
                <w:szCs w:val="20"/>
                <w:lang w:val="en-US"/>
              </w:rPr>
              <w:t>I</w:t>
            </w:r>
          </w:p>
        </w:tc>
      </w:tr>
      <w:tr w:rsidR="003239B8" w:rsidRPr="00AE0BDB" w14:paraId="52B5BA17" w14:textId="77777777" w:rsidTr="00DD1ECD">
        <w:trPr>
          <w:cantSplit/>
        </w:trPr>
        <w:tc>
          <w:tcPr>
            <w:tcW w:w="3529" w:type="dxa"/>
            <w:tcBorders>
              <w:top w:val="single" w:sz="6" w:space="0" w:color="auto"/>
              <w:bottom w:val="single" w:sz="6" w:space="0" w:color="auto"/>
            </w:tcBorders>
            <w:shd w:val="clear" w:color="auto" w:fill="67AE3C"/>
            <w:vAlign w:val="center"/>
          </w:tcPr>
          <w:p w14:paraId="5DF99086" w14:textId="393DC7E6" w:rsidR="003239B8" w:rsidRPr="00404C3D" w:rsidRDefault="00BE3B9C" w:rsidP="00FC4870">
            <w:pPr>
              <w:jc w:val="center"/>
              <w:rPr>
                <w:rFonts w:ascii="Cambria" w:hAnsi="Cambria"/>
                <w:b/>
                <w:bCs/>
                <w:color w:val="FFFFFF" w:themeColor="background1"/>
                <w:sz w:val="20"/>
                <w:szCs w:val="20"/>
              </w:rPr>
            </w:pPr>
            <w:r>
              <w:rPr>
                <w:rFonts w:ascii="Cambria" w:hAnsi="Cambria"/>
                <w:b/>
                <w:bCs/>
                <w:color w:val="FFFFFF" w:themeColor="background1"/>
                <w:sz w:val="20"/>
                <w:szCs w:val="20"/>
              </w:rPr>
              <w:lastRenderedPageBreak/>
              <w:t>TImeliness of the petition:</w:t>
            </w:r>
          </w:p>
        </w:tc>
        <w:tc>
          <w:tcPr>
            <w:tcW w:w="5808" w:type="dxa"/>
            <w:vAlign w:val="center"/>
          </w:tcPr>
          <w:p w14:paraId="4A2A4569" w14:textId="19B9C176" w:rsidR="003239B8" w:rsidRPr="00BE3B9C" w:rsidRDefault="006B6C04" w:rsidP="00FC4870">
            <w:pPr>
              <w:rPr>
                <w:rFonts w:asciiTheme="majorHAnsi" w:hAnsiTheme="majorHAnsi"/>
                <w:bCs/>
                <w:color w:val="000000" w:themeColor="text1"/>
                <w:sz w:val="20"/>
                <w:szCs w:val="20"/>
                <w:lang w:val="en-US"/>
              </w:rPr>
            </w:pPr>
            <w:r>
              <w:rPr>
                <w:rFonts w:asciiTheme="majorHAnsi" w:hAnsiTheme="majorHAnsi"/>
                <w:bCs/>
                <w:color w:val="000000" w:themeColor="text1"/>
                <w:sz w:val="20"/>
                <w:szCs w:val="20"/>
                <w:lang w:val="en-US"/>
              </w:rPr>
              <w:t>Yes</w:t>
            </w:r>
            <w:r w:rsidR="00BE3B9C" w:rsidRPr="00BE3B9C">
              <w:rPr>
                <w:rFonts w:asciiTheme="majorHAnsi" w:hAnsiTheme="majorHAnsi"/>
                <w:bCs/>
                <w:color w:val="000000" w:themeColor="text1"/>
                <w:sz w:val="20"/>
                <w:szCs w:val="20"/>
                <w:lang w:val="en-US"/>
              </w:rPr>
              <w:t>, in the terms o</w:t>
            </w:r>
            <w:r w:rsidR="00BE3B9C">
              <w:rPr>
                <w:rFonts w:asciiTheme="majorHAnsi" w:hAnsiTheme="majorHAnsi"/>
                <w:bCs/>
                <w:color w:val="000000" w:themeColor="text1"/>
                <w:sz w:val="20"/>
                <w:szCs w:val="20"/>
                <w:lang w:val="en-US"/>
              </w:rPr>
              <w:t>f Section VI</w:t>
            </w:r>
            <w:r>
              <w:rPr>
                <w:rFonts w:asciiTheme="majorHAnsi" w:hAnsiTheme="majorHAnsi"/>
                <w:bCs/>
                <w:color w:val="000000" w:themeColor="text1"/>
                <w:sz w:val="20"/>
                <w:szCs w:val="20"/>
                <w:lang w:val="en-US"/>
              </w:rPr>
              <w:t>I</w:t>
            </w:r>
          </w:p>
        </w:tc>
      </w:tr>
    </w:tbl>
    <w:p w14:paraId="520F2A97" w14:textId="46A7EDF3" w:rsidR="00800784" w:rsidRPr="00BE3B9C" w:rsidRDefault="00800784">
      <w:pPr>
        <w:pBdr>
          <w:top w:val="nil"/>
          <w:left w:val="nil"/>
          <w:bottom w:val="nil"/>
          <w:right w:val="nil"/>
          <w:between w:val="nil"/>
          <w:bar w:val="nil"/>
        </w:pBdr>
        <w:rPr>
          <w:rFonts w:asciiTheme="majorHAnsi" w:hAnsiTheme="majorHAnsi"/>
          <w:b/>
          <w:sz w:val="20"/>
          <w:szCs w:val="20"/>
          <w:lang w:val="en-US"/>
        </w:rPr>
      </w:pPr>
    </w:p>
    <w:p w14:paraId="47A6C5D9" w14:textId="7A867F23" w:rsidR="00B23A3F" w:rsidRPr="00BE3B9C" w:rsidRDefault="00223A29" w:rsidP="00B23A3F">
      <w:pPr>
        <w:suppressAutoHyphens/>
        <w:spacing w:after="240"/>
        <w:ind w:left="720"/>
        <w:jc w:val="both"/>
        <w:rPr>
          <w:rFonts w:asciiTheme="majorHAnsi" w:hAnsiTheme="majorHAnsi"/>
          <w:b/>
          <w:sz w:val="20"/>
          <w:szCs w:val="20"/>
          <w:lang w:val="en-US"/>
        </w:rPr>
      </w:pPr>
      <w:r w:rsidRPr="00BE3B9C">
        <w:rPr>
          <w:rFonts w:asciiTheme="majorHAnsi" w:hAnsiTheme="majorHAnsi"/>
          <w:b/>
          <w:sz w:val="20"/>
          <w:szCs w:val="20"/>
          <w:lang w:val="en-US"/>
        </w:rPr>
        <w:t xml:space="preserve">V. </w:t>
      </w:r>
      <w:r w:rsidRPr="00BE3B9C">
        <w:rPr>
          <w:rFonts w:asciiTheme="majorHAnsi" w:hAnsiTheme="majorHAnsi"/>
          <w:b/>
          <w:sz w:val="20"/>
          <w:szCs w:val="20"/>
          <w:lang w:val="en-US"/>
        </w:rPr>
        <w:tab/>
      </w:r>
      <w:r w:rsidR="00BE3B9C" w:rsidRPr="00BE3B9C">
        <w:rPr>
          <w:rFonts w:asciiTheme="majorHAnsi" w:hAnsiTheme="majorHAnsi"/>
          <w:b/>
          <w:sz w:val="20"/>
          <w:szCs w:val="20"/>
          <w:lang w:val="en-US"/>
        </w:rPr>
        <w:t>POSITIONS OF THE P</w:t>
      </w:r>
      <w:r w:rsidR="00BE3B9C">
        <w:rPr>
          <w:rFonts w:asciiTheme="majorHAnsi" w:hAnsiTheme="majorHAnsi"/>
          <w:b/>
          <w:sz w:val="20"/>
          <w:szCs w:val="20"/>
          <w:lang w:val="en-US"/>
        </w:rPr>
        <w:t>ARTIES</w:t>
      </w:r>
    </w:p>
    <w:p w14:paraId="7A5225E4" w14:textId="1DD5F76D" w:rsidR="006344A2" w:rsidRDefault="00D17564" w:rsidP="00910155">
      <w:pPr>
        <w:numPr>
          <w:ilvl w:val="0"/>
          <w:numId w:val="55"/>
        </w:numPr>
        <w:suppressAutoHyphens/>
        <w:spacing w:after="240"/>
        <w:jc w:val="both"/>
        <w:rPr>
          <w:rFonts w:asciiTheme="majorHAnsi" w:hAnsiTheme="majorHAnsi"/>
          <w:sz w:val="20"/>
          <w:szCs w:val="20"/>
          <w:lang w:val="en-US"/>
        </w:rPr>
      </w:pPr>
      <w:r w:rsidRPr="00D17564">
        <w:rPr>
          <w:rFonts w:asciiTheme="majorHAnsi" w:hAnsiTheme="majorHAnsi"/>
          <w:sz w:val="20"/>
          <w:szCs w:val="20"/>
          <w:lang w:val="en-US"/>
        </w:rPr>
        <w:t>The petition was filed by the Madre Selva collective and Mr. Caal Xól (hereinafter "petitioners" or "petition</w:t>
      </w:r>
      <w:r w:rsidR="00EE0BE2">
        <w:rPr>
          <w:rFonts w:asciiTheme="majorHAnsi" w:hAnsiTheme="majorHAnsi"/>
          <w:sz w:val="20"/>
          <w:szCs w:val="20"/>
          <w:lang w:val="en-US"/>
        </w:rPr>
        <w:t>er</w:t>
      </w:r>
      <w:r w:rsidRPr="00D17564">
        <w:rPr>
          <w:rFonts w:asciiTheme="majorHAnsi" w:hAnsiTheme="majorHAnsi"/>
          <w:sz w:val="20"/>
          <w:szCs w:val="20"/>
          <w:lang w:val="en-US"/>
        </w:rPr>
        <w:t xml:space="preserve"> party"), who allege the violation of the right to consultation of the Q'eqchi's indigenous communities of Santa María Cahabón, as a result of the concession to build two hydroelectric plants on the rivers that flow through their communities. On the other hand, they allege violations of judicial guarantees and protection in the criminal trial of Mr. Caal Xól, who is a human rights defender and indigenous leader.</w:t>
      </w:r>
    </w:p>
    <w:p w14:paraId="70022BB3" w14:textId="4EAFB97E" w:rsidR="006344A2" w:rsidRPr="006344A2" w:rsidRDefault="00D17564" w:rsidP="006344A2">
      <w:pPr>
        <w:suppressAutoHyphens/>
        <w:spacing w:after="240"/>
        <w:ind w:left="720"/>
        <w:jc w:val="both"/>
        <w:rPr>
          <w:rFonts w:asciiTheme="majorHAnsi" w:hAnsiTheme="majorHAnsi"/>
          <w:i/>
          <w:iCs/>
          <w:sz w:val="20"/>
          <w:szCs w:val="20"/>
          <w:lang w:val="en-US"/>
        </w:rPr>
      </w:pPr>
      <w:r>
        <w:rPr>
          <w:rFonts w:asciiTheme="majorHAnsi" w:hAnsiTheme="majorHAnsi"/>
          <w:i/>
          <w:iCs/>
          <w:sz w:val="20"/>
          <w:szCs w:val="20"/>
          <w:lang w:val="en-US"/>
        </w:rPr>
        <w:t>General approaches</w:t>
      </w:r>
    </w:p>
    <w:p w14:paraId="21CE2FA7" w14:textId="6A3C552D" w:rsidR="00D17564" w:rsidRPr="00D17564" w:rsidRDefault="00D17564" w:rsidP="00D17564">
      <w:pPr>
        <w:numPr>
          <w:ilvl w:val="0"/>
          <w:numId w:val="55"/>
        </w:numPr>
        <w:suppressAutoHyphens/>
        <w:spacing w:after="240"/>
        <w:jc w:val="both"/>
        <w:rPr>
          <w:rFonts w:asciiTheme="majorHAnsi" w:hAnsiTheme="majorHAnsi"/>
          <w:sz w:val="20"/>
          <w:szCs w:val="20"/>
          <w:lang w:val="en-US"/>
        </w:rPr>
      </w:pPr>
      <w:r w:rsidRPr="00D17564">
        <w:rPr>
          <w:rFonts w:asciiTheme="majorHAnsi" w:hAnsiTheme="majorHAnsi"/>
          <w:sz w:val="20"/>
          <w:szCs w:val="20"/>
          <w:lang w:val="en-US"/>
        </w:rPr>
        <w:t>From the narrative and annexes provided by both parties, it is clear that the controversy denounced in the petition arises from the granting of two concessions to use the public domain on the Oxec and Cahabón rivers, and the subsequent construction of two hydroelectric power plants called Oxec and Oxec II. To provide context in this regard, the State reported extensively</w:t>
      </w:r>
      <w:r>
        <w:rPr>
          <w:rStyle w:val="FootnoteReference"/>
          <w:rFonts w:asciiTheme="majorHAnsi" w:hAnsiTheme="majorHAnsi"/>
          <w:sz w:val="20"/>
          <w:szCs w:val="20"/>
          <w:lang w:val="en-US"/>
        </w:rPr>
        <w:footnoteReference w:id="9"/>
      </w:r>
      <w:r w:rsidRPr="00D17564">
        <w:rPr>
          <w:rFonts w:asciiTheme="majorHAnsi" w:hAnsiTheme="majorHAnsi"/>
          <w:sz w:val="20"/>
          <w:szCs w:val="20"/>
          <w:lang w:val="en-US"/>
        </w:rPr>
        <w:t xml:space="preserve"> on the administrative procedure for the approval of the two hydroelectric projects.</w:t>
      </w:r>
    </w:p>
    <w:p w14:paraId="69EEDE9C" w14:textId="1AD092C6" w:rsidR="006344A2" w:rsidRDefault="00D17564" w:rsidP="00D17564">
      <w:pPr>
        <w:numPr>
          <w:ilvl w:val="0"/>
          <w:numId w:val="55"/>
        </w:numPr>
        <w:suppressAutoHyphens/>
        <w:spacing w:after="240"/>
        <w:jc w:val="both"/>
        <w:rPr>
          <w:rFonts w:asciiTheme="majorHAnsi" w:hAnsiTheme="majorHAnsi"/>
          <w:sz w:val="20"/>
          <w:szCs w:val="20"/>
          <w:lang w:val="en-US"/>
        </w:rPr>
      </w:pPr>
      <w:r w:rsidRPr="00D17564">
        <w:rPr>
          <w:rFonts w:asciiTheme="majorHAnsi" w:hAnsiTheme="majorHAnsi"/>
          <w:sz w:val="20"/>
          <w:szCs w:val="20"/>
          <w:lang w:val="en-US"/>
        </w:rPr>
        <w:t xml:space="preserve">In 2012, Sociedad Anónima Oxec filed a request to use public property to install a hydroelectric </w:t>
      </w:r>
      <w:r w:rsidR="00EE0BE2">
        <w:rPr>
          <w:rFonts w:asciiTheme="majorHAnsi" w:hAnsiTheme="majorHAnsi"/>
          <w:sz w:val="20"/>
          <w:szCs w:val="20"/>
          <w:lang w:val="en-US"/>
        </w:rPr>
        <w:t>power</w:t>
      </w:r>
      <w:r w:rsidRPr="00D17564">
        <w:rPr>
          <w:rFonts w:asciiTheme="majorHAnsi" w:hAnsiTheme="majorHAnsi"/>
          <w:sz w:val="20"/>
          <w:szCs w:val="20"/>
          <w:lang w:val="en-US"/>
        </w:rPr>
        <w:t xml:space="preserve"> plant, in the Oxec River basin, in the municipality of Santa María Cahabón, in the department of Alta Verapazo. On August 7, 2013, the Ministry of Energy and Mines issued Resolution 3221,</w:t>
      </w:r>
      <w:r>
        <w:rPr>
          <w:rStyle w:val="FootnoteReference"/>
          <w:rFonts w:asciiTheme="majorHAnsi" w:hAnsiTheme="majorHAnsi"/>
          <w:sz w:val="20"/>
          <w:szCs w:val="20"/>
          <w:lang w:val="en-US"/>
        </w:rPr>
        <w:footnoteReference w:id="10"/>
      </w:r>
      <w:r w:rsidRPr="00D17564">
        <w:rPr>
          <w:rFonts w:asciiTheme="majorHAnsi" w:hAnsiTheme="majorHAnsi"/>
          <w:sz w:val="20"/>
          <w:szCs w:val="20"/>
          <w:lang w:val="en-US"/>
        </w:rPr>
        <w:t xml:space="preserve"> through which it granted the definitive authorization for the installation of the hydroelectric </w:t>
      </w:r>
      <w:r w:rsidR="00EE0BE2">
        <w:rPr>
          <w:rFonts w:asciiTheme="majorHAnsi" w:hAnsiTheme="majorHAnsi"/>
          <w:sz w:val="20"/>
          <w:szCs w:val="20"/>
          <w:lang w:val="en-US"/>
        </w:rPr>
        <w:t>power</w:t>
      </w:r>
      <w:r w:rsidRPr="00D17564">
        <w:rPr>
          <w:rFonts w:asciiTheme="majorHAnsi" w:hAnsiTheme="majorHAnsi"/>
          <w:sz w:val="20"/>
          <w:szCs w:val="20"/>
          <w:lang w:val="en-US"/>
        </w:rPr>
        <w:t xml:space="preserve"> plant, in favor of the Oxec entity, empowering it to use the flow of the Oxec River, with an outlet on the Cahabón River, for a term of fifty years.</w:t>
      </w:r>
    </w:p>
    <w:p w14:paraId="390F3C98" w14:textId="39307DA0" w:rsidR="00D17564" w:rsidRPr="00D17564" w:rsidRDefault="00D17564" w:rsidP="00D17564">
      <w:pPr>
        <w:numPr>
          <w:ilvl w:val="0"/>
          <w:numId w:val="55"/>
        </w:numPr>
        <w:suppressAutoHyphens/>
        <w:spacing w:after="240"/>
        <w:jc w:val="both"/>
        <w:rPr>
          <w:rFonts w:asciiTheme="majorHAnsi" w:hAnsiTheme="majorHAnsi"/>
          <w:sz w:val="20"/>
          <w:szCs w:val="20"/>
          <w:lang w:val="en-US"/>
        </w:rPr>
      </w:pPr>
      <w:r w:rsidRPr="00D17564">
        <w:rPr>
          <w:rFonts w:asciiTheme="majorHAnsi" w:hAnsiTheme="majorHAnsi"/>
          <w:sz w:val="20"/>
          <w:szCs w:val="20"/>
          <w:lang w:val="en-US"/>
        </w:rPr>
        <w:t xml:space="preserve">Subsequently, Sociedad Anónima Oxec II filed on May 2, </w:t>
      </w:r>
      <w:r w:rsidR="00AE0BDB" w:rsidRPr="00D17564">
        <w:rPr>
          <w:rFonts w:asciiTheme="majorHAnsi" w:hAnsiTheme="majorHAnsi"/>
          <w:sz w:val="20"/>
          <w:szCs w:val="20"/>
          <w:lang w:val="en-US"/>
        </w:rPr>
        <w:t>2014,</w:t>
      </w:r>
      <w:r w:rsidRPr="00D17564">
        <w:rPr>
          <w:rFonts w:asciiTheme="majorHAnsi" w:hAnsiTheme="majorHAnsi"/>
          <w:sz w:val="20"/>
          <w:szCs w:val="20"/>
          <w:lang w:val="en-US"/>
        </w:rPr>
        <w:t xml:space="preserve"> an application to use public property to install a hydroelectric </w:t>
      </w:r>
      <w:r w:rsidR="00EE0BE2">
        <w:rPr>
          <w:rFonts w:asciiTheme="majorHAnsi" w:hAnsiTheme="majorHAnsi"/>
          <w:sz w:val="20"/>
          <w:szCs w:val="20"/>
          <w:lang w:val="en-US"/>
        </w:rPr>
        <w:t>power</w:t>
      </w:r>
      <w:r w:rsidRPr="00D17564">
        <w:rPr>
          <w:rFonts w:asciiTheme="majorHAnsi" w:hAnsiTheme="majorHAnsi"/>
          <w:sz w:val="20"/>
          <w:szCs w:val="20"/>
          <w:lang w:val="en-US"/>
        </w:rPr>
        <w:t xml:space="preserve"> plant in the Cahabón river basin in the municipality of Santa María Cahabón, department of Alta Verapaz. On February 12, 2015, the Ministry of Energy and Mines issued resolution 000500 and granted the definitive authorization for the installation of the hydroelectric power plant in favor of the entity Oxec II, empowering it to use the Cahabón river basin, for a term of 50 years.</w:t>
      </w:r>
    </w:p>
    <w:p w14:paraId="1894638B" w14:textId="23638A59" w:rsidR="00D17564" w:rsidRPr="00D17564" w:rsidRDefault="00D17564" w:rsidP="00D17564">
      <w:pPr>
        <w:numPr>
          <w:ilvl w:val="0"/>
          <w:numId w:val="55"/>
        </w:numPr>
        <w:suppressAutoHyphens/>
        <w:spacing w:after="240"/>
        <w:jc w:val="both"/>
        <w:rPr>
          <w:rFonts w:asciiTheme="majorHAnsi" w:hAnsiTheme="majorHAnsi"/>
          <w:sz w:val="20"/>
          <w:szCs w:val="20"/>
          <w:lang w:val="en-US"/>
        </w:rPr>
      </w:pPr>
      <w:r w:rsidRPr="00D17564">
        <w:rPr>
          <w:rFonts w:asciiTheme="majorHAnsi" w:hAnsiTheme="majorHAnsi"/>
          <w:sz w:val="20"/>
          <w:szCs w:val="20"/>
          <w:lang w:val="en-US"/>
        </w:rPr>
        <w:t xml:space="preserve">In 2015 the Q'eqchi's communities of Santa María Cahabón, noticed the construction of the hydroelectric plants on the Oxec and Cahabón rivers. Because of this, they went to the municipality of Santa María Cahabón and the Human Rights Ombudsman's Office to request information. After learning about the implementation of the two hydroelectric projects, the petitioners filed domestic remedies in order to restore the community's right to consultation. </w:t>
      </w:r>
    </w:p>
    <w:p w14:paraId="6D9CD070" w14:textId="73744527" w:rsidR="006344A2" w:rsidRDefault="00D17564" w:rsidP="00D17564">
      <w:pPr>
        <w:numPr>
          <w:ilvl w:val="0"/>
          <w:numId w:val="55"/>
        </w:numPr>
        <w:suppressAutoHyphens/>
        <w:spacing w:after="240"/>
        <w:jc w:val="both"/>
        <w:rPr>
          <w:rFonts w:asciiTheme="majorHAnsi" w:hAnsiTheme="majorHAnsi"/>
          <w:sz w:val="20"/>
          <w:szCs w:val="20"/>
          <w:lang w:val="en-US"/>
        </w:rPr>
      </w:pPr>
      <w:r w:rsidRPr="00D17564">
        <w:rPr>
          <w:rFonts w:asciiTheme="majorHAnsi" w:hAnsiTheme="majorHAnsi"/>
          <w:sz w:val="20"/>
          <w:szCs w:val="20"/>
          <w:lang w:val="en-US"/>
        </w:rPr>
        <w:t xml:space="preserve">Thus, on December 11, 2015, Mr. Caal Xól filed </w:t>
      </w:r>
      <w:r w:rsidR="001A7CE1">
        <w:rPr>
          <w:rFonts w:asciiTheme="majorHAnsi" w:hAnsiTheme="majorHAnsi"/>
          <w:sz w:val="20"/>
          <w:szCs w:val="20"/>
          <w:lang w:val="en-US"/>
        </w:rPr>
        <w:t>a writ for the protection of constitutional rights (amparo)</w:t>
      </w:r>
      <w:r w:rsidRPr="00D17564">
        <w:rPr>
          <w:rFonts w:asciiTheme="majorHAnsi" w:hAnsiTheme="majorHAnsi"/>
          <w:sz w:val="20"/>
          <w:szCs w:val="20"/>
          <w:lang w:val="en-US"/>
        </w:rPr>
        <w:t xml:space="preserve"> before the Supreme Court of Justice against the Ministry of Energy and Mines, against the authorization of the aforementioned concession licenses, arguing that the Q'eqchi's indigenous communities had not been consulted. The judgment was issued by the aforementioned court on January 4, 2017, which decided to put on hold the granting of both licenses and ordered the Ministry of Energy and Mines to respect the rights and guarantees of the petition</w:t>
      </w:r>
      <w:r w:rsidR="007512D8">
        <w:rPr>
          <w:rFonts w:asciiTheme="majorHAnsi" w:hAnsiTheme="majorHAnsi"/>
          <w:sz w:val="20"/>
          <w:szCs w:val="20"/>
          <w:lang w:val="en-US"/>
        </w:rPr>
        <w:t>er</w:t>
      </w:r>
      <w:r w:rsidRPr="00D17564">
        <w:rPr>
          <w:rFonts w:asciiTheme="majorHAnsi" w:hAnsiTheme="majorHAnsi"/>
          <w:sz w:val="20"/>
          <w:szCs w:val="20"/>
          <w:lang w:val="en-US"/>
        </w:rPr>
        <w:t xml:space="preserve"> party.</w:t>
      </w:r>
    </w:p>
    <w:p w14:paraId="7CD6E27E" w14:textId="3729CC77" w:rsidR="00290D26" w:rsidRPr="00290D26" w:rsidRDefault="00290D26" w:rsidP="00290D26">
      <w:pPr>
        <w:numPr>
          <w:ilvl w:val="0"/>
          <w:numId w:val="55"/>
        </w:numPr>
        <w:suppressAutoHyphens/>
        <w:spacing w:after="240"/>
        <w:jc w:val="both"/>
        <w:rPr>
          <w:rFonts w:asciiTheme="majorHAnsi" w:hAnsiTheme="majorHAnsi"/>
          <w:sz w:val="20"/>
          <w:szCs w:val="20"/>
          <w:lang w:val="en-US"/>
        </w:rPr>
      </w:pPr>
      <w:r w:rsidRPr="00290D26">
        <w:rPr>
          <w:rFonts w:asciiTheme="majorHAnsi" w:hAnsiTheme="majorHAnsi"/>
          <w:sz w:val="20"/>
          <w:szCs w:val="20"/>
          <w:lang w:val="en-US"/>
        </w:rPr>
        <w:t xml:space="preserve">However, said Ministry and the entities Oxec and Oxec II appealed before the Constitutional Court on January 4, 2017. Thus, this court decided on May 26, 2017 to deny the appeal and confirm the first degree sentence; it ordered the Ministry of Energy and Mines to carry out the consultation established in </w:t>
      </w:r>
      <w:r w:rsidRPr="00EE0BE2">
        <w:rPr>
          <w:rFonts w:asciiTheme="majorHAnsi" w:hAnsiTheme="majorHAnsi"/>
          <w:sz w:val="20"/>
          <w:szCs w:val="20"/>
          <w:lang w:val="en-US"/>
        </w:rPr>
        <w:t>International Labor Organization</w:t>
      </w:r>
      <w:r w:rsidR="00EE0BE2" w:rsidRPr="00EE0BE2">
        <w:rPr>
          <w:rFonts w:asciiTheme="majorHAnsi" w:hAnsiTheme="majorHAnsi"/>
          <w:sz w:val="20"/>
          <w:szCs w:val="20"/>
          <w:lang w:val="en-US"/>
        </w:rPr>
        <w:t>’s</w:t>
      </w:r>
      <w:r w:rsidRPr="00EE0BE2">
        <w:rPr>
          <w:rFonts w:asciiTheme="majorHAnsi" w:hAnsiTheme="majorHAnsi"/>
          <w:sz w:val="20"/>
          <w:szCs w:val="20"/>
          <w:lang w:val="en-US"/>
        </w:rPr>
        <w:t xml:space="preserve"> Indigenous and Tribal Peoples </w:t>
      </w:r>
      <w:r w:rsidR="00EE0BE2">
        <w:rPr>
          <w:rFonts w:asciiTheme="majorHAnsi" w:hAnsiTheme="majorHAnsi"/>
          <w:sz w:val="20"/>
          <w:szCs w:val="20"/>
          <w:lang w:val="en-US"/>
        </w:rPr>
        <w:t>Convention (ILO Convention 169)</w:t>
      </w:r>
      <w:r w:rsidRPr="00290D26">
        <w:rPr>
          <w:rFonts w:asciiTheme="majorHAnsi" w:hAnsiTheme="majorHAnsi"/>
          <w:sz w:val="20"/>
          <w:szCs w:val="20"/>
          <w:lang w:val="en-US"/>
        </w:rPr>
        <w:t xml:space="preserve">, within a </w:t>
      </w:r>
      <w:r w:rsidRPr="00290D26">
        <w:rPr>
          <w:rFonts w:asciiTheme="majorHAnsi" w:hAnsiTheme="majorHAnsi"/>
          <w:sz w:val="20"/>
          <w:szCs w:val="20"/>
          <w:lang w:val="en-US"/>
        </w:rPr>
        <w:lastRenderedPageBreak/>
        <w:t xml:space="preserve">period of twelve months, in which the hydroelectric companies could continue their work as long as they submitted quarterly reports explaining the progress of the consultation. </w:t>
      </w:r>
    </w:p>
    <w:p w14:paraId="5ABBE7AB" w14:textId="2E1D0BAD" w:rsidR="00290D26" w:rsidRPr="00290D26" w:rsidRDefault="00290D26" w:rsidP="00290D26">
      <w:pPr>
        <w:numPr>
          <w:ilvl w:val="0"/>
          <w:numId w:val="55"/>
        </w:numPr>
        <w:suppressAutoHyphens/>
        <w:spacing w:after="240"/>
        <w:jc w:val="both"/>
        <w:rPr>
          <w:rFonts w:asciiTheme="majorHAnsi" w:hAnsiTheme="majorHAnsi"/>
          <w:sz w:val="20"/>
          <w:szCs w:val="20"/>
          <w:lang w:val="en-US"/>
        </w:rPr>
      </w:pPr>
      <w:r w:rsidRPr="00290D26">
        <w:rPr>
          <w:rFonts w:asciiTheme="majorHAnsi" w:hAnsiTheme="majorHAnsi"/>
          <w:sz w:val="20"/>
          <w:szCs w:val="20"/>
          <w:lang w:val="en-US"/>
        </w:rPr>
        <w:t xml:space="preserve">As a last domestic remedy, the petitioner party filed on May 30, </w:t>
      </w:r>
      <w:r w:rsidR="00AE0BDB" w:rsidRPr="00290D26">
        <w:rPr>
          <w:rFonts w:asciiTheme="majorHAnsi" w:hAnsiTheme="majorHAnsi"/>
          <w:sz w:val="20"/>
          <w:szCs w:val="20"/>
          <w:lang w:val="en-US"/>
        </w:rPr>
        <w:t>2017,</w:t>
      </w:r>
      <w:r w:rsidRPr="00290D26">
        <w:rPr>
          <w:rFonts w:asciiTheme="majorHAnsi" w:hAnsiTheme="majorHAnsi"/>
          <w:sz w:val="20"/>
          <w:szCs w:val="20"/>
          <w:lang w:val="en-US"/>
        </w:rPr>
        <w:t xml:space="preserve"> an appeal for clarification and extension, which was heard by the same Constitutional Court, and which</w:t>
      </w:r>
      <w:r>
        <w:rPr>
          <w:rFonts w:asciiTheme="majorHAnsi" w:hAnsiTheme="majorHAnsi"/>
          <w:sz w:val="20"/>
          <w:szCs w:val="20"/>
          <w:lang w:val="en-US"/>
        </w:rPr>
        <w:t>, on June 6, 2017,</w:t>
      </w:r>
      <w:r w:rsidRPr="00290D26">
        <w:rPr>
          <w:rFonts w:asciiTheme="majorHAnsi" w:hAnsiTheme="majorHAnsi"/>
          <w:sz w:val="20"/>
          <w:szCs w:val="20"/>
          <w:lang w:val="en-US"/>
        </w:rPr>
        <w:t xml:space="preserve"> resolved to deny because it considered that the judgment of May 26, 2017 was coherent, understandable and the pronouncement was not ambiguous. </w:t>
      </w:r>
    </w:p>
    <w:p w14:paraId="3C0D7604" w14:textId="070D1773" w:rsidR="004D0105" w:rsidRDefault="00290D26" w:rsidP="00290D26">
      <w:pPr>
        <w:numPr>
          <w:ilvl w:val="0"/>
          <w:numId w:val="55"/>
        </w:numPr>
        <w:suppressAutoHyphens/>
        <w:spacing w:after="240"/>
        <w:jc w:val="both"/>
        <w:rPr>
          <w:rFonts w:asciiTheme="majorHAnsi" w:hAnsiTheme="majorHAnsi"/>
          <w:sz w:val="20"/>
          <w:szCs w:val="20"/>
          <w:lang w:val="en-US"/>
        </w:rPr>
      </w:pPr>
      <w:r w:rsidRPr="00290D26">
        <w:rPr>
          <w:rFonts w:asciiTheme="majorHAnsi" w:hAnsiTheme="majorHAnsi"/>
          <w:sz w:val="20"/>
          <w:szCs w:val="20"/>
          <w:lang w:val="en-US"/>
        </w:rPr>
        <w:t>The consultation process</w:t>
      </w:r>
      <w:r w:rsidR="00F04178">
        <w:rPr>
          <w:rStyle w:val="FootnoteReference"/>
          <w:rFonts w:asciiTheme="majorHAnsi" w:hAnsiTheme="majorHAnsi"/>
          <w:sz w:val="20"/>
          <w:szCs w:val="20"/>
          <w:lang w:val="en-US"/>
        </w:rPr>
        <w:footnoteReference w:id="11"/>
      </w:r>
      <w:r w:rsidRPr="00290D26">
        <w:rPr>
          <w:rFonts w:asciiTheme="majorHAnsi" w:hAnsiTheme="majorHAnsi"/>
          <w:sz w:val="20"/>
          <w:szCs w:val="20"/>
          <w:lang w:val="en-US"/>
        </w:rPr>
        <w:t xml:space="preserve"> ordered by the Constitutional Court was carried out </w:t>
      </w:r>
      <w:r w:rsidR="00F04178">
        <w:rPr>
          <w:rFonts w:asciiTheme="majorHAnsi" w:hAnsiTheme="majorHAnsi"/>
          <w:sz w:val="20"/>
          <w:szCs w:val="20"/>
          <w:lang w:val="en-US"/>
        </w:rPr>
        <w:t>with</w:t>
      </w:r>
      <w:r w:rsidRPr="00290D26">
        <w:rPr>
          <w:rFonts w:asciiTheme="majorHAnsi" w:hAnsiTheme="majorHAnsi"/>
          <w:sz w:val="20"/>
          <w:szCs w:val="20"/>
          <w:lang w:val="en-US"/>
        </w:rPr>
        <w:t xml:space="preserve"> the indigenous peoples that inhabit</w:t>
      </w:r>
      <w:r w:rsidR="00EE0BE2">
        <w:rPr>
          <w:rFonts w:asciiTheme="majorHAnsi" w:hAnsiTheme="majorHAnsi"/>
          <w:sz w:val="20"/>
          <w:szCs w:val="20"/>
          <w:lang w:val="en-US"/>
        </w:rPr>
        <w:t>ed</w:t>
      </w:r>
      <w:r w:rsidRPr="00290D26">
        <w:rPr>
          <w:rFonts w:asciiTheme="majorHAnsi" w:hAnsiTheme="majorHAnsi"/>
          <w:sz w:val="20"/>
          <w:szCs w:val="20"/>
          <w:lang w:val="en-US"/>
        </w:rPr>
        <w:t xml:space="preserve"> the area contained in the watersheds.</w:t>
      </w:r>
      <w:r w:rsidR="00F04178">
        <w:rPr>
          <w:rStyle w:val="FootnoteReference"/>
          <w:rFonts w:asciiTheme="majorHAnsi" w:hAnsiTheme="majorHAnsi"/>
          <w:sz w:val="20"/>
          <w:szCs w:val="20"/>
          <w:lang w:val="en-US"/>
        </w:rPr>
        <w:footnoteReference w:id="12"/>
      </w:r>
      <w:r w:rsidRPr="00290D26">
        <w:rPr>
          <w:rFonts w:asciiTheme="majorHAnsi" w:hAnsiTheme="majorHAnsi"/>
          <w:sz w:val="20"/>
          <w:szCs w:val="20"/>
          <w:lang w:val="en-US"/>
        </w:rPr>
        <w:t xml:space="preserve"> Mainly, the State highlights that they worked with an academic and multidisciplinary technical team in different branches for the integration of the pre-consultation table,</w:t>
      </w:r>
      <w:r w:rsidR="00F04178">
        <w:rPr>
          <w:rStyle w:val="FootnoteReference"/>
          <w:rFonts w:asciiTheme="majorHAnsi" w:hAnsiTheme="majorHAnsi"/>
          <w:sz w:val="20"/>
          <w:szCs w:val="20"/>
          <w:lang w:val="en-US"/>
        </w:rPr>
        <w:footnoteReference w:id="13"/>
      </w:r>
      <w:r w:rsidRPr="00290D26">
        <w:rPr>
          <w:rFonts w:asciiTheme="majorHAnsi" w:hAnsiTheme="majorHAnsi"/>
          <w:sz w:val="20"/>
          <w:szCs w:val="20"/>
          <w:lang w:val="en-US"/>
        </w:rPr>
        <w:t xml:space="preserve"> that they were in contact with different authorities and that they convened the table through media with coverage in the municipality of Santa María Cahabón, in Spanish and Q'eqchi' language.</w:t>
      </w:r>
    </w:p>
    <w:p w14:paraId="31049FC9" w14:textId="77777777" w:rsidR="00F04178" w:rsidRPr="00F04178" w:rsidRDefault="00F04178" w:rsidP="00F04178">
      <w:pPr>
        <w:numPr>
          <w:ilvl w:val="0"/>
          <w:numId w:val="55"/>
        </w:numPr>
        <w:suppressAutoHyphens/>
        <w:spacing w:after="240"/>
        <w:jc w:val="both"/>
        <w:rPr>
          <w:rFonts w:asciiTheme="majorHAnsi" w:hAnsiTheme="majorHAnsi"/>
          <w:sz w:val="20"/>
          <w:szCs w:val="20"/>
          <w:lang w:val="en-US"/>
        </w:rPr>
      </w:pPr>
      <w:r w:rsidRPr="00F04178">
        <w:rPr>
          <w:rFonts w:asciiTheme="majorHAnsi" w:hAnsiTheme="majorHAnsi"/>
          <w:sz w:val="20"/>
          <w:szCs w:val="20"/>
          <w:lang w:val="en-US"/>
        </w:rPr>
        <w:t xml:space="preserve">Once it was decided on the formation of the roundtable, it dictated the phases for the consultation process, namely: 1) confidence building, 2) transfer of information, 3) evaluation of information, 4) intercultural dialogue, and 5) agreements, monitoring and follow-up. </w:t>
      </w:r>
    </w:p>
    <w:p w14:paraId="1972A36F" w14:textId="6119B618" w:rsidR="00F04178" w:rsidRPr="00F04178" w:rsidRDefault="00F04178" w:rsidP="00F04178">
      <w:pPr>
        <w:numPr>
          <w:ilvl w:val="0"/>
          <w:numId w:val="55"/>
        </w:numPr>
        <w:suppressAutoHyphens/>
        <w:spacing w:after="240"/>
        <w:jc w:val="both"/>
        <w:rPr>
          <w:rFonts w:asciiTheme="majorHAnsi" w:hAnsiTheme="majorHAnsi"/>
          <w:sz w:val="20"/>
          <w:szCs w:val="20"/>
          <w:lang w:val="en-US"/>
        </w:rPr>
      </w:pPr>
      <w:r w:rsidRPr="00F04178">
        <w:rPr>
          <w:rFonts w:asciiTheme="majorHAnsi" w:hAnsiTheme="majorHAnsi"/>
          <w:sz w:val="20"/>
          <w:szCs w:val="20"/>
          <w:lang w:val="en-US"/>
        </w:rPr>
        <w:t xml:space="preserve">In the first phase, which began on October 10, 2017, representatives of the Community Development Councils, Auxiliary Mayors, </w:t>
      </w:r>
      <w:r w:rsidR="008A304B">
        <w:rPr>
          <w:rFonts w:asciiTheme="majorHAnsi" w:hAnsiTheme="majorHAnsi"/>
          <w:sz w:val="20"/>
          <w:szCs w:val="20"/>
          <w:lang w:val="en-US"/>
        </w:rPr>
        <w:t xml:space="preserve">Butlers, </w:t>
      </w:r>
      <w:r w:rsidRPr="00F04178">
        <w:rPr>
          <w:rFonts w:asciiTheme="majorHAnsi" w:hAnsiTheme="majorHAnsi"/>
          <w:sz w:val="20"/>
          <w:szCs w:val="20"/>
          <w:lang w:val="en-US"/>
        </w:rPr>
        <w:t xml:space="preserve">Education Committees, Elders, Catechists, Women's Committees, Health Commissions, Midwives, and </w:t>
      </w:r>
      <w:r w:rsidR="008A304B">
        <w:rPr>
          <w:rFonts w:asciiTheme="majorHAnsi" w:hAnsiTheme="majorHAnsi"/>
          <w:sz w:val="20"/>
          <w:szCs w:val="20"/>
          <w:lang w:val="en-US"/>
        </w:rPr>
        <w:t xml:space="preserve">Lead </w:t>
      </w:r>
      <w:r w:rsidRPr="00F04178">
        <w:rPr>
          <w:rFonts w:asciiTheme="majorHAnsi" w:hAnsiTheme="majorHAnsi"/>
          <w:sz w:val="20"/>
          <w:szCs w:val="20"/>
          <w:lang w:val="en-US"/>
        </w:rPr>
        <w:t xml:space="preserve">Representatives of the Maya Q'eqchies Communities located in the area of influence of the Oxec and Oxec II hydroelectric projects participated. Also in the first phase, an Interlocution Commission was created to elect representatives to participate in the implementation of the actions programmed for the implementation of the </w:t>
      </w:r>
      <w:r w:rsidR="00207AE2">
        <w:rPr>
          <w:rFonts w:asciiTheme="majorHAnsi" w:hAnsiTheme="majorHAnsi"/>
          <w:sz w:val="20"/>
          <w:szCs w:val="20"/>
          <w:lang w:val="en-US"/>
        </w:rPr>
        <w:t>c</w:t>
      </w:r>
      <w:r w:rsidRPr="00F04178">
        <w:rPr>
          <w:rFonts w:asciiTheme="majorHAnsi" w:hAnsiTheme="majorHAnsi"/>
          <w:sz w:val="20"/>
          <w:szCs w:val="20"/>
          <w:lang w:val="en-US"/>
        </w:rPr>
        <w:t>onsultation of the Q'eqchi's communities.</w:t>
      </w:r>
    </w:p>
    <w:p w14:paraId="5DF4A2C1" w14:textId="19354712" w:rsidR="00F04178" w:rsidRPr="00F04178" w:rsidRDefault="00F04178" w:rsidP="00F04178">
      <w:pPr>
        <w:numPr>
          <w:ilvl w:val="0"/>
          <w:numId w:val="55"/>
        </w:numPr>
        <w:suppressAutoHyphens/>
        <w:spacing w:after="240"/>
        <w:jc w:val="both"/>
        <w:rPr>
          <w:rFonts w:asciiTheme="majorHAnsi" w:hAnsiTheme="majorHAnsi"/>
          <w:sz w:val="20"/>
          <w:szCs w:val="20"/>
          <w:lang w:val="en-US"/>
        </w:rPr>
      </w:pPr>
      <w:r w:rsidRPr="00F04178">
        <w:rPr>
          <w:rFonts w:asciiTheme="majorHAnsi" w:hAnsiTheme="majorHAnsi"/>
          <w:sz w:val="20"/>
          <w:szCs w:val="20"/>
          <w:lang w:val="en-US"/>
        </w:rPr>
        <w:t>During the third phase, a period of time was provided for the communities to hold internal assemblies to review, analyze, and discuss the information, and to identify the po</w:t>
      </w:r>
      <w:r w:rsidR="008A304B">
        <w:rPr>
          <w:rFonts w:asciiTheme="majorHAnsi" w:hAnsiTheme="majorHAnsi"/>
          <w:sz w:val="20"/>
          <w:szCs w:val="20"/>
          <w:lang w:val="en-US"/>
        </w:rPr>
        <w:t>tential</w:t>
      </w:r>
      <w:r w:rsidRPr="00F04178">
        <w:rPr>
          <w:rFonts w:asciiTheme="majorHAnsi" w:hAnsiTheme="majorHAnsi"/>
          <w:sz w:val="20"/>
          <w:szCs w:val="20"/>
          <w:lang w:val="en-US"/>
        </w:rPr>
        <w:t xml:space="preserve"> </w:t>
      </w:r>
      <w:r w:rsidR="00EE0BE2">
        <w:rPr>
          <w:rFonts w:asciiTheme="majorHAnsi" w:hAnsiTheme="majorHAnsi"/>
          <w:sz w:val="20"/>
          <w:szCs w:val="20"/>
          <w:lang w:val="en-US"/>
        </w:rPr>
        <w:t>impacts</w:t>
      </w:r>
      <w:r w:rsidRPr="00F04178">
        <w:rPr>
          <w:rFonts w:asciiTheme="majorHAnsi" w:hAnsiTheme="majorHAnsi"/>
          <w:sz w:val="20"/>
          <w:szCs w:val="20"/>
          <w:lang w:val="en-US"/>
        </w:rPr>
        <w:t xml:space="preserve"> on their way of life and customs. These meetings resulted in minutes that were sent to the representatives of the Ministry of Energy and Mining, in order to identify key issues and points, as well as to seek agreements between the State, the communities and the Oxec and Oxec II entities.</w:t>
      </w:r>
    </w:p>
    <w:p w14:paraId="1BAA2230" w14:textId="6590B061" w:rsidR="00F04178" w:rsidRDefault="00F04178" w:rsidP="00F04178">
      <w:pPr>
        <w:numPr>
          <w:ilvl w:val="0"/>
          <w:numId w:val="55"/>
        </w:numPr>
        <w:suppressAutoHyphens/>
        <w:spacing w:after="240"/>
        <w:jc w:val="both"/>
        <w:rPr>
          <w:rFonts w:asciiTheme="majorHAnsi" w:hAnsiTheme="majorHAnsi"/>
          <w:sz w:val="20"/>
          <w:szCs w:val="20"/>
          <w:lang w:val="en-US"/>
        </w:rPr>
      </w:pPr>
      <w:r w:rsidRPr="00F04178">
        <w:rPr>
          <w:rFonts w:asciiTheme="majorHAnsi" w:hAnsiTheme="majorHAnsi"/>
          <w:sz w:val="20"/>
          <w:szCs w:val="20"/>
          <w:lang w:val="en-US"/>
        </w:rPr>
        <w:t xml:space="preserve">On November 24, 2017, a meeting was held that included members of the communities, the Ministry of Energy and Mines, and the Oxec and Oxec II companies, to identify technical, </w:t>
      </w:r>
      <w:r w:rsidR="00207AE2" w:rsidRPr="00F04178">
        <w:rPr>
          <w:rFonts w:asciiTheme="majorHAnsi" w:hAnsiTheme="majorHAnsi"/>
          <w:sz w:val="20"/>
          <w:szCs w:val="20"/>
          <w:lang w:val="en-US"/>
        </w:rPr>
        <w:t>environmental,</w:t>
      </w:r>
      <w:r w:rsidRPr="00F04178">
        <w:rPr>
          <w:rFonts w:asciiTheme="majorHAnsi" w:hAnsiTheme="majorHAnsi"/>
          <w:sz w:val="20"/>
          <w:szCs w:val="20"/>
          <w:lang w:val="en-US"/>
        </w:rPr>
        <w:t xml:space="preserve"> and social issues related to the development of the hydroelectric projects. Agreements were reached in the following areas: i) Peace building; ii) Environmental aspects; and iii) Sustainable development. Following this meeting, the document </w:t>
      </w:r>
      <w:r w:rsidRPr="00207AE2">
        <w:rPr>
          <w:rFonts w:asciiTheme="majorHAnsi" w:hAnsiTheme="majorHAnsi"/>
          <w:i/>
          <w:iCs/>
          <w:sz w:val="20"/>
          <w:szCs w:val="20"/>
          <w:lang w:val="en-US"/>
        </w:rPr>
        <w:t>Agreements for Peace and Sustainable Development of the Communities in the area of influence of the Oxec and Oxec II hydroelectric projects</w:t>
      </w:r>
      <w:r w:rsidRPr="00F04178">
        <w:rPr>
          <w:rFonts w:asciiTheme="majorHAnsi" w:hAnsiTheme="majorHAnsi"/>
          <w:sz w:val="20"/>
          <w:szCs w:val="20"/>
          <w:lang w:val="en-US"/>
        </w:rPr>
        <w:t xml:space="preserve"> was drafted. The document was translated into the Q'eqchi' language by the Academy of Mayan Languages of Guatemala.</w:t>
      </w:r>
    </w:p>
    <w:p w14:paraId="237EA73E" w14:textId="5110EEA5" w:rsidR="004D0105" w:rsidRPr="004D0105" w:rsidRDefault="00C31F99" w:rsidP="004D0105">
      <w:pPr>
        <w:suppressAutoHyphens/>
        <w:spacing w:after="240"/>
        <w:ind w:left="720"/>
        <w:jc w:val="both"/>
        <w:rPr>
          <w:rFonts w:asciiTheme="majorHAnsi" w:hAnsiTheme="majorHAnsi"/>
          <w:i/>
          <w:iCs/>
          <w:sz w:val="20"/>
          <w:szCs w:val="20"/>
          <w:lang w:val="en-US"/>
        </w:rPr>
      </w:pPr>
      <w:r w:rsidRPr="00EE0BE2">
        <w:rPr>
          <w:rFonts w:asciiTheme="majorHAnsi" w:hAnsiTheme="majorHAnsi"/>
          <w:i/>
          <w:iCs/>
          <w:sz w:val="20"/>
          <w:szCs w:val="20"/>
          <w:lang w:val="en-US"/>
        </w:rPr>
        <w:t>Arguments presented by the petitioner party</w:t>
      </w:r>
    </w:p>
    <w:p w14:paraId="32134DC9" w14:textId="17DCC6C1" w:rsidR="00C31F99" w:rsidRPr="00C31F99" w:rsidRDefault="00C31F99" w:rsidP="00C31F99">
      <w:pPr>
        <w:numPr>
          <w:ilvl w:val="0"/>
          <w:numId w:val="55"/>
        </w:numPr>
        <w:suppressAutoHyphens/>
        <w:spacing w:after="240"/>
        <w:jc w:val="both"/>
        <w:rPr>
          <w:rFonts w:asciiTheme="majorHAnsi" w:hAnsiTheme="majorHAnsi"/>
          <w:sz w:val="20"/>
          <w:szCs w:val="20"/>
          <w:lang w:val="en-US"/>
        </w:rPr>
      </w:pPr>
      <w:r w:rsidRPr="00C31F99">
        <w:rPr>
          <w:rFonts w:asciiTheme="majorHAnsi" w:hAnsiTheme="majorHAnsi"/>
          <w:sz w:val="20"/>
          <w:szCs w:val="20"/>
          <w:lang w:val="en-US"/>
        </w:rPr>
        <w:t xml:space="preserve">The petitioner considers that the right to consultation of the Q'eqchi's communities was not respected, and that, although the Constitutional Court issued the judgment of May 26, 2017 collecting </w:t>
      </w:r>
      <w:r w:rsidRPr="00C31F99">
        <w:rPr>
          <w:rFonts w:asciiTheme="majorHAnsi" w:hAnsiTheme="majorHAnsi"/>
          <w:sz w:val="20"/>
          <w:szCs w:val="20"/>
          <w:lang w:val="en-US"/>
        </w:rPr>
        <w:lastRenderedPageBreak/>
        <w:t xml:space="preserve">arguments justifying the prior nature of the consultation, the rights of the communities continue to be violated because the hydroelectric plants are allowed to continue operating while the established term of one year to carry out the consultation with the communities is fulfilled. </w:t>
      </w:r>
    </w:p>
    <w:p w14:paraId="299BF2C2" w14:textId="121FC346" w:rsidR="00C31F99" w:rsidRPr="00C31F99" w:rsidRDefault="00C31F99" w:rsidP="00C31F99">
      <w:pPr>
        <w:numPr>
          <w:ilvl w:val="0"/>
          <w:numId w:val="55"/>
        </w:numPr>
        <w:suppressAutoHyphens/>
        <w:spacing w:after="240"/>
        <w:jc w:val="both"/>
        <w:rPr>
          <w:rFonts w:asciiTheme="majorHAnsi" w:hAnsiTheme="majorHAnsi"/>
          <w:sz w:val="20"/>
          <w:szCs w:val="20"/>
          <w:lang w:val="en-US"/>
        </w:rPr>
      </w:pPr>
      <w:r w:rsidRPr="00C31F99">
        <w:rPr>
          <w:rFonts w:asciiTheme="majorHAnsi" w:hAnsiTheme="majorHAnsi"/>
          <w:sz w:val="20"/>
          <w:szCs w:val="20"/>
          <w:lang w:val="en-US"/>
        </w:rPr>
        <w:t xml:space="preserve">The petition requested that the </w:t>
      </w:r>
      <w:r w:rsidRPr="00EE0BE2">
        <w:rPr>
          <w:rFonts w:asciiTheme="majorHAnsi" w:hAnsiTheme="majorHAnsi"/>
          <w:i/>
          <w:iCs/>
          <w:sz w:val="20"/>
          <w:szCs w:val="20"/>
          <w:lang w:val="en-US"/>
        </w:rPr>
        <w:t>State "take the corresponding actions to safeguard the right to consultation"</w:t>
      </w:r>
      <w:r w:rsidRPr="00C31F99">
        <w:rPr>
          <w:rFonts w:asciiTheme="majorHAnsi" w:hAnsiTheme="majorHAnsi"/>
          <w:sz w:val="20"/>
          <w:szCs w:val="20"/>
          <w:lang w:val="en-US"/>
        </w:rPr>
        <w:t>, which for the petitioner would consist of suspending the authorizations granted to the Oxec and Oxec II hydroelectric plants.</w:t>
      </w:r>
    </w:p>
    <w:p w14:paraId="5EBCD50A" w14:textId="53565E28" w:rsidR="00C31F99" w:rsidRPr="00C31F99" w:rsidRDefault="00C31F99" w:rsidP="00C31F99">
      <w:pPr>
        <w:numPr>
          <w:ilvl w:val="0"/>
          <w:numId w:val="55"/>
        </w:numPr>
        <w:suppressAutoHyphens/>
        <w:spacing w:after="240"/>
        <w:jc w:val="both"/>
        <w:rPr>
          <w:rFonts w:asciiTheme="majorHAnsi" w:hAnsiTheme="majorHAnsi"/>
          <w:sz w:val="20"/>
          <w:szCs w:val="20"/>
          <w:lang w:val="en-US"/>
        </w:rPr>
      </w:pPr>
      <w:r w:rsidRPr="00C31F99">
        <w:rPr>
          <w:rFonts w:asciiTheme="majorHAnsi" w:hAnsiTheme="majorHAnsi"/>
          <w:sz w:val="20"/>
          <w:szCs w:val="20"/>
          <w:lang w:val="en-US"/>
        </w:rPr>
        <w:t xml:space="preserve">The petitioners clarify that in 2015, fifty-six communities of Santa María Cahabón, gathered in an assembly, decided to be represented by Mr. Caal Xól -they do not specify the circumstances of said assembly, nor the scope of this representation-. In addition, the petitioners present minutes of assemblies held on May 14 and 15, 2016, in which these indigenous Q'eqchi's communities of the municipality of Santa María Cahabón, Department of Alta Verapaz, delegate their representation to Bernardo Caal Xól. In these minutes the signatories indicate: </w:t>
      </w:r>
      <w:r w:rsidRPr="00EE0BE2">
        <w:rPr>
          <w:rFonts w:asciiTheme="majorHAnsi" w:hAnsiTheme="majorHAnsi"/>
          <w:i/>
          <w:iCs/>
          <w:sz w:val="20"/>
          <w:szCs w:val="20"/>
          <w:lang w:val="en-US"/>
        </w:rPr>
        <w:t>"we as a community have rights to demand the consultation because we are Guatemalans, the community delegates the representation, they are: Bernardo Caal Xól [...], to make decisions on matters related to the issue, both in the municipality and at the national level".</w:t>
      </w:r>
      <w:r w:rsidRPr="00C31F99">
        <w:rPr>
          <w:rFonts w:asciiTheme="majorHAnsi" w:hAnsiTheme="majorHAnsi"/>
          <w:sz w:val="20"/>
          <w:szCs w:val="20"/>
          <w:lang w:val="en-US"/>
        </w:rPr>
        <w:t xml:space="preserve"> </w:t>
      </w:r>
    </w:p>
    <w:p w14:paraId="0D45D54D" w14:textId="66448C2B" w:rsidR="00C31F99" w:rsidRPr="00C31F99" w:rsidRDefault="00C31F99" w:rsidP="00C31F99">
      <w:pPr>
        <w:numPr>
          <w:ilvl w:val="0"/>
          <w:numId w:val="55"/>
        </w:numPr>
        <w:suppressAutoHyphens/>
        <w:spacing w:after="240"/>
        <w:jc w:val="both"/>
        <w:rPr>
          <w:rFonts w:asciiTheme="majorHAnsi" w:hAnsiTheme="majorHAnsi"/>
          <w:sz w:val="20"/>
          <w:szCs w:val="20"/>
          <w:lang w:val="en-US"/>
        </w:rPr>
      </w:pPr>
      <w:r w:rsidRPr="00C31F99">
        <w:rPr>
          <w:rFonts w:asciiTheme="majorHAnsi" w:hAnsiTheme="majorHAnsi"/>
          <w:sz w:val="20"/>
          <w:szCs w:val="20"/>
          <w:lang w:val="en-US"/>
        </w:rPr>
        <w:t xml:space="preserve">The petitioners also indicate that the judgment of the Constitutional Court issued on May 26, 2017, whereby the appeal filed by the Oxec and Oxec II companies was denied and a prior consultation was ordered to be carried out over a period of twelve months, </w:t>
      </w:r>
      <w:r w:rsidRPr="00EE0BE2">
        <w:rPr>
          <w:rFonts w:asciiTheme="majorHAnsi" w:hAnsiTheme="majorHAnsi"/>
          <w:i/>
          <w:iCs/>
          <w:sz w:val="20"/>
          <w:szCs w:val="20"/>
          <w:lang w:val="en-US"/>
        </w:rPr>
        <w:t>"is rejected by the Q'eqchi's communities of Cahabón, also by 32 representatives of the Indigenous Authorities of the entire country, and by the autonomous union federations that have representation in the ILO, civil and indigenous organizations of the country"</w:t>
      </w:r>
      <w:r w:rsidR="00207AE2">
        <w:rPr>
          <w:rFonts w:asciiTheme="majorHAnsi" w:hAnsiTheme="majorHAnsi"/>
          <w:i/>
          <w:iCs/>
          <w:sz w:val="20"/>
          <w:szCs w:val="20"/>
          <w:lang w:val="en-US"/>
        </w:rPr>
        <w:t>.</w:t>
      </w:r>
      <w:r w:rsidRPr="00C31F99">
        <w:rPr>
          <w:rFonts w:asciiTheme="majorHAnsi" w:hAnsiTheme="majorHAnsi"/>
          <w:sz w:val="20"/>
          <w:szCs w:val="20"/>
          <w:lang w:val="en-US"/>
        </w:rPr>
        <w:t xml:space="preserve"> Because during those twelve months the hydroelectric plants could continue to operate. </w:t>
      </w:r>
    </w:p>
    <w:p w14:paraId="0F0B1965" w14:textId="6E8BE8AC" w:rsidR="00BA515D" w:rsidRPr="00C31F99" w:rsidRDefault="00C31F99" w:rsidP="00C31F99">
      <w:pPr>
        <w:numPr>
          <w:ilvl w:val="0"/>
          <w:numId w:val="55"/>
        </w:numPr>
        <w:suppressAutoHyphens/>
        <w:spacing w:after="240"/>
        <w:jc w:val="both"/>
        <w:rPr>
          <w:rFonts w:asciiTheme="majorHAnsi" w:hAnsiTheme="majorHAnsi"/>
          <w:bCs/>
          <w:i/>
          <w:iCs/>
          <w:sz w:val="20"/>
          <w:szCs w:val="20"/>
          <w:lang w:val="en-US"/>
        </w:rPr>
      </w:pPr>
      <w:r w:rsidRPr="00C31F99">
        <w:rPr>
          <w:rFonts w:asciiTheme="majorHAnsi" w:hAnsiTheme="majorHAnsi"/>
          <w:sz w:val="20"/>
          <w:szCs w:val="20"/>
          <w:lang w:val="en-US"/>
        </w:rPr>
        <w:t xml:space="preserve">The petitioner also denounces that a smear campaign was carried out against Mr. Caal Xól and the Madre Selva collective - they do not specify by whom - consisting of false publications in newspapers and social networks, as well as defamatory news in a digital newspaper; they consider that this was intended to </w:t>
      </w:r>
      <w:r w:rsidRPr="00EE0BE2">
        <w:rPr>
          <w:rFonts w:asciiTheme="majorHAnsi" w:hAnsiTheme="majorHAnsi"/>
          <w:i/>
          <w:iCs/>
          <w:sz w:val="20"/>
          <w:szCs w:val="20"/>
          <w:lang w:val="en-US"/>
        </w:rPr>
        <w:t>"delegitimize the social struggle of the Q'ueqchi' indigenous community in defense of their rivers, which are sacred to them according to their Mayan cosmovision".</w:t>
      </w:r>
      <w:r w:rsidRPr="00C31F99">
        <w:rPr>
          <w:rFonts w:asciiTheme="majorHAnsi" w:hAnsiTheme="majorHAnsi"/>
          <w:sz w:val="20"/>
          <w:szCs w:val="20"/>
          <w:lang w:val="en-US"/>
        </w:rPr>
        <w:t xml:space="preserve"> In a document dated May 15, 2016, signed by members of Caserio Chaslaú, in addition to indicating that Mr. Caal Xól could represent them regarding their right to be consulted about the hydroelectric </w:t>
      </w:r>
      <w:r w:rsidR="00EE0BE2">
        <w:rPr>
          <w:rFonts w:asciiTheme="majorHAnsi" w:hAnsiTheme="majorHAnsi"/>
          <w:sz w:val="20"/>
          <w:szCs w:val="20"/>
          <w:lang w:val="en-US"/>
        </w:rPr>
        <w:t>power plants</w:t>
      </w:r>
      <w:r w:rsidRPr="00C31F99">
        <w:rPr>
          <w:rFonts w:asciiTheme="majorHAnsi" w:hAnsiTheme="majorHAnsi"/>
          <w:sz w:val="20"/>
          <w:szCs w:val="20"/>
          <w:lang w:val="en-US"/>
        </w:rPr>
        <w:t xml:space="preserve">, they indicate that he was being intimidated and threatened by other groups that are in favor of the hydroelectric </w:t>
      </w:r>
      <w:r w:rsidR="00EE0BE2">
        <w:rPr>
          <w:rFonts w:asciiTheme="majorHAnsi" w:hAnsiTheme="majorHAnsi"/>
          <w:sz w:val="20"/>
          <w:szCs w:val="20"/>
          <w:lang w:val="en-US"/>
        </w:rPr>
        <w:t>power plants</w:t>
      </w:r>
      <w:r w:rsidRPr="00C31F99">
        <w:rPr>
          <w:rFonts w:asciiTheme="majorHAnsi" w:hAnsiTheme="majorHAnsi"/>
          <w:sz w:val="20"/>
          <w:szCs w:val="20"/>
          <w:lang w:val="en-US"/>
        </w:rPr>
        <w:t xml:space="preserve">, such as </w:t>
      </w:r>
      <w:r w:rsidRPr="00EE0BE2">
        <w:rPr>
          <w:rFonts w:asciiTheme="majorHAnsi" w:hAnsiTheme="majorHAnsi"/>
          <w:i/>
          <w:iCs/>
          <w:sz w:val="20"/>
          <w:szCs w:val="20"/>
          <w:lang w:val="en-US"/>
        </w:rPr>
        <w:t xml:space="preserve">"the eleven communities near the hydroelectric </w:t>
      </w:r>
      <w:r w:rsidR="00EE0BE2" w:rsidRPr="00EE0BE2">
        <w:rPr>
          <w:rFonts w:asciiTheme="majorHAnsi" w:hAnsiTheme="majorHAnsi"/>
          <w:i/>
          <w:iCs/>
          <w:sz w:val="20"/>
          <w:szCs w:val="20"/>
          <w:lang w:val="en-US"/>
        </w:rPr>
        <w:t>powerplants</w:t>
      </w:r>
      <w:r w:rsidRPr="00EE0BE2">
        <w:rPr>
          <w:rFonts w:asciiTheme="majorHAnsi" w:hAnsiTheme="majorHAnsi"/>
          <w:i/>
          <w:iCs/>
          <w:sz w:val="20"/>
          <w:szCs w:val="20"/>
          <w:lang w:val="en-US"/>
        </w:rPr>
        <w:t>".</w:t>
      </w:r>
    </w:p>
    <w:p w14:paraId="4D50E7BF" w14:textId="38B9295C" w:rsidR="00C31F99" w:rsidRPr="00C31F99" w:rsidRDefault="00C31F99" w:rsidP="00C31F99">
      <w:pPr>
        <w:numPr>
          <w:ilvl w:val="0"/>
          <w:numId w:val="55"/>
        </w:numPr>
        <w:suppressAutoHyphens/>
        <w:spacing w:after="240"/>
        <w:jc w:val="both"/>
        <w:rPr>
          <w:rFonts w:asciiTheme="majorHAnsi" w:eastAsia="Cambria" w:hAnsiTheme="majorHAnsi" w:cs="Cambria"/>
          <w:color w:val="000000"/>
          <w:sz w:val="20"/>
          <w:szCs w:val="20"/>
          <w:u w:color="000000"/>
          <w:bdr w:val="nil"/>
          <w:lang w:val="en-US" w:eastAsia="es-ES"/>
        </w:rPr>
      </w:pPr>
      <w:r w:rsidRPr="00C31F99">
        <w:rPr>
          <w:rFonts w:asciiTheme="majorHAnsi" w:eastAsia="Cambria" w:hAnsiTheme="majorHAnsi" w:cs="Cambria"/>
          <w:color w:val="000000"/>
          <w:sz w:val="20"/>
          <w:szCs w:val="20"/>
          <w:u w:color="000000"/>
          <w:bdr w:val="nil"/>
          <w:lang w:val="en-US" w:eastAsia="es-ES"/>
        </w:rPr>
        <w:t xml:space="preserve">Subsequently, they report that an arrest warrant was issued against Mr. Caal Xól, who was sentenced to six years in prison for the crime of aggravated robbery, and one year and four months for the crime of illegal detentions. They consider that there are shortcomings on the part of the Public Prosecutor's Office, the judge of the criminal instance, the sentencing court, and the resolution of the judges, which is </w:t>
      </w:r>
      <w:r w:rsidR="00207AE2" w:rsidRPr="00C31F99">
        <w:rPr>
          <w:rFonts w:asciiTheme="majorHAnsi" w:eastAsia="Cambria" w:hAnsiTheme="majorHAnsi" w:cs="Cambria"/>
          <w:color w:val="000000"/>
          <w:sz w:val="20"/>
          <w:szCs w:val="20"/>
          <w:u w:color="000000"/>
          <w:bdr w:val="nil"/>
          <w:lang w:val="en-US" w:eastAsia="es-ES"/>
        </w:rPr>
        <w:t>serious since</w:t>
      </w:r>
      <w:r w:rsidRPr="00C31F99">
        <w:rPr>
          <w:rFonts w:asciiTheme="majorHAnsi" w:eastAsia="Cambria" w:hAnsiTheme="majorHAnsi" w:cs="Cambria"/>
          <w:color w:val="000000"/>
          <w:sz w:val="20"/>
          <w:szCs w:val="20"/>
          <w:u w:color="000000"/>
          <w:bdr w:val="nil"/>
          <w:lang w:val="en-US" w:eastAsia="es-ES"/>
        </w:rPr>
        <w:t xml:space="preserve"> he is a human rights defender. -In this regard, the Commission notes that the petitioners did not provide specific details about the criminal investigation, trial and sentencing of Mr. Caal Xól, nor the exact dates of the decisions or before which courts they were carried out</w:t>
      </w:r>
      <w:r w:rsidR="00207AE2" w:rsidRPr="00C31F99">
        <w:rPr>
          <w:rFonts w:asciiTheme="majorHAnsi" w:eastAsia="Cambria" w:hAnsiTheme="majorHAnsi" w:cs="Cambria"/>
          <w:color w:val="000000"/>
          <w:sz w:val="20"/>
          <w:szCs w:val="20"/>
          <w:u w:color="000000"/>
          <w:bdr w:val="nil"/>
          <w:lang w:val="en-US" w:eastAsia="es-ES"/>
        </w:rPr>
        <w:t>-</w:t>
      </w:r>
      <w:r w:rsidRPr="00C31F99">
        <w:rPr>
          <w:rFonts w:asciiTheme="majorHAnsi" w:eastAsia="Cambria" w:hAnsiTheme="majorHAnsi" w:cs="Cambria"/>
          <w:color w:val="000000"/>
          <w:sz w:val="20"/>
          <w:szCs w:val="20"/>
          <w:u w:color="000000"/>
          <w:bdr w:val="nil"/>
          <w:lang w:val="en-US" w:eastAsia="es-ES"/>
        </w:rPr>
        <w:t xml:space="preserve">. </w:t>
      </w:r>
    </w:p>
    <w:p w14:paraId="33D77071" w14:textId="18338E51" w:rsidR="00C31F99" w:rsidRPr="00C31F99" w:rsidRDefault="00C31F99" w:rsidP="00C31F99">
      <w:pPr>
        <w:numPr>
          <w:ilvl w:val="0"/>
          <w:numId w:val="55"/>
        </w:numPr>
        <w:suppressAutoHyphens/>
        <w:spacing w:after="240"/>
        <w:jc w:val="both"/>
        <w:rPr>
          <w:rFonts w:asciiTheme="majorHAnsi" w:eastAsia="Cambria" w:hAnsiTheme="majorHAnsi" w:cs="Cambria"/>
          <w:color w:val="000000"/>
          <w:sz w:val="20"/>
          <w:szCs w:val="20"/>
          <w:u w:color="000000"/>
          <w:bdr w:val="nil"/>
          <w:lang w:val="en-US" w:eastAsia="es-ES"/>
        </w:rPr>
      </w:pPr>
      <w:r w:rsidRPr="00C31F99">
        <w:rPr>
          <w:rFonts w:asciiTheme="majorHAnsi" w:eastAsia="Cambria" w:hAnsiTheme="majorHAnsi" w:cs="Cambria"/>
          <w:color w:val="000000"/>
          <w:sz w:val="20"/>
          <w:szCs w:val="20"/>
          <w:u w:color="000000"/>
          <w:bdr w:val="nil"/>
          <w:lang w:val="en-US" w:eastAsia="es-ES"/>
        </w:rPr>
        <w:t>Nevertheless, the petitioners state that the justice system of Cobán, Alta Verapaz, delayed the appeal process presented by Mr. Caal Xól's defense, arguing that the courts were closed due to the pandemic. Finally, the sentence was increased to seven years and four months. The petitioners indicate that the process is currently in the cassation phase</w:t>
      </w:r>
      <w:r w:rsidRPr="00EE0BE2">
        <w:rPr>
          <w:rFonts w:asciiTheme="majorHAnsi" w:eastAsia="Cambria" w:hAnsiTheme="majorHAnsi" w:cs="Cambria"/>
          <w:i/>
          <w:iCs/>
          <w:color w:val="000000"/>
          <w:sz w:val="20"/>
          <w:szCs w:val="20"/>
          <w:u w:color="000000"/>
          <w:bdr w:val="nil"/>
          <w:lang w:val="en-US" w:eastAsia="es-ES"/>
        </w:rPr>
        <w:t>, "without progress due to attempts to co-opt the Supreme Court of Justice, appeals courts and the Constitutional Court itself by factional powers embedded in the State".</w:t>
      </w:r>
    </w:p>
    <w:p w14:paraId="41751214" w14:textId="538DA34B" w:rsidR="00BA515D" w:rsidRPr="00BA515D" w:rsidRDefault="00C31F99" w:rsidP="00C31F99">
      <w:pPr>
        <w:numPr>
          <w:ilvl w:val="0"/>
          <w:numId w:val="55"/>
        </w:numPr>
        <w:suppressAutoHyphens/>
        <w:spacing w:after="240"/>
        <w:jc w:val="both"/>
        <w:rPr>
          <w:rFonts w:asciiTheme="majorHAnsi" w:hAnsiTheme="majorHAnsi"/>
          <w:bCs/>
          <w:sz w:val="20"/>
          <w:szCs w:val="20"/>
          <w:lang w:val="en-US"/>
        </w:rPr>
      </w:pPr>
      <w:r w:rsidRPr="00C31F99">
        <w:rPr>
          <w:rFonts w:asciiTheme="majorHAnsi" w:eastAsia="Cambria" w:hAnsiTheme="majorHAnsi" w:cs="Cambria"/>
          <w:color w:val="000000"/>
          <w:sz w:val="20"/>
          <w:szCs w:val="20"/>
          <w:u w:color="000000"/>
          <w:bdr w:val="nil"/>
          <w:lang w:val="en-US" w:eastAsia="es-ES"/>
        </w:rPr>
        <w:t>In a free search by the Commission, it was found that Mr. Caal Xól was accused of robbery and carrying out acts of violence against employees of a contractor company of Oxec on October 15, 2015; for these facts he remained three years in preventive detention,</w:t>
      </w:r>
      <w:r>
        <w:rPr>
          <w:rStyle w:val="FootnoteReference"/>
          <w:rFonts w:asciiTheme="majorHAnsi" w:eastAsia="Cambria" w:hAnsiTheme="majorHAnsi" w:cs="Cambria"/>
          <w:color w:val="000000"/>
          <w:sz w:val="20"/>
          <w:szCs w:val="20"/>
          <w:u w:color="000000"/>
          <w:bdr w:val="nil"/>
          <w:lang w:val="en-US" w:eastAsia="es-ES"/>
        </w:rPr>
        <w:footnoteReference w:id="14"/>
      </w:r>
      <w:r w:rsidRPr="00C31F99">
        <w:rPr>
          <w:rFonts w:asciiTheme="majorHAnsi" w:eastAsia="Cambria" w:hAnsiTheme="majorHAnsi" w:cs="Cambria"/>
          <w:color w:val="000000"/>
          <w:sz w:val="20"/>
          <w:szCs w:val="20"/>
          <w:u w:color="000000"/>
          <w:bdr w:val="nil"/>
          <w:lang w:val="en-US" w:eastAsia="es-ES"/>
        </w:rPr>
        <w:t xml:space="preserve"> and on November 9, 2018 he was sentenced to </w:t>
      </w:r>
      <w:r w:rsidRPr="00C31F99">
        <w:rPr>
          <w:rFonts w:asciiTheme="majorHAnsi" w:eastAsia="Cambria" w:hAnsiTheme="majorHAnsi" w:cs="Cambria"/>
          <w:color w:val="000000"/>
          <w:sz w:val="20"/>
          <w:szCs w:val="20"/>
          <w:u w:color="000000"/>
          <w:bdr w:val="nil"/>
          <w:lang w:val="en-US" w:eastAsia="es-ES"/>
        </w:rPr>
        <w:lastRenderedPageBreak/>
        <w:t>seven years and four months in prison for the crimes of illegal detentions with aggravating circumstances, for having retained consultants of the Oxec company; and aggravated robbery of goods of this company</w:t>
      </w:r>
      <w:r>
        <w:rPr>
          <w:rStyle w:val="FootnoteReference"/>
          <w:rFonts w:asciiTheme="majorHAnsi" w:eastAsia="Cambria" w:hAnsiTheme="majorHAnsi" w:cs="Cambria"/>
          <w:color w:val="000000"/>
          <w:sz w:val="20"/>
          <w:szCs w:val="20"/>
          <w:u w:color="000000"/>
          <w:bdr w:val="nil"/>
          <w:lang w:val="en-US" w:eastAsia="es-ES"/>
        </w:rPr>
        <w:footnoteReference w:id="15"/>
      </w:r>
      <w:r w:rsidR="00207AE2">
        <w:rPr>
          <w:rFonts w:asciiTheme="majorHAnsi" w:eastAsia="Cambria" w:hAnsiTheme="majorHAnsi" w:cs="Cambria"/>
          <w:color w:val="000000"/>
          <w:sz w:val="20"/>
          <w:szCs w:val="20"/>
          <w:u w:color="000000"/>
          <w:bdr w:val="nil"/>
          <w:lang w:val="en-US" w:eastAsia="es-ES"/>
        </w:rPr>
        <w:t>.</w:t>
      </w:r>
      <w:r w:rsidRPr="00C31F99">
        <w:rPr>
          <w:rFonts w:asciiTheme="majorHAnsi" w:eastAsia="Cambria" w:hAnsiTheme="majorHAnsi" w:cs="Cambria"/>
          <w:color w:val="000000"/>
          <w:sz w:val="20"/>
          <w:szCs w:val="20"/>
          <w:u w:color="000000"/>
          <w:bdr w:val="nil"/>
          <w:lang w:val="en-US" w:eastAsia="es-ES"/>
        </w:rPr>
        <w:t xml:space="preserve"> Therefore, Mr. Caal Xól's defense filed a</w:t>
      </w:r>
      <w:r w:rsidR="00436E26">
        <w:rPr>
          <w:rFonts w:asciiTheme="majorHAnsi" w:eastAsia="Cambria" w:hAnsiTheme="majorHAnsi" w:cs="Cambria"/>
          <w:color w:val="000000"/>
          <w:sz w:val="20"/>
          <w:szCs w:val="20"/>
          <w:u w:color="000000"/>
          <w:bdr w:val="nil"/>
          <w:lang w:val="en-US" w:eastAsia="es-ES"/>
        </w:rPr>
        <w:t xml:space="preserve">n appeal for cassation </w:t>
      </w:r>
      <w:r w:rsidRPr="00C31F99">
        <w:rPr>
          <w:rFonts w:asciiTheme="majorHAnsi" w:eastAsia="Cambria" w:hAnsiTheme="majorHAnsi" w:cs="Cambria"/>
          <w:color w:val="000000"/>
          <w:sz w:val="20"/>
          <w:szCs w:val="20"/>
          <w:u w:color="000000"/>
          <w:bdr w:val="nil"/>
          <w:lang w:val="en-US" w:eastAsia="es-ES"/>
        </w:rPr>
        <w:t xml:space="preserve">before the Supreme Court of Justice in September 2021, </w:t>
      </w:r>
      <w:r w:rsidRPr="00207AE2">
        <w:rPr>
          <w:rFonts w:asciiTheme="majorHAnsi" w:eastAsia="Cambria" w:hAnsiTheme="majorHAnsi" w:cs="Cambria"/>
          <w:i/>
          <w:iCs/>
          <w:color w:val="000000"/>
          <w:sz w:val="20"/>
          <w:szCs w:val="20"/>
          <w:u w:color="000000"/>
          <w:bdr w:val="nil"/>
          <w:lang w:val="en-US" w:eastAsia="es-ES"/>
        </w:rPr>
        <w:t>"to review the sentence for human rights violations, but the Criminal Chamber of the Supreme Court rejected it"</w:t>
      </w:r>
      <w:r>
        <w:rPr>
          <w:rStyle w:val="FootnoteReference"/>
          <w:rFonts w:asciiTheme="majorHAnsi" w:eastAsia="Cambria" w:hAnsiTheme="majorHAnsi" w:cs="Cambria"/>
          <w:color w:val="000000"/>
          <w:sz w:val="20"/>
          <w:szCs w:val="20"/>
          <w:u w:color="000000"/>
          <w:bdr w:val="nil"/>
          <w:lang w:val="en-US" w:eastAsia="es-ES"/>
        </w:rPr>
        <w:footnoteReference w:id="16"/>
      </w:r>
      <w:r w:rsidR="00207AE2">
        <w:rPr>
          <w:rFonts w:asciiTheme="majorHAnsi" w:eastAsia="Cambria" w:hAnsiTheme="majorHAnsi" w:cs="Cambria"/>
          <w:color w:val="000000"/>
          <w:sz w:val="20"/>
          <w:szCs w:val="20"/>
          <w:u w:color="000000"/>
          <w:bdr w:val="nil"/>
          <w:lang w:val="en-US" w:eastAsia="es-ES"/>
        </w:rPr>
        <w:t>.</w:t>
      </w:r>
      <w:r w:rsidRPr="00C31F99">
        <w:rPr>
          <w:rFonts w:asciiTheme="majorHAnsi" w:eastAsia="Cambria" w:hAnsiTheme="majorHAnsi" w:cs="Cambria"/>
          <w:color w:val="000000"/>
          <w:sz w:val="20"/>
          <w:szCs w:val="20"/>
          <w:u w:color="000000"/>
          <w:bdr w:val="nil"/>
          <w:lang w:val="en-US" w:eastAsia="es-ES"/>
        </w:rPr>
        <w:t xml:space="preserve"> In light of this, Mr. Caal Xól filed an </w:t>
      </w:r>
      <w:r w:rsidR="00436E26">
        <w:rPr>
          <w:rFonts w:asciiTheme="majorHAnsi" w:eastAsia="Cambria" w:hAnsiTheme="majorHAnsi" w:cs="Cambria"/>
          <w:color w:val="000000"/>
          <w:sz w:val="20"/>
          <w:szCs w:val="20"/>
          <w:u w:color="000000"/>
          <w:bdr w:val="nil"/>
          <w:lang w:val="en-US" w:eastAsia="es-ES"/>
        </w:rPr>
        <w:t>amparo</w:t>
      </w:r>
      <w:r w:rsidRPr="00C31F99">
        <w:rPr>
          <w:rFonts w:asciiTheme="majorHAnsi" w:eastAsia="Cambria" w:hAnsiTheme="majorHAnsi" w:cs="Cambria"/>
          <w:color w:val="000000"/>
          <w:sz w:val="20"/>
          <w:szCs w:val="20"/>
          <w:u w:color="000000"/>
          <w:bdr w:val="nil"/>
          <w:lang w:val="en-US" w:eastAsia="es-ES"/>
        </w:rPr>
        <w:t>, which had not yet been resolved in 2022; however, on March 24, 2022, Mr. Caal Xól was released from the Cobán penitentiary for good behavior, but he continues to be convicted</w:t>
      </w:r>
      <w:r>
        <w:rPr>
          <w:rStyle w:val="FootnoteReference"/>
          <w:rFonts w:asciiTheme="majorHAnsi" w:eastAsia="Cambria" w:hAnsiTheme="majorHAnsi" w:cs="Cambria"/>
          <w:color w:val="000000"/>
          <w:sz w:val="20"/>
          <w:szCs w:val="20"/>
          <w:u w:color="000000"/>
          <w:bdr w:val="nil"/>
          <w:lang w:val="en-US" w:eastAsia="es-ES"/>
        </w:rPr>
        <w:footnoteReference w:id="17"/>
      </w:r>
      <w:r w:rsidR="00207AE2">
        <w:rPr>
          <w:rFonts w:asciiTheme="majorHAnsi" w:eastAsia="Cambria" w:hAnsiTheme="majorHAnsi" w:cs="Cambria"/>
          <w:color w:val="000000"/>
          <w:sz w:val="20"/>
          <w:szCs w:val="20"/>
          <w:u w:color="000000"/>
          <w:bdr w:val="nil"/>
          <w:lang w:val="en-US" w:eastAsia="es-ES"/>
        </w:rPr>
        <w:t>.</w:t>
      </w:r>
    </w:p>
    <w:p w14:paraId="02B7ED6E" w14:textId="50FF9A0F"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The petitioners report that the United Nations Special Rapporteur for Indigenous Peoples heard the case of Bernardo Caal and the Q'eqchi's communities in resistance and submitted a report on this situation;</w:t>
      </w:r>
      <w:r>
        <w:rPr>
          <w:rStyle w:val="FootnoteReference"/>
          <w:rFonts w:asciiTheme="majorHAnsi" w:hAnsiTheme="majorHAnsi"/>
          <w:bCs/>
          <w:sz w:val="20"/>
          <w:szCs w:val="20"/>
          <w:lang w:val="en-US"/>
        </w:rPr>
        <w:footnoteReference w:id="18"/>
      </w:r>
      <w:r w:rsidRPr="0081085D">
        <w:rPr>
          <w:rFonts w:asciiTheme="majorHAnsi" w:hAnsiTheme="majorHAnsi"/>
          <w:bCs/>
          <w:sz w:val="20"/>
          <w:szCs w:val="20"/>
          <w:lang w:val="en-US"/>
        </w:rPr>
        <w:t xml:space="preserve"> Amnesty International also issued a statement on the case in 2019 and 2020</w:t>
      </w:r>
      <w:r>
        <w:rPr>
          <w:rStyle w:val="FootnoteReference"/>
          <w:rFonts w:asciiTheme="majorHAnsi" w:hAnsiTheme="majorHAnsi"/>
          <w:bCs/>
          <w:sz w:val="20"/>
          <w:szCs w:val="20"/>
          <w:lang w:val="en-US"/>
        </w:rPr>
        <w:footnoteReference w:id="19"/>
      </w:r>
      <w:r w:rsidR="00207AE2">
        <w:rPr>
          <w:rFonts w:asciiTheme="majorHAnsi" w:hAnsiTheme="majorHAnsi"/>
          <w:bCs/>
          <w:sz w:val="20"/>
          <w:szCs w:val="20"/>
          <w:lang w:val="en-US"/>
        </w:rPr>
        <w:t>.</w:t>
      </w:r>
      <w:r w:rsidRPr="0081085D">
        <w:rPr>
          <w:rFonts w:asciiTheme="majorHAnsi" w:hAnsiTheme="majorHAnsi"/>
          <w:bCs/>
          <w:sz w:val="20"/>
          <w:szCs w:val="20"/>
          <w:lang w:val="en-US"/>
        </w:rPr>
        <w:t xml:space="preserve"> </w:t>
      </w:r>
    </w:p>
    <w:p w14:paraId="651C4CDB" w14:textId="36437BDF"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It should be noted that, in communications subsequent to the petition, the petition</w:t>
      </w:r>
      <w:r>
        <w:rPr>
          <w:rFonts w:asciiTheme="majorHAnsi" w:hAnsiTheme="majorHAnsi"/>
          <w:bCs/>
          <w:sz w:val="20"/>
          <w:szCs w:val="20"/>
          <w:lang w:val="en-US"/>
        </w:rPr>
        <w:t>er</w:t>
      </w:r>
      <w:r w:rsidRPr="0081085D">
        <w:rPr>
          <w:rFonts w:asciiTheme="majorHAnsi" w:hAnsiTheme="majorHAnsi"/>
          <w:bCs/>
          <w:sz w:val="20"/>
          <w:szCs w:val="20"/>
          <w:lang w:val="en-US"/>
        </w:rPr>
        <w:t xml:space="preserve"> party lists a series of rights that it considers violated, namely: </w:t>
      </w:r>
      <w:r w:rsidRPr="0081085D">
        <w:rPr>
          <w:rFonts w:asciiTheme="majorHAnsi" w:hAnsiTheme="majorHAnsi"/>
          <w:bCs/>
          <w:i/>
          <w:iCs/>
          <w:sz w:val="20"/>
          <w:szCs w:val="20"/>
          <w:lang w:val="en-US"/>
        </w:rPr>
        <w:t>"self-determination, collective rights of indigenous peoples, to belong to indigenous peoples, to legal personality, to cultural identity, to indigenous spirituality, to health, protection of a healthy environment, association, assembly, freedom of expression and thought, autonomy and self-government, to lands, territories and resources, to development, to peace, to security and protection, to effective and adequate resources and to the right to consultation of indigenous peoples in accordance with the provisions of ILO Convention 169"</w:t>
      </w:r>
      <w:r w:rsidR="00207AE2">
        <w:rPr>
          <w:rFonts w:asciiTheme="majorHAnsi" w:hAnsiTheme="majorHAnsi"/>
          <w:bCs/>
          <w:i/>
          <w:iCs/>
          <w:sz w:val="20"/>
          <w:szCs w:val="20"/>
          <w:lang w:val="en-US"/>
        </w:rPr>
        <w:t>.</w:t>
      </w:r>
      <w:r w:rsidRPr="0081085D">
        <w:rPr>
          <w:rFonts w:asciiTheme="majorHAnsi" w:hAnsiTheme="majorHAnsi"/>
          <w:bCs/>
          <w:sz w:val="20"/>
          <w:szCs w:val="20"/>
          <w:lang w:val="en-US"/>
        </w:rPr>
        <w:t xml:space="preserve"> However, the petitioners only mention that </w:t>
      </w:r>
      <w:r w:rsidRPr="0081085D">
        <w:rPr>
          <w:rFonts w:asciiTheme="majorHAnsi" w:hAnsiTheme="majorHAnsi"/>
          <w:bCs/>
          <w:i/>
          <w:iCs/>
          <w:sz w:val="20"/>
          <w:szCs w:val="20"/>
          <w:lang w:val="en-US"/>
        </w:rPr>
        <w:t>"the implementation of the Hydroelectric Projects affects them [the Q'eqchi's communities] in their free access to water, health and a healthy environment, due to the fact that the rivers are completely diverted from their natural course".</w:t>
      </w:r>
    </w:p>
    <w:p w14:paraId="0D2E635A" w14:textId="77777777"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In 2021 communications, the petitioner indicates that the consultations with the Q'eqchi's communities have been carried out outside their territory and without the presence of indigenous representatives. Furthermore, that the 2017 ruling of the Constitutional Court has not yet been executed because the consultation guide has not been prepared and approved.</w:t>
      </w:r>
    </w:p>
    <w:p w14:paraId="5E218A43" w14:textId="36A6315D"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Finally, they indicate that Mr. Caal Xól denounced that the territory where the two hydroelectric plants were built had been fraudulently purchased, and that the Public Prosecutor's Office did not conduct any investigation. -There is no further information in the file on this point</w:t>
      </w:r>
      <w:r w:rsidR="00207AE2" w:rsidRPr="0081085D">
        <w:rPr>
          <w:rFonts w:asciiTheme="majorHAnsi" w:hAnsiTheme="majorHAnsi"/>
          <w:bCs/>
          <w:sz w:val="20"/>
          <w:szCs w:val="20"/>
          <w:lang w:val="en-US"/>
        </w:rPr>
        <w:t>-</w:t>
      </w:r>
      <w:r w:rsidRPr="0081085D">
        <w:rPr>
          <w:rFonts w:asciiTheme="majorHAnsi" w:hAnsiTheme="majorHAnsi"/>
          <w:bCs/>
          <w:sz w:val="20"/>
          <w:szCs w:val="20"/>
          <w:lang w:val="en-US"/>
        </w:rPr>
        <w:t>.</w:t>
      </w:r>
    </w:p>
    <w:p w14:paraId="27B44EF4" w14:textId="2EB6F87B" w:rsidR="0081085D" w:rsidRPr="0081085D" w:rsidRDefault="0081085D" w:rsidP="0081085D">
      <w:pPr>
        <w:suppressAutoHyphens/>
        <w:spacing w:after="240"/>
        <w:jc w:val="both"/>
        <w:rPr>
          <w:rFonts w:asciiTheme="majorHAnsi" w:hAnsiTheme="majorHAnsi"/>
          <w:bCs/>
          <w:sz w:val="20"/>
          <w:szCs w:val="20"/>
          <w:lang w:val="en-US"/>
        </w:rPr>
      </w:pPr>
      <w:r>
        <w:rPr>
          <w:rFonts w:asciiTheme="majorHAnsi" w:hAnsiTheme="majorHAnsi"/>
          <w:bCs/>
          <w:i/>
          <w:iCs/>
          <w:sz w:val="20"/>
          <w:szCs w:val="20"/>
          <w:lang w:val="en-US"/>
        </w:rPr>
        <w:t>Arguments presented by the Guatemalan State</w:t>
      </w:r>
    </w:p>
    <w:p w14:paraId="658D5CF8" w14:textId="678CE20B"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 xml:space="preserve">The Guatemalan State argues that the instant petition does not meet the admissibility requirements set forth in the American Convention and the Commission's Rules of Procedure. In particular, it indicates that there is: i) lack of personal competence; ii) lack of legitimacy of the petitioner to represent the </w:t>
      </w:r>
      <w:r w:rsidRPr="0081085D">
        <w:rPr>
          <w:rFonts w:asciiTheme="majorHAnsi" w:hAnsiTheme="majorHAnsi"/>
          <w:bCs/>
          <w:sz w:val="20"/>
          <w:szCs w:val="20"/>
          <w:lang w:val="en-US"/>
        </w:rPr>
        <w:lastRenderedPageBreak/>
        <w:t xml:space="preserve">indigenous community; iii) lack of material competence; and iv) lack of characterization (fourth instance formula).  </w:t>
      </w:r>
    </w:p>
    <w:p w14:paraId="7B3472A0" w14:textId="7E7F5CB6"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 xml:space="preserve">Regarding the lack of personal competence, the State </w:t>
      </w:r>
      <w:r w:rsidR="00D03D3C">
        <w:rPr>
          <w:rFonts w:asciiTheme="majorHAnsi" w:hAnsiTheme="majorHAnsi"/>
          <w:bCs/>
          <w:sz w:val="20"/>
          <w:szCs w:val="20"/>
          <w:lang w:val="en-US"/>
        </w:rPr>
        <w:t>affirms</w:t>
      </w:r>
      <w:r w:rsidRPr="0081085D">
        <w:rPr>
          <w:rFonts w:asciiTheme="majorHAnsi" w:hAnsiTheme="majorHAnsi"/>
          <w:bCs/>
          <w:sz w:val="20"/>
          <w:szCs w:val="20"/>
          <w:lang w:val="en-US"/>
        </w:rPr>
        <w:t xml:space="preserve"> that in the instant petition there is insufficient information to determine the alleged victims with precision. It considers it important to locate the alleged victims in the admissibility </w:t>
      </w:r>
      <w:r w:rsidR="00207AE2" w:rsidRPr="0081085D">
        <w:rPr>
          <w:rFonts w:asciiTheme="majorHAnsi" w:hAnsiTheme="majorHAnsi"/>
          <w:bCs/>
          <w:sz w:val="20"/>
          <w:szCs w:val="20"/>
          <w:lang w:val="en-US"/>
        </w:rPr>
        <w:t>phase and</w:t>
      </w:r>
      <w:r w:rsidRPr="0081085D">
        <w:rPr>
          <w:rFonts w:asciiTheme="majorHAnsi" w:hAnsiTheme="majorHAnsi"/>
          <w:bCs/>
          <w:sz w:val="20"/>
          <w:szCs w:val="20"/>
          <w:lang w:val="en-US"/>
        </w:rPr>
        <w:t xml:space="preserve"> emphasizes that a determination of alleged victims cannot be made </w:t>
      </w:r>
      <w:r w:rsidRPr="00D03D3C">
        <w:rPr>
          <w:rFonts w:asciiTheme="majorHAnsi" w:hAnsiTheme="majorHAnsi"/>
          <w:bCs/>
          <w:i/>
          <w:iCs/>
          <w:sz w:val="20"/>
          <w:szCs w:val="20"/>
          <w:lang w:val="en-US"/>
        </w:rPr>
        <w:t>"solely on the basis of a statement that they represent an entire community without even attaching evidence to support such a claim. On the contrary, the determination must be made in accordance with the highest standards of certainty, according to a clearly and precisely delimited factual platform".</w:t>
      </w:r>
      <w:r w:rsidRPr="0081085D">
        <w:rPr>
          <w:rFonts w:asciiTheme="majorHAnsi" w:hAnsiTheme="majorHAnsi"/>
          <w:bCs/>
          <w:sz w:val="20"/>
          <w:szCs w:val="20"/>
          <w:lang w:val="en-US"/>
        </w:rPr>
        <w:t xml:space="preserve"> </w:t>
      </w:r>
    </w:p>
    <w:p w14:paraId="261E70D8" w14:textId="5C711D56"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 xml:space="preserve">It indicates that nowhere in the facts narrated by the petitioner are villages, cantons or hamlets identified as forming part of the so-called Q'ueqchi' Indigenous Community, and that, on the contrary, this could be determined within the consultation process carried out </w:t>
      </w:r>
      <w:r w:rsidR="00D03D3C">
        <w:rPr>
          <w:rFonts w:asciiTheme="majorHAnsi" w:hAnsiTheme="majorHAnsi"/>
          <w:bCs/>
          <w:sz w:val="20"/>
          <w:szCs w:val="20"/>
          <w:lang w:val="en-US"/>
        </w:rPr>
        <w:t xml:space="preserve">by </w:t>
      </w:r>
      <w:r w:rsidRPr="0081085D">
        <w:rPr>
          <w:rFonts w:asciiTheme="majorHAnsi" w:hAnsiTheme="majorHAnsi"/>
          <w:bCs/>
          <w:sz w:val="20"/>
          <w:szCs w:val="20"/>
          <w:lang w:val="en-US"/>
        </w:rPr>
        <w:t xml:space="preserve">the State, in which eleven communities located in the area of influence participated. The State also indicates that, in cases where the alleged victim is an indigenous people, this fact can be determined based on geographic or territorial characteristics, but that in the instant petition no mention was ever made in this regard.  Furthermore, it indicates that the petitioner never stated that it was impossible to identify the alleged victims. </w:t>
      </w:r>
    </w:p>
    <w:p w14:paraId="09BD5ABC" w14:textId="340A597C" w:rsidR="0081085D" w:rsidRPr="0081085D" w:rsidRDefault="0081085D" w:rsidP="0081085D">
      <w:pPr>
        <w:numPr>
          <w:ilvl w:val="0"/>
          <w:numId w:val="55"/>
        </w:numPr>
        <w:suppressAutoHyphens/>
        <w:spacing w:after="240"/>
        <w:jc w:val="both"/>
        <w:rPr>
          <w:rFonts w:asciiTheme="majorHAnsi" w:hAnsiTheme="majorHAnsi"/>
          <w:bCs/>
          <w:sz w:val="20"/>
          <w:szCs w:val="20"/>
          <w:lang w:val="en-US"/>
        </w:rPr>
      </w:pPr>
      <w:r w:rsidRPr="0081085D">
        <w:rPr>
          <w:rFonts w:asciiTheme="majorHAnsi" w:hAnsiTheme="majorHAnsi"/>
          <w:bCs/>
          <w:sz w:val="20"/>
          <w:szCs w:val="20"/>
          <w:lang w:val="en-US"/>
        </w:rPr>
        <w:t>Regarding the petitioner's lack of standing, the State considers that there is no evidence in the case file that would allow Mr. Bernardo Caal Xól to determine the veracity of his representation of the alleged victims. The State requests that the Commission require the necessary means of proof, according to the uses, customs and forms of organization of the community, to ensure that Mr. Caal Xól is really acting in defense of the interests of the community.</w:t>
      </w:r>
    </w:p>
    <w:p w14:paraId="728BC5B5" w14:textId="6F2C6F91" w:rsidR="00D03D3C" w:rsidRDefault="00D03D3C" w:rsidP="00D03D3C">
      <w:pPr>
        <w:numPr>
          <w:ilvl w:val="0"/>
          <w:numId w:val="55"/>
        </w:numPr>
        <w:suppressAutoHyphens/>
        <w:spacing w:after="240"/>
        <w:jc w:val="both"/>
        <w:rPr>
          <w:rFonts w:asciiTheme="majorHAnsi" w:hAnsiTheme="majorHAnsi"/>
          <w:bCs/>
          <w:sz w:val="20"/>
          <w:szCs w:val="20"/>
          <w:lang w:val="en-US"/>
        </w:rPr>
      </w:pPr>
      <w:r w:rsidRPr="00D03D3C">
        <w:rPr>
          <w:rFonts w:asciiTheme="majorHAnsi" w:hAnsiTheme="majorHAnsi"/>
          <w:bCs/>
          <w:sz w:val="20"/>
          <w:szCs w:val="20"/>
          <w:lang w:val="en-US"/>
        </w:rPr>
        <w:t xml:space="preserve">It emphasizes that, in relation to the eleven communities that participated in the consultation process, Mr. Caal Xól does not appear among them. It even indicates that the leaders of the eleven communities themselves expressed their rejection of the petitioner, stating: </w:t>
      </w:r>
      <w:r w:rsidRPr="00D03D3C">
        <w:rPr>
          <w:rFonts w:asciiTheme="majorHAnsi" w:hAnsiTheme="majorHAnsi"/>
          <w:bCs/>
          <w:i/>
          <w:iCs/>
          <w:sz w:val="20"/>
          <w:szCs w:val="20"/>
          <w:lang w:val="en-US"/>
        </w:rPr>
        <w:t>"Mr. Mayor, we make it known that Mr. BERNARDO CAAL, [...] is not welcome in our communities, as are members of MADRESELVA [...] who only come to create division in our communities and we demand that they please do not come again. [They] have directly harmed our communities, psychologically and morally, since they are treating us as delinquents, saying that we have sold lands that do not belong to us, which is totally false [...] we do not want the intervention of other campesino and non campesino organizations with negative leaders who organize demonstrations [...] against the Oxec hydroelectric plants”</w:t>
      </w:r>
      <w:r>
        <w:rPr>
          <w:rStyle w:val="FootnoteReference"/>
          <w:rFonts w:asciiTheme="majorHAnsi" w:hAnsiTheme="majorHAnsi"/>
          <w:bCs/>
          <w:i/>
          <w:iCs/>
          <w:sz w:val="20"/>
          <w:szCs w:val="20"/>
          <w:lang w:val="en-US"/>
        </w:rPr>
        <w:footnoteReference w:id="20"/>
      </w:r>
      <w:r w:rsidR="00207AE2">
        <w:rPr>
          <w:rFonts w:asciiTheme="majorHAnsi" w:hAnsiTheme="majorHAnsi"/>
          <w:bCs/>
          <w:i/>
          <w:iCs/>
          <w:sz w:val="20"/>
          <w:szCs w:val="20"/>
          <w:lang w:val="en-US"/>
        </w:rPr>
        <w:t>.</w:t>
      </w:r>
    </w:p>
    <w:p w14:paraId="6227488B" w14:textId="05165B52" w:rsidR="00D03D3C" w:rsidRPr="00D03D3C" w:rsidRDefault="00D03D3C" w:rsidP="00D03D3C">
      <w:pPr>
        <w:numPr>
          <w:ilvl w:val="0"/>
          <w:numId w:val="55"/>
        </w:numPr>
        <w:suppressAutoHyphens/>
        <w:spacing w:after="240"/>
        <w:jc w:val="both"/>
        <w:rPr>
          <w:rFonts w:asciiTheme="majorHAnsi" w:hAnsiTheme="majorHAnsi"/>
          <w:bCs/>
          <w:sz w:val="20"/>
          <w:szCs w:val="20"/>
          <w:lang w:val="en-US"/>
        </w:rPr>
      </w:pPr>
      <w:r w:rsidRPr="00D03D3C">
        <w:rPr>
          <w:rFonts w:asciiTheme="majorHAnsi" w:hAnsiTheme="majorHAnsi"/>
          <w:bCs/>
          <w:sz w:val="20"/>
          <w:szCs w:val="20"/>
          <w:lang w:val="en-US"/>
        </w:rPr>
        <w:t>Within an annexed document submitted by the State, dated May 5, 2016 and signed by "Eleven Oxec Surrounding Communities, Pro-Improvement Group, Cahabon A. V." and the "</w:t>
      </w:r>
      <w:r>
        <w:rPr>
          <w:rFonts w:asciiTheme="majorHAnsi" w:hAnsiTheme="majorHAnsi"/>
          <w:bCs/>
          <w:sz w:val="20"/>
          <w:szCs w:val="20"/>
          <w:lang w:val="en-US"/>
        </w:rPr>
        <w:t xml:space="preserve">Community Development Council, town </w:t>
      </w:r>
      <w:r w:rsidRPr="00D03D3C">
        <w:rPr>
          <w:rFonts w:asciiTheme="majorHAnsi" w:hAnsiTheme="majorHAnsi"/>
          <w:bCs/>
          <w:sz w:val="20"/>
          <w:szCs w:val="20"/>
          <w:lang w:val="en-US"/>
        </w:rPr>
        <w:t xml:space="preserve">aldea Seasir, Cahabon, A.V.", neighbors of the communities in the areas surrounding the hydroelectric plants, state that since 2012 they have reached agreements with the Oxec and Oxec II entities, which has led to the development of their communities. The signatories express their rejection of </w:t>
      </w:r>
      <w:r w:rsidRPr="00D03D3C">
        <w:rPr>
          <w:rFonts w:asciiTheme="majorHAnsi" w:hAnsiTheme="majorHAnsi"/>
          <w:bCs/>
          <w:i/>
          <w:iCs/>
          <w:sz w:val="20"/>
          <w:szCs w:val="20"/>
          <w:lang w:val="en-US"/>
        </w:rPr>
        <w:t>"the intervention of organizations [...] with negative leaders who are dedicated to organizing demonstrations, creating divisiveness among us peasants [they ask] to avoid further demonstrations by organizations such as Madre Selva [...] who are dedicated to creating divisiveness among us and also provoke violence</w:t>
      </w:r>
      <w:r>
        <w:rPr>
          <w:rFonts w:asciiTheme="majorHAnsi" w:hAnsiTheme="majorHAnsi"/>
          <w:bCs/>
          <w:i/>
          <w:iCs/>
          <w:sz w:val="20"/>
          <w:szCs w:val="20"/>
          <w:lang w:val="en-US"/>
        </w:rPr>
        <w:t>”</w:t>
      </w:r>
      <w:r w:rsidR="000E0F41">
        <w:rPr>
          <w:rStyle w:val="FootnoteReference"/>
          <w:rFonts w:asciiTheme="majorHAnsi" w:hAnsiTheme="majorHAnsi"/>
          <w:bCs/>
          <w:sz w:val="20"/>
          <w:szCs w:val="20"/>
          <w:lang w:val="en-US"/>
        </w:rPr>
        <w:footnoteReference w:id="21"/>
      </w:r>
      <w:r w:rsidR="00207AE2">
        <w:rPr>
          <w:rFonts w:asciiTheme="majorHAnsi" w:hAnsiTheme="majorHAnsi"/>
          <w:bCs/>
          <w:i/>
          <w:iCs/>
          <w:sz w:val="20"/>
          <w:szCs w:val="20"/>
          <w:lang w:val="en-US"/>
        </w:rPr>
        <w:t>.</w:t>
      </w:r>
      <w:r w:rsidRPr="00D03D3C">
        <w:rPr>
          <w:rFonts w:asciiTheme="majorHAnsi" w:hAnsiTheme="majorHAnsi"/>
          <w:bCs/>
          <w:sz w:val="20"/>
          <w:szCs w:val="20"/>
          <w:lang w:val="en-US"/>
        </w:rPr>
        <w:t xml:space="preserve"> Therefore, and considering what was expressed by the representatives of the communities neighboring the hydroelectric </w:t>
      </w:r>
      <w:r w:rsidR="00B85C4D">
        <w:rPr>
          <w:rFonts w:asciiTheme="majorHAnsi" w:hAnsiTheme="majorHAnsi"/>
          <w:bCs/>
          <w:sz w:val="20"/>
          <w:szCs w:val="20"/>
          <w:lang w:val="en-US"/>
        </w:rPr>
        <w:t xml:space="preserve">power </w:t>
      </w:r>
      <w:r w:rsidRPr="00D03D3C">
        <w:rPr>
          <w:rFonts w:asciiTheme="majorHAnsi" w:hAnsiTheme="majorHAnsi"/>
          <w:bCs/>
          <w:sz w:val="20"/>
          <w:szCs w:val="20"/>
          <w:lang w:val="en-US"/>
        </w:rPr>
        <w:t xml:space="preserve">plants, the State considers that the lack of legitimacy and representativeness of the eleven communities located in the area of influence has been fully demonstrated; and that not only do they not recognize the representation of </w:t>
      </w:r>
      <w:r w:rsidRPr="00D03D3C">
        <w:rPr>
          <w:rFonts w:asciiTheme="majorHAnsi" w:hAnsiTheme="majorHAnsi"/>
          <w:bCs/>
          <w:sz w:val="20"/>
          <w:szCs w:val="20"/>
          <w:lang w:val="en-US"/>
        </w:rPr>
        <w:lastRenderedPageBreak/>
        <w:t>Mr. Caal Xól and the Madre Selva collective, but they have demonstrated their dissatisfaction with their participation, and therefore request that the petitioner's representation be accredited.</w:t>
      </w:r>
    </w:p>
    <w:p w14:paraId="1816E2C7" w14:textId="0B787DEB" w:rsidR="00D03D3C" w:rsidRPr="00D03D3C" w:rsidRDefault="00D03D3C" w:rsidP="00D03D3C">
      <w:pPr>
        <w:numPr>
          <w:ilvl w:val="0"/>
          <w:numId w:val="55"/>
        </w:numPr>
        <w:suppressAutoHyphens/>
        <w:spacing w:after="240"/>
        <w:jc w:val="both"/>
        <w:rPr>
          <w:rFonts w:asciiTheme="majorHAnsi" w:hAnsiTheme="majorHAnsi"/>
          <w:bCs/>
          <w:sz w:val="20"/>
          <w:szCs w:val="20"/>
          <w:lang w:val="en-US"/>
        </w:rPr>
      </w:pPr>
      <w:r w:rsidRPr="00D03D3C">
        <w:rPr>
          <w:rFonts w:asciiTheme="majorHAnsi" w:hAnsiTheme="majorHAnsi"/>
          <w:bCs/>
          <w:sz w:val="20"/>
          <w:szCs w:val="20"/>
          <w:lang w:val="en-US"/>
        </w:rPr>
        <w:t>The State also requests the inadmissibility of the petition for lack of material competence, inasmuch as the petitioner indicated that the State was responsible for violating the right to consultation of the indigenous peoples in accordance with ILO Convention 169, which is a treaty external to the Inter-American System.</w:t>
      </w:r>
    </w:p>
    <w:p w14:paraId="14037938" w14:textId="780A3D90" w:rsidR="00BA515D" w:rsidRDefault="00D03D3C" w:rsidP="00D03D3C">
      <w:pPr>
        <w:numPr>
          <w:ilvl w:val="0"/>
          <w:numId w:val="55"/>
        </w:numPr>
        <w:suppressAutoHyphens/>
        <w:spacing w:after="240"/>
        <w:jc w:val="both"/>
        <w:rPr>
          <w:rFonts w:asciiTheme="majorHAnsi" w:hAnsiTheme="majorHAnsi"/>
          <w:bCs/>
          <w:sz w:val="20"/>
          <w:szCs w:val="20"/>
          <w:lang w:val="en-US"/>
        </w:rPr>
      </w:pPr>
      <w:r w:rsidRPr="00D03D3C">
        <w:rPr>
          <w:rFonts w:asciiTheme="majorHAnsi" w:hAnsiTheme="majorHAnsi"/>
          <w:bCs/>
          <w:sz w:val="20"/>
          <w:szCs w:val="20"/>
          <w:lang w:val="en-US"/>
        </w:rPr>
        <w:t xml:space="preserve">Likewise, the State considers that due to a mere disagreement with the decision of the Constitutional Court, the petitioners intend that the Commission review the judgment of May 26, 2017. Thus, the State reasons that the petitioner seeks that the Commission act as an appellate court, violating the principle of subsidiarity. The State highlights that the petitioner, after the decision of May 26, 2017, filed an appeal for clarification and amplification on May 30, 2017, which was resolved by the Constitutional Court on June 6, 2017, indicating that the challenged pronouncement was not ambiguous, because it had been resolved in the same interpretive line in accordance with what was claimed, and the proper legal application, and that </w:t>
      </w:r>
      <w:r w:rsidRPr="006E4684">
        <w:rPr>
          <w:rFonts w:asciiTheme="majorHAnsi" w:hAnsiTheme="majorHAnsi"/>
          <w:bCs/>
          <w:i/>
          <w:iCs/>
          <w:sz w:val="20"/>
          <w:szCs w:val="20"/>
          <w:lang w:val="en-US"/>
        </w:rPr>
        <w:t>"it is not obscure because its terms are clearly understandable; nor is it contradictory, inasmuch as the points of the decision assumed are coherent among themselves".</w:t>
      </w:r>
    </w:p>
    <w:p w14:paraId="29F13EBE" w14:textId="0C478BF5" w:rsidR="000E0F41" w:rsidRPr="000E0F41" w:rsidRDefault="000E0F41" w:rsidP="000E0F41">
      <w:pPr>
        <w:numPr>
          <w:ilvl w:val="0"/>
          <w:numId w:val="55"/>
        </w:numPr>
        <w:suppressAutoHyphens/>
        <w:spacing w:after="240"/>
        <w:jc w:val="both"/>
        <w:rPr>
          <w:rFonts w:asciiTheme="majorHAnsi" w:hAnsiTheme="majorHAnsi"/>
          <w:bCs/>
          <w:sz w:val="20"/>
          <w:szCs w:val="20"/>
          <w:lang w:val="en-US"/>
        </w:rPr>
      </w:pPr>
      <w:r w:rsidRPr="000E0F41">
        <w:rPr>
          <w:rFonts w:asciiTheme="majorHAnsi" w:hAnsiTheme="majorHAnsi"/>
          <w:bCs/>
          <w:sz w:val="20"/>
          <w:szCs w:val="20"/>
          <w:lang w:val="en-US"/>
        </w:rPr>
        <w:t xml:space="preserve">Therefore, the State indicates that the judgment of May 26, 2017, which specified the scope of the </w:t>
      </w:r>
      <w:r>
        <w:rPr>
          <w:rFonts w:asciiTheme="majorHAnsi" w:hAnsiTheme="majorHAnsi"/>
          <w:bCs/>
          <w:sz w:val="20"/>
          <w:szCs w:val="20"/>
          <w:lang w:val="en-US"/>
        </w:rPr>
        <w:t>writ of constitutionality</w:t>
      </w:r>
      <w:r w:rsidRPr="000E0F41">
        <w:rPr>
          <w:rFonts w:asciiTheme="majorHAnsi" w:hAnsiTheme="majorHAnsi"/>
          <w:bCs/>
          <w:sz w:val="20"/>
          <w:szCs w:val="20"/>
          <w:lang w:val="en-US"/>
        </w:rPr>
        <w:t xml:space="preserve"> is grounded and resolved in accordance with domestic law</w:t>
      </w:r>
      <w:r>
        <w:rPr>
          <w:rStyle w:val="FootnoteReference"/>
          <w:rFonts w:asciiTheme="majorHAnsi" w:hAnsiTheme="majorHAnsi"/>
          <w:bCs/>
          <w:sz w:val="20"/>
          <w:szCs w:val="20"/>
          <w:lang w:val="en-US"/>
        </w:rPr>
        <w:footnoteReference w:id="22"/>
      </w:r>
      <w:r w:rsidR="00207AE2">
        <w:rPr>
          <w:rFonts w:asciiTheme="majorHAnsi" w:hAnsiTheme="majorHAnsi"/>
          <w:bCs/>
          <w:sz w:val="20"/>
          <w:szCs w:val="20"/>
          <w:lang w:val="en-US"/>
        </w:rPr>
        <w:t>,</w:t>
      </w:r>
      <w:r w:rsidRPr="000E0F41">
        <w:rPr>
          <w:rFonts w:asciiTheme="majorHAnsi" w:hAnsiTheme="majorHAnsi"/>
          <w:bCs/>
          <w:sz w:val="20"/>
          <w:szCs w:val="20"/>
          <w:lang w:val="en-US"/>
        </w:rPr>
        <w:t xml:space="preserve"> in addition, that this judgment not only confirmed the judgment of the Supreme Court of Justice, but also modified it, seeking to carry out a consultation mechanism in accordance with ILO Convention 169 and international standards in force. It also emphasizes that the consultation process concluded satisfactorily and </w:t>
      </w:r>
      <w:r w:rsidRPr="000E0F41">
        <w:rPr>
          <w:rFonts w:asciiTheme="majorHAnsi" w:hAnsiTheme="majorHAnsi"/>
          <w:bCs/>
          <w:i/>
          <w:iCs/>
          <w:sz w:val="20"/>
          <w:szCs w:val="20"/>
          <w:lang w:val="en-US"/>
        </w:rPr>
        <w:t>"the result is found in the agreements reached by all parties. In this way, Guatemala complied with its obligation to protect the human rights that were allegedly violated at the time, mainly the right to consultation of the indigenous peoples".</w:t>
      </w:r>
      <w:r w:rsidRPr="000E0F41">
        <w:rPr>
          <w:rFonts w:asciiTheme="majorHAnsi" w:hAnsiTheme="majorHAnsi"/>
          <w:bCs/>
          <w:sz w:val="20"/>
          <w:szCs w:val="20"/>
          <w:lang w:val="en-US"/>
        </w:rPr>
        <w:t xml:space="preserve"> </w:t>
      </w:r>
    </w:p>
    <w:p w14:paraId="2700CD2D" w14:textId="17BBB474" w:rsidR="000E0F41" w:rsidRPr="000E0F41" w:rsidRDefault="000E0F41" w:rsidP="000E0F41">
      <w:pPr>
        <w:numPr>
          <w:ilvl w:val="0"/>
          <w:numId w:val="55"/>
        </w:numPr>
        <w:suppressAutoHyphens/>
        <w:spacing w:after="240"/>
        <w:jc w:val="both"/>
        <w:rPr>
          <w:rFonts w:asciiTheme="majorHAnsi" w:hAnsiTheme="majorHAnsi"/>
          <w:bCs/>
          <w:sz w:val="20"/>
          <w:szCs w:val="20"/>
          <w:lang w:val="en-US"/>
        </w:rPr>
      </w:pPr>
      <w:r w:rsidRPr="000E0F41">
        <w:rPr>
          <w:rFonts w:asciiTheme="majorHAnsi" w:hAnsiTheme="majorHAnsi"/>
          <w:bCs/>
          <w:sz w:val="20"/>
          <w:szCs w:val="20"/>
          <w:lang w:val="en-US"/>
        </w:rPr>
        <w:t>The State considers that there are no arguments for the facts narrated to demonstrate and prove a violation of the rights of the alleged victims, either by action or omission of the State; and that there are no factual elements to determine violations to the Q'ueqchi's communities. The State also states that there has been a process of permanent dialogue between the communities, the Oxec and Oxec II entities, and the Ministry of Energy and Mining. In addition, the representation of the communities and their form of organization has been respected at all times; and that they have been given access to all information, in Spanish and Q'ueqchi, related to the approval process of the Oxec and Oxec II projects.</w:t>
      </w:r>
    </w:p>
    <w:p w14:paraId="73E9D6D4" w14:textId="01FBB6CF" w:rsidR="004B6A7F" w:rsidRPr="000E0F41" w:rsidRDefault="000E0F41" w:rsidP="000E0F41">
      <w:pPr>
        <w:numPr>
          <w:ilvl w:val="0"/>
          <w:numId w:val="55"/>
        </w:numPr>
        <w:suppressAutoHyphens/>
        <w:spacing w:after="240"/>
        <w:jc w:val="both"/>
        <w:rPr>
          <w:rFonts w:asciiTheme="majorHAnsi" w:hAnsiTheme="majorHAnsi"/>
          <w:bCs/>
          <w:sz w:val="20"/>
          <w:szCs w:val="20"/>
          <w:lang w:val="en-US"/>
        </w:rPr>
      </w:pPr>
      <w:r w:rsidRPr="000E0F41">
        <w:rPr>
          <w:rFonts w:asciiTheme="majorHAnsi" w:hAnsiTheme="majorHAnsi"/>
          <w:bCs/>
          <w:sz w:val="20"/>
          <w:szCs w:val="20"/>
          <w:lang w:val="en-US"/>
        </w:rPr>
        <w:t>Therefore, the State concludes that the eleven communities within the area of influence participated freely, legitimized and approved the consultation process carried out. Furthermore, the State considers that the rights alleged by the petitioner have already been reestablished for the Q'eqchi's Communities of the municipality of Santa María Cahabón</w:t>
      </w:r>
      <w:r w:rsidR="004B6A7F" w:rsidRPr="000E0F41">
        <w:rPr>
          <w:rFonts w:asciiTheme="majorHAnsi" w:hAnsiTheme="majorHAnsi"/>
          <w:bCs/>
          <w:sz w:val="20"/>
          <w:szCs w:val="20"/>
          <w:lang w:val="en-US"/>
        </w:rPr>
        <w:t>.</w:t>
      </w:r>
    </w:p>
    <w:p w14:paraId="20C927E6" w14:textId="7BD6AF19" w:rsidR="000E0F41" w:rsidRDefault="00B23A3F" w:rsidP="00B23A3F">
      <w:pPr>
        <w:spacing w:before="240" w:after="240"/>
        <w:ind w:firstLine="720"/>
        <w:jc w:val="both"/>
        <w:rPr>
          <w:rFonts w:asciiTheme="majorHAnsi" w:eastAsia="Cambria" w:hAnsiTheme="majorHAnsi" w:cs="Cambria"/>
          <w:b/>
          <w:bCs/>
          <w:color w:val="000000"/>
          <w:sz w:val="20"/>
          <w:szCs w:val="20"/>
          <w:u w:color="000000"/>
          <w:lang w:val="en-US" w:eastAsia="es-ES"/>
        </w:rPr>
      </w:pPr>
      <w:r w:rsidRPr="00BE3B9C">
        <w:rPr>
          <w:rFonts w:asciiTheme="majorHAnsi" w:eastAsia="Cambria" w:hAnsiTheme="majorHAnsi" w:cs="Cambria"/>
          <w:b/>
          <w:bCs/>
          <w:color w:val="000000"/>
          <w:sz w:val="20"/>
          <w:szCs w:val="20"/>
          <w:u w:color="000000"/>
          <w:lang w:val="en-US" w:eastAsia="es-ES"/>
        </w:rPr>
        <w:t>VI.</w:t>
      </w:r>
      <w:r w:rsidRPr="00BE3B9C">
        <w:rPr>
          <w:rFonts w:asciiTheme="majorHAnsi" w:eastAsia="Cambria" w:hAnsiTheme="majorHAnsi" w:cs="Cambria"/>
          <w:b/>
          <w:bCs/>
          <w:color w:val="000000"/>
          <w:sz w:val="20"/>
          <w:szCs w:val="20"/>
          <w:u w:color="000000"/>
          <w:lang w:val="en-US" w:eastAsia="es-ES"/>
        </w:rPr>
        <w:tab/>
      </w:r>
      <w:r w:rsidR="000E0F41">
        <w:rPr>
          <w:rFonts w:asciiTheme="majorHAnsi" w:eastAsia="Cambria" w:hAnsiTheme="majorHAnsi" w:cs="Cambria"/>
          <w:b/>
          <w:bCs/>
          <w:color w:val="000000"/>
          <w:sz w:val="20"/>
          <w:szCs w:val="20"/>
          <w:u w:color="000000"/>
          <w:lang w:val="en-US" w:eastAsia="es-ES"/>
        </w:rPr>
        <w:t>PRIOR CONSIDERATIONS ON THE REPRESENTATION OF THE ALLEGED VICTIMS</w:t>
      </w:r>
    </w:p>
    <w:p w14:paraId="1D168078" w14:textId="77777777" w:rsidR="000E0F41" w:rsidRPr="000E0F41" w:rsidRDefault="000E0F41" w:rsidP="000E0F41">
      <w:pPr>
        <w:pStyle w:val="ListParagraph"/>
        <w:numPr>
          <w:ilvl w:val="0"/>
          <w:numId w:val="55"/>
        </w:numPr>
        <w:spacing w:before="240" w:after="240"/>
        <w:jc w:val="both"/>
        <w:rPr>
          <w:rFonts w:asciiTheme="majorHAnsi" w:hAnsiTheme="majorHAnsi"/>
          <w:sz w:val="20"/>
          <w:szCs w:val="20"/>
        </w:rPr>
      </w:pPr>
      <w:r w:rsidRPr="000E0F41">
        <w:rPr>
          <w:rFonts w:asciiTheme="majorHAnsi" w:hAnsiTheme="majorHAnsi"/>
          <w:sz w:val="20"/>
          <w:szCs w:val="20"/>
        </w:rPr>
        <w:t xml:space="preserve">In the present case, there is a controversy regarding the legitimacy of the petitioner, the Madre Selva Collective and Mr. Bernardo Caal Xól. The State questions whether they are really acting on behalf and for the benefit of the indigenous communities in the vicinity of the hydroelectric projects of the Oxec and Oxec II dams. </w:t>
      </w:r>
    </w:p>
    <w:p w14:paraId="034B2BC7" w14:textId="53C970F7" w:rsidR="000E0F41" w:rsidRPr="000E0F41" w:rsidRDefault="000E0F41" w:rsidP="000E0F41">
      <w:pPr>
        <w:pStyle w:val="ListParagraph"/>
        <w:numPr>
          <w:ilvl w:val="0"/>
          <w:numId w:val="55"/>
        </w:numPr>
        <w:spacing w:before="240" w:after="240"/>
        <w:jc w:val="both"/>
        <w:rPr>
          <w:rFonts w:asciiTheme="majorHAnsi" w:hAnsiTheme="majorHAnsi"/>
          <w:sz w:val="20"/>
          <w:szCs w:val="20"/>
        </w:rPr>
      </w:pPr>
      <w:r>
        <w:rPr>
          <w:rFonts w:asciiTheme="majorHAnsi" w:hAnsiTheme="majorHAnsi"/>
          <w:sz w:val="20"/>
          <w:szCs w:val="20"/>
        </w:rPr>
        <w:t>I</w:t>
      </w:r>
      <w:r w:rsidRPr="000E0F41">
        <w:rPr>
          <w:rFonts w:asciiTheme="majorHAnsi" w:hAnsiTheme="majorHAnsi"/>
          <w:sz w:val="20"/>
          <w:szCs w:val="20"/>
        </w:rPr>
        <w:t xml:space="preserve">n this regard, the Commission notes that the State bases its questioning on the fact that there is a group of eleven communities in the vicinity of these hydroelectric projects that are apparently in agreement with them and are receiving certain benefits from the companies that are carrying them out. In this regard, and as reflected in this report, the State provides two documents in which these eleven communities repudiate the internal actions of the Madreselva Collective and Mr. Bernardo Caal Xól, because they understand that they go </w:t>
      </w:r>
      <w:r w:rsidRPr="000E0F41">
        <w:rPr>
          <w:rFonts w:asciiTheme="majorHAnsi" w:hAnsiTheme="majorHAnsi"/>
          <w:sz w:val="20"/>
          <w:szCs w:val="20"/>
        </w:rPr>
        <w:lastRenderedPageBreak/>
        <w:t xml:space="preserve">against their interests. However, it is equally clear from the information in the case file that those who have sought to represent the petitioners have not been the eleven communities neighboring the </w:t>
      </w:r>
      <w:r w:rsidR="00B85C4D">
        <w:rPr>
          <w:rFonts w:asciiTheme="majorHAnsi" w:hAnsiTheme="majorHAnsi"/>
          <w:sz w:val="20"/>
          <w:szCs w:val="20"/>
        </w:rPr>
        <w:t>hydroelectric power plants</w:t>
      </w:r>
      <w:r w:rsidRPr="000E0F41">
        <w:rPr>
          <w:rFonts w:asciiTheme="majorHAnsi" w:hAnsiTheme="majorHAnsi"/>
          <w:sz w:val="20"/>
          <w:szCs w:val="20"/>
        </w:rPr>
        <w:t xml:space="preserve">, but a larger and different group, other communities present in the municipality of Santa María Cahabón, department of Alta Verapaz, which, according to them, would be harmed in their rights by the construction and operation of these hydroelectric projects. </w:t>
      </w:r>
    </w:p>
    <w:p w14:paraId="75DB1CE6" w14:textId="27C23804" w:rsidR="000E0F41" w:rsidRPr="000E0F41" w:rsidRDefault="000E0F41" w:rsidP="000E0F41">
      <w:pPr>
        <w:pStyle w:val="ListParagraph"/>
        <w:numPr>
          <w:ilvl w:val="0"/>
          <w:numId w:val="55"/>
        </w:numPr>
        <w:spacing w:before="240" w:after="240"/>
        <w:jc w:val="both"/>
        <w:rPr>
          <w:rFonts w:asciiTheme="majorHAnsi" w:hAnsiTheme="majorHAnsi"/>
          <w:sz w:val="20"/>
          <w:szCs w:val="20"/>
        </w:rPr>
      </w:pPr>
      <w:r w:rsidRPr="000E0F41">
        <w:rPr>
          <w:rFonts w:asciiTheme="majorHAnsi" w:hAnsiTheme="majorHAnsi"/>
          <w:sz w:val="20"/>
          <w:szCs w:val="20"/>
        </w:rPr>
        <w:t xml:space="preserve">Therefore, the Commission considers that there is no legal controversy regarding the quality of the representation exercised by the petitioners, since they do not intend to act on behalf of the eleven communities that the State claims do not wish to be represented, but rather on behalf of other communities, for which the Commission has information that would support the claim that the petitioners represent them. </w:t>
      </w:r>
    </w:p>
    <w:p w14:paraId="5D721478" w14:textId="682C985E" w:rsidR="000E0F41" w:rsidRPr="00B85C4D" w:rsidRDefault="000E0F41" w:rsidP="000E0F41">
      <w:pPr>
        <w:pStyle w:val="ListParagraph"/>
        <w:numPr>
          <w:ilvl w:val="0"/>
          <w:numId w:val="55"/>
        </w:numPr>
        <w:spacing w:before="240" w:after="240"/>
        <w:jc w:val="both"/>
        <w:rPr>
          <w:sz w:val="20"/>
          <w:szCs w:val="20"/>
        </w:rPr>
      </w:pPr>
      <w:r w:rsidRPr="00B85C4D">
        <w:rPr>
          <w:sz w:val="20"/>
          <w:szCs w:val="20"/>
        </w:rPr>
        <w:t xml:space="preserve">In this regard, it is pertinent to recall that both the legal instruments of the Inter-American system and the bodies responsible for their application establish a less formalistic conception with respect to the accreditation of the petitioners by the alleged victims, in the case system established by the American Convention on Human Rights. In this sense, Article 44 of this treaty, in accordance with Article 23 of the Rules of Procedure of the IACHR, establishes that: </w:t>
      </w:r>
      <w:r w:rsidRPr="00207AE2">
        <w:rPr>
          <w:i/>
          <w:iCs/>
          <w:sz w:val="20"/>
          <w:szCs w:val="20"/>
        </w:rPr>
        <w:t>"Any person or group of persons, or any nongovernmental entity legally recognized in one or more member states of the Organization, may lodge petitions with the Commission containing denunciations or complaints of violation of this Convention by a State Party"</w:t>
      </w:r>
      <w:r w:rsidRPr="00B85C4D">
        <w:rPr>
          <w:sz w:val="20"/>
          <w:szCs w:val="20"/>
        </w:rPr>
        <w:t>. In this regard, the IACHR has established that:</w:t>
      </w:r>
    </w:p>
    <w:p w14:paraId="7353EB65" w14:textId="1368DE4F" w:rsidR="00847E9E" w:rsidRPr="00B85C4D" w:rsidRDefault="00847E9E" w:rsidP="00B85C4D">
      <w:pPr>
        <w:pStyle w:val="ListParagraph"/>
        <w:spacing w:before="240" w:after="240"/>
        <w:ind w:right="720"/>
        <w:jc w:val="both"/>
        <w:rPr>
          <w:sz w:val="20"/>
          <w:szCs w:val="20"/>
        </w:rPr>
      </w:pPr>
      <w:r w:rsidRPr="00B85C4D">
        <w:rPr>
          <w:sz w:val="20"/>
          <w:szCs w:val="20"/>
        </w:rPr>
        <w:t> In contrast to other systems for the protection of human rights, the Inter-American system allows various kinds of petitioners to submit petitions on behalf of victims.  In fact, the wording of Article 44 is very open, allowing any person or group of persons, or any nongovernmental entity legally recognized in one or more member states of the Organization, to lodge petitions with the Commission containing denunciations or complaints of violation of this Convention by a State party, without requiring, as does the European system or the United Nations Committee on Human Rights, that they be victims as such, i.e. that they have a direct or indirect personal interest in the adjudication of the petition.  The victim's authorization is not required, nor do the petitioners have to submit powers of attorney from the alleged victims</w:t>
      </w:r>
      <w:r w:rsidRPr="00B85C4D">
        <w:rPr>
          <w:rStyle w:val="FootnoteReference"/>
          <w:sz w:val="20"/>
          <w:szCs w:val="20"/>
        </w:rPr>
        <w:footnoteReference w:id="23"/>
      </w:r>
      <w:r w:rsidR="00207AE2">
        <w:rPr>
          <w:sz w:val="20"/>
          <w:szCs w:val="20"/>
        </w:rPr>
        <w:t>.</w:t>
      </w:r>
    </w:p>
    <w:p w14:paraId="38BE9F1E" w14:textId="39253486" w:rsidR="006C3F1F" w:rsidRPr="006C3F1F" w:rsidRDefault="006C3F1F" w:rsidP="006C3F1F">
      <w:pPr>
        <w:pStyle w:val="ListParagraph"/>
        <w:numPr>
          <w:ilvl w:val="0"/>
          <w:numId w:val="55"/>
        </w:numPr>
        <w:spacing w:before="240" w:after="240"/>
        <w:jc w:val="both"/>
        <w:rPr>
          <w:rFonts w:asciiTheme="majorHAnsi" w:hAnsiTheme="majorHAnsi"/>
          <w:sz w:val="20"/>
          <w:szCs w:val="20"/>
        </w:rPr>
      </w:pPr>
      <w:r w:rsidRPr="006C3F1F">
        <w:rPr>
          <w:rFonts w:asciiTheme="majorHAnsi" w:hAnsiTheme="majorHAnsi"/>
          <w:sz w:val="20"/>
          <w:szCs w:val="20"/>
        </w:rPr>
        <w:t xml:space="preserve">Thus, it is reiterated that in the petition, Mr. Caal Xól indicates that he is a resident of the municipality of Santa María Cahabón, department of Alta Verapaz and a representative member of the Q'eqchi indigenous community. Likewise, he submits a copy of </w:t>
      </w:r>
      <w:r w:rsidRPr="00EA07D9">
        <w:rPr>
          <w:rFonts w:asciiTheme="majorHAnsi" w:hAnsiTheme="majorHAnsi"/>
          <w:i/>
          <w:iCs/>
          <w:sz w:val="20"/>
          <w:szCs w:val="20"/>
        </w:rPr>
        <w:t>"the minutes celebrated by the Q'eqchi's indigenous communities of the municipality of Santa María Cahabón, Department of Alta Verapaz, in which they delegate their representation to Bernardo Caal Xol",</w:t>
      </w:r>
      <w:r w:rsidRPr="006C3F1F">
        <w:rPr>
          <w:rFonts w:asciiTheme="majorHAnsi" w:hAnsiTheme="majorHAnsi"/>
          <w:sz w:val="20"/>
          <w:szCs w:val="20"/>
        </w:rPr>
        <w:t xml:space="preserve"> dated May 14 and 15, 2015. Said minutes contain signatories from the municipality of Santa María Cahabón; particularly from the villages Chimoxán, Sepoc, hamlet Chaslaú, Chiaslau, Chatela, Chimoxán, hamlet Vista Hermosa, hamlet Sebas I and Sebas II community la Nueva Esperanza, hamlet Reforma Rumpoc, hamlet Gualibaji, hamlet Xalitzal, hamlet Semococh la Crest, hamlet Agua Caliente and Nuevo Agua Caliente, hamlet El Palmar, hamlet Chicoc I, hamlet Nueva Concepción Chatela, Julhix hamlet, Sesaquiquib Chimox hamlet, Chuijbelen agrarian parcel, Sepos community, Secanante village, Xaliha Chamil hamlet, Las Tres Cruces, El Álamo, Sepur, Asención, Chajbul Chicolol, Chipor hamlet, Cacpecal Chisip, Sehuc hamlet, Nuevo Tzulben, Río La Bendición</w:t>
      </w:r>
      <w:r w:rsidR="00EA07D9">
        <w:rPr>
          <w:rStyle w:val="FootnoteReference"/>
          <w:rFonts w:asciiTheme="majorHAnsi" w:hAnsiTheme="majorHAnsi"/>
          <w:sz w:val="20"/>
          <w:szCs w:val="20"/>
        </w:rPr>
        <w:footnoteReference w:id="24"/>
      </w:r>
      <w:r w:rsidRPr="006C3F1F">
        <w:rPr>
          <w:rFonts w:asciiTheme="majorHAnsi" w:hAnsiTheme="majorHAnsi"/>
          <w:sz w:val="20"/>
          <w:szCs w:val="20"/>
        </w:rPr>
        <w:t xml:space="preserve"> and in these they ask for a popular or community consultation on the hydroelectric projects.</w:t>
      </w:r>
    </w:p>
    <w:p w14:paraId="064A0AEE" w14:textId="619207F4" w:rsidR="00C002B9" w:rsidRPr="00C002B9" w:rsidRDefault="00C002B9" w:rsidP="00C002B9">
      <w:pPr>
        <w:spacing w:before="240" w:after="240"/>
        <w:ind w:firstLine="720"/>
        <w:jc w:val="both"/>
        <w:rPr>
          <w:rFonts w:asciiTheme="majorHAnsi" w:hAnsiTheme="majorHAnsi"/>
          <w:b/>
          <w:bCs/>
          <w:sz w:val="20"/>
          <w:szCs w:val="20"/>
          <w:lang w:val="en-US"/>
        </w:rPr>
      </w:pPr>
      <w:r>
        <w:rPr>
          <w:rFonts w:asciiTheme="majorHAnsi" w:eastAsia="Cambria" w:hAnsiTheme="majorHAnsi" w:cs="Cambria"/>
          <w:b/>
          <w:bCs/>
          <w:color w:val="000000"/>
          <w:sz w:val="20"/>
          <w:szCs w:val="20"/>
          <w:u w:color="000000"/>
          <w:lang w:val="en-US" w:eastAsia="es-ES"/>
        </w:rPr>
        <w:t xml:space="preserve">VII. </w:t>
      </w:r>
      <w:r w:rsidR="00BE3B9C" w:rsidRPr="00BE3B9C">
        <w:rPr>
          <w:rFonts w:asciiTheme="majorHAnsi" w:eastAsia="Cambria" w:hAnsiTheme="majorHAnsi" w:cs="Cambria"/>
          <w:b/>
          <w:bCs/>
          <w:color w:val="000000"/>
          <w:sz w:val="20"/>
          <w:szCs w:val="20"/>
          <w:u w:color="000000"/>
          <w:lang w:val="en-US" w:eastAsia="es-ES"/>
        </w:rPr>
        <w:t xml:space="preserve">ANALYSIS OF EXHAUSTION OF </w:t>
      </w:r>
      <w:r w:rsidR="00BE3B9C" w:rsidRPr="00BE3B9C">
        <w:rPr>
          <w:rFonts w:asciiTheme="majorHAnsi" w:hAnsiTheme="majorHAnsi"/>
          <w:b/>
          <w:bCs/>
          <w:sz w:val="20"/>
          <w:szCs w:val="20"/>
          <w:lang w:val="en-US"/>
        </w:rPr>
        <w:t>DOMESTIC REMEDIES AND TIMELINESS OF THE PETITION</w:t>
      </w:r>
    </w:p>
    <w:p w14:paraId="5EBCC1FA" w14:textId="12A389FE" w:rsidR="00C002B9" w:rsidRPr="00C002B9" w:rsidRDefault="00C002B9" w:rsidP="00C002B9">
      <w:pPr>
        <w:numPr>
          <w:ilvl w:val="0"/>
          <w:numId w:val="55"/>
        </w:numPr>
        <w:suppressAutoHyphens/>
        <w:spacing w:after="240"/>
        <w:jc w:val="both"/>
        <w:rPr>
          <w:rFonts w:asciiTheme="majorHAnsi" w:hAnsiTheme="majorHAnsi"/>
          <w:sz w:val="20"/>
          <w:szCs w:val="20"/>
          <w:lang w:val="en-US"/>
        </w:rPr>
      </w:pPr>
      <w:r w:rsidRPr="00C002B9">
        <w:rPr>
          <w:rFonts w:asciiTheme="majorHAnsi" w:hAnsiTheme="majorHAnsi"/>
          <w:sz w:val="20"/>
          <w:szCs w:val="20"/>
          <w:lang w:val="en-US"/>
        </w:rPr>
        <w:t xml:space="preserve">For the analysis of the exhaustion of domestic remedies in the instant case, the IACHR recalls that, according to its consolidated and reiterated practice, in order to identify the appropriate remedies that should have been exhausted by a petitioner before resorting to the Inter-American system, the first methodological step in the analysis consists of distinguishing the different claims formulated in the </w:t>
      </w:r>
      <w:r w:rsidRPr="00C002B9">
        <w:rPr>
          <w:rFonts w:asciiTheme="majorHAnsi" w:hAnsiTheme="majorHAnsi"/>
          <w:sz w:val="20"/>
          <w:szCs w:val="20"/>
          <w:lang w:val="en-US"/>
        </w:rPr>
        <w:lastRenderedPageBreak/>
        <w:t>corresponding petition in order to proceed to their individualized examination</w:t>
      </w:r>
      <w:r>
        <w:rPr>
          <w:rStyle w:val="FootnoteReference"/>
          <w:rFonts w:asciiTheme="majorHAnsi" w:hAnsiTheme="majorHAnsi"/>
          <w:sz w:val="20"/>
          <w:szCs w:val="20"/>
          <w:lang w:val="en-US"/>
        </w:rPr>
        <w:footnoteReference w:id="25"/>
      </w:r>
      <w:r w:rsidR="00207AE2">
        <w:rPr>
          <w:rFonts w:asciiTheme="majorHAnsi" w:hAnsiTheme="majorHAnsi"/>
          <w:sz w:val="20"/>
          <w:szCs w:val="20"/>
          <w:lang w:val="en-US"/>
        </w:rPr>
        <w:t>.</w:t>
      </w:r>
      <w:r w:rsidRPr="00C002B9">
        <w:rPr>
          <w:rFonts w:asciiTheme="majorHAnsi" w:hAnsiTheme="majorHAnsi"/>
          <w:sz w:val="20"/>
          <w:szCs w:val="20"/>
          <w:lang w:val="en-US"/>
        </w:rPr>
        <w:t xml:space="preserve"> In the present case, the petitioners have presented several claims before the Commission</w:t>
      </w:r>
      <w:r w:rsidR="007614AC">
        <w:rPr>
          <w:rStyle w:val="FootnoteReference"/>
          <w:rFonts w:asciiTheme="majorHAnsi" w:hAnsiTheme="majorHAnsi"/>
          <w:sz w:val="20"/>
          <w:szCs w:val="20"/>
          <w:lang w:val="en-US"/>
        </w:rPr>
        <w:footnoteReference w:id="26"/>
      </w:r>
      <w:r w:rsidR="00207AE2">
        <w:rPr>
          <w:rFonts w:asciiTheme="majorHAnsi" w:hAnsiTheme="majorHAnsi"/>
          <w:sz w:val="20"/>
          <w:szCs w:val="20"/>
          <w:lang w:val="en-US"/>
        </w:rPr>
        <w:t>,</w:t>
      </w:r>
      <w:r w:rsidRPr="00C002B9">
        <w:rPr>
          <w:rFonts w:asciiTheme="majorHAnsi" w:hAnsiTheme="majorHAnsi"/>
          <w:sz w:val="20"/>
          <w:szCs w:val="20"/>
          <w:lang w:val="en-US"/>
        </w:rPr>
        <w:t xml:space="preserve"> however, they have not offered sufficient information to be able to examine them adequately, leaving two main claims: (i) violation of the right to consultation of the Q'ueqchi' indigenous community, derived from the granting of two concessions over the basin of two rivers that are part of their community, for the use and construction of two hydroelectric plants; and (ii) allegations of a smear campaign against the petitioners and of a criminal proceeding with vices and unwarranted delay against Mr. Caal Xól, for his capacity as a human rights defender and indigenous leader.</w:t>
      </w:r>
    </w:p>
    <w:p w14:paraId="59807A26" w14:textId="2F678463" w:rsidR="004B6A7F" w:rsidRDefault="00C002B9" w:rsidP="00C002B9">
      <w:pPr>
        <w:numPr>
          <w:ilvl w:val="0"/>
          <w:numId w:val="55"/>
        </w:numPr>
        <w:suppressAutoHyphens/>
        <w:spacing w:after="240"/>
        <w:jc w:val="both"/>
        <w:rPr>
          <w:rFonts w:asciiTheme="majorHAnsi" w:hAnsiTheme="majorHAnsi"/>
          <w:sz w:val="20"/>
          <w:szCs w:val="20"/>
          <w:lang w:val="en-US"/>
        </w:rPr>
      </w:pPr>
      <w:r w:rsidRPr="00C002B9">
        <w:rPr>
          <w:rFonts w:asciiTheme="majorHAnsi" w:hAnsiTheme="majorHAnsi"/>
          <w:sz w:val="20"/>
          <w:szCs w:val="20"/>
          <w:lang w:val="en-US"/>
        </w:rPr>
        <w:t xml:space="preserve">Thus, with respect to point (i) of the object of the petition, the Commission observes that the State has not argued the lack of exhaustion of domestic remedies, nor has it indicated whether there are adequate and effective remedies whose exhaustion would have led to timely attention to this situation. On the contrary, both the State and the petitioners agree that the judgment of the Constitutional Court of May 26, </w:t>
      </w:r>
      <w:r w:rsidR="00AE0BDB" w:rsidRPr="00C002B9">
        <w:rPr>
          <w:rFonts w:asciiTheme="majorHAnsi" w:hAnsiTheme="majorHAnsi"/>
          <w:sz w:val="20"/>
          <w:szCs w:val="20"/>
          <w:lang w:val="en-US"/>
        </w:rPr>
        <w:t>2017,</w:t>
      </w:r>
      <w:r w:rsidRPr="00C002B9">
        <w:rPr>
          <w:rFonts w:asciiTheme="majorHAnsi" w:hAnsiTheme="majorHAnsi"/>
          <w:sz w:val="20"/>
          <w:szCs w:val="20"/>
          <w:lang w:val="en-US"/>
        </w:rPr>
        <w:t xml:space="preserve"> would be the last remedy; with respect to which the petitioners filed an appeal for clarification and extension before the Constitutional Court itself, which was denied on June 6, 2017. Along these lines and taking into account that the petition was filed on August 2, 2017, the Commission concludes that this end of the petition complies with the requirement provided in Article 46(1)(a) of the American Convention and that the deadline for submission requirement provided in Article 46(1)(b) of the American Convention is also met.</w:t>
      </w:r>
    </w:p>
    <w:p w14:paraId="16849D87" w14:textId="5172FD4C" w:rsidR="00433AA0" w:rsidRDefault="00F6099A" w:rsidP="00844D9B">
      <w:pPr>
        <w:numPr>
          <w:ilvl w:val="0"/>
          <w:numId w:val="55"/>
        </w:numPr>
        <w:suppressAutoHyphens/>
        <w:spacing w:after="240"/>
        <w:jc w:val="both"/>
        <w:rPr>
          <w:rFonts w:asciiTheme="majorHAnsi" w:hAnsiTheme="majorHAnsi"/>
          <w:sz w:val="20"/>
          <w:szCs w:val="20"/>
          <w:lang w:val="en-US"/>
        </w:rPr>
      </w:pPr>
      <w:r w:rsidRPr="00F6099A">
        <w:rPr>
          <w:rFonts w:asciiTheme="majorHAnsi" w:hAnsiTheme="majorHAnsi"/>
          <w:sz w:val="20"/>
          <w:szCs w:val="20"/>
          <w:lang w:val="en-US"/>
        </w:rPr>
        <w:t>On point (ii) regarding the alleged smear campaign against the petitioners, and the allegedly flawed criminal proceedings, unwarranted delay, prolonged pretrial detention and excessive punishment, in retaliation for the activism of Mr. Bernardo Caal Xól, the IACHR notes that the State did not present arguments regarding the lack of exhaustion of domestic remedies; and ultimately did not refer to the issue, only noted that Mr. Caan Xól was not accepted as a representative of the Q'ueqchi's indigenous communities. However, considering that the alleged media harassment would have begun, at least, since 2017 when the petition was filed, and the criminal proceeding against Mr. Caal Xól would still be open without any of the parties, particularly the State, having provided information that would make it possible to establish that it was concluded with a final executed judgment, the Commission considers the exception provided in Article 46(2)(c) of the American Convention applicable, due to the unwarranted delay in the development of this judicial proceeding. This determination has effects for the present admissibility analysis and does not constitute a prejudgment on the merits of the petition. Furthermore, that the allegations of media harassment and flawed criminal proceedings against an alleged human rights defender and indigenous leader, would have effects until the present, and being that the present petition was filed in 2017, the Commission considers that it was filed within a reasonable period of time in the terms of Article 32.2. of its Rules of Procedure.</w:t>
      </w:r>
    </w:p>
    <w:p w14:paraId="2B5CFC93" w14:textId="37226EF6" w:rsidR="00735EDA" w:rsidRPr="00735EDA" w:rsidRDefault="00735EDA" w:rsidP="00735EDA">
      <w:pPr>
        <w:pStyle w:val="ListParagraph"/>
        <w:suppressAutoHyphens/>
        <w:spacing w:after="240"/>
        <w:jc w:val="both"/>
        <w:rPr>
          <w:rFonts w:asciiTheme="majorHAnsi" w:hAnsiTheme="majorHAnsi"/>
          <w:b/>
          <w:bCs/>
          <w:sz w:val="20"/>
          <w:szCs w:val="20"/>
        </w:rPr>
      </w:pPr>
      <w:r w:rsidRPr="00735EDA">
        <w:rPr>
          <w:rFonts w:asciiTheme="majorHAnsi" w:hAnsiTheme="majorHAnsi"/>
          <w:b/>
          <w:bCs/>
          <w:sz w:val="20"/>
          <w:szCs w:val="20"/>
        </w:rPr>
        <w:t>VII</w:t>
      </w:r>
      <w:r w:rsidR="00207AE2">
        <w:rPr>
          <w:rFonts w:asciiTheme="majorHAnsi" w:hAnsiTheme="majorHAnsi"/>
          <w:b/>
          <w:bCs/>
          <w:sz w:val="20"/>
          <w:szCs w:val="20"/>
        </w:rPr>
        <w:t>I</w:t>
      </w:r>
      <w:r w:rsidRPr="00735EDA">
        <w:rPr>
          <w:rFonts w:asciiTheme="majorHAnsi" w:hAnsiTheme="majorHAnsi"/>
          <w:b/>
          <w:bCs/>
          <w:sz w:val="20"/>
          <w:szCs w:val="20"/>
        </w:rPr>
        <w:t xml:space="preserve">. ANALYSIS OF </w:t>
      </w:r>
      <w:r w:rsidR="00F6099A">
        <w:rPr>
          <w:rFonts w:asciiTheme="majorHAnsi" w:hAnsiTheme="majorHAnsi"/>
          <w:b/>
          <w:bCs/>
          <w:sz w:val="20"/>
          <w:szCs w:val="20"/>
        </w:rPr>
        <w:t>COLOURABLE CLAIM</w:t>
      </w:r>
    </w:p>
    <w:p w14:paraId="3A10ABA9" w14:textId="6A68B6F6" w:rsidR="001F4D96" w:rsidRPr="001F4D96" w:rsidRDefault="001F4D96" w:rsidP="001F4D96">
      <w:pPr>
        <w:pStyle w:val="ListParagraph"/>
        <w:numPr>
          <w:ilvl w:val="0"/>
          <w:numId w:val="55"/>
        </w:numPr>
        <w:suppressAutoHyphens/>
        <w:spacing w:after="240"/>
        <w:jc w:val="both"/>
        <w:rPr>
          <w:rFonts w:asciiTheme="majorHAnsi" w:hAnsiTheme="majorHAnsi"/>
          <w:sz w:val="20"/>
          <w:szCs w:val="20"/>
        </w:rPr>
      </w:pPr>
      <w:r w:rsidRPr="001F4D96">
        <w:rPr>
          <w:rFonts w:asciiTheme="majorHAnsi" w:hAnsiTheme="majorHAnsi"/>
          <w:sz w:val="20"/>
          <w:szCs w:val="20"/>
        </w:rPr>
        <w:t>The present petition, in its parts that are admissible under Section V</w:t>
      </w:r>
      <w:r w:rsidR="00207AE2">
        <w:rPr>
          <w:rFonts w:asciiTheme="majorHAnsi" w:hAnsiTheme="majorHAnsi"/>
          <w:sz w:val="20"/>
          <w:szCs w:val="20"/>
        </w:rPr>
        <w:t>I</w:t>
      </w:r>
      <w:r w:rsidRPr="001F4D96">
        <w:rPr>
          <w:rFonts w:asciiTheme="majorHAnsi" w:hAnsiTheme="majorHAnsi"/>
          <w:sz w:val="20"/>
          <w:szCs w:val="20"/>
        </w:rPr>
        <w:t xml:space="preserve">I of this report, includes allegations of lack of participation by the Q'ueqchi' indigenous community in the granting of a concession to build a hydroelectric </w:t>
      </w:r>
      <w:r w:rsidR="00B85C4D">
        <w:rPr>
          <w:rFonts w:asciiTheme="majorHAnsi" w:hAnsiTheme="majorHAnsi"/>
          <w:sz w:val="20"/>
          <w:szCs w:val="20"/>
        </w:rPr>
        <w:t xml:space="preserve">power </w:t>
      </w:r>
      <w:r w:rsidRPr="001F4D96">
        <w:rPr>
          <w:rFonts w:asciiTheme="majorHAnsi" w:hAnsiTheme="majorHAnsi"/>
          <w:sz w:val="20"/>
          <w:szCs w:val="20"/>
        </w:rPr>
        <w:t xml:space="preserve">plant and use the river basin in which their community is located. The State, however, asserts that the communities that would participate in the complaint before the Commission -and therefore the alleged victims- have not been adequately identified; it also argues that the petitioner lacks legitimacy, since it did not present documents to justify its representation; that there is a lack of personal </w:t>
      </w:r>
      <w:r w:rsidRPr="001F4D96">
        <w:rPr>
          <w:rFonts w:asciiTheme="majorHAnsi" w:hAnsiTheme="majorHAnsi"/>
          <w:sz w:val="20"/>
          <w:szCs w:val="20"/>
        </w:rPr>
        <w:lastRenderedPageBreak/>
        <w:t>jurisdiction with respect to the allegations of violations of ILO Convention 169; and that there is a lack of characterization and doctrine of the fourth instance.</w:t>
      </w:r>
    </w:p>
    <w:p w14:paraId="7CF91161" w14:textId="4928DE52" w:rsidR="00735EDA" w:rsidRDefault="001F4D96" w:rsidP="001F4D96">
      <w:pPr>
        <w:pStyle w:val="ListParagraph"/>
        <w:numPr>
          <w:ilvl w:val="0"/>
          <w:numId w:val="55"/>
        </w:numPr>
        <w:suppressAutoHyphens/>
        <w:spacing w:after="240"/>
        <w:jc w:val="both"/>
        <w:rPr>
          <w:rFonts w:asciiTheme="majorHAnsi" w:hAnsiTheme="majorHAnsi"/>
          <w:sz w:val="20"/>
          <w:szCs w:val="20"/>
        </w:rPr>
      </w:pPr>
      <w:r w:rsidRPr="001F4D96">
        <w:rPr>
          <w:rFonts w:asciiTheme="majorHAnsi" w:hAnsiTheme="majorHAnsi"/>
          <w:sz w:val="20"/>
          <w:szCs w:val="20"/>
        </w:rPr>
        <w:t>Regarding the allegations of lack of characterization, the State indicates that the consultation process with the Q'eqchi's communities was carried out in accordance with international standards, particularly in compliance with ILO Convention 169; Likewise, that during the phases of the consultation process, the representatives of the Q'eqchi's communities were in agreement with what was decided throughout these procedures; that the information was provided in Spanish and Q'eqchi'; and that the representatives of eleven indigenous communities, inhabitants of the area where the two rivers are located, were always included.  Regarding the fourth instance formula, the State considers that the petitioners intend to have the judgment of May 26, 2017, issued by the Constitutional Court reviewed, due to the fact that it was not resolved in accordance with the petitioners' expectations, which, if the petition were admitted, would violate the principle of subsidiarity.</w:t>
      </w:r>
    </w:p>
    <w:p w14:paraId="341554F8" w14:textId="026399D3" w:rsidR="001F4D96" w:rsidRPr="001F4D96" w:rsidRDefault="001F4D96" w:rsidP="001F4D96">
      <w:pPr>
        <w:pStyle w:val="ListParagraph"/>
        <w:numPr>
          <w:ilvl w:val="0"/>
          <w:numId w:val="55"/>
        </w:numPr>
        <w:suppressAutoHyphens/>
        <w:spacing w:after="240"/>
        <w:jc w:val="both"/>
        <w:rPr>
          <w:rFonts w:asciiTheme="majorHAnsi" w:hAnsiTheme="majorHAnsi"/>
          <w:sz w:val="20"/>
          <w:szCs w:val="20"/>
        </w:rPr>
      </w:pPr>
      <w:r w:rsidRPr="001F4D96">
        <w:rPr>
          <w:rFonts w:asciiTheme="majorHAnsi" w:hAnsiTheme="majorHAnsi"/>
          <w:sz w:val="20"/>
          <w:szCs w:val="20"/>
        </w:rPr>
        <w:t xml:space="preserve">Thus, faced with these allegations of lack of characterization and fourth instance, the Commission reiterates that, for purposes of admissibility, it must determine whether the alleged facts could characterize a violation of rights in accordance with Article 47(b) of the American Convention, whether the petition is "manifestly groundless" or whether it is "obviously out of order" in accordance with Article 47(c). The criteria for evaluating these requirements differ from those used to rule on the merits of a petition. Thus, within the framework of its mandate, the Commission has the competence to declare a petition admissible if it refers to domestic proceedings that could violate rights guaranteed by the American Convention. In other words, in light of the aforementioned conventional rules, in accordance with Article 34 of the Commission's Rules of Procedure, the analysis of admissibility focuses on the verification of such requirements, which refer to the existence of elements that, if true, could </w:t>
      </w:r>
      <w:r w:rsidRPr="00C27FB5">
        <w:rPr>
          <w:rFonts w:asciiTheme="majorHAnsi" w:hAnsiTheme="majorHAnsi"/>
          <w:i/>
          <w:iCs/>
          <w:sz w:val="20"/>
          <w:szCs w:val="20"/>
        </w:rPr>
        <w:t>prima facie</w:t>
      </w:r>
      <w:r w:rsidRPr="001F4D96">
        <w:rPr>
          <w:rFonts w:asciiTheme="majorHAnsi" w:hAnsiTheme="majorHAnsi"/>
          <w:sz w:val="20"/>
          <w:szCs w:val="20"/>
        </w:rPr>
        <w:t xml:space="preserve"> constitute a violation of the American Convention</w:t>
      </w:r>
      <w:r w:rsidR="00C27FB5">
        <w:rPr>
          <w:rStyle w:val="FootnoteReference"/>
          <w:rFonts w:asciiTheme="majorHAnsi" w:hAnsiTheme="majorHAnsi"/>
          <w:sz w:val="20"/>
          <w:szCs w:val="20"/>
        </w:rPr>
        <w:footnoteReference w:id="27"/>
      </w:r>
      <w:r w:rsidR="00207AE2">
        <w:rPr>
          <w:rFonts w:asciiTheme="majorHAnsi" w:hAnsiTheme="majorHAnsi"/>
          <w:sz w:val="20"/>
          <w:szCs w:val="20"/>
        </w:rPr>
        <w:t>.</w:t>
      </w:r>
    </w:p>
    <w:p w14:paraId="64817C8E" w14:textId="1BD921AD" w:rsidR="001F4D96" w:rsidRDefault="001F4D96" w:rsidP="001F4D96">
      <w:pPr>
        <w:pStyle w:val="ListParagraph"/>
        <w:numPr>
          <w:ilvl w:val="0"/>
          <w:numId w:val="55"/>
        </w:numPr>
        <w:suppressAutoHyphens/>
        <w:spacing w:after="240"/>
        <w:jc w:val="both"/>
        <w:rPr>
          <w:rFonts w:asciiTheme="majorHAnsi" w:hAnsiTheme="majorHAnsi"/>
          <w:sz w:val="20"/>
          <w:szCs w:val="20"/>
        </w:rPr>
      </w:pPr>
      <w:r w:rsidRPr="001F4D96">
        <w:rPr>
          <w:rFonts w:asciiTheme="majorHAnsi" w:hAnsiTheme="majorHAnsi"/>
          <w:sz w:val="20"/>
          <w:szCs w:val="20"/>
        </w:rPr>
        <w:t>In cases such as the present one, the Commission reiterates the need in international law in general, and in inter-American law specifically, for special protection for indigenous peoples and Afro-descendant communities, so that they may exercise their rights fully and equally with the rest of the population. Particularly with regard to indigenous peoples, in accordance with the provisions of ILO Convention 169 and the American Convention on Human Rights, it is essential that the States grant effective protection that takes into account their specific characteristics, their economic and social characteristics, as well as their situation of special vulnerability, their customary law, values, uses and customs</w:t>
      </w:r>
      <w:r w:rsidR="00F90C45">
        <w:rPr>
          <w:rStyle w:val="FootnoteReference"/>
          <w:rFonts w:asciiTheme="majorHAnsi" w:hAnsiTheme="majorHAnsi"/>
          <w:sz w:val="20"/>
          <w:szCs w:val="20"/>
        </w:rPr>
        <w:footnoteReference w:id="28"/>
      </w:r>
      <w:r w:rsidR="00207AE2">
        <w:rPr>
          <w:rFonts w:asciiTheme="majorHAnsi" w:hAnsiTheme="majorHAnsi"/>
          <w:sz w:val="20"/>
          <w:szCs w:val="20"/>
        </w:rPr>
        <w:t>.</w:t>
      </w:r>
    </w:p>
    <w:p w14:paraId="679D14B6" w14:textId="7FE6F1BB" w:rsidR="00F90C45" w:rsidRPr="00F90C45" w:rsidRDefault="00F90C45" w:rsidP="00F90C45">
      <w:pPr>
        <w:pStyle w:val="ListParagraph"/>
        <w:numPr>
          <w:ilvl w:val="0"/>
          <w:numId w:val="55"/>
        </w:numPr>
        <w:suppressAutoHyphens/>
        <w:spacing w:after="240"/>
        <w:jc w:val="both"/>
        <w:rPr>
          <w:rFonts w:asciiTheme="majorHAnsi" w:hAnsiTheme="majorHAnsi"/>
          <w:sz w:val="20"/>
          <w:szCs w:val="20"/>
        </w:rPr>
      </w:pPr>
      <w:r w:rsidRPr="00F90C45">
        <w:rPr>
          <w:rFonts w:asciiTheme="majorHAnsi" w:hAnsiTheme="majorHAnsi"/>
          <w:sz w:val="20"/>
          <w:szCs w:val="20"/>
        </w:rPr>
        <w:t>Similarly, it is considered important to delve into the allegations regarding the indigenous leader Q'eqchí' in view of his status as an indigenous leader and human rights defender and the alleged prior intimidation through the media and social networks; also, considering the special obligation of States to ensure that people can freely exercise their activities of promotion and protection of human rights without fear that they will be subjected to any violence</w:t>
      </w:r>
      <w:r>
        <w:rPr>
          <w:rStyle w:val="FootnoteReference"/>
          <w:rFonts w:asciiTheme="majorHAnsi" w:hAnsiTheme="majorHAnsi"/>
          <w:sz w:val="20"/>
          <w:szCs w:val="20"/>
        </w:rPr>
        <w:footnoteReference w:id="29"/>
      </w:r>
      <w:r w:rsidR="00207AE2">
        <w:rPr>
          <w:rFonts w:asciiTheme="majorHAnsi" w:hAnsiTheme="majorHAnsi"/>
          <w:sz w:val="20"/>
          <w:szCs w:val="20"/>
        </w:rPr>
        <w:t>.</w:t>
      </w:r>
      <w:r w:rsidRPr="00F90C45">
        <w:rPr>
          <w:rFonts w:asciiTheme="majorHAnsi" w:hAnsiTheme="majorHAnsi"/>
          <w:sz w:val="20"/>
          <w:szCs w:val="20"/>
        </w:rPr>
        <w:t xml:space="preserve"> As would be the arbitrary use of the </w:t>
      </w:r>
      <w:r w:rsidRPr="00207AE2">
        <w:rPr>
          <w:rFonts w:asciiTheme="majorHAnsi" w:hAnsiTheme="majorHAnsi"/>
          <w:i/>
          <w:iCs/>
          <w:sz w:val="20"/>
          <w:szCs w:val="20"/>
        </w:rPr>
        <w:t>ius puniendi</w:t>
      </w:r>
      <w:r w:rsidRPr="00F90C45">
        <w:rPr>
          <w:rFonts w:asciiTheme="majorHAnsi" w:hAnsiTheme="majorHAnsi"/>
          <w:sz w:val="20"/>
          <w:szCs w:val="20"/>
        </w:rPr>
        <w:t xml:space="preserve"> of the State as a mechanism of repression against the work of human rights defenders.</w:t>
      </w:r>
    </w:p>
    <w:p w14:paraId="103065FC" w14:textId="024CF624" w:rsidR="00F90C45" w:rsidRPr="00CE44A7" w:rsidRDefault="00F90C45" w:rsidP="00F90C45">
      <w:pPr>
        <w:pStyle w:val="ListParagraph"/>
        <w:numPr>
          <w:ilvl w:val="0"/>
          <w:numId w:val="55"/>
        </w:numPr>
        <w:suppressAutoHyphens/>
        <w:spacing w:after="240"/>
        <w:jc w:val="both"/>
        <w:rPr>
          <w:rFonts w:asciiTheme="majorHAnsi" w:hAnsiTheme="majorHAnsi"/>
          <w:sz w:val="20"/>
          <w:szCs w:val="20"/>
        </w:rPr>
      </w:pPr>
      <w:r w:rsidRPr="00F90C45">
        <w:rPr>
          <w:rFonts w:asciiTheme="majorHAnsi" w:hAnsiTheme="majorHAnsi"/>
          <w:sz w:val="20"/>
          <w:szCs w:val="20"/>
        </w:rPr>
        <w:t xml:space="preserve">In accordance with these considerations, and after examining the </w:t>
      </w:r>
      <w:r>
        <w:rPr>
          <w:rFonts w:asciiTheme="majorHAnsi" w:hAnsiTheme="majorHAnsi"/>
          <w:sz w:val="20"/>
          <w:szCs w:val="20"/>
        </w:rPr>
        <w:t>factual and legal elements</w:t>
      </w:r>
      <w:r w:rsidRPr="00F90C45">
        <w:rPr>
          <w:rFonts w:asciiTheme="majorHAnsi" w:hAnsiTheme="majorHAnsi"/>
          <w:sz w:val="20"/>
          <w:szCs w:val="20"/>
        </w:rPr>
        <w:t xml:space="preserve"> presented by the parties, this Commission considers that the allegations of the petitioner are not manifestly unfounded and require a study of the merits, since the lack of participation of all the affected Q'eqchi's communities could characterize violations of Articles 7 (personal liberty), 8 (</w:t>
      </w:r>
      <w:r w:rsidR="00A10BF2">
        <w:rPr>
          <w:rFonts w:asciiTheme="majorHAnsi" w:hAnsiTheme="majorHAnsi"/>
          <w:sz w:val="20"/>
          <w:szCs w:val="20"/>
        </w:rPr>
        <w:t>right to a fair trial</w:t>
      </w:r>
      <w:r w:rsidRPr="00F90C45">
        <w:rPr>
          <w:rFonts w:asciiTheme="majorHAnsi" w:hAnsiTheme="majorHAnsi"/>
          <w:sz w:val="20"/>
          <w:szCs w:val="20"/>
        </w:rPr>
        <w:t>), 25 (</w:t>
      </w:r>
      <w:r w:rsidR="00A10BF2">
        <w:rPr>
          <w:rFonts w:asciiTheme="majorHAnsi" w:hAnsiTheme="majorHAnsi"/>
          <w:sz w:val="20"/>
          <w:szCs w:val="20"/>
        </w:rPr>
        <w:t xml:space="preserve">right to </w:t>
      </w:r>
      <w:r w:rsidRPr="00F90C45">
        <w:rPr>
          <w:rFonts w:asciiTheme="majorHAnsi" w:hAnsiTheme="majorHAnsi"/>
          <w:sz w:val="20"/>
          <w:szCs w:val="20"/>
        </w:rPr>
        <w:t xml:space="preserve">judicial </w:t>
      </w:r>
      <w:r w:rsidRPr="00CE44A7">
        <w:rPr>
          <w:rFonts w:asciiTheme="majorHAnsi" w:hAnsiTheme="majorHAnsi"/>
          <w:sz w:val="20"/>
          <w:szCs w:val="20"/>
        </w:rPr>
        <w:t xml:space="preserve">protection), and 26 (progressive development) of the American Convention, in relation to its Article 1. 1 (obligation to respect rights) to the detriment of the Q'eqchi's communities of Santa María Cahabón and Mr. Caal Xól, in the terms of this report. </w:t>
      </w:r>
    </w:p>
    <w:p w14:paraId="2BC51C2F" w14:textId="08C6FB35" w:rsidR="00F90C45" w:rsidRPr="00CE44A7" w:rsidRDefault="00F90C45" w:rsidP="00CE44A7">
      <w:pPr>
        <w:pStyle w:val="ListParagraph"/>
        <w:numPr>
          <w:ilvl w:val="0"/>
          <w:numId w:val="55"/>
        </w:numPr>
        <w:suppressAutoHyphens/>
        <w:spacing w:after="240"/>
        <w:jc w:val="both"/>
        <w:rPr>
          <w:rFonts w:asciiTheme="majorHAnsi" w:hAnsiTheme="majorHAnsi"/>
          <w:sz w:val="20"/>
          <w:szCs w:val="20"/>
        </w:rPr>
      </w:pPr>
      <w:r w:rsidRPr="00CE44A7">
        <w:rPr>
          <w:rFonts w:asciiTheme="majorHAnsi" w:hAnsiTheme="majorHAnsi"/>
          <w:sz w:val="20"/>
          <w:szCs w:val="20"/>
        </w:rPr>
        <w:t>It should be noted, with respect to the State's allegation of a lack of determination of the alleged victims and of the Q'ueqchi' community in general, that</w:t>
      </w:r>
      <w:r w:rsidR="00CE44A7" w:rsidRPr="00CE44A7">
        <w:rPr>
          <w:rFonts w:asciiTheme="majorHAnsi" w:hAnsiTheme="majorHAnsi"/>
          <w:sz w:val="20"/>
          <w:szCs w:val="20"/>
        </w:rPr>
        <w:t xml:space="preserve"> in the instant case the petitioner does identify </w:t>
      </w:r>
      <w:r w:rsidR="00CE44A7" w:rsidRPr="00CE44A7">
        <w:rPr>
          <w:rFonts w:asciiTheme="majorHAnsi" w:hAnsiTheme="majorHAnsi"/>
          <w:sz w:val="20"/>
          <w:szCs w:val="20"/>
        </w:rPr>
        <w:lastRenderedPageBreak/>
        <w:t xml:space="preserve">specific indigenous communities as presumably affected by the alleged facts, which are clearly located geographically and of which the names of some of their representatives are also known. In addition, </w:t>
      </w:r>
      <w:r w:rsidRPr="00CE44A7">
        <w:rPr>
          <w:rFonts w:asciiTheme="majorHAnsi" w:hAnsiTheme="majorHAnsi"/>
          <w:sz w:val="20"/>
          <w:szCs w:val="20"/>
        </w:rPr>
        <w:t>as the Inter-American Court has clarified, in the proceedings of contentious cases before the Inter-American System, as a general rule, the final individualization of the alleged victims must be made in the merits stage before the IACHR, which must be established in the report that the latter issues in the terms of Article 50 of the American Convention.</w:t>
      </w:r>
      <w:r w:rsidR="00A10BF2" w:rsidRPr="00CE44A7">
        <w:rPr>
          <w:rStyle w:val="FootnoteReference"/>
          <w:rFonts w:asciiTheme="majorHAnsi" w:hAnsiTheme="majorHAnsi"/>
          <w:sz w:val="20"/>
          <w:szCs w:val="20"/>
        </w:rPr>
        <w:footnoteReference w:id="30"/>
      </w:r>
      <w:r w:rsidRPr="00CE44A7">
        <w:rPr>
          <w:rFonts w:asciiTheme="majorHAnsi" w:hAnsiTheme="majorHAnsi"/>
          <w:sz w:val="20"/>
          <w:szCs w:val="20"/>
        </w:rPr>
        <w:t xml:space="preserve"> </w:t>
      </w:r>
    </w:p>
    <w:p w14:paraId="6E22DDC9" w14:textId="7D0EAC95" w:rsidR="00F90C45" w:rsidRPr="00433AA0" w:rsidRDefault="00F90C45" w:rsidP="00F90C45">
      <w:pPr>
        <w:pStyle w:val="ListParagraph"/>
        <w:numPr>
          <w:ilvl w:val="0"/>
          <w:numId w:val="55"/>
        </w:numPr>
        <w:suppressAutoHyphens/>
        <w:spacing w:after="240"/>
        <w:jc w:val="both"/>
        <w:rPr>
          <w:rFonts w:asciiTheme="majorHAnsi" w:hAnsiTheme="majorHAnsi"/>
          <w:sz w:val="20"/>
          <w:szCs w:val="20"/>
        </w:rPr>
      </w:pPr>
      <w:r w:rsidRPr="00CE44A7">
        <w:rPr>
          <w:rFonts w:asciiTheme="majorHAnsi" w:hAnsiTheme="majorHAnsi"/>
          <w:sz w:val="20"/>
          <w:szCs w:val="20"/>
        </w:rPr>
        <w:t>Regarding the petitioner's claim in the complaint that the State violated ILO Convention 169, it is recalled that</w:t>
      </w:r>
      <w:r w:rsidRPr="00F90C45">
        <w:rPr>
          <w:rFonts w:asciiTheme="majorHAnsi" w:hAnsiTheme="majorHAnsi"/>
          <w:sz w:val="20"/>
          <w:szCs w:val="20"/>
        </w:rPr>
        <w:t xml:space="preserve"> the Commission lacks competence in this regard, without prejudice to the fact that it can and should use it as a guideline for the interpretation of treaty obligations, in light of the provisions of Article 29 of the Convention</w:t>
      </w:r>
      <w:r w:rsidR="00A10BF2">
        <w:rPr>
          <w:rStyle w:val="FootnoteReference"/>
          <w:rFonts w:asciiTheme="majorHAnsi" w:hAnsiTheme="majorHAnsi"/>
          <w:sz w:val="20"/>
          <w:szCs w:val="20"/>
        </w:rPr>
        <w:footnoteReference w:id="31"/>
      </w:r>
      <w:r w:rsidR="00207AE2">
        <w:rPr>
          <w:rFonts w:asciiTheme="majorHAnsi" w:hAnsiTheme="majorHAnsi"/>
          <w:sz w:val="20"/>
          <w:szCs w:val="20"/>
        </w:rPr>
        <w:t>.</w:t>
      </w:r>
    </w:p>
    <w:p w14:paraId="392A4A7D" w14:textId="232DA0A6" w:rsidR="00B23A3F" w:rsidRPr="00433AA0" w:rsidRDefault="00B23A3F" w:rsidP="00735EDA">
      <w:pPr>
        <w:pStyle w:val="ListParagraph"/>
        <w:suppressAutoHyphens/>
        <w:spacing w:after="240"/>
        <w:jc w:val="both"/>
        <w:rPr>
          <w:rFonts w:asciiTheme="majorHAnsi" w:hAnsiTheme="majorHAnsi"/>
          <w:b/>
          <w:bCs/>
          <w:sz w:val="20"/>
          <w:szCs w:val="20"/>
        </w:rPr>
      </w:pPr>
      <w:r w:rsidRPr="00433AA0">
        <w:rPr>
          <w:rFonts w:asciiTheme="majorHAnsi" w:hAnsiTheme="majorHAnsi"/>
          <w:b/>
          <w:bCs/>
          <w:sz w:val="20"/>
          <w:szCs w:val="20"/>
        </w:rPr>
        <w:t xml:space="preserve">VII. </w:t>
      </w:r>
      <w:r w:rsidRPr="00433AA0">
        <w:rPr>
          <w:rFonts w:asciiTheme="majorHAnsi" w:hAnsiTheme="majorHAnsi"/>
          <w:b/>
          <w:bCs/>
          <w:sz w:val="20"/>
          <w:szCs w:val="20"/>
        </w:rPr>
        <w:tab/>
        <w:t>DECISI</w:t>
      </w:r>
      <w:r w:rsidR="00BE3B9C" w:rsidRPr="00433AA0">
        <w:rPr>
          <w:rFonts w:asciiTheme="majorHAnsi" w:hAnsiTheme="majorHAnsi"/>
          <w:b/>
          <w:bCs/>
          <w:sz w:val="20"/>
          <w:szCs w:val="20"/>
        </w:rPr>
        <w:t>ON</w:t>
      </w:r>
    </w:p>
    <w:p w14:paraId="706C3EBF" w14:textId="41312DE6" w:rsidR="00BE3B9C" w:rsidRPr="00BE3B9C" w:rsidRDefault="00BE3B9C" w:rsidP="00BE3B9C">
      <w:pPr>
        <w:numPr>
          <w:ilvl w:val="0"/>
          <w:numId w:val="63"/>
        </w:numPr>
        <w:suppressAutoHyphens/>
        <w:spacing w:after="240"/>
        <w:jc w:val="both"/>
        <w:rPr>
          <w:rFonts w:asciiTheme="majorHAnsi" w:hAnsiTheme="majorHAnsi"/>
          <w:sz w:val="20"/>
          <w:szCs w:val="20"/>
          <w:lang w:val="en-US"/>
        </w:rPr>
      </w:pPr>
      <w:r w:rsidRPr="00BE3B9C">
        <w:rPr>
          <w:rFonts w:asciiTheme="majorHAnsi" w:hAnsiTheme="majorHAnsi"/>
          <w:sz w:val="20"/>
          <w:szCs w:val="20"/>
          <w:lang w:val="en-US"/>
        </w:rPr>
        <w:t>To declare the present</w:t>
      </w:r>
      <w:r>
        <w:rPr>
          <w:rFonts w:asciiTheme="majorHAnsi" w:hAnsiTheme="majorHAnsi"/>
          <w:sz w:val="20"/>
          <w:szCs w:val="20"/>
          <w:lang w:val="en-US"/>
        </w:rPr>
        <w:t xml:space="preserve"> petition</w:t>
      </w:r>
      <w:r w:rsidRPr="00BE3B9C">
        <w:rPr>
          <w:rFonts w:asciiTheme="majorHAnsi" w:hAnsiTheme="majorHAnsi"/>
          <w:sz w:val="20"/>
          <w:szCs w:val="20"/>
          <w:lang w:val="en-US"/>
        </w:rPr>
        <w:t xml:space="preserve"> admissible</w:t>
      </w:r>
      <w:r w:rsidR="00A10BF2">
        <w:rPr>
          <w:rFonts w:asciiTheme="majorHAnsi" w:hAnsiTheme="majorHAnsi"/>
          <w:sz w:val="20"/>
          <w:szCs w:val="20"/>
          <w:lang w:val="en-US"/>
        </w:rPr>
        <w:t xml:space="preserve"> in relation to articles 7, 8, 25 and 26 in relation to article 1.1</w:t>
      </w:r>
      <w:r w:rsidRPr="00BE3B9C">
        <w:rPr>
          <w:rFonts w:asciiTheme="majorHAnsi" w:hAnsiTheme="majorHAnsi"/>
          <w:bCs/>
          <w:sz w:val="20"/>
          <w:szCs w:val="20"/>
          <w:lang w:val="en-US"/>
        </w:rPr>
        <w:t xml:space="preserve">; </w:t>
      </w:r>
      <w:r w:rsidR="00207AE2">
        <w:rPr>
          <w:rFonts w:asciiTheme="majorHAnsi" w:hAnsiTheme="majorHAnsi"/>
          <w:bCs/>
          <w:sz w:val="20"/>
          <w:szCs w:val="20"/>
          <w:lang w:val="en-US"/>
        </w:rPr>
        <w:t>and</w:t>
      </w:r>
    </w:p>
    <w:p w14:paraId="6AC80CA6" w14:textId="0010A050" w:rsidR="00722C9F" w:rsidRPr="00531FD1" w:rsidRDefault="00BE3B9C" w:rsidP="00531FD1">
      <w:pPr>
        <w:numPr>
          <w:ilvl w:val="0"/>
          <w:numId w:val="63"/>
        </w:numPr>
        <w:suppressAutoHyphens/>
        <w:spacing w:after="240"/>
        <w:jc w:val="both"/>
        <w:rPr>
          <w:rFonts w:asciiTheme="majorHAnsi" w:hAnsiTheme="majorHAnsi" w:cs="Calibri"/>
          <w:sz w:val="20"/>
          <w:szCs w:val="20"/>
          <w:lang w:val="en-US"/>
        </w:rPr>
      </w:pPr>
      <w:r w:rsidRPr="00BE3B9C">
        <w:rPr>
          <w:rFonts w:asciiTheme="majorHAnsi" w:hAnsiTheme="majorHAnsi" w:cs="Calibri"/>
          <w:sz w:val="20"/>
          <w:szCs w:val="20"/>
          <w:lang w:val="en-US"/>
        </w:rPr>
        <w:t xml:space="preserve">To notify the parties of this decision; </w:t>
      </w:r>
      <w:r w:rsidR="00A10BF2">
        <w:rPr>
          <w:rFonts w:asciiTheme="majorHAnsi" w:hAnsiTheme="majorHAnsi" w:cs="Calibri"/>
          <w:sz w:val="20"/>
          <w:szCs w:val="20"/>
          <w:lang w:val="en-US"/>
        </w:rPr>
        <w:t xml:space="preserve">to continue with the analysis on the merits of the current matter </w:t>
      </w:r>
      <w:r w:rsidRPr="00BE3B9C">
        <w:rPr>
          <w:rFonts w:asciiTheme="majorHAnsi" w:hAnsiTheme="majorHAnsi" w:cs="Calibri"/>
          <w:sz w:val="20"/>
          <w:szCs w:val="20"/>
          <w:lang w:val="en-US"/>
        </w:rPr>
        <w:t>and to publish this decision and include it in its Annual Report to the General Assembly of the Organization of American States.</w:t>
      </w:r>
    </w:p>
    <w:p w14:paraId="6066792A" w14:textId="067AF83E" w:rsidR="00531FD1" w:rsidRPr="00531FD1" w:rsidRDefault="00531FD1" w:rsidP="00531FD1">
      <w:pPr>
        <w:suppressAutoHyphens/>
        <w:ind w:firstLine="720"/>
        <w:jc w:val="both"/>
        <w:rPr>
          <w:rFonts w:ascii="Cambria" w:hAnsi="Cambria" w:cs="Segoe UI"/>
          <w:sz w:val="20"/>
          <w:szCs w:val="20"/>
          <w:lang w:val="en-US"/>
        </w:rPr>
      </w:pPr>
      <w:r w:rsidRPr="00531FD1">
        <w:rPr>
          <w:rFonts w:ascii="Cambria" w:hAnsi="Cambria"/>
          <w:spacing w:val="-2"/>
          <w:sz w:val="20"/>
          <w:lang w:val="en-US"/>
        </w:rPr>
        <w:t>Approved by the Inter-American Commission on Human Rights on the 2</w:t>
      </w:r>
      <w:r>
        <w:rPr>
          <w:rFonts w:ascii="Cambria" w:hAnsi="Cambria"/>
          <w:spacing w:val="-2"/>
          <w:sz w:val="20"/>
          <w:lang w:val="en-US"/>
        </w:rPr>
        <w:t>7</w:t>
      </w:r>
      <w:r w:rsidRPr="00531FD1">
        <w:rPr>
          <w:rFonts w:ascii="Cambria" w:hAnsi="Cambria"/>
          <w:spacing w:val="-2"/>
          <w:sz w:val="20"/>
          <w:vertAlign w:val="superscript"/>
          <w:lang w:val="en-US"/>
        </w:rPr>
        <w:t>th</w:t>
      </w:r>
      <w:r w:rsidRPr="00531FD1">
        <w:rPr>
          <w:rFonts w:ascii="Cambria" w:hAnsi="Cambria"/>
          <w:spacing w:val="-2"/>
          <w:sz w:val="20"/>
          <w:lang w:val="en-US"/>
        </w:rPr>
        <w:t xml:space="preserve"> day of the month of </w:t>
      </w:r>
      <w:r>
        <w:rPr>
          <w:rFonts w:ascii="Cambria" w:hAnsi="Cambria"/>
          <w:spacing w:val="-2"/>
          <w:sz w:val="20"/>
          <w:lang w:val="en-US"/>
        </w:rPr>
        <w:t>September</w:t>
      </w:r>
      <w:r w:rsidRPr="00531FD1">
        <w:rPr>
          <w:rFonts w:ascii="Cambria" w:hAnsi="Cambria"/>
          <w:spacing w:val="-2"/>
          <w:sz w:val="20"/>
          <w:lang w:val="en-US"/>
        </w:rPr>
        <w:t xml:space="preserve"> 2023.  (Signed:) </w:t>
      </w:r>
      <w:r w:rsidRPr="00531FD1">
        <w:rPr>
          <w:rStyle w:val="normaltextrun"/>
          <w:rFonts w:ascii="Cambria" w:hAnsi="Cambria" w:cs="Segoe UI"/>
          <w:sz w:val="20"/>
          <w:szCs w:val="20"/>
          <w:lang w:val="en-US"/>
        </w:rPr>
        <w:t>Margarette May Macaulay, President; Esmeralda Arosemena de Troitiño, F</w:t>
      </w:r>
      <w:r>
        <w:rPr>
          <w:rStyle w:val="normaltextrun"/>
          <w:rFonts w:ascii="Cambria" w:hAnsi="Cambria" w:cs="Segoe UI"/>
          <w:sz w:val="20"/>
          <w:szCs w:val="20"/>
          <w:lang w:val="en-US"/>
        </w:rPr>
        <w:t xml:space="preserve">irst Vice president; </w:t>
      </w:r>
      <w:r w:rsidRPr="00531FD1">
        <w:rPr>
          <w:rStyle w:val="normaltextrun"/>
          <w:rFonts w:ascii="Cambria" w:hAnsi="Cambria" w:cs="Segoe UI"/>
          <w:sz w:val="20"/>
          <w:szCs w:val="20"/>
          <w:lang w:val="en-US"/>
        </w:rPr>
        <w:t>Roberta Clarke, Second Vice President; Julissa Mantilla Falcón and Carlos Bernal Pulido, Commissioners.</w:t>
      </w:r>
    </w:p>
    <w:p w14:paraId="350A1F7B" w14:textId="77777777" w:rsidR="00531FD1" w:rsidRPr="00BE3B9C" w:rsidRDefault="00531FD1" w:rsidP="00B23A3F">
      <w:pPr>
        <w:spacing w:before="240" w:after="240"/>
        <w:ind w:firstLine="720"/>
        <w:jc w:val="both"/>
        <w:rPr>
          <w:rFonts w:asciiTheme="majorHAnsi" w:hAnsiTheme="majorHAnsi"/>
          <w:sz w:val="20"/>
          <w:szCs w:val="20"/>
          <w:lang w:val="en-US"/>
        </w:rPr>
      </w:pPr>
    </w:p>
    <w:sectPr w:rsidR="00531FD1" w:rsidRPr="00BE3B9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3C3B" w14:textId="77777777" w:rsidR="000C3DCF" w:rsidRDefault="000C3DCF">
      <w:r>
        <w:separator/>
      </w:r>
    </w:p>
  </w:endnote>
  <w:endnote w:type="continuationSeparator" w:id="0">
    <w:p w14:paraId="25ACD741" w14:textId="77777777" w:rsidR="000C3DCF" w:rsidRDefault="000C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9539" w14:textId="77777777" w:rsidR="000C3DCF" w:rsidRPr="000F35ED" w:rsidRDefault="000C3DC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7A9B01" w14:textId="77777777" w:rsidR="000C3DCF" w:rsidRPr="000F35ED" w:rsidRDefault="000C3DCF" w:rsidP="000F35ED">
      <w:pPr>
        <w:rPr>
          <w:rFonts w:asciiTheme="majorHAnsi" w:hAnsiTheme="majorHAnsi"/>
          <w:sz w:val="16"/>
          <w:szCs w:val="16"/>
        </w:rPr>
      </w:pPr>
      <w:r w:rsidRPr="000F35ED">
        <w:rPr>
          <w:rFonts w:asciiTheme="majorHAnsi" w:hAnsiTheme="majorHAnsi"/>
          <w:sz w:val="16"/>
          <w:szCs w:val="16"/>
        </w:rPr>
        <w:separator/>
      </w:r>
    </w:p>
    <w:p w14:paraId="2499349B" w14:textId="77777777" w:rsidR="000C3DCF" w:rsidRPr="000F35ED" w:rsidRDefault="000C3DC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D44984" w14:textId="77777777" w:rsidR="000C3DCF" w:rsidRPr="000F35ED" w:rsidRDefault="000C3DC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CEC982A" w14:textId="274BAC4B" w:rsidR="006B6C04" w:rsidRPr="00D17564" w:rsidRDefault="006B6C04" w:rsidP="00AE0BDB">
      <w:pPr>
        <w:pStyle w:val="FootnoteText"/>
        <w:ind w:firstLine="709"/>
        <w:jc w:val="both"/>
        <w:rPr>
          <w:rFonts w:ascii="Cambria" w:hAnsi="Cambria"/>
          <w:sz w:val="16"/>
          <w:szCs w:val="16"/>
        </w:rPr>
      </w:pPr>
      <w:r w:rsidRPr="00D17564">
        <w:rPr>
          <w:rStyle w:val="FootnoteReference"/>
          <w:rFonts w:ascii="Cambria" w:hAnsi="Cambria"/>
          <w:sz w:val="16"/>
          <w:szCs w:val="16"/>
        </w:rPr>
        <w:footnoteRef/>
      </w:r>
      <w:r w:rsidRPr="00D17564">
        <w:rPr>
          <w:rFonts w:ascii="Cambria" w:hAnsi="Cambria"/>
          <w:sz w:val="16"/>
          <w:szCs w:val="16"/>
        </w:rPr>
        <w:t xml:space="preserve"> According to the petition, Mr. Caal Xól acts </w:t>
      </w:r>
      <w:r w:rsidR="00EE0BE2">
        <w:rPr>
          <w:rFonts w:ascii="Cambria" w:hAnsi="Cambria"/>
          <w:sz w:val="16"/>
          <w:szCs w:val="16"/>
        </w:rPr>
        <w:t>i</w:t>
      </w:r>
      <w:r w:rsidRPr="00D17564">
        <w:rPr>
          <w:rFonts w:ascii="Cambria" w:hAnsi="Cambria"/>
          <w:sz w:val="16"/>
          <w:szCs w:val="16"/>
        </w:rPr>
        <w:t>s a neighbour from the municipality of Santa María Cahabón, department of Alta Verapaz, member and representative of the Q'eqchi’ indigenous community.</w:t>
      </w:r>
    </w:p>
  </w:footnote>
  <w:footnote w:id="3">
    <w:p w14:paraId="3136B91A" w14:textId="46540057" w:rsidR="006B6C04" w:rsidRPr="00D17564" w:rsidRDefault="006B6C04" w:rsidP="00AE0BDB">
      <w:pPr>
        <w:pStyle w:val="FootnoteText"/>
        <w:ind w:firstLine="709"/>
        <w:jc w:val="both"/>
        <w:rPr>
          <w:rFonts w:ascii="Cambria" w:hAnsi="Cambria"/>
          <w:sz w:val="16"/>
          <w:szCs w:val="16"/>
        </w:rPr>
      </w:pPr>
      <w:r w:rsidRPr="00D17564">
        <w:rPr>
          <w:rStyle w:val="FootnoteReference"/>
          <w:rFonts w:ascii="Cambria" w:hAnsi="Cambria"/>
          <w:sz w:val="16"/>
          <w:szCs w:val="16"/>
        </w:rPr>
        <w:footnoteRef/>
      </w:r>
      <w:r w:rsidRPr="00D17564">
        <w:rPr>
          <w:rFonts w:ascii="Cambria" w:hAnsi="Cambria"/>
          <w:sz w:val="16"/>
          <w:szCs w:val="16"/>
        </w:rPr>
        <w:t xml:space="preserve"> According to article 17.2.a) of the Rules of Procedure of the Commission</w:t>
      </w:r>
      <w:r w:rsidR="006E6D3C" w:rsidRPr="00D17564">
        <w:rPr>
          <w:rFonts w:ascii="Cambria" w:hAnsi="Cambria"/>
          <w:sz w:val="16"/>
          <w:szCs w:val="16"/>
        </w:rPr>
        <w:t xml:space="preserve">, Commissioner Edgar Stuardo Ralón Orellana, a Guatemalan national, did not participate in the debate or decision of the current matter. </w:t>
      </w:r>
    </w:p>
  </w:footnote>
  <w:footnote w:id="4">
    <w:p w14:paraId="0A0494E1" w14:textId="104373DC" w:rsidR="002955C7" w:rsidRPr="00D17564" w:rsidRDefault="002955C7" w:rsidP="00AE0BDB">
      <w:pPr>
        <w:pStyle w:val="FootnoteText"/>
        <w:ind w:firstLine="709"/>
        <w:jc w:val="both"/>
        <w:rPr>
          <w:rFonts w:ascii="Cambria" w:hAnsi="Cambria"/>
          <w:sz w:val="16"/>
          <w:szCs w:val="16"/>
        </w:rPr>
      </w:pPr>
      <w:r w:rsidRPr="00D17564">
        <w:rPr>
          <w:rFonts w:ascii="Cambria" w:hAnsi="Cambria"/>
          <w:sz w:val="16"/>
          <w:szCs w:val="16"/>
          <w:vertAlign w:val="superscript"/>
        </w:rPr>
        <w:footnoteRef/>
      </w:r>
      <w:r w:rsidRPr="00D17564">
        <w:rPr>
          <w:rFonts w:ascii="Cambria" w:hAnsi="Cambria"/>
          <w:sz w:val="16"/>
          <w:szCs w:val="16"/>
        </w:rPr>
        <w:t xml:space="preserve"> Hereinafter “the American Convention” or “the Convention”.</w:t>
      </w:r>
    </w:p>
  </w:footnote>
  <w:footnote w:id="5">
    <w:p w14:paraId="249CB20F" w14:textId="42D44955" w:rsidR="006B6C04" w:rsidRPr="00D17564" w:rsidRDefault="006B6C04" w:rsidP="00AE0BDB">
      <w:pPr>
        <w:pStyle w:val="FootnoteText"/>
        <w:ind w:firstLine="709"/>
        <w:jc w:val="both"/>
        <w:rPr>
          <w:rFonts w:ascii="Cambria" w:hAnsi="Cambria"/>
          <w:sz w:val="16"/>
          <w:szCs w:val="16"/>
        </w:rPr>
      </w:pPr>
      <w:r w:rsidRPr="00D17564">
        <w:rPr>
          <w:rStyle w:val="FootnoteReference"/>
          <w:rFonts w:ascii="Cambria" w:hAnsi="Cambria"/>
          <w:sz w:val="16"/>
          <w:szCs w:val="16"/>
        </w:rPr>
        <w:footnoteRef/>
      </w:r>
      <w:r w:rsidRPr="00D17564">
        <w:rPr>
          <w:rFonts w:ascii="Cambria" w:hAnsi="Cambria"/>
          <w:sz w:val="16"/>
          <w:szCs w:val="16"/>
        </w:rPr>
        <w:t xml:space="preserve"> </w:t>
      </w:r>
      <w:r w:rsidR="006E6D3C" w:rsidRPr="00D17564">
        <w:rPr>
          <w:rFonts w:ascii="Cambria" w:hAnsi="Cambria"/>
          <w:sz w:val="16"/>
          <w:szCs w:val="16"/>
        </w:rPr>
        <w:t xml:space="preserve">The petitioner also alleges violations of self-determination, collective rights of indigenous peoples, the right to belong to indigenous </w:t>
      </w:r>
      <w:r w:rsidR="00EE0BE2">
        <w:rPr>
          <w:rFonts w:ascii="Cambria" w:hAnsi="Cambria"/>
          <w:sz w:val="16"/>
          <w:szCs w:val="16"/>
        </w:rPr>
        <w:t>communities</w:t>
      </w:r>
      <w:r w:rsidR="006E6D3C" w:rsidRPr="00D17564">
        <w:rPr>
          <w:rFonts w:ascii="Cambria" w:hAnsi="Cambria"/>
          <w:sz w:val="16"/>
          <w:szCs w:val="16"/>
        </w:rPr>
        <w:t>, cultural identity, indigenous spirituality, health, protection of a healthy environment, association, assembly, freedom of expression and thought, autonomy and self-government, lands, territories and resources, development, peace, security and protection, and effective and adequate remedies.</w:t>
      </w:r>
    </w:p>
  </w:footnote>
  <w:footnote w:id="6">
    <w:p w14:paraId="553ACFD3" w14:textId="3706A668" w:rsidR="006B6C04" w:rsidRPr="00D17564" w:rsidRDefault="006B6C04" w:rsidP="00AE0BDB">
      <w:pPr>
        <w:pStyle w:val="FootnoteText"/>
        <w:ind w:firstLine="709"/>
        <w:jc w:val="both"/>
        <w:rPr>
          <w:rFonts w:ascii="Cambria" w:hAnsi="Cambria"/>
          <w:sz w:val="16"/>
          <w:szCs w:val="16"/>
        </w:rPr>
      </w:pPr>
      <w:r w:rsidRPr="00D17564">
        <w:rPr>
          <w:rStyle w:val="FootnoteReference"/>
          <w:rFonts w:ascii="Cambria" w:hAnsi="Cambria"/>
          <w:sz w:val="16"/>
          <w:szCs w:val="16"/>
        </w:rPr>
        <w:footnoteRef/>
      </w:r>
      <w:r w:rsidRPr="00D17564">
        <w:rPr>
          <w:rFonts w:ascii="Cambria" w:hAnsi="Cambria"/>
          <w:sz w:val="16"/>
          <w:szCs w:val="16"/>
        </w:rPr>
        <w:t xml:space="preserve"> </w:t>
      </w:r>
      <w:r w:rsidR="006E6D3C" w:rsidRPr="00D17564">
        <w:rPr>
          <w:rFonts w:ascii="Cambria" w:hAnsi="Cambria"/>
          <w:sz w:val="16"/>
          <w:szCs w:val="16"/>
        </w:rPr>
        <w:t>Right to Free, Prior and informed consent based on Convention 169 of the International Labour Organization (hereinafter “ILO Convention 169”)</w:t>
      </w:r>
    </w:p>
  </w:footnote>
  <w:footnote w:id="7">
    <w:p w14:paraId="79F07139" w14:textId="68CB613E" w:rsidR="008E3BFE" w:rsidRPr="00D17564" w:rsidRDefault="008E3BFE" w:rsidP="00AE0BDB">
      <w:pPr>
        <w:pStyle w:val="FootnoteText"/>
        <w:ind w:firstLine="709"/>
        <w:jc w:val="both"/>
        <w:rPr>
          <w:rFonts w:ascii="Cambria" w:hAnsi="Cambria"/>
          <w:sz w:val="16"/>
          <w:szCs w:val="16"/>
        </w:rPr>
      </w:pPr>
      <w:r w:rsidRPr="00D17564">
        <w:rPr>
          <w:rStyle w:val="FootnoteReference"/>
          <w:rFonts w:ascii="Cambria" w:hAnsi="Cambria"/>
          <w:sz w:val="16"/>
          <w:szCs w:val="16"/>
        </w:rPr>
        <w:footnoteRef/>
      </w:r>
      <w:r w:rsidRPr="00D17564">
        <w:rPr>
          <w:rFonts w:ascii="Cambria" w:hAnsi="Cambria"/>
          <w:sz w:val="16"/>
          <w:szCs w:val="16"/>
        </w:rPr>
        <w:t xml:space="preserve"> </w:t>
      </w:r>
      <w:r w:rsidR="00BE3B9C" w:rsidRPr="00D17564">
        <w:rPr>
          <w:rFonts w:ascii="Cambria" w:hAnsi="Cambria"/>
          <w:sz w:val="16"/>
          <w:szCs w:val="16"/>
        </w:rPr>
        <w:t xml:space="preserve">The observations of each party were duly notified to the opposing party. </w:t>
      </w:r>
    </w:p>
  </w:footnote>
  <w:footnote w:id="8">
    <w:p w14:paraId="43BFA70D" w14:textId="47AED87F" w:rsidR="006B6C04" w:rsidRDefault="006B6C04" w:rsidP="00AE0BDB">
      <w:pPr>
        <w:pStyle w:val="FootnoteText"/>
        <w:ind w:firstLine="709"/>
        <w:jc w:val="both"/>
      </w:pPr>
      <w:r w:rsidRPr="00D17564">
        <w:rPr>
          <w:rStyle w:val="FootnoteReference"/>
          <w:rFonts w:ascii="Cambria" w:hAnsi="Cambria"/>
          <w:sz w:val="16"/>
          <w:szCs w:val="16"/>
        </w:rPr>
        <w:footnoteRef/>
      </w:r>
      <w:r w:rsidRPr="00D17564">
        <w:rPr>
          <w:rFonts w:ascii="Cambria" w:hAnsi="Cambria"/>
          <w:sz w:val="16"/>
          <w:szCs w:val="16"/>
        </w:rPr>
        <w:t xml:space="preserve"> </w:t>
      </w:r>
      <w:r w:rsidR="006E6D3C" w:rsidRPr="00D17564">
        <w:rPr>
          <w:rFonts w:ascii="Cambria" w:hAnsi="Cambria"/>
          <w:sz w:val="16"/>
          <w:szCs w:val="16"/>
        </w:rPr>
        <w:t>The State requested an extension on September 8, 2022 due to the complexity of the petition.</w:t>
      </w:r>
    </w:p>
  </w:footnote>
  <w:footnote w:id="9">
    <w:p w14:paraId="279C9A88" w14:textId="2F0EA3A6" w:rsidR="00D17564" w:rsidRPr="00EE0BE2" w:rsidRDefault="00D17564" w:rsidP="00207AE2">
      <w:pPr>
        <w:pStyle w:val="FootnoteText"/>
        <w:ind w:firstLine="709"/>
        <w:jc w:val="both"/>
        <w:rPr>
          <w:rFonts w:ascii="Cambria" w:hAnsi="Cambria"/>
          <w:sz w:val="16"/>
          <w:szCs w:val="16"/>
        </w:rPr>
      </w:pPr>
      <w:r w:rsidRPr="00EE0BE2">
        <w:rPr>
          <w:rStyle w:val="FootnoteReference"/>
          <w:rFonts w:ascii="Cambria" w:hAnsi="Cambria"/>
          <w:sz w:val="16"/>
          <w:szCs w:val="16"/>
        </w:rPr>
        <w:footnoteRef/>
      </w:r>
      <w:r w:rsidRPr="00EE0BE2">
        <w:rPr>
          <w:rFonts w:ascii="Cambria" w:hAnsi="Cambria"/>
          <w:sz w:val="16"/>
          <w:szCs w:val="16"/>
        </w:rPr>
        <w:t xml:space="preserve"> </w:t>
      </w:r>
      <w:r w:rsidR="00290D26" w:rsidRPr="00EE0BE2">
        <w:rPr>
          <w:rFonts w:ascii="Cambria" w:hAnsi="Cambria"/>
          <w:sz w:val="16"/>
          <w:szCs w:val="16"/>
        </w:rPr>
        <w:t>Since the subject matter of this petition is not controversial, the details of the aforementioned concessions are not covered in detail in this report.</w:t>
      </w:r>
    </w:p>
  </w:footnote>
  <w:footnote w:id="10">
    <w:p w14:paraId="57BBC9D6" w14:textId="664C4B8A" w:rsidR="00D17564" w:rsidRDefault="00D17564" w:rsidP="00207AE2">
      <w:pPr>
        <w:pStyle w:val="FootnoteText"/>
        <w:ind w:firstLine="709"/>
        <w:jc w:val="both"/>
      </w:pPr>
      <w:r w:rsidRPr="00EE0BE2">
        <w:rPr>
          <w:rStyle w:val="FootnoteReference"/>
          <w:rFonts w:ascii="Cambria" w:hAnsi="Cambria"/>
          <w:sz w:val="16"/>
          <w:szCs w:val="16"/>
        </w:rPr>
        <w:footnoteRef/>
      </w:r>
      <w:r w:rsidRPr="00EE0BE2">
        <w:rPr>
          <w:rFonts w:ascii="Cambria" w:hAnsi="Cambria"/>
          <w:sz w:val="16"/>
          <w:szCs w:val="16"/>
        </w:rPr>
        <w:t xml:space="preserve"> </w:t>
      </w:r>
      <w:r w:rsidR="00290D26" w:rsidRPr="00EE0BE2">
        <w:rPr>
          <w:rFonts w:ascii="Cambria" w:hAnsi="Cambria"/>
          <w:sz w:val="16"/>
          <w:szCs w:val="16"/>
        </w:rPr>
        <w:t>Ministerial agreement 260/2013 issued on August 7, 2013 by the Ministry of Energy and Mines which grants the definite authorization to Oxec to install the Hydroelectric Power Plants.</w:t>
      </w:r>
    </w:p>
  </w:footnote>
  <w:footnote w:id="11">
    <w:p w14:paraId="2CF7C1CB" w14:textId="4F30DCE2" w:rsidR="00F04178" w:rsidRPr="008A304B" w:rsidRDefault="00F04178" w:rsidP="00207AE2">
      <w:pPr>
        <w:pStyle w:val="FootnoteText"/>
        <w:ind w:firstLine="709"/>
        <w:jc w:val="both"/>
        <w:rPr>
          <w:rFonts w:ascii="Cambria" w:hAnsi="Cambria"/>
          <w:sz w:val="16"/>
          <w:szCs w:val="16"/>
        </w:rPr>
      </w:pPr>
      <w:r w:rsidRPr="008A304B">
        <w:rPr>
          <w:rStyle w:val="FootnoteReference"/>
          <w:rFonts w:ascii="Cambria" w:hAnsi="Cambria"/>
          <w:sz w:val="16"/>
          <w:szCs w:val="16"/>
        </w:rPr>
        <w:footnoteRef/>
      </w:r>
      <w:r w:rsidRPr="008A304B">
        <w:rPr>
          <w:rFonts w:ascii="Cambria" w:hAnsi="Cambria"/>
          <w:sz w:val="16"/>
          <w:szCs w:val="16"/>
        </w:rPr>
        <w:t xml:space="preserve"> </w:t>
      </w:r>
      <w:r w:rsidR="008A304B" w:rsidRPr="008A304B">
        <w:rPr>
          <w:rFonts w:ascii="Cambria" w:hAnsi="Cambria"/>
          <w:sz w:val="16"/>
          <w:szCs w:val="16"/>
        </w:rPr>
        <w:t>Regarding the consultation process ordered by the Constitutional Court, the elements were mostly compiled from what was indicated by the State, since the petitioner did not present the details of the consultation.</w:t>
      </w:r>
    </w:p>
  </w:footnote>
  <w:footnote w:id="12">
    <w:p w14:paraId="1808194E" w14:textId="23AD8550" w:rsidR="00F04178" w:rsidRPr="008A304B" w:rsidRDefault="00F04178" w:rsidP="00207AE2">
      <w:pPr>
        <w:pStyle w:val="FootnoteText"/>
        <w:ind w:firstLine="709"/>
        <w:jc w:val="both"/>
        <w:rPr>
          <w:rFonts w:ascii="Cambria" w:hAnsi="Cambria"/>
          <w:sz w:val="16"/>
          <w:szCs w:val="16"/>
        </w:rPr>
      </w:pPr>
      <w:r w:rsidRPr="008A304B">
        <w:rPr>
          <w:rStyle w:val="FootnoteReference"/>
          <w:rFonts w:ascii="Cambria" w:hAnsi="Cambria"/>
          <w:sz w:val="16"/>
          <w:szCs w:val="16"/>
        </w:rPr>
        <w:footnoteRef/>
      </w:r>
      <w:r w:rsidRPr="008A304B">
        <w:rPr>
          <w:rFonts w:ascii="Cambria" w:hAnsi="Cambria"/>
          <w:sz w:val="16"/>
          <w:szCs w:val="16"/>
        </w:rPr>
        <w:t xml:space="preserve"> </w:t>
      </w:r>
      <w:r w:rsidR="008A304B" w:rsidRPr="008A304B">
        <w:rPr>
          <w:rFonts w:ascii="Cambria" w:hAnsi="Cambria"/>
          <w:sz w:val="16"/>
          <w:szCs w:val="16"/>
        </w:rPr>
        <w:t>The State notes: "[T]he consultation process was carried out in accordance with Convention 169 of the International Labor Organization -ILO- to the communities in the area of influence of the Oxec and Oxec II hydroelectric projects, which are located in the municipality of Santa María Cahabón, being the following: 1) Pequixul Village; 2) Caserio La Escopeta; 3) Caserio Sacta Sector; 4) Aldea Chacalte; 5) Caserio Sekatalkab; 6)Aldea Sacta; 7) Aldea Sepoc; 8) Aldea Seasir; 9) Aldea Salac ; 10) Caserio Pulisibic; and 11) Caserio Tres Cruces El Mirador".</w:t>
      </w:r>
    </w:p>
  </w:footnote>
  <w:footnote w:id="13">
    <w:p w14:paraId="0430878E" w14:textId="0480D372" w:rsidR="00F04178" w:rsidRDefault="00F04178" w:rsidP="00207AE2">
      <w:pPr>
        <w:pStyle w:val="FootnoteText"/>
        <w:ind w:firstLine="709"/>
        <w:jc w:val="both"/>
      </w:pPr>
      <w:r w:rsidRPr="008A304B">
        <w:rPr>
          <w:rStyle w:val="FootnoteReference"/>
          <w:rFonts w:ascii="Cambria" w:hAnsi="Cambria"/>
          <w:sz w:val="16"/>
          <w:szCs w:val="16"/>
        </w:rPr>
        <w:footnoteRef/>
      </w:r>
      <w:r w:rsidRPr="008A304B">
        <w:rPr>
          <w:rFonts w:ascii="Cambria" w:hAnsi="Cambria"/>
          <w:sz w:val="16"/>
          <w:szCs w:val="16"/>
        </w:rPr>
        <w:t xml:space="preserve"> </w:t>
      </w:r>
      <w:r w:rsidR="008A304B" w:rsidRPr="008A304B">
        <w:rPr>
          <w:rFonts w:ascii="Cambria" w:hAnsi="Cambria"/>
          <w:sz w:val="16"/>
          <w:szCs w:val="16"/>
        </w:rPr>
        <w:t>The State reports that in the integration of the pre-consultation roundtable, the following entities were officially requested to be appointed: "Oxec entity, Oxec I entity, the Municipality of Santa María Cahabón, the Departmental Development Council of the department of Alta Verapaz, the Ministry of Environment and Natural Resources -MARN-, the Ministry of Culture and Sports -MCD-, the Academy of Mayan Languages of Guatemala ALMG-, the Human Rights Ombudsman's Office -PDH-, the San Carlos University of Guatemala -USAC- and the Private Higher Education Council -CEPS-, University of San Carlos of Guatemala -USAC- and the Council of Private Higher Education -CEPS-".</w:t>
      </w:r>
    </w:p>
  </w:footnote>
  <w:footnote w:id="14">
    <w:p w14:paraId="3D9D860D" w14:textId="5D448F36" w:rsidR="00C31F99" w:rsidRDefault="00C31F99" w:rsidP="00AE0BDB">
      <w:pPr>
        <w:pStyle w:val="FootnoteText"/>
        <w:ind w:firstLine="709"/>
        <w:jc w:val="both"/>
      </w:pPr>
      <w:r w:rsidRPr="00EE0BE2">
        <w:rPr>
          <w:rStyle w:val="FootnoteReference"/>
          <w:rFonts w:ascii="Cambria" w:hAnsi="Cambria"/>
          <w:sz w:val="16"/>
          <w:szCs w:val="16"/>
        </w:rPr>
        <w:footnoteRef/>
      </w:r>
      <w:r w:rsidRPr="00EE0BE2">
        <w:rPr>
          <w:rFonts w:ascii="Cambria" w:hAnsi="Cambria"/>
          <w:sz w:val="16"/>
          <w:szCs w:val="16"/>
        </w:rPr>
        <w:t xml:space="preserve"> </w:t>
      </w:r>
      <w:r w:rsidR="000762B1" w:rsidRPr="00EE0BE2">
        <w:rPr>
          <w:rFonts w:ascii="Cambria" w:hAnsi="Cambria"/>
          <w:sz w:val="16"/>
          <w:szCs w:val="16"/>
        </w:rPr>
        <w:t xml:space="preserve">Found in the Business and Human Rights Resource Centre, </w:t>
      </w:r>
      <w:r w:rsidR="000762B1" w:rsidRPr="00EE0BE2">
        <w:rPr>
          <w:rFonts w:ascii="Cambria" w:hAnsi="Cambria"/>
          <w:i/>
          <w:iCs/>
          <w:color w:val="auto"/>
          <w:sz w:val="16"/>
          <w:szCs w:val="16"/>
        </w:rPr>
        <w:t>"Guatemala: Defensor Bernardo Caal Xól continúa detenido tras 1245 días, por demanda de empresa Oxec; Naciones Unidas se pronuncia</w:t>
      </w:r>
      <w:r w:rsidR="000762B1" w:rsidRPr="00EE0BE2">
        <w:rPr>
          <w:rFonts w:ascii="Cambria" w:hAnsi="Cambria"/>
          <w:color w:val="auto"/>
          <w:sz w:val="16"/>
          <w:szCs w:val="16"/>
        </w:rPr>
        <w:t>", July 29, 2021 available at www.business-</w:t>
      </w:r>
      <w:r w:rsidR="000762B1" w:rsidRPr="006742AA">
        <w:rPr>
          <w:rFonts w:ascii="Cambria" w:hAnsi="Cambria"/>
          <w:color w:val="auto"/>
          <w:sz w:val="16"/>
          <w:szCs w:val="16"/>
        </w:rPr>
        <w:t>humanrights.org/es/últimas-noticias/guatemala-defensor-bernardo-caal-xól-continúa-detenido-tras-1245-días-por-demanda-de-empresa-oxec-naciones-unidas-se-pronuncia/ seen on August 7</w:t>
      </w:r>
      <w:r w:rsidR="000762B1">
        <w:rPr>
          <w:rFonts w:ascii="Cambria" w:hAnsi="Cambria"/>
          <w:color w:val="auto"/>
          <w:sz w:val="16"/>
          <w:szCs w:val="16"/>
        </w:rPr>
        <w:t>, 2023.</w:t>
      </w:r>
    </w:p>
  </w:footnote>
  <w:footnote w:id="15">
    <w:p w14:paraId="68293692" w14:textId="409A01E0" w:rsidR="00C31F99" w:rsidRPr="00EE0BE2" w:rsidRDefault="00C31F99" w:rsidP="00207AE2">
      <w:pPr>
        <w:pStyle w:val="FootnoteText"/>
        <w:ind w:firstLine="709"/>
        <w:jc w:val="both"/>
        <w:rPr>
          <w:rFonts w:ascii="Cambria" w:hAnsi="Cambria"/>
          <w:sz w:val="16"/>
          <w:szCs w:val="16"/>
        </w:rPr>
      </w:pPr>
      <w:r w:rsidRPr="00EE0BE2">
        <w:rPr>
          <w:rStyle w:val="FootnoteReference"/>
          <w:rFonts w:ascii="Cambria" w:hAnsi="Cambria"/>
          <w:sz w:val="16"/>
          <w:szCs w:val="16"/>
        </w:rPr>
        <w:footnoteRef/>
      </w:r>
      <w:r w:rsidRPr="00EE0BE2">
        <w:rPr>
          <w:rFonts w:ascii="Cambria" w:hAnsi="Cambria"/>
          <w:sz w:val="16"/>
          <w:szCs w:val="16"/>
        </w:rPr>
        <w:t xml:space="preserve"> </w:t>
      </w:r>
      <w:r w:rsidR="000762B1" w:rsidRPr="00EE0BE2">
        <w:rPr>
          <w:rFonts w:ascii="Cambria" w:hAnsi="Cambria"/>
          <w:sz w:val="16"/>
          <w:szCs w:val="16"/>
        </w:rPr>
        <w:t xml:space="preserve">Found in Amnesty International </w:t>
      </w:r>
      <w:r w:rsidR="000762B1" w:rsidRPr="00EE0BE2">
        <w:rPr>
          <w:rFonts w:ascii="Cambria" w:hAnsi="Cambria"/>
          <w:color w:val="auto"/>
          <w:sz w:val="16"/>
          <w:szCs w:val="16"/>
        </w:rPr>
        <w:t>“</w:t>
      </w:r>
      <w:r w:rsidR="000762B1" w:rsidRPr="00EE0BE2">
        <w:rPr>
          <w:rFonts w:ascii="Cambria" w:hAnsi="Cambria"/>
          <w:i/>
          <w:iCs/>
          <w:color w:val="auto"/>
          <w:sz w:val="16"/>
          <w:szCs w:val="16"/>
        </w:rPr>
        <w:t>Guatemala: Amnistía Internacional declara a Bernardo Caal Xol preso de conciencia”,</w:t>
      </w:r>
      <w:r w:rsidR="000762B1" w:rsidRPr="00EE0BE2">
        <w:rPr>
          <w:rFonts w:ascii="Cambria" w:hAnsi="Cambria"/>
          <w:color w:val="auto"/>
          <w:sz w:val="16"/>
          <w:szCs w:val="16"/>
        </w:rPr>
        <w:t xml:space="preserve"> July 16, 2020 available www.amnesty.org/es/latest/news/2020/07/guatemala-bernardo-caal-xol-preso-conciencia/ revised</w:t>
      </w:r>
      <w:r w:rsidR="00207AE2">
        <w:rPr>
          <w:rFonts w:ascii="Cambria" w:hAnsi="Cambria"/>
          <w:color w:val="auto"/>
          <w:sz w:val="16"/>
          <w:szCs w:val="16"/>
        </w:rPr>
        <w:t xml:space="preserve"> </w:t>
      </w:r>
      <w:r w:rsidR="000762B1" w:rsidRPr="00EE0BE2">
        <w:rPr>
          <w:rFonts w:ascii="Cambria" w:hAnsi="Cambria"/>
          <w:color w:val="auto"/>
          <w:sz w:val="16"/>
          <w:szCs w:val="16"/>
        </w:rPr>
        <w:t>on August 7</w:t>
      </w:r>
      <w:r w:rsidR="00207AE2">
        <w:rPr>
          <w:rFonts w:ascii="Cambria" w:hAnsi="Cambria"/>
          <w:color w:val="auto"/>
          <w:sz w:val="16"/>
          <w:szCs w:val="16"/>
        </w:rPr>
        <w:t>, 2023</w:t>
      </w:r>
      <w:r w:rsidR="000762B1" w:rsidRPr="00EE0BE2">
        <w:rPr>
          <w:rFonts w:ascii="Cambria" w:hAnsi="Cambria"/>
          <w:color w:val="auto"/>
          <w:sz w:val="16"/>
          <w:szCs w:val="16"/>
        </w:rPr>
        <w:t>.</w:t>
      </w:r>
    </w:p>
  </w:footnote>
  <w:footnote w:id="16">
    <w:p w14:paraId="1AC40D23" w14:textId="6F46C2AB" w:rsidR="00C31F99" w:rsidRPr="00EE0BE2" w:rsidRDefault="00C31F99" w:rsidP="00207AE2">
      <w:pPr>
        <w:pStyle w:val="FootnoteText"/>
        <w:ind w:firstLine="709"/>
        <w:jc w:val="both"/>
        <w:rPr>
          <w:rFonts w:ascii="Cambria" w:hAnsi="Cambria"/>
          <w:sz w:val="16"/>
          <w:szCs w:val="16"/>
        </w:rPr>
      </w:pPr>
      <w:r w:rsidRPr="00EE0BE2">
        <w:rPr>
          <w:rStyle w:val="FootnoteReference"/>
          <w:rFonts w:ascii="Cambria" w:hAnsi="Cambria"/>
          <w:sz w:val="16"/>
          <w:szCs w:val="16"/>
        </w:rPr>
        <w:footnoteRef/>
      </w:r>
      <w:r w:rsidRPr="00EE0BE2">
        <w:rPr>
          <w:rFonts w:ascii="Cambria" w:hAnsi="Cambria"/>
          <w:sz w:val="16"/>
          <w:szCs w:val="16"/>
        </w:rPr>
        <w:t xml:space="preserve"> </w:t>
      </w:r>
      <w:r w:rsidR="006742AA" w:rsidRPr="00EE0BE2">
        <w:rPr>
          <w:rFonts w:ascii="Cambria" w:hAnsi="Cambria"/>
          <w:sz w:val="16"/>
          <w:szCs w:val="16"/>
        </w:rPr>
        <w:t xml:space="preserve">Found in the Business and Human Rights Resource Centre, </w:t>
      </w:r>
      <w:r w:rsidR="00EE0BE2" w:rsidRPr="00EE0BE2">
        <w:rPr>
          <w:rFonts w:ascii="Cambria" w:hAnsi="Cambria"/>
          <w:i/>
          <w:iCs/>
          <w:color w:val="auto"/>
          <w:sz w:val="16"/>
          <w:szCs w:val="16"/>
        </w:rPr>
        <w:t>Guatemala: Bernardo Caal Xol nunca debió pasar un día en prisión”.</w:t>
      </w:r>
      <w:r w:rsidR="00207AE2">
        <w:rPr>
          <w:rFonts w:ascii="Cambria" w:hAnsi="Cambria"/>
          <w:i/>
          <w:iCs/>
          <w:color w:val="auto"/>
          <w:sz w:val="16"/>
          <w:szCs w:val="16"/>
        </w:rPr>
        <w:t xml:space="preserve"> </w:t>
      </w:r>
      <w:r w:rsidR="00EE0BE2">
        <w:rPr>
          <w:rFonts w:ascii="Cambria" w:hAnsi="Cambria"/>
          <w:i/>
          <w:iCs/>
          <w:color w:val="auto"/>
          <w:sz w:val="16"/>
          <w:szCs w:val="16"/>
        </w:rPr>
        <w:t xml:space="preserve">March 25, 2022 available </w:t>
      </w:r>
      <w:r w:rsidR="00EE0BE2" w:rsidRPr="00EE0BE2">
        <w:rPr>
          <w:rFonts w:ascii="Cambria" w:hAnsi="Cambria"/>
          <w:color w:val="auto"/>
          <w:sz w:val="16"/>
          <w:szCs w:val="16"/>
        </w:rPr>
        <w:t xml:space="preserve">www.amnesty.org/es/latest/news/2022/03/guatemala-bernardo-caal-xol-should-never-have-spent-a-day-in-prison/ </w:t>
      </w:r>
      <w:r w:rsidR="006742AA" w:rsidRPr="00EE0BE2">
        <w:rPr>
          <w:rFonts w:ascii="Cambria" w:hAnsi="Cambria"/>
          <w:color w:val="auto"/>
          <w:sz w:val="16"/>
          <w:szCs w:val="16"/>
        </w:rPr>
        <w:t>seen on August 7, 2023.</w:t>
      </w:r>
    </w:p>
  </w:footnote>
  <w:footnote w:id="17">
    <w:p w14:paraId="73F17EC3" w14:textId="3E51C391" w:rsidR="00C31F99" w:rsidRPr="00EE0BE2" w:rsidRDefault="00C31F99" w:rsidP="00207AE2">
      <w:pPr>
        <w:pStyle w:val="FootnoteText"/>
        <w:ind w:firstLine="709"/>
        <w:jc w:val="both"/>
        <w:rPr>
          <w:rFonts w:ascii="Cambria" w:hAnsi="Cambria"/>
          <w:sz w:val="16"/>
          <w:szCs w:val="16"/>
        </w:rPr>
      </w:pPr>
      <w:r w:rsidRPr="00EE0BE2">
        <w:rPr>
          <w:rStyle w:val="FootnoteReference"/>
          <w:rFonts w:ascii="Cambria" w:hAnsi="Cambria"/>
          <w:sz w:val="16"/>
          <w:szCs w:val="16"/>
        </w:rPr>
        <w:footnoteRef/>
      </w:r>
      <w:r w:rsidRPr="00EE0BE2">
        <w:rPr>
          <w:rFonts w:ascii="Cambria" w:hAnsi="Cambria"/>
          <w:sz w:val="16"/>
          <w:szCs w:val="16"/>
        </w:rPr>
        <w:t xml:space="preserve"> </w:t>
      </w:r>
      <w:r w:rsidR="00207AE2">
        <w:rPr>
          <w:rFonts w:ascii="Cambria" w:hAnsi="Cambria"/>
          <w:i/>
          <w:iCs/>
          <w:sz w:val="16"/>
          <w:szCs w:val="16"/>
        </w:rPr>
        <w:t>I</w:t>
      </w:r>
      <w:r w:rsidR="00207AE2" w:rsidRPr="00207AE2">
        <w:rPr>
          <w:rFonts w:ascii="Cambria" w:hAnsi="Cambria"/>
          <w:i/>
          <w:iCs/>
          <w:sz w:val="16"/>
          <w:szCs w:val="16"/>
        </w:rPr>
        <w:t>bid</w:t>
      </w:r>
      <w:r w:rsidR="007C609D" w:rsidRPr="00207AE2">
        <w:rPr>
          <w:rFonts w:ascii="Cambria" w:hAnsi="Cambria"/>
          <w:i/>
          <w:iCs/>
          <w:sz w:val="16"/>
          <w:szCs w:val="16"/>
        </w:rPr>
        <w:t>.</w:t>
      </w:r>
    </w:p>
  </w:footnote>
  <w:footnote w:id="18">
    <w:p w14:paraId="03783E6C" w14:textId="1728BD3C" w:rsidR="0081085D" w:rsidRPr="00EE0BE2" w:rsidRDefault="0081085D" w:rsidP="00207AE2">
      <w:pPr>
        <w:pStyle w:val="FootnoteText"/>
        <w:ind w:firstLine="709"/>
        <w:jc w:val="both"/>
        <w:rPr>
          <w:rFonts w:ascii="Cambria" w:hAnsi="Cambria"/>
          <w:sz w:val="16"/>
          <w:szCs w:val="16"/>
        </w:rPr>
      </w:pPr>
      <w:r w:rsidRPr="00EE0BE2">
        <w:rPr>
          <w:rStyle w:val="FootnoteReference"/>
          <w:rFonts w:ascii="Cambria" w:hAnsi="Cambria"/>
          <w:sz w:val="16"/>
          <w:szCs w:val="16"/>
        </w:rPr>
        <w:footnoteRef/>
      </w:r>
      <w:r w:rsidRPr="00EE0BE2">
        <w:rPr>
          <w:rFonts w:ascii="Cambria" w:hAnsi="Cambria"/>
          <w:sz w:val="16"/>
          <w:szCs w:val="16"/>
        </w:rPr>
        <w:t xml:space="preserve"> </w:t>
      </w:r>
      <w:r w:rsidR="007C609D" w:rsidRPr="00EE0BE2">
        <w:rPr>
          <w:rFonts w:ascii="Cambria" w:hAnsi="Cambria"/>
          <w:sz w:val="16"/>
          <w:szCs w:val="16"/>
        </w:rPr>
        <w:t xml:space="preserve">The petitioners presented in their annexes a report of the United Nations, issued by the Special Rapporteur on the rights of indigenous peoples, on her visit to Guatemala, which states: </w:t>
      </w:r>
      <w:r w:rsidR="007C609D" w:rsidRPr="00207AE2">
        <w:rPr>
          <w:rFonts w:ascii="Cambria" w:hAnsi="Cambria"/>
          <w:i/>
          <w:iCs/>
          <w:sz w:val="16"/>
          <w:szCs w:val="16"/>
        </w:rPr>
        <w:t>"</w:t>
      </w:r>
      <w:r w:rsidR="00F02DFC" w:rsidRPr="00207AE2">
        <w:rPr>
          <w:rFonts w:ascii="Cambria" w:hAnsi="Cambria"/>
          <w:i/>
          <w:iCs/>
          <w:sz w:val="16"/>
          <w:szCs w:val="16"/>
        </w:rPr>
        <w:t>At the Cobán Pretrial Centre, in Alta Verapaz, the Special Rapporteur visited a number of imprisoned indigenous representatives, including</w:t>
      </w:r>
      <w:r w:rsidR="008D1F5B" w:rsidRPr="00207AE2">
        <w:rPr>
          <w:rFonts w:ascii="Cambria" w:hAnsi="Cambria"/>
          <w:i/>
          <w:iCs/>
          <w:sz w:val="16"/>
          <w:szCs w:val="16"/>
        </w:rPr>
        <w:t xml:space="preserve"> </w:t>
      </w:r>
      <w:r w:rsidR="00F02DFC" w:rsidRPr="00207AE2">
        <w:rPr>
          <w:rFonts w:ascii="Cambria" w:hAnsi="Cambria"/>
          <w:i/>
          <w:iCs/>
          <w:sz w:val="16"/>
          <w:szCs w:val="16"/>
        </w:rPr>
        <w:t xml:space="preserve"> Bernardo Caal Xól, who </w:t>
      </w:r>
      <w:r w:rsidR="007C609D" w:rsidRPr="00207AE2">
        <w:rPr>
          <w:rFonts w:ascii="Cambria" w:hAnsi="Cambria"/>
          <w:i/>
          <w:iCs/>
          <w:sz w:val="16"/>
          <w:szCs w:val="16"/>
        </w:rPr>
        <w:t>indicated that he fears for his safety";</w:t>
      </w:r>
      <w:r w:rsidR="007C609D" w:rsidRPr="00EE0BE2">
        <w:rPr>
          <w:rFonts w:ascii="Cambria" w:hAnsi="Cambria"/>
          <w:sz w:val="16"/>
          <w:szCs w:val="16"/>
        </w:rPr>
        <w:t xml:space="preserve"> and also that </w:t>
      </w:r>
      <w:r w:rsidR="007C609D" w:rsidRPr="00207AE2">
        <w:rPr>
          <w:rFonts w:ascii="Cambria" w:hAnsi="Cambria"/>
          <w:i/>
          <w:iCs/>
          <w:sz w:val="16"/>
          <w:szCs w:val="16"/>
        </w:rPr>
        <w:t>"</w:t>
      </w:r>
      <w:r w:rsidR="008D1F5B" w:rsidRPr="00207AE2">
        <w:rPr>
          <w:rFonts w:ascii="Cambria" w:hAnsi="Cambria"/>
          <w:i/>
          <w:iCs/>
          <w:sz w:val="16"/>
          <w:szCs w:val="16"/>
        </w:rPr>
        <w:t>In the Q’eqchi’ community of Sepoc in Alta Verapaz, she heard complaints about the impact that dams across the Cahabón River have had on the local communities’ access to water and about the fact that the community leaders have been treated as criminals for their opposition</w:t>
      </w:r>
      <w:r w:rsidR="007C609D" w:rsidRPr="00207AE2">
        <w:rPr>
          <w:rFonts w:ascii="Cambria" w:hAnsi="Cambria"/>
          <w:i/>
          <w:iCs/>
          <w:sz w:val="16"/>
          <w:szCs w:val="16"/>
        </w:rPr>
        <w:t xml:space="preserve">. </w:t>
      </w:r>
      <w:r w:rsidR="008D1F5B" w:rsidRPr="00207AE2">
        <w:rPr>
          <w:rFonts w:ascii="Cambria" w:hAnsi="Cambria"/>
          <w:i/>
          <w:iCs/>
          <w:sz w:val="16"/>
          <w:szCs w:val="16"/>
        </w:rPr>
        <w:t>Permanent licences for the Oxec I and Oxec II hydroelectric power plants were issued without consultation with the communities. In April 2016, the Constitutional Court ruled in favour of an amparo plea submitted by a number of communities and ordered the Ministry of Energy and Mining to hold retrospective consultations but omitted to order a suspension of operations. This is not in conformity with international standards</w:t>
      </w:r>
      <w:r w:rsidR="007C609D" w:rsidRPr="00207AE2">
        <w:rPr>
          <w:rFonts w:ascii="Cambria" w:hAnsi="Cambria"/>
          <w:i/>
          <w:iCs/>
          <w:sz w:val="16"/>
          <w:szCs w:val="16"/>
        </w:rPr>
        <w:t>"</w:t>
      </w:r>
      <w:r w:rsidR="00207AE2">
        <w:rPr>
          <w:rFonts w:ascii="Cambria" w:hAnsi="Cambria"/>
          <w:i/>
          <w:iCs/>
          <w:sz w:val="16"/>
          <w:szCs w:val="16"/>
        </w:rPr>
        <w:t>.</w:t>
      </w:r>
      <w:r w:rsidR="007C609D" w:rsidRPr="00EE0BE2">
        <w:rPr>
          <w:rFonts w:ascii="Cambria" w:hAnsi="Cambria"/>
          <w:sz w:val="16"/>
          <w:szCs w:val="16"/>
        </w:rPr>
        <w:t xml:space="preserve"> Found in United Nations, General Assembly, Human Rights Council, 39th Session. "</w:t>
      </w:r>
      <w:r w:rsidR="00F02DFC" w:rsidRPr="00EE0BE2">
        <w:rPr>
          <w:rFonts w:ascii="Cambria" w:hAnsi="Cambria"/>
          <w:sz w:val="16"/>
          <w:szCs w:val="16"/>
        </w:rPr>
        <w:t xml:space="preserve"> Report of the Special Rapporteur on the rights of indigenous peoples on her visit to Guatemala</w:t>
      </w:r>
      <w:r w:rsidR="007C609D" w:rsidRPr="00EE0BE2">
        <w:rPr>
          <w:rFonts w:ascii="Cambria" w:hAnsi="Cambria"/>
          <w:sz w:val="16"/>
          <w:szCs w:val="16"/>
        </w:rPr>
        <w:t>" A/HRC/39/17/Add.3. August 10, 2018, p. 11 and 8, respectively.</w:t>
      </w:r>
      <w:r w:rsidR="00F02DFC" w:rsidRPr="00EE0BE2">
        <w:rPr>
          <w:rFonts w:ascii="Cambria" w:hAnsi="Cambria"/>
          <w:sz w:val="16"/>
          <w:szCs w:val="16"/>
        </w:rPr>
        <w:t xml:space="preserve"> </w:t>
      </w:r>
    </w:p>
  </w:footnote>
  <w:footnote w:id="19">
    <w:p w14:paraId="47E54014" w14:textId="73E308A4" w:rsidR="0081085D" w:rsidRDefault="0081085D" w:rsidP="00207AE2">
      <w:pPr>
        <w:pStyle w:val="FootnoteText"/>
        <w:ind w:firstLine="709"/>
        <w:jc w:val="both"/>
      </w:pPr>
      <w:r w:rsidRPr="00EE0BE2">
        <w:rPr>
          <w:rStyle w:val="FootnoteReference"/>
          <w:rFonts w:ascii="Cambria" w:hAnsi="Cambria"/>
          <w:sz w:val="16"/>
          <w:szCs w:val="16"/>
        </w:rPr>
        <w:footnoteRef/>
      </w:r>
      <w:r w:rsidRPr="00EE0BE2">
        <w:rPr>
          <w:rFonts w:ascii="Cambria" w:hAnsi="Cambria"/>
          <w:sz w:val="16"/>
          <w:szCs w:val="16"/>
        </w:rPr>
        <w:t xml:space="preserve"> </w:t>
      </w:r>
      <w:r w:rsidR="008D1F5B" w:rsidRPr="00EE0BE2">
        <w:rPr>
          <w:rFonts w:ascii="Cambria" w:hAnsi="Cambria"/>
          <w:sz w:val="16"/>
          <w:szCs w:val="16"/>
        </w:rPr>
        <w:t>In an open letter to the Attorney General, the organization stated: "</w:t>
      </w:r>
      <w:r w:rsidR="008D1F5B" w:rsidRPr="00207AE2">
        <w:rPr>
          <w:rFonts w:ascii="Cambria" w:hAnsi="Cambria"/>
          <w:i/>
          <w:iCs/>
          <w:sz w:val="16"/>
          <w:szCs w:val="16"/>
        </w:rPr>
        <w:t xml:space="preserve">the criminal proceedings against Mr. Bernardo Caal were accompanied by violent stigmatization campaigns that sought to discredit his work and promote a negative or violent vision [...] the investigation by the Public Prosecutor's Office lacks foundation and was built on the mere negative assumption of Bernardo as a community leader". </w:t>
      </w:r>
      <w:r w:rsidR="008D1F5B" w:rsidRPr="00207AE2">
        <w:rPr>
          <w:rFonts w:ascii="Cambria" w:hAnsi="Cambria"/>
          <w:i/>
          <w:iCs/>
          <w:sz w:val="16"/>
          <w:szCs w:val="16"/>
          <w:lang w:val="es-ES"/>
        </w:rPr>
        <w:t>"Guatemala: Carta Abierta a la Fiscal General sobre el caso de Bernardo Caal"</w:t>
      </w:r>
      <w:r w:rsidR="00207AE2">
        <w:rPr>
          <w:rFonts w:ascii="Cambria" w:hAnsi="Cambria"/>
          <w:i/>
          <w:iCs/>
          <w:sz w:val="16"/>
          <w:szCs w:val="16"/>
          <w:lang w:val="es-ES"/>
        </w:rPr>
        <w:t>.</w:t>
      </w:r>
      <w:r w:rsidR="008D1F5B" w:rsidRPr="00EE0BE2">
        <w:rPr>
          <w:rFonts w:ascii="Cambria" w:hAnsi="Cambria"/>
          <w:sz w:val="16"/>
          <w:szCs w:val="16"/>
          <w:lang w:val="es-ES"/>
        </w:rPr>
        <w:t xml:space="preserve"> </w:t>
      </w:r>
      <w:r w:rsidR="008D1F5B" w:rsidRPr="00EE5B73">
        <w:rPr>
          <w:rFonts w:ascii="Cambria" w:hAnsi="Cambria"/>
          <w:sz w:val="16"/>
          <w:szCs w:val="16"/>
        </w:rPr>
        <w:t xml:space="preserve">Amnesty International June 16, 2020. </w:t>
      </w:r>
      <w:r w:rsidR="008D1F5B" w:rsidRPr="00EE0BE2">
        <w:rPr>
          <w:rFonts w:ascii="Cambria" w:hAnsi="Cambria"/>
          <w:sz w:val="16"/>
          <w:szCs w:val="16"/>
        </w:rPr>
        <w:t>Found at https://www.amnesty.org/es/documents/amr34/2678/2020/es/, accessed August 7, 2023.</w:t>
      </w:r>
    </w:p>
  </w:footnote>
  <w:footnote w:id="20">
    <w:p w14:paraId="08710553" w14:textId="7E4AD924" w:rsidR="00D03D3C" w:rsidRPr="00365DBE" w:rsidRDefault="00D03D3C" w:rsidP="00207AE2">
      <w:pPr>
        <w:pStyle w:val="FootnoteText"/>
        <w:ind w:firstLine="709"/>
        <w:jc w:val="both"/>
        <w:rPr>
          <w:rFonts w:ascii="Cambria" w:hAnsi="Cambria"/>
          <w:sz w:val="16"/>
          <w:szCs w:val="16"/>
        </w:rPr>
      </w:pPr>
      <w:r w:rsidRPr="00365DBE">
        <w:rPr>
          <w:rStyle w:val="FootnoteReference"/>
          <w:rFonts w:ascii="Cambria" w:hAnsi="Cambria"/>
          <w:sz w:val="16"/>
          <w:szCs w:val="16"/>
        </w:rPr>
        <w:footnoteRef/>
      </w:r>
      <w:r w:rsidRPr="00365DBE">
        <w:rPr>
          <w:rFonts w:ascii="Cambria" w:hAnsi="Cambria"/>
          <w:sz w:val="16"/>
          <w:szCs w:val="16"/>
        </w:rPr>
        <w:t xml:space="preserve"> Found in the annex submitted by the State: Memorial dated March 16, 2016 addressed to the Mayor of the Municipality of Santa María Cahabón, and signed by members of the communities La Escopeta, Pulisibic, Tres Cruces, Sepoc, Secatalcab, Pequixul, Sacta, Sacta Sector 8, Chacalte, Seasir and Salac, which contains a series of proposals and petitions addressed to the Municipality of Santa María Cahabón, department of Alta Verapaz and related to the two hydroelectric plants, the series of agreements that the communities have reached with Oxec, and external persons who, according to the signatories, would be intervening and disturbing the peace. .</w:t>
      </w:r>
    </w:p>
  </w:footnote>
  <w:footnote w:id="21">
    <w:p w14:paraId="7010A20F" w14:textId="3B77D8B3" w:rsidR="000E0F41" w:rsidRDefault="000E0F41" w:rsidP="00207AE2">
      <w:pPr>
        <w:pStyle w:val="FootnoteText"/>
        <w:ind w:firstLine="709"/>
        <w:jc w:val="both"/>
      </w:pPr>
      <w:r w:rsidRPr="00365DBE">
        <w:rPr>
          <w:rStyle w:val="FootnoteReference"/>
          <w:rFonts w:ascii="Cambria" w:hAnsi="Cambria"/>
          <w:sz w:val="16"/>
          <w:szCs w:val="16"/>
        </w:rPr>
        <w:footnoteRef/>
      </w:r>
      <w:r w:rsidRPr="00365DBE">
        <w:rPr>
          <w:rFonts w:ascii="Cambria" w:hAnsi="Cambria"/>
          <w:sz w:val="16"/>
          <w:szCs w:val="16"/>
        </w:rPr>
        <w:t xml:space="preserve"> Found in the annex submitted by the State: Memorial of May 5, 2016 addressed to the mayor of the municipality of Santa María Cahabón, and signed by members of the communities La Escopeta, Pulisibic, Tres Cruces, Sepoc, Secatalcab, Pequixul, Sacta, Sacta Sector 8, Chacalte, Seasir and Salac, made as a follow-up to the petition of March 16, 2016.</w:t>
      </w:r>
    </w:p>
  </w:footnote>
  <w:footnote w:id="22">
    <w:p w14:paraId="7034FC70" w14:textId="7DFD8416" w:rsidR="000E0F41" w:rsidRPr="00B85C4D" w:rsidRDefault="000E0F41" w:rsidP="00207AE2">
      <w:pPr>
        <w:pStyle w:val="FootnoteText"/>
        <w:ind w:firstLine="709"/>
        <w:jc w:val="both"/>
        <w:rPr>
          <w:rFonts w:ascii="Cambria" w:hAnsi="Cambria"/>
          <w:sz w:val="16"/>
          <w:szCs w:val="16"/>
        </w:rPr>
      </w:pPr>
      <w:r w:rsidRPr="00B85C4D">
        <w:rPr>
          <w:rStyle w:val="FootnoteReference"/>
          <w:rFonts w:ascii="Cambria" w:hAnsi="Cambria"/>
          <w:sz w:val="16"/>
          <w:szCs w:val="16"/>
        </w:rPr>
        <w:footnoteRef/>
      </w:r>
      <w:r w:rsidRPr="00B85C4D">
        <w:rPr>
          <w:rFonts w:ascii="Cambria" w:hAnsi="Cambria"/>
          <w:sz w:val="16"/>
          <w:szCs w:val="16"/>
        </w:rPr>
        <w:t xml:space="preserve"> In accordance with Article 67 of Decree Number 1-86 of the Congress of the Republic, Law of Amparo, </w:t>
      </w:r>
      <w:r w:rsidR="00B85C4D">
        <w:rPr>
          <w:rFonts w:ascii="Cambria" w:hAnsi="Cambria"/>
          <w:sz w:val="16"/>
          <w:szCs w:val="16"/>
        </w:rPr>
        <w:t>Habeas Corpus</w:t>
      </w:r>
      <w:r w:rsidRPr="00B85C4D">
        <w:rPr>
          <w:rFonts w:ascii="Cambria" w:hAnsi="Cambria"/>
          <w:sz w:val="16"/>
          <w:szCs w:val="16"/>
        </w:rPr>
        <w:t xml:space="preserve"> and Constitutionality, which establishes: </w:t>
      </w:r>
      <w:r w:rsidRPr="00207AE2">
        <w:rPr>
          <w:rFonts w:ascii="Cambria" w:hAnsi="Cambria"/>
          <w:i/>
          <w:iCs/>
          <w:sz w:val="16"/>
          <w:szCs w:val="16"/>
        </w:rPr>
        <w:t>"Content of the resolution. The Constitutional Court in its resolution shall confirm, revoke or modify what was resolved by the first degree court, and in case of revocation or modification, it shall make the pronouncement that corresponds in law".</w:t>
      </w:r>
    </w:p>
  </w:footnote>
  <w:footnote w:id="23">
    <w:p w14:paraId="7161A3D5" w14:textId="4ED6C02C" w:rsidR="00847E9E" w:rsidRPr="00B85C4D" w:rsidRDefault="00847E9E" w:rsidP="00207AE2">
      <w:pPr>
        <w:pStyle w:val="FootnoteText"/>
        <w:ind w:firstLine="709"/>
        <w:jc w:val="both"/>
        <w:rPr>
          <w:rFonts w:ascii="Cambria" w:hAnsi="Cambria"/>
          <w:sz w:val="16"/>
          <w:szCs w:val="16"/>
        </w:rPr>
      </w:pPr>
      <w:r w:rsidRPr="00B85C4D">
        <w:rPr>
          <w:rStyle w:val="FootnoteReference"/>
          <w:rFonts w:ascii="Cambria" w:hAnsi="Cambria"/>
          <w:sz w:val="16"/>
          <w:szCs w:val="16"/>
        </w:rPr>
        <w:footnoteRef/>
      </w:r>
      <w:r w:rsidRPr="00B85C4D">
        <w:rPr>
          <w:rFonts w:ascii="Cambria" w:hAnsi="Cambria"/>
          <w:sz w:val="16"/>
          <w:szCs w:val="16"/>
        </w:rPr>
        <w:t xml:space="preserve"> IACHR, Report N. 92/03 (Inadmissibility). Petition 0453/01, Elías Santana and others, Venezuela, October 23, 2003, par. 45 and subsequent.</w:t>
      </w:r>
    </w:p>
  </w:footnote>
  <w:footnote w:id="24">
    <w:p w14:paraId="44EB5565" w14:textId="058A424B" w:rsidR="00EA07D9" w:rsidRDefault="00EA07D9" w:rsidP="00207AE2">
      <w:pPr>
        <w:pStyle w:val="FootnoteText"/>
        <w:ind w:firstLine="709"/>
        <w:jc w:val="both"/>
      </w:pPr>
      <w:r w:rsidRPr="00B85C4D">
        <w:rPr>
          <w:rStyle w:val="FootnoteReference"/>
          <w:rFonts w:ascii="Cambria" w:hAnsi="Cambria"/>
          <w:sz w:val="16"/>
          <w:szCs w:val="16"/>
        </w:rPr>
        <w:footnoteRef/>
      </w:r>
      <w:r w:rsidRPr="00B85C4D">
        <w:rPr>
          <w:rFonts w:ascii="Cambria" w:hAnsi="Cambria"/>
          <w:sz w:val="16"/>
          <w:szCs w:val="16"/>
        </w:rPr>
        <w:t xml:space="preserve"> There are seven documents </w:t>
      </w:r>
      <w:r w:rsidR="00C002B9" w:rsidRPr="00B85C4D">
        <w:rPr>
          <w:rFonts w:ascii="Cambria" w:hAnsi="Cambria"/>
          <w:sz w:val="16"/>
          <w:szCs w:val="16"/>
        </w:rPr>
        <w:t>are illegible.</w:t>
      </w:r>
      <w:r w:rsidR="00C002B9">
        <w:t xml:space="preserve"> </w:t>
      </w:r>
    </w:p>
  </w:footnote>
  <w:footnote w:id="25">
    <w:p w14:paraId="76E8F29C" w14:textId="13296C0A" w:rsidR="00C002B9" w:rsidRPr="00207AE2" w:rsidRDefault="00C002B9" w:rsidP="00207AE2">
      <w:pPr>
        <w:pStyle w:val="FootnoteText"/>
        <w:ind w:firstLine="709"/>
        <w:jc w:val="both"/>
        <w:rPr>
          <w:rFonts w:ascii="Cambria" w:hAnsi="Cambria"/>
          <w:color w:val="auto"/>
          <w:sz w:val="16"/>
          <w:szCs w:val="16"/>
        </w:rPr>
      </w:pPr>
      <w:r w:rsidRPr="00B85C4D">
        <w:rPr>
          <w:rStyle w:val="FootnoteReference"/>
          <w:rFonts w:ascii="Cambria" w:hAnsi="Cambria"/>
          <w:sz w:val="16"/>
          <w:szCs w:val="16"/>
        </w:rPr>
        <w:footnoteRef/>
      </w:r>
      <w:r w:rsidRPr="00B85C4D">
        <w:rPr>
          <w:rFonts w:ascii="Cambria" w:hAnsi="Cambria"/>
          <w:sz w:val="16"/>
          <w:szCs w:val="16"/>
        </w:rPr>
        <w:t xml:space="preserve"> To illustrate this the following reports of the IACHR can be consulted: Report No. 117/19, Petition 833-11, Admissibility. </w:t>
      </w:r>
      <w:r w:rsidRPr="00B85C4D">
        <w:rPr>
          <w:rFonts w:ascii="Cambria" w:hAnsi="Cambria" w:cs="Tahoma"/>
          <w:color w:val="222222"/>
          <w:sz w:val="16"/>
          <w:szCs w:val="16"/>
          <w:shd w:val="clear" w:color="auto" w:fill="FFFFFF"/>
        </w:rPr>
        <w:t xml:space="preserve">Freed workers of the Boa-Fé Caru plantation. Brazil, June 7, 2019, pars. </w:t>
      </w:r>
      <w:r w:rsidRPr="00AE0BDB">
        <w:rPr>
          <w:rFonts w:ascii="Cambria" w:hAnsi="Cambria" w:cs="Tahoma"/>
          <w:color w:val="222222"/>
          <w:sz w:val="16"/>
          <w:szCs w:val="16"/>
          <w:shd w:val="clear" w:color="auto" w:fill="FFFFFF"/>
          <w:lang w:val="pt-BR"/>
        </w:rPr>
        <w:t xml:space="preserve">11, 12; Report N. 4/19, Petition 673-11. Admissibility. Fernando Alcánatar Figueiredo and Laci Marinho de Araújo. Brasil. January 3, 2019, aprs. 19 and subsequent; </w:t>
      </w:r>
      <w:r w:rsidRPr="00AE0BDB">
        <w:rPr>
          <w:rFonts w:ascii="Cambria" w:hAnsi="Cambria"/>
          <w:color w:val="auto"/>
          <w:sz w:val="16"/>
          <w:szCs w:val="16"/>
          <w:lang w:val="pt-BR"/>
        </w:rPr>
        <w:t xml:space="preserve">Report No. 164/17. Admissibility. Santiago Adolfo Villegas Delgado. Venezuela. November 30, 2017, par. 12; Report No. 57/17. Petition 406-04. Admissibility. Washington David Espino Muñoz. </w:t>
      </w:r>
      <w:r w:rsidRPr="00873AD6">
        <w:rPr>
          <w:rFonts w:ascii="Cambria" w:hAnsi="Cambria"/>
          <w:color w:val="auto"/>
          <w:sz w:val="16"/>
          <w:szCs w:val="16"/>
        </w:rPr>
        <w:t xml:space="preserve">Dominican Republic. June 5, 2017, pars. 26, 27; Report No. 168/17. Admissibility. Miguel Ángel Morales Morales. Peru. December 1, 2017,  pars. 15-16; Report No. 122/17. Petition 156-08. Admissibility. Williams Mariano Paría Tapia. Peru. September 7, 2017, pars. 12 and subsequent; Report No. 167/17. Admissibility. Alberto Patishtán Gómez. Mexico. December 1, 2017 pars. 13 and subsequent; Report No. 114/19. </w:t>
      </w:r>
      <w:r w:rsidRPr="00AE0BDB">
        <w:rPr>
          <w:rFonts w:ascii="Cambria" w:hAnsi="Cambria"/>
          <w:color w:val="auto"/>
          <w:sz w:val="16"/>
          <w:szCs w:val="16"/>
        </w:rPr>
        <w:t xml:space="preserve">Petition 1403-09. Admissibility. Carlos Pizarro Leongómez, María José Pizarro Rodríguez and next of kin. Colombia. </w:t>
      </w:r>
      <w:r w:rsidRPr="00207AE2">
        <w:rPr>
          <w:rFonts w:ascii="Cambria" w:hAnsi="Cambria"/>
          <w:color w:val="auto"/>
          <w:sz w:val="16"/>
          <w:szCs w:val="16"/>
        </w:rPr>
        <w:t xml:space="preserve">June 7, 2019 par. 20. </w:t>
      </w:r>
    </w:p>
  </w:footnote>
  <w:footnote w:id="26">
    <w:p w14:paraId="7C139AD9" w14:textId="3143CD69" w:rsidR="007614AC" w:rsidRDefault="007614AC" w:rsidP="00207AE2">
      <w:pPr>
        <w:pStyle w:val="FootnoteText"/>
        <w:ind w:firstLine="709"/>
        <w:jc w:val="both"/>
      </w:pPr>
      <w:r w:rsidRPr="00B85C4D">
        <w:rPr>
          <w:rStyle w:val="FootnoteReference"/>
          <w:rFonts w:ascii="Cambria" w:hAnsi="Cambria"/>
          <w:sz w:val="16"/>
          <w:szCs w:val="16"/>
        </w:rPr>
        <w:footnoteRef/>
      </w:r>
      <w:r w:rsidRPr="00B85C4D">
        <w:rPr>
          <w:rFonts w:ascii="Cambria" w:hAnsi="Cambria"/>
          <w:sz w:val="16"/>
          <w:szCs w:val="16"/>
        </w:rPr>
        <w:t xml:space="preserve"> The petitioner alleges violations of: right to self-determination, collective rights of indigenous peoples, right to belong to indigenous peoples, right to juridical personality, right to identity and cultural integrity - right to indigenous spirituality, to health, to the protection of a healthy environment, to association, assembly, freedom of expression and thought - right to autonomy or self-government; right to lands, territories and resources; right to development; right to peace, security and protection, and the right to effective and adequate remedies.</w:t>
      </w:r>
    </w:p>
  </w:footnote>
  <w:footnote w:id="27">
    <w:p w14:paraId="6D8B9B65" w14:textId="46DD73D2" w:rsidR="00C27FB5" w:rsidRPr="00B85C4D" w:rsidRDefault="00C27FB5" w:rsidP="00207AE2">
      <w:pPr>
        <w:pStyle w:val="FootnoteText"/>
        <w:ind w:firstLine="709"/>
        <w:jc w:val="both"/>
        <w:rPr>
          <w:rFonts w:ascii="Cambria" w:hAnsi="Cambria"/>
          <w:color w:val="000000" w:themeColor="text1"/>
          <w:sz w:val="16"/>
          <w:szCs w:val="16"/>
        </w:rPr>
      </w:pPr>
      <w:r w:rsidRPr="00B85C4D">
        <w:rPr>
          <w:rStyle w:val="FootnoteReference"/>
          <w:rFonts w:ascii="Cambria" w:hAnsi="Cambria"/>
          <w:color w:val="000000" w:themeColor="text1"/>
          <w:sz w:val="16"/>
          <w:szCs w:val="16"/>
        </w:rPr>
        <w:footnoteRef/>
      </w:r>
      <w:r w:rsidRPr="00B85C4D">
        <w:rPr>
          <w:rFonts w:ascii="Cambria" w:hAnsi="Cambria"/>
          <w:color w:val="000000" w:themeColor="text1"/>
          <w:sz w:val="16"/>
          <w:szCs w:val="16"/>
        </w:rPr>
        <w:t xml:space="preserve"> IACHR. Report N. 143/18, Petition 940-08. Admissibility. </w:t>
      </w:r>
      <w:r w:rsidRPr="00873AD6">
        <w:rPr>
          <w:rFonts w:ascii="Cambria" w:hAnsi="Cambria"/>
          <w:color w:val="000000" w:themeColor="text1"/>
          <w:sz w:val="16"/>
          <w:szCs w:val="16"/>
        </w:rPr>
        <w:t xml:space="preserve">Luis Américo Gonzales. Peru. </w:t>
      </w:r>
      <w:r w:rsidRPr="00B85C4D">
        <w:rPr>
          <w:rFonts w:ascii="Cambria" w:hAnsi="Cambria"/>
          <w:color w:val="000000" w:themeColor="text1"/>
          <w:sz w:val="16"/>
          <w:szCs w:val="16"/>
        </w:rPr>
        <w:t>December 4, 2018, par. 12 and IACHR, Report N. 293/20, Petition 434-09. Admissibility. Gabriel Ulises Valdez Larqué and next of kin. Mexico, October 13, 2020, par. 22.</w:t>
      </w:r>
    </w:p>
  </w:footnote>
  <w:footnote w:id="28">
    <w:p w14:paraId="2479081D" w14:textId="4BD57103" w:rsidR="00F90C45" w:rsidRPr="00B85C4D" w:rsidRDefault="00F90C45" w:rsidP="00207AE2">
      <w:pPr>
        <w:pStyle w:val="FootnoteText"/>
        <w:ind w:firstLine="709"/>
        <w:jc w:val="both"/>
        <w:rPr>
          <w:rFonts w:ascii="Cambria" w:hAnsi="Cambria"/>
          <w:color w:val="000000" w:themeColor="text1"/>
          <w:sz w:val="16"/>
          <w:szCs w:val="16"/>
        </w:rPr>
      </w:pPr>
      <w:r w:rsidRPr="00B85C4D">
        <w:rPr>
          <w:rStyle w:val="FootnoteReference"/>
          <w:rFonts w:ascii="Cambria" w:hAnsi="Cambria"/>
          <w:color w:val="000000" w:themeColor="text1"/>
          <w:sz w:val="16"/>
          <w:szCs w:val="16"/>
        </w:rPr>
        <w:footnoteRef/>
      </w:r>
      <w:r w:rsidRPr="00B85C4D">
        <w:rPr>
          <w:rFonts w:ascii="Cambria" w:hAnsi="Cambria"/>
          <w:color w:val="000000" w:themeColor="text1"/>
          <w:sz w:val="16"/>
          <w:szCs w:val="16"/>
        </w:rPr>
        <w:t xml:space="preserve"> IACHR, Report </w:t>
      </w:r>
      <w:r w:rsidR="00B85C4D">
        <w:rPr>
          <w:rFonts w:ascii="Cambria" w:hAnsi="Cambria"/>
          <w:color w:val="000000" w:themeColor="text1"/>
          <w:sz w:val="16"/>
          <w:szCs w:val="16"/>
        </w:rPr>
        <w:t>N</w:t>
      </w:r>
      <w:r w:rsidRPr="00B85C4D">
        <w:rPr>
          <w:rFonts w:ascii="Cambria" w:hAnsi="Cambria"/>
          <w:color w:val="000000" w:themeColor="text1"/>
          <w:sz w:val="16"/>
          <w:szCs w:val="16"/>
        </w:rPr>
        <w:t xml:space="preserve"> 47/23. Petition 1880-11. Admissibility. Members of the Mapuche community. Chile. April 18, 2023, par. 14.</w:t>
      </w:r>
    </w:p>
  </w:footnote>
  <w:footnote w:id="29">
    <w:p w14:paraId="5C0FFFF0" w14:textId="5EF9E848" w:rsidR="00F90C45" w:rsidRPr="00E61889" w:rsidRDefault="00F90C45" w:rsidP="00207AE2">
      <w:pPr>
        <w:pStyle w:val="FootnoteText"/>
        <w:ind w:firstLine="709"/>
        <w:jc w:val="both"/>
      </w:pPr>
      <w:r w:rsidRPr="00B85C4D">
        <w:rPr>
          <w:rStyle w:val="FootnoteReference"/>
          <w:rFonts w:ascii="Cambria" w:hAnsi="Cambria"/>
          <w:color w:val="000000" w:themeColor="text1"/>
          <w:sz w:val="16"/>
          <w:szCs w:val="16"/>
        </w:rPr>
        <w:footnoteRef/>
      </w:r>
      <w:r w:rsidRPr="00B85C4D">
        <w:rPr>
          <w:rFonts w:ascii="Cambria" w:hAnsi="Cambria"/>
          <w:color w:val="000000" w:themeColor="text1"/>
          <w:sz w:val="16"/>
          <w:szCs w:val="16"/>
        </w:rPr>
        <w:t xml:space="preserve"> </w:t>
      </w:r>
      <w:r w:rsidR="00B85C4D" w:rsidRPr="00B85C4D">
        <w:rPr>
          <w:rFonts w:ascii="Cambria" w:hAnsi="Cambria" w:cs="Open Sans"/>
          <w:color w:val="000000" w:themeColor="text1"/>
          <w:sz w:val="16"/>
          <w:szCs w:val="16"/>
          <w:shd w:val="clear" w:color="auto" w:fill="FFFFFF"/>
        </w:rPr>
        <w:t xml:space="preserve">I/A Court H.R., Case of Huilca Tecse v. Peru. Merits, Reparations and Costs. Judgment of March 3, 2005. </w:t>
      </w:r>
      <w:r w:rsidR="00B85C4D" w:rsidRPr="00E61889">
        <w:rPr>
          <w:rFonts w:ascii="Cambria" w:hAnsi="Cambria" w:cs="Open Sans"/>
          <w:color w:val="000000" w:themeColor="text1"/>
          <w:sz w:val="16"/>
          <w:szCs w:val="16"/>
          <w:shd w:val="clear" w:color="auto" w:fill="FFFFFF"/>
        </w:rPr>
        <w:t>Series C No. 121.</w:t>
      </w:r>
      <w:r w:rsidRPr="00E61889">
        <w:rPr>
          <w:rFonts w:ascii="Cambria" w:hAnsi="Cambria" w:cs="Open Sans"/>
          <w:color w:val="000000" w:themeColor="text1"/>
          <w:sz w:val="16"/>
          <w:szCs w:val="16"/>
          <w:shd w:val="clear" w:color="auto" w:fill="FFFFFF"/>
        </w:rPr>
        <w:t>, par. 70.</w:t>
      </w:r>
      <w:r w:rsidRPr="00E61889">
        <w:rPr>
          <w:rFonts w:ascii="Open Sans" w:hAnsi="Open Sans" w:cs="Open Sans"/>
          <w:color w:val="000000" w:themeColor="text1"/>
          <w:shd w:val="clear" w:color="auto" w:fill="FFFFFF"/>
        </w:rPr>
        <w:t xml:space="preserve"> </w:t>
      </w:r>
    </w:p>
  </w:footnote>
  <w:footnote w:id="30">
    <w:p w14:paraId="107A1EB6" w14:textId="4B7F447F" w:rsidR="00A10BF2" w:rsidRPr="00B85C4D" w:rsidRDefault="00A10BF2" w:rsidP="00207AE2">
      <w:pPr>
        <w:pStyle w:val="FootnoteText"/>
        <w:ind w:firstLine="709"/>
        <w:jc w:val="both"/>
        <w:rPr>
          <w:rFonts w:ascii="Cambria" w:hAnsi="Cambria"/>
          <w:color w:val="000000" w:themeColor="text1"/>
          <w:sz w:val="16"/>
          <w:szCs w:val="16"/>
        </w:rPr>
      </w:pPr>
      <w:r w:rsidRPr="00B85C4D">
        <w:rPr>
          <w:rStyle w:val="FootnoteReference"/>
          <w:rFonts w:ascii="Cambria" w:hAnsi="Cambria"/>
          <w:color w:val="000000" w:themeColor="text1"/>
          <w:sz w:val="16"/>
          <w:szCs w:val="16"/>
        </w:rPr>
        <w:footnoteRef/>
      </w:r>
      <w:r w:rsidRPr="00B85C4D">
        <w:rPr>
          <w:rFonts w:ascii="Cambria" w:hAnsi="Cambria"/>
          <w:color w:val="000000" w:themeColor="text1"/>
          <w:sz w:val="16"/>
          <w:szCs w:val="16"/>
        </w:rPr>
        <w:t xml:space="preserve"> </w:t>
      </w:r>
      <w:r w:rsidR="00E61889" w:rsidRPr="00E61889">
        <w:rPr>
          <w:rFonts w:ascii="Cambria" w:hAnsi="Cambria" w:cs="Open Sans"/>
          <w:color w:val="000000" w:themeColor="text1"/>
          <w:sz w:val="16"/>
          <w:szCs w:val="16"/>
          <w:shd w:val="clear" w:color="auto" w:fill="FFFFFF"/>
        </w:rPr>
        <w:t xml:space="preserve">I/A Court H.R., Case of Habbal et al. v. Argentina. Preliminary Objections and Merits. Judgment of August 31, 2022. </w:t>
      </w:r>
      <w:r w:rsidR="00E61889" w:rsidRPr="00873AD6">
        <w:rPr>
          <w:rFonts w:ascii="Cambria" w:hAnsi="Cambria" w:cs="Open Sans"/>
          <w:color w:val="000000" w:themeColor="text1"/>
          <w:sz w:val="16"/>
          <w:szCs w:val="16"/>
          <w:shd w:val="clear" w:color="auto" w:fill="FFFFFF"/>
          <w:lang w:val="es-ES"/>
        </w:rPr>
        <w:t xml:space="preserve">Series C No. 463. </w:t>
      </w:r>
      <w:r w:rsidRPr="00E61889">
        <w:rPr>
          <w:rFonts w:ascii="Cambria" w:hAnsi="Cambria" w:cs="Open Sans"/>
          <w:color w:val="000000" w:themeColor="text1"/>
          <w:sz w:val="16"/>
          <w:szCs w:val="16"/>
          <w:shd w:val="clear" w:color="auto" w:fill="FFFFFF"/>
          <w:lang w:val="es-ES"/>
        </w:rPr>
        <w:t xml:space="preserve">Par. 23; </w:t>
      </w:r>
      <w:r w:rsidR="00E61889" w:rsidRPr="00E61889">
        <w:rPr>
          <w:rFonts w:ascii="Cambria" w:hAnsi="Cambria" w:cs="Open Sans"/>
          <w:color w:val="000000" w:themeColor="text1"/>
          <w:sz w:val="16"/>
          <w:szCs w:val="16"/>
          <w:shd w:val="clear" w:color="auto" w:fill="FFFFFF"/>
          <w:lang w:val="es-ES"/>
        </w:rPr>
        <w:t xml:space="preserve">I/A Court H.R., Case of Vereda La Esperanza v. Colombia. </w:t>
      </w:r>
      <w:r w:rsidR="00E61889" w:rsidRPr="00E61889">
        <w:rPr>
          <w:rFonts w:ascii="Cambria" w:hAnsi="Cambria" w:cs="Open Sans"/>
          <w:color w:val="000000" w:themeColor="text1"/>
          <w:sz w:val="16"/>
          <w:szCs w:val="16"/>
          <w:shd w:val="clear" w:color="auto" w:fill="FFFFFF"/>
        </w:rPr>
        <w:t>Preliminary Objections, Merits, Reparations and Costs. Judgment of August 31, 2017. Series C No. 341.</w:t>
      </w:r>
      <w:r w:rsidRPr="00B85C4D">
        <w:rPr>
          <w:rFonts w:ascii="Cambria" w:hAnsi="Cambria" w:cs="Open Sans"/>
          <w:color w:val="000000" w:themeColor="text1"/>
          <w:sz w:val="16"/>
          <w:szCs w:val="16"/>
          <w:shd w:val="clear" w:color="auto" w:fill="FFFFFF"/>
        </w:rPr>
        <w:t>, par. 32. This criteria is established in article 35 of the Rules of Procedure of the Inter American Court of Human Rights.</w:t>
      </w:r>
    </w:p>
  </w:footnote>
  <w:footnote w:id="31">
    <w:p w14:paraId="696D2C4A" w14:textId="5B17DA3E" w:rsidR="00A10BF2" w:rsidRPr="00A10BF2" w:rsidRDefault="00A10BF2" w:rsidP="00207AE2">
      <w:pPr>
        <w:pStyle w:val="FootnoteText"/>
        <w:ind w:firstLine="709"/>
        <w:jc w:val="both"/>
      </w:pPr>
      <w:r w:rsidRPr="00B85C4D">
        <w:rPr>
          <w:rStyle w:val="FootnoteReference"/>
          <w:rFonts w:ascii="Cambria" w:hAnsi="Cambria"/>
          <w:color w:val="000000" w:themeColor="text1"/>
          <w:sz w:val="16"/>
          <w:szCs w:val="16"/>
        </w:rPr>
        <w:footnoteRef/>
      </w:r>
      <w:r w:rsidRPr="00B85C4D">
        <w:rPr>
          <w:rFonts w:ascii="Cambria" w:hAnsi="Cambria"/>
          <w:color w:val="000000" w:themeColor="text1"/>
          <w:sz w:val="16"/>
          <w:szCs w:val="16"/>
        </w:rPr>
        <w:t xml:space="preserve"> IACHR, Report N. 29/06, Petition 906-03. Admissibility. Garifuna Community Triunfo </w:t>
      </w:r>
      <w:r w:rsidR="00E61889">
        <w:rPr>
          <w:rFonts w:ascii="Cambria" w:hAnsi="Cambria"/>
          <w:color w:val="000000" w:themeColor="text1"/>
          <w:sz w:val="16"/>
          <w:szCs w:val="16"/>
        </w:rPr>
        <w:t>d</w:t>
      </w:r>
      <w:r w:rsidRPr="00B85C4D">
        <w:rPr>
          <w:rFonts w:ascii="Cambria" w:hAnsi="Cambria"/>
          <w:color w:val="000000" w:themeColor="text1"/>
          <w:sz w:val="16"/>
          <w:szCs w:val="16"/>
        </w:rPr>
        <w:t>e la Cruz and its members. Honduras, March 4, 2006, par.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36AFA5BD" w:rsidR="00A50FCF" w:rsidRDefault="00DD1ECD" w:rsidP="00A50FCF">
    <w:pPr>
      <w:pStyle w:val="Header"/>
      <w:tabs>
        <w:tab w:val="clear" w:pos="4320"/>
        <w:tab w:val="clear" w:pos="8640"/>
      </w:tabs>
      <w:jc w:val="center"/>
      <w:rPr>
        <w:sz w:val="22"/>
        <w:szCs w:val="22"/>
      </w:rPr>
    </w:pPr>
    <w:r>
      <w:rPr>
        <w:noProof/>
        <w:sz w:val="22"/>
        <w:szCs w:val="22"/>
      </w:rPr>
      <w:drawing>
        <wp:inline distT="0" distB="0" distL="0" distR="0" wp14:anchorId="0B761C9B" wp14:editId="4D340AB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9508AF" w:rsidP="00A50FCF">
    <w:pPr>
      <w:pStyle w:val="Header"/>
      <w:tabs>
        <w:tab w:val="clear" w:pos="4320"/>
        <w:tab w:val="clear" w:pos="8640"/>
      </w:tabs>
      <w:jc w:val="center"/>
      <w:rPr>
        <w:sz w:val="22"/>
        <w:szCs w:val="22"/>
      </w:rPr>
    </w:pPr>
    <w:r>
      <w:rPr>
        <w:noProof/>
        <w:sz w:val="22"/>
        <w:szCs w:val="22"/>
        <w:bdr w:val="nil"/>
      </w:rPr>
      <w:pict w14:anchorId="1E44560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00364631">
    <w:abstractNumId w:val="3"/>
  </w:num>
  <w:num w:numId="2" w16cid:durableId="182863571">
    <w:abstractNumId w:val="6"/>
  </w:num>
  <w:num w:numId="3" w16cid:durableId="1906649053">
    <w:abstractNumId w:val="57"/>
  </w:num>
  <w:num w:numId="4" w16cid:durableId="390428566">
    <w:abstractNumId w:val="22"/>
  </w:num>
  <w:num w:numId="5" w16cid:durableId="374739728">
    <w:abstractNumId w:val="49"/>
  </w:num>
  <w:num w:numId="6" w16cid:durableId="601760133">
    <w:abstractNumId w:val="27"/>
  </w:num>
  <w:num w:numId="7" w16cid:durableId="217978622">
    <w:abstractNumId w:val="7"/>
  </w:num>
  <w:num w:numId="8" w16cid:durableId="140275623">
    <w:abstractNumId w:val="18"/>
  </w:num>
  <w:num w:numId="9" w16cid:durableId="100610116">
    <w:abstractNumId w:val="39"/>
  </w:num>
  <w:num w:numId="10" w16cid:durableId="903640282">
    <w:abstractNumId w:val="43"/>
  </w:num>
  <w:num w:numId="11" w16cid:durableId="801197744">
    <w:abstractNumId w:val="0"/>
  </w:num>
  <w:num w:numId="12" w16cid:durableId="1460031553">
    <w:abstractNumId w:val="38"/>
  </w:num>
  <w:num w:numId="13" w16cid:durableId="805977301">
    <w:abstractNumId w:val="46"/>
  </w:num>
  <w:num w:numId="14" w16cid:durableId="1402674578">
    <w:abstractNumId w:val="1"/>
  </w:num>
  <w:num w:numId="15" w16cid:durableId="1853445496">
    <w:abstractNumId w:val="2"/>
  </w:num>
  <w:num w:numId="16" w16cid:durableId="573586355">
    <w:abstractNumId w:val="8"/>
  </w:num>
  <w:num w:numId="17" w16cid:durableId="740639514">
    <w:abstractNumId w:val="9"/>
  </w:num>
  <w:num w:numId="18" w16cid:durableId="1338966114">
    <w:abstractNumId w:val="10"/>
  </w:num>
  <w:num w:numId="19" w16cid:durableId="432366397">
    <w:abstractNumId w:val="12"/>
  </w:num>
  <w:num w:numId="20" w16cid:durableId="443967452">
    <w:abstractNumId w:val="13"/>
  </w:num>
  <w:num w:numId="21" w16cid:durableId="1050569900">
    <w:abstractNumId w:val="14"/>
  </w:num>
  <w:num w:numId="22" w16cid:durableId="2018265503">
    <w:abstractNumId w:val="15"/>
  </w:num>
  <w:num w:numId="23" w16cid:durableId="1796094493">
    <w:abstractNumId w:val="16"/>
  </w:num>
  <w:num w:numId="24" w16cid:durableId="1845246968">
    <w:abstractNumId w:val="17"/>
  </w:num>
  <w:num w:numId="25" w16cid:durableId="538469293">
    <w:abstractNumId w:val="19"/>
  </w:num>
  <w:num w:numId="26" w16cid:durableId="113136104">
    <w:abstractNumId w:val="20"/>
  </w:num>
  <w:num w:numId="27" w16cid:durableId="718358081">
    <w:abstractNumId w:val="23"/>
  </w:num>
  <w:num w:numId="28" w16cid:durableId="494566556">
    <w:abstractNumId w:val="24"/>
  </w:num>
  <w:num w:numId="29" w16cid:durableId="152845096">
    <w:abstractNumId w:val="25"/>
  </w:num>
  <w:num w:numId="30" w16cid:durableId="324166884">
    <w:abstractNumId w:val="26"/>
  </w:num>
  <w:num w:numId="31" w16cid:durableId="1009063936">
    <w:abstractNumId w:val="28"/>
  </w:num>
  <w:num w:numId="32" w16cid:durableId="444228799">
    <w:abstractNumId w:val="30"/>
  </w:num>
  <w:num w:numId="33" w16cid:durableId="265504489">
    <w:abstractNumId w:val="32"/>
  </w:num>
  <w:num w:numId="34" w16cid:durableId="424157964">
    <w:abstractNumId w:val="33"/>
  </w:num>
  <w:num w:numId="35" w16cid:durableId="720448926">
    <w:abstractNumId w:val="34"/>
  </w:num>
  <w:num w:numId="36" w16cid:durableId="637103636">
    <w:abstractNumId w:val="35"/>
  </w:num>
  <w:num w:numId="37" w16cid:durableId="342972761">
    <w:abstractNumId w:val="36"/>
  </w:num>
  <w:num w:numId="38" w16cid:durableId="1314992912">
    <w:abstractNumId w:val="37"/>
  </w:num>
  <w:num w:numId="39" w16cid:durableId="1158812655">
    <w:abstractNumId w:val="40"/>
  </w:num>
  <w:num w:numId="40" w16cid:durableId="526141123">
    <w:abstractNumId w:val="41"/>
  </w:num>
  <w:num w:numId="41" w16cid:durableId="82772589">
    <w:abstractNumId w:val="48"/>
  </w:num>
  <w:num w:numId="42" w16cid:durableId="87502127">
    <w:abstractNumId w:val="50"/>
  </w:num>
  <w:num w:numId="43" w16cid:durableId="377508046">
    <w:abstractNumId w:val="51"/>
  </w:num>
  <w:num w:numId="44" w16cid:durableId="863131502">
    <w:abstractNumId w:val="54"/>
  </w:num>
  <w:num w:numId="45" w16cid:durableId="2068988774">
    <w:abstractNumId w:val="56"/>
  </w:num>
  <w:num w:numId="46" w16cid:durableId="1978879044">
    <w:abstractNumId w:val="58"/>
  </w:num>
  <w:num w:numId="47" w16cid:durableId="1422531264">
    <w:abstractNumId w:val="59"/>
  </w:num>
  <w:num w:numId="48" w16cid:durableId="203949474">
    <w:abstractNumId w:val="60"/>
  </w:num>
  <w:num w:numId="49" w16cid:durableId="1541817795">
    <w:abstractNumId w:val="61"/>
  </w:num>
  <w:num w:numId="50" w16cid:durableId="515726803">
    <w:abstractNumId w:val="62"/>
  </w:num>
  <w:num w:numId="51" w16cid:durableId="1511331136">
    <w:abstractNumId w:val="21"/>
  </w:num>
  <w:num w:numId="52" w16cid:durableId="524370063">
    <w:abstractNumId w:val="42"/>
  </w:num>
  <w:num w:numId="53" w16cid:durableId="473522494">
    <w:abstractNumId w:val="52"/>
  </w:num>
  <w:num w:numId="54" w16cid:durableId="268197839">
    <w:abstractNumId w:val="47"/>
  </w:num>
  <w:num w:numId="55" w16cid:durableId="839658737">
    <w:abstractNumId w:val="5"/>
  </w:num>
  <w:num w:numId="56" w16cid:durableId="1590188181">
    <w:abstractNumId w:val="55"/>
  </w:num>
  <w:num w:numId="57" w16cid:durableId="1988584806">
    <w:abstractNumId w:val="29"/>
  </w:num>
  <w:num w:numId="58" w16cid:durableId="1499612870">
    <w:abstractNumId w:val="4"/>
  </w:num>
  <w:num w:numId="59" w16cid:durableId="1018894281">
    <w:abstractNumId w:val="45"/>
  </w:num>
  <w:num w:numId="60" w16cid:durableId="852112456">
    <w:abstractNumId w:val="11"/>
  </w:num>
  <w:num w:numId="61" w16cid:durableId="1098676669">
    <w:abstractNumId w:val="31"/>
  </w:num>
  <w:num w:numId="62" w16cid:durableId="40710943">
    <w:abstractNumId w:val="53"/>
  </w:num>
  <w:num w:numId="63" w16cid:durableId="289291499">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7C"/>
    <w:rsid w:val="00006E1F"/>
    <w:rsid w:val="000070D7"/>
    <w:rsid w:val="0000787E"/>
    <w:rsid w:val="00011F09"/>
    <w:rsid w:val="0001666D"/>
    <w:rsid w:val="0001788C"/>
    <w:rsid w:val="000208EC"/>
    <w:rsid w:val="000216A2"/>
    <w:rsid w:val="00023543"/>
    <w:rsid w:val="00024832"/>
    <w:rsid w:val="000251FE"/>
    <w:rsid w:val="00025595"/>
    <w:rsid w:val="000260EE"/>
    <w:rsid w:val="0003081B"/>
    <w:rsid w:val="000337EF"/>
    <w:rsid w:val="00033945"/>
    <w:rsid w:val="0003414B"/>
    <w:rsid w:val="0003675C"/>
    <w:rsid w:val="00036AA7"/>
    <w:rsid w:val="0003706C"/>
    <w:rsid w:val="000409C2"/>
    <w:rsid w:val="00040B8C"/>
    <w:rsid w:val="00040C3A"/>
    <w:rsid w:val="000419AD"/>
    <w:rsid w:val="00041EBC"/>
    <w:rsid w:val="000420AF"/>
    <w:rsid w:val="00042E04"/>
    <w:rsid w:val="000433C9"/>
    <w:rsid w:val="00043E85"/>
    <w:rsid w:val="0004501B"/>
    <w:rsid w:val="00045E11"/>
    <w:rsid w:val="00046559"/>
    <w:rsid w:val="00046DD0"/>
    <w:rsid w:val="00046E61"/>
    <w:rsid w:val="00051C04"/>
    <w:rsid w:val="0005245D"/>
    <w:rsid w:val="00053B7C"/>
    <w:rsid w:val="000565E9"/>
    <w:rsid w:val="00056B67"/>
    <w:rsid w:val="00056CC1"/>
    <w:rsid w:val="000578A0"/>
    <w:rsid w:val="00057D5B"/>
    <w:rsid w:val="000608A9"/>
    <w:rsid w:val="00061F1D"/>
    <w:rsid w:val="0006559C"/>
    <w:rsid w:val="00066000"/>
    <w:rsid w:val="000668B5"/>
    <w:rsid w:val="00070D37"/>
    <w:rsid w:val="000716C5"/>
    <w:rsid w:val="000716F6"/>
    <w:rsid w:val="00071746"/>
    <w:rsid w:val="00071DF2"/>
    <w:rsid w:val="00075E23"/>
    <w:rsid w:val="000762B1"/>
    <w:rsid w:val="000768AB"/>
    <w:rsid w:val="00077066"/>
    <w:rsid w:val="000773AD"/>
    <w:rsid w:val="00080227"/>
    <w:rsid w:val="00081C8C"/>
    <w:rsid w:val="00084721"/>
    <w:rsid w:val="00085CED"/>
    <w:rsid w:val="00085E42"/>
    <w:rsid w:val="0008617B"/>
    <w:rsid w:val="00090F00"/>
    <w:rsid w:val="00092FB4"/>
    <w:rsid w:val="0009344A"/>
    <w:rsid w:val="00097D98"/>
    <w:rsid w:val="000A1529"/>
    <w:rsid w:val="000A153E"/>
    <w:rsid w:val="000A392E"/>
    <w:rsid w:val="000A575F"/>
    <w:rsid w:val="000A5CF7"/>
    <w:rsid w:val="000B0A76"/>
    <w:rsid w:val="000B0B0D"/>
    <w:rsid w:val="000B1327"/>
    <w:rsid w:val="000B28EE"/>
    <w:rsid w:val="000B2E0D"/>
    <w:rsid w:val="000B5F7F"/>
    <w:rsid w:val="000B737E"/>
    <w:rsid w:val="000B7A55"/>
    <w:rsid w:val="000C25CA"/>
    <w:rsid w:val="000C2A42"/>
    <w:rsid w:val="000C3DCF"/>
    <w:rsid w:val="000C4DDB"/>
    <w:rsid w:val="000C4F22"/>
    <w:rsid w:val="000C624C"/>
    <w:rsid w:val="000C6268"/>
    <w:rsid w:val="000C6DEC"/>
    <w:rsid w:val="000D0069"/>
    <w:rsid w:val="000D05CB"/>
    <w:rsid w:val="000D09DB"/>
    <w:rsid w:val="000D10DB"/>
    <w:rsid w:val="000D1DE3"/>
    <w:rsid w:val="000D3755"/>
    <w:rsid w:val="000D387F"/>
    <w:rsid w:val="000D3B77"/>
    <w:rsid w:val="000D58E9"/>
    <w:rsid w:val="000D67A1"/>
    <w:rsid w:val="000D67F3"/>
    <w:rsid w:val="000D6D97"/>
    <w:rsid w:val="000E0F41"/>
    <w:rsid w:val="000E218D"/>
    <w:rsid w:val="000E2F90"/>
    <w:rsid w:val="000E5808"/>
    <w:rsid w:val="000E5DB5"/>
    <w:rsid w:val="000E5EB5"/>
    <w:rsid w:val="000E6814"/>
    <w:rsid w:val="000E6E37"/>
    <w:rsid w:val="000E7838"/>
    <w:rsid w:val="000F1E12"/>
    <w:rsid w:val="000F26FE"/>
    <w:rsid w:val="000F35ED"/>
    <w:rsid w:val="000F4B0B"/>
    <w:rsid w:val="000F7C05"/>
    <w:rsid w:val="001025D6"/>
    <w:rsid w:val="00102FB3"/>
    <w:rsid w:val="00104160"/>
    <w:rsid w:val="00104326"/>
    <w:rsid w:val="00107131"/>
    <w:rsid w:val="0010736F"/>
    <w:rsid w:val="00107740"/>
    <w:rsid w:val="00110382"/>
    <w:rsid w:val="001106DC"/>
    <w:rsid w:val="00110BBE"/>
    <w:rsid w:val="00113F73"/>
    <w:rsid w:val="0011442B"/>
    <w:rsid w:val="00115BB4"/>
    <w:rsid w:val="0011658E"/>
    <w:rsid w:val="00116A35"/>
    <w:rsid w:val="00120204"/>
    <w:rsid w:val="00120458"/>
    <w:rsid w:val="001218C0"/>
    <w:rsid w:val="00121CC2"/>
    <w:rsid w:val="00125E91"/>
    <w:rsid w:val="00126FA8"/>
    <w:rsid w:val="00127C17"/>
    <w:rsid w:val="00130F4F"/>
    <w:rsid w:val="00130F9E"/>
    <w:rsid w:val="0013138A"/>
    <w:rsid w:val="00131425"/>
    <w:rsid w:val="001328AF"/>
    <w:rsid w:val="00133EE5"/>
    <w:rsid w:val="00134485"/>
    <w:rsid w:val="0013468A"/>
    <w:rsid w:val="00134A79"/>
    <w:rsid w:val="001368EB"/>
    <w:rsid w:val="00140D1F"/>
    <w:rsid w:val="00141255"/>
    <w:rsid w:val="00141D6D"/>
    <w:rsid w:val="00142FB2"/>
    <w:rsid w:val="00143CEF"/>
    <w:rsid w:val="001444C2"/>
    <w:rsid w:val="0014508A"/>
    <w:rsid w:val="001453F4"/>
    <w:rsid w:val="0015050E"/>
    <w:rsid w:val="00151190"/>
    <w:rsid w:val="00152521"/>
    <w:rsid w:val="00153306"/>
    <w:rsid w:val="001566DB"/>
    <w:rsid w:val="00164CEA"/>
    <w:rsid w:val="00167A34"/>
    <w:rsid w:val="001711BA"/>
    <w:rsid w:val="00172839"/>
    <w:rsid w:val="00172E74"/>
    <w:rsid w:val="001743AF"/>
    <w:rsid w:val="00175018"/>
    <w:rsid w:val="0017563A"/>
    <w:rsid w:val="00177565"/>
    <w:rsid w:val="00180125"/>
    <w:rsid w:val="00183528"/>
    <w:rsid w:val="00187874"/>
    <w:rsid w:val="00192296"/>
    <w:rsid w:val="00194077"/>
    <w:rsid w:val="001A0551"/>
    <w:rsid w:val="001A31A0"/>
    <w:rsid w:val="001A4C84"/>
    <w:rsid w:val="001A4F3C"/>
    <w:rsid w:val="001A6992"/>
    <w:rsid w:val="001A6D06"/>
    <w:rsid w:val="001A7870"/>
    <w:rsid w:val="001A7CE1"/>
    <w:rsid w:val="001B36DC"/>
    <w:rsid w:val="001B3A00"/>
    <w:rsid w:val="001B5585"/>
    <w:rsid w:val="001B5AE2"/>
    <w:rsid w:val="001B6751"/>
    <w:rsid w:val="001C0D6C"/>
    <w:rsid w:val="001C1B41"/>
    <w:rsid w:val="001C2508"/>
    <w:rsid w:val="001C2AB6"/>
    <w:rsid w:val="001C3301"/>
    <w:rsid w:val="001C333D"/>
    <w:rsid w:val="001C3E1A"/>
    <w:rsid w:val="001C4F06"/>
    <w:rsid w:val="001C4F3F"/>
    <w:rsid w:val="001C7665"/>
    <w:rsid w:val="001C7774"/>
    <w:rsid w:val="001D1091"/>
    <w:rsid w:val="001D26D5"/>
    <w:rsid w:val="001D3A74"/>
    <w:rsid w:val="001D4C62"/>
    <w:rsid w:val="001D6514"/>
    <w:rsid w:val="001D65EF"/>
    <w:rsid w:val="001E15C4"/>
    <w:rsid w:val="001E1D6C"/>
    <w:rsid w:val="001E2C75"/>
    <w:rsid w:val="001E32A9"/>
    <w:rsid w:val="001E3814"/>
    <w:rsid w:val="001E464D"/>
    <w:rsid w:val="001E49E7"/>
    <w:rsid w:val="001E5D63"/>
    <w:rsid w:val="001E7CBD"/>
    <w:rsid w:val="001F0948"/>
    <w:rsid w:val="001F18F0"/>
    <w:rsid w:val="001F2D7A"/>
    <w:rsid w:val="001F4D96"/>
    <w:rsid w:val="001F4F15"/>
    <w:rsid w:val="001F5BB1"/>
    <w:rsid w:val="001F7201"/>
    <w:rsid w:val="001F78C5"/>
    <w:rsid w:val="002010D6"/>
    <w:rsid w:val="002046E1"/>
    <w:rsid w:val="00206109"/>
    <w:rsid w:val="002063BF"/>
    <w:rsid w:val="00206BD8"/>
    <w:rsid w:val="00207729"/>
    <w:rsid w:val="00207AE2"/>
    <w:rsid w:val="00213C6E"/>
    <w:rsid w:val="002140FA"/>
    <w:rsid w:val="0021606E"/>
    <w:rsid w:val="00216B0C"/>
    <w:rsid w:val="00217B29"/>
    <w:rsid w:val="00223A29"/>
    <w:rsid w:val="00224EDC"/>
    <w:rsid w:val="00224F99"/>
    <w:rsid w:val="002250A3"/>
    <w:rsid w:val="002250A4"/>
    <w:rsid w:val="00227929"/>
    <w:rsid w:val="00230E24"/>
    <w:rsid w:val="00232058"/>
    <w:rsid w:val="00233027"/>
    <w:rsid w:val="002330D3"/>
    <w:rsid w:val="002332FA"/>
    <w:rsid w:val="00235217"/>
    <w:rsid w:val="002366BF"/>
    <w:rsid w:val="00240BEE"/>
    <w:rsid w:val="00246D1F"/>
    <w:rsid w:val="002472B1"/>
    <w:rsid w:val="00247403"/>
    <w:rsid w:val="00247542"/>
    <w:rsid w:val="00247C49"/>
    <w:rsid w:val="002502E8"/>
    <w:rsid w:val="00250B2B"/>
    <w:rsid w:val="00251968"/>
    <w:rsid w:val="0025269C"/>
    <w:rsid w:val="00252F26"/>
    <w:rsid w:val="00253910"/>
    <w:rsid w:val="00253B84"/>
    <w:rsid w:val="00255C82"/>
    <w:rsid w:val="00256289"/>
    <w:rsid w:val="00256637"/>
    <w:rsid w:val="00257D7D"/>
    <w:rsid w:val="00262F53"/>
    <w:rsid w:val="00265B07"/>
    <w:rsid w:val="00265EBF"/>
    <w:rsid w:val="00265F52"/>
    <w:rsid w:val="00266B61"/>
    <w:rsid w:val="0026712A"/>
    <w:rsid w:val="0026714B"/>
    <w:rsid w:val="00267C29"/>
    <w:rsid w:val="002704DB"/>
    <w:rsid w:val="00270872"/>
    <w:rsid w:val="002711A3"/>
    <w:rsid w:val="00271D28"/>
    <w:rsid w:val="0027287B"/>
    <w:rsid w:val="00273303"/>
    <w:rsid w:val="00274699"/>
    <w:rsid w:val="00274E17"/>
    <w:rsid w:val="00275573"/>
    <w:rsid w:val="0027644C"/>
    <w:rsid w:val="00276B99"/>
    <w:rsid w:val="00281C99"/>
    <w:rsid w:val="00282FF0"/>
    <w:rsid w:val="002873B4"/>
    <w:rsid w:val="00287FB9"/>
    <w:rsid w:val="00290BB3"/>
    <w:rsid w:val="00290D26"/>
    <w:rsid w:val="00291045"/>
    <w:rsid w:val="002947E7"/>
    <w:rsid w:val="00294ACF"/>
    <w:rsid w:val="002955C7"/>
    <w:rsid w:val="00297F02"/>
    <w:rsid w:val="002A05FD"/>
    <w:rsid w:val="002A0AAE"/>
    <w:rsid w:val="002A3C19"/>
    <w:rsid w:val="002A52B1"/>
    <w:rsid w:val="002A5820"/>
    <w:rsid w:val="002A5AF2"/>
    <w:rsid w:val="002A77A5"/>
    <w:rsid w:val="002B0D32"/>
    <w:rsid w:val="002B1370"/>
    <w:rsid w:val="002B14C8"/>
    <w:rsid w:val="002B263F"/>
    <w:rsid w:val="002B30D8"/>
    <w:rsid w:val="002B3938"/>
    <w:rsid w:val="002B3E6B"/>
    <w:rsid w:val="002B4373"/>
    <w:rsid w:val="002B47A0"/>
    <w:rsid w:val="002B527C"/>
    <w:rsid w:val="002B55B0"/>
    <w:rsid w:val="002B7395"/>
    <w:rsid w:val="002B7447"/>
    <w:rsid w:val="002C00E7"/>
    <w:rsid w:val="002C08D9"/>
    <w:rsid w:val="002C0FC1"/>
    <w:rsid w:val="002C10A4"/>
    <w:rsid w:val="002C1EA4"/>
    <w:rsid w:val="002C43C8"/>
    <w:rsid w:val="002C4CC6"/>
    <w:rsid w:val="002C56FA"/>
    <w:rsid w:val="002D00F0"/>
    <w:rsid w:val="002D1E7C"/>
    <w:rsid w:val="002D2B26"/>
    <w:rsid w:val="002D3936"/>
    <w:rsid w:val="002D7EA2"/>
    <w:rsid w:val="002E060A"/>
    <w:rsid w:val="002E187C"/>
    <w:rsid w:val="002E1B55"/>
    <w:rsid w:val="002E1E7F"/>
    <w:rsid w:val="002E2A0B"/>
    <w:rsid w:val="002E35F0"/>
    <w:rsid w:val="002E49C3"/>
    <w:rsid w:val="002E6407"/>
    <w:rsid w:val="002E7DB3"/>
    <w:rsid w:val="002F03CE"/>
    <w:rsid w:val="002F30F5"/>
    <w:rsid w:val="002F343A"/>
    <w:rsid w:val="002F60DA"/>
    <w:rsid w:val="002F662A"/>
    <w:rsid w:val="002F6692"/>
    <w:rsid w:val="002F79F2"/>
    <w:rsid w:val="002F7A80"/>
    <w:rsid w:val="003015FF"/>
    <w:rsid w:val="00302544"/>
    <w:rsid w:val="00302733"/>
    <w:rsid w:val="00302F99"/>
    <w:rsid w:val="003030BD"/>
    <w:rsid w:val="0030371F"/>
    <w:rsid w:val="003042E4"/>
    <w:rsid w:val="0030464D"/>
    <w:rsid w:val="00305180"/>
    <w:rsid w:val="00305925"/>
    <w:rsid w:val="0030593D"/>
    <w:rsid w:val="0030607A"/>
    <w:rsid w:val="00306924"/>
    <w:rsid w:val="00307ABF"/>
    <w:rsid w:val="00311BC9"/>
    <w:rsid w:val="00314078"/>
    <w:rsid w:val="0031430A"/>
    <w:rsid w:val="003152EE"/>
    <w:rsid w:val="0031535D"/>
    <w:rsid w:val="00316902"/>
    <w:rsid w:val="00317178"/>
    <w:rsid w:val="00321310"/>
    <w:rsid w:val="00321315"/>
    <w:rsid w:val="00321AFC"/>
    <w:rsid w:val="003239B8"/>
    <w:rsid w:val="00323F5C"/>
    <w:rsid w:val="003246BF"/>
    <w:rsid w:val="00325168"/>
    <w:rsid w:val="00325F32"/>
    <w:rsid w:val="0033169F"/>
    <w:rsid w:val="00332ACE"/>
    <w:rsid w:val="00335394"/>
    <w:rsid w:val="003371DA"/>
    <w:rsid w:val="00337778"/>
    <w:rsid w:val="00337C0B"/>
    <w:rsid w:val="00342538"/>
    <w:rsid w:val="00344399"/>
    <w:rsid w:val="00344977"/>
    <w:rsid w:val="00345151"/>
    <w:rsid w:val="00345D10"/>
    <w:rsid w:val="00346067"/>
    <w:rsid w:val="00346168"/>
    <w:rsid w:val="00346C95"/>
    <w:rsid w:val="0034729F"/>
    <w:rsid w:val="00347572"/>
    <w:rsid w:val="0035217B"/>
    <w:rsid w:val="00354258"/>
    <w:rsid w:val="003552BC"/>
    <w:rsid w:val="00356185"/>
    <w:rsid w:val="003564D2"/>
    <w:rsid w:val="00356D82"/>
    <w:rsid w:val="00357055"/>
    <w:rsid w:val="00360380"/>
    <w:rsid w:val="00365DBE"/>
    <w:rsid w:val="00365F3F"/>
    <w:rsid w:val="00366824"/>
    <w:rsid w:val="0036683B"/>
    <w:rsid w:val="00367960"/>
    <w:rsid w:val="003704C9"/>
    <w:rsid w:val="00370853"/>
    <w:rsid w:val="00370BFC"/>
    <w:rsid w:val="003718C6"/>
    <w:rsid w:val="00372A77"/>
    <w:rsid w:val="00372F61"/>
    <w:rsid w:val="003744CB"/>
    <w:rsid w:val="0037470E"/>
    <w:rsid w:val="0037519E"/>
    <w:rsid w:val="00375205"/>
    <w:rsid w:val="0037565E"/>
    <w:rsid w:val="003763EF"/>
    <w:rsid w:val="00376417"/>
    <w:rsid w:val="00377394"/>
    <w:rsid w:val="00380B4C"/>
    <w:rsid w:val="00383063"/>
    <w:rsid w:val="00383888"/>
    <w:rsid w:val="0038599C"/>
    <w:rsid w:val="00385C8B"/>
    <w:rsid w:val="00386CF0"/>
    <w:rsid w:val="003875BC"/>
    <w:rsid w:val="00390A86"/>
    <w:rsid w:val="003921F0"/>
    <w:rsid w:val="0039342D"/>
    <w:rsid w:val="003955B9"/>
    <w:rsid w:val="0039649D"/>
    <w:rsid w:val="00396F1E"/>
    <w:rsid w:val="00397E20"/>
    <w:rsid w:val="003A0800"/>
    <w:rsid w:val="003A1877"/>
    <w:rsid w:val="003A23D8"/>
    <w:rsid w:val="003A2F26"/>
    <w:rsid w:val="003B1B48"/>
    <w:rsid w:val="003B1DA8"/>
    <w:rsid w:val="003B1E5D"/>
    <w:rsid w:val="003B2D8D"/>
    <w:rsid w:val="003B3703"/>
    <w:rsid w:val="003B4841"/>
    <w:rsid w:val="003B70FB"/>
    <w:rsid w:val="003B7295"/>
    <w:rsid w:val="003C06EB"/>
    <w:rsid w:val="003C185E"/>
    <w:rsid w:val="003C1DC6"/>
    <w:rsid w:val="003C26B5"/>
    <w:rsid w:val="003C54C8"/>
    <w:rsid w:val="003C676B"/>
    <w:rsid w:val="003C7BD7"/>
    <w:rsid w:val="003D3BC2"/>
    <w:rsid w:val="003D4E66"/>
    <w:rsid w:val="003D79D5"/>
    <w:rsid w:val="003E2A73"/>
    <w:rsid w:val="003E3225"/>
    <w:rsid w:val="003E6CA1"/>
    <w:rsid w:val="003E73BB"/>
    <w:rsid w:val="003F32F6"/>
    <w:rsid w:val="003F40E0"/>
    <w:rsid w:val="003F77F1"/>
    <w:rsid w:val="00401F6C"/>
    <w:rsid w:val="004026F4"/>
    <w:rsid w:val="00402C60"/>
    <w:rsid w:val="004040B2"/>
    <w:rsid w:val="00404B1C"/>
    <w:rsid w:val="00404C3D"/>
    <w:rsid w:val="00405F9C"/>
    <w:rsid w:val="004065A8"/>
    <w:rsid w:val="004109F3"/>
    <w:rsid w:val="00410F0F"/>
    <w:rsid w:val="00411324"/>
    <w:rsid w:val="004162A1"/>
    <w:rsid w:val="004165C2"/>
    <w:rsid w:val="00416E0F"/>
    <w:rsid w:val="00417798"/>
    <w:rsid w:val="004209A1"/>
    <w:rsid w:val="00421C18"/>
    <w:rsid w:val="004253DD"/>
    <w:rsid w:val="00426FEF"/>
    <w:rsid w:val="0042782F"/>
    <w:rsid w:val="00431669"/>
    <w:rsid w:val="00431D06"/>
    <w:rsid w:val="0043342E"/>
    <w:rsid w:val="00433AA0"/>
    <w:rsid w:val="00433F59"/>
    <w:rsid w:val="004362FB"/>
    <w:rsid w:val="00436E26"/>
    <w:rsid w:val="004376D4"/>
    <w:rsid w:val="00441369"/>
    <w:rsid w:val="00441B8A"/>
    <w:rsid w:val="00441ECB"/>
    <w:rsid w:val="00444D9D"/>
    <w:rsid w:val="00445193"/>
    <w:rsid w:val="0044660D"/>
    <w:rsid w:val="00455B53"/>
    <w:rsid w:val="00455B87"/>
    <w:rsid w:val="00456FC6"/>
    <w:rsid w:val="004576B8"/>
    <w:rsid w:val="00460FFA"/>
    <w:rsid w:val="00462722"/>
    <w:rsid w:val="00462C1B"/>
    <w:rsid w:val="00463585"/>
    <w:rsid w:val="00464CA7"/>
    <w:rsid w:val="00467B7E"/>
    <w:rsid w:val="004711A7"/>
    <w:rsid w:val="00473BB4"/>
    <w:rsid w:val="004740B4"/>
    <w:rsid w:val="004749BB"/>
    <w:rsid w:val="00474D68"/>
    <w:rsid w:val="00475578"/>
    <w:rsid w:val="00476038"/>
    <w:rsid w:val="0047739B"/>
    <w:rsid w:val="00477592"/>
    <w:rsid w:val="004778EC"/>
    <w:rsid w:val="00477AF6"/>
    <w:rsid w:val="00480F8C"/>
    <w:rsid w:val="00486F1C"/>
    <w:rsid w:val="004875C7"/>
    <w:rsid w:val="0049226E"/>
    <w:rsid w:val="0049419D"/>
    <w:rsid w:val="0049717E"/>
    <w:rsid w:val="004A0178"/>
    <w:rsid w:val="004A120C"/>
    <w:rsid w:val="004A5492"/>
    <w:rsid w:val="004A6374"/>
    <w:rsid w:val="004A6A54"/>
    <w:rsid w:val="004A7B09"/>
    <w:rsid w:val="004B45C0"/>
    <w:rsid w:val="004B606B"/>
    <w:rsid w:val="004B6A7F"/>
    <w:rsid w:val="004B6AF8"/>
    <w:rsid w:val="004B6CBB"/>
    <w:rsid w:val="004B7645"/>
    <w:rsid w:val="004C0ECA"/>
    <w:rsid w:val="004C20D2"/>
    <w:rsid w:val="004C2312"/>
    <w:rsid w:val="004C29D7"/>
    <w:rsid w:val="004C40E8"/>
    <w:rsid w:val="004C4B62"/>
    <w:rsid w:val="004C54C9"/>
    <w:rsid w:val="004C6065"/>
    <w:rsid w:val="004C74B0"/>
    <w:rsid w:val="004D0105"/>
    <w:rsid w:val="004D107D"/>
    <w:rsid w:val="004D45C2"/>
    <w:rsid w:val="004D4ABA"/>
    <w:rsid w:val="004D6025"/>
    <w:rsid w:val="004D7370"/>
    <w:rsid w:val="004E0D1D"/>
    <w:rsid w:val="004E196C"/>
    <w:rsid w:val="004E2649"/>
    <w:rsid w:val="004E344E"/>
    <w:rsid w:val="004E4507"/>
    <w:rsid w:val="004E47C8"/>
    <w:rsid w:val="004E5851"/>
    <w:rsid w:val="004E662D"/>
    <w:rsid w:val="004F0C7B"/>
    <w:rsid w:val="004F199A"/>
    <w:rsid w:val="004F2649"/>
    <w:rsid w:val="004F309F"/>
    <w:rsid w:val="004F4640"/>
    <w:rsid w:val="004F626F"/>
    <w:rsid w:val="004F67E2"/>
    <w:rsid w:val="004F7904"/>
    <w:rsid w:val="0050050F"/>
    <w:rsid w:val="005010F2"/>
    <w:rsid w:val="00501399"/>
    <w:rsid w:val="005027E6"/>
    <w:rsid w:val="00502FDE"/>
    <w:rsid w:val="005039F2"/>
    <w:rsid w:val="0050633D"/>
    <w:rsid w:val="00507BC4"/>
    <w:rsid w:val="005109C9"/>
    <w:rsid w:val="005109D0"/>
    <w:rsid w:val="005109D9"/>
    <w:rsid w:val="00511E62"/>
    <w:rsid w:val="005128E4"/>
    <w:rsid w:val="005133DB"/>
    <w:rsid w:val="005136C5"/>
    <w:rsid w:val="00514504"/>
    <w:rsid w:val="00514729"/>
    <w:rsid w:val="00520492"/>
    <w:rsid w:val="005218B8"/>
    <w:rsid w:val="00521B27"/>
    <w:rsid w:val="00522128"/>
    <w:rsid w:val="00522FE5"/>
    <w:rsid w:val="005233D0"/>
    <w:rsid w:val="005234BB"/>
    <w:rsid w:val="00524592"/>
    <w:rsid w:val="005247B0"/>
    <w:rsid w:val="0052493E"/>
    <w:rsid w:val="00524AAF"/>
    <w:rsid w:val="00525560"/>
    <w:rsid w:val="00525C66"/>
    <w:rsid w:val="00526B1A"/>
    <w:rsid w:val="0052791F"/>
    <w:rsid w:val="005279B7"/>
    <w:rsid w:val="005314D3"/>
    <w:rsid w:val="00531FD1"/>
    <w:rsid w:val="00532A0B"/>
    <w:rsid w:val="00532E5B"/>
    <w:rsid w:val="00533352"/>
    <w:rsid w:val="005336D6"/>
    <w:rsid w:val="00534C69"/>
    <w:rsid w:val="00534D2F"/>
    <w:rsid w:val="0053503C"/>
    <w:rsid w:val="005357B9"/>
    <w:rsid w:val="00536CE4"/>
    <w:rsid w:val="00541013"/>
    <w:rsid w:val="00541F32"/>
    <w:rsid w:val="005430F5"/>
    <w:rsid w:val="005445A4"/>
    <w:rsid w:val="00544C49"/>
    <w:rsid w:val="005459E6"/>
    <w:rsid w:val="00545D20"/>
    <w:rsid w:val="00546727"/>
    <w:rsid w:val="00547ED4"/>
    <w:rsid w:val="00550DD7"/>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5A13"/>
    <w:rsid w:val="0057147C"/>
    <w:rsid w:val="0057318D"/>
    <w:rsid w:val="0057402A"/>
    <w:rsid w:val="00574097"/>
    <w:rsid w:val="00576F69"/>
    <w:rsid w:val="005771D0"/>
    <w:rsid w:val="005772E6"/>
    <w:rsid w:val="00580BF6"/>
    <w:rsid w:val="005818F1"/>
    <w:rsid w:val="00581BE8"/>
    <w:rsid w:val="00581C74"/>
    <w:rsid w:val="00581D31"/>
    <w:rsid w:val="00586D78"/>
    <w:rsid w:val="00590071"/>
    <w:rsid w:val="00590451"/>
    <w:rsid w:val="0059191A"/>
    <w:rsid w:val="00591A14"/>
    <w:rsid w:val="005921FF"/>
    <w:rsid w:val="005923A0"/>
    <w:rsid w:val="00594368"/>
    <w:rsid w:val="005946C8"/>
    <w:rsid w:val="00597076"/>
    <w:rsid w:val="005A1FB7"/>
    <w:rsid w:val="005A24ED"/>
    <w:rsid w:val="005A3BD9"/>
    <w:rsid w:val="005A6D0E"/>
    <w:rsid w:val="005A7E98"/>
    <w:rsid w:val="005B2307"/>
    <w:rsid w:val="005B52B0"/>
    <w:rsid w:val="005B6806"/>
    <w:rsid w:val="005B6A66"/>
    <w:rsid w:val="005B70B8"/>
    <w:rsid w:val="005C3706"/>
    <w:rsid w:val="005C4225"/>
    <w:rsid w:val="005C562E"/>
    <w:rsid w:val="005C58F8"/>
    <w:rsid w:val="005C69B5"/>
    <w:rsid w:val="005D14AD"/>
    <w:rsid w:val="005D240C"/>
    <w:rsid w:val="005D2B90"/>
    <w:rsid w:val="005D38F9"/>
    <w:rsid w:val="005D3D82"/>
    <w:rsid w:val="005D4475"/>
    <w:rsid w:val="005D564E"/>
    <w:rsid w:val="005D70F3"/>
    <w:rsid w:val="005D72BA"/>
    <w:rsid w:val="005D77E0"/>
    <w:rsid w:val="005E1826"/>
    <w:rsid w:val="005E1DDA"/>
    <w:rsid w:val="005E2CD3"/>
    <w:rsid w:val="005E609C"/>
    <w:rsid w:val="005F0DAD"/>
    <w:rsid w:val="005F0F33"/>
    <w:rsid w:val="005F1500"/>
    <w:rsid w:val="005F4C97"/>
    <w:rsid w:val="005F5104"/>
    <w:rsid w:val="006003FD"/>
    <w:rsid w:val="00600DEB"/>
    <w:rsid w:val="00601058"/>
    <w:rsid w:val="0060138B"/>
    <w:rsid w:val="00601535"/>
    <w:rsid w:val="0060191F"/>
    <w:rsid w:val="00601FDD"/>
    <w:rsid w:val="00603145"/>
    <w:rsid w:val="00604931"/>
    <w:rsid w:val="00605EC4"/>
    <w:rsid w:val="00614637"/>
    <w:rsid w:val="0061587D"/>
    <w:rsid w:val="00617930"/>
    <w:rsid w:val="00617D85"/>
    <w:rsid w:val="006203F7"/>
    <w:rsid w:val="0062211D"/>
    <w:rsid w:val="006221E3"/>
    <w:rsid w:val="00623BEE"/>
    <w:rsid w:val="00624290"/>
    <w:rsid w:val="006248A8"/>
    <w:rsid w:val="00625217"/>
    <w:rsid w:val="00627908"/>
    <w:rsid w:val="00627C9F"/>
    <w:rsid w:val="00630196"/>
    <w:rsid w:val="006311E9"/>
    <w:rsid w:val="0063121E"/>
    <w:rsid w:val="00631548"/>
    <w:rsid w:val="00631CF0"/>
    <w:rsid w:val="00632354"/>
    <w:rsid w:val="00632E91"/>
    <w:rsid w:val="00632FFD"/>
    <w:rsid w:val="006344A2"/>
    <w:rsid w:val="00635421"/>
    <w:rsid w:val="006378F5"/>
    <w:rsid w:val="006403BE"/>
    <w:rsid w:val="00640522"/>
    <w:rsid w:val="006425F4"/>
    <w:rsid w:val="00642810"/>
    <w:rsid w:val="0064617C"/>
    <w:rsid w:val="00647FE2"/>
    <w:rsid w:val="0065064F"/>
    <w:rsid w:val="006510A7"/>
    <w:rsid w:val="00652252"/>
    <w:rsid w:val="00652333"/>
    <w:rsid w:val="006555DA"/>
    <w:rsid w:val="006578C3"/>
    <w:rsid w:val="00662A2C"/>
    <w:rsid w:val="00663B45"/>
    <w:rsid w:val="00663BD5"/>
    <w:rsid w:val="00664372"/>
    <w:rsid w:val="00665BF5"/>
    <w:rsid w:val="00666C23"/>
    <w:rsid w:val="00670748"/>
    <w:rsid w:val="00670F78"/>
    <w:rsid w:val="00673D07"/>
    <w:rsid w:val="006742AA"/>
    <w:rsid w:val="00675580"/>
    <w:rsid w:val="00676E8E"/>
    <w:rsid w:val="0068009E"/>
    <w:rsid w:val="00680BB7"/>
    <w:rsid w:val="00681FF1"/>
    <w:rsid w:val="00682C0D"/>
    <w:rsid w:val="006836EC"/>
    <w:rsid w:val="00683DC1"/>
    <w:rsid w:val="00684BB4"/>
    <w:rsid w:val="00687549"/>
    <w:rsid w:val="00691138"/>
    <w:rsid w:val="00692219"/>
    <w:rsid w:val="00692523"/>
    <w:rsid w:val="00693075"/>
    <w:rsid w:val="00694A99"/>
    <w:rsid w:val="00696997"/>
    <w:rsid w:val="00697EBC"/>
    <w:rsid w:val="006A00BC"/>
    <w:rsid w:val="006A02E1"/>
    <w:rsid w:val="006A0812"/>
    <w:rsid w:val="006A1053"/>
    <w:rsid w:val="006A1074"/>
    <w:rsid w:val="006A17D2"/>
    <w:rsid w:val="006A4740"/>
    <w:rsid w:val="006A4D21"/>
    <w:rsid w:val="006A5464"/>
    <w:rsid w:val="006A5752"/>
    <w:rsid w:val="006A6798"/>
    <w:rsid w:val="006A73E6"/>
    <w:rsid w:val="006B0A7B"/>
    <w:rsid w:val="006B0F19"/>
    <w:rsid w:val="006B137D"/>
    <w:rsid w:val="006B1648"/>
    <w:rsid w:val="006B187B"/>
    <w:rsid w:val="006B2D5C"/>
    <w:rsid w:val="006B2EA0"/>
    <w:rsid w:val="006B4C54"/>
    <w:rsid w:val="006B6C04"/>
    <w:rsid w:val="006C07B7"/>
    <w:rsid w:val="006C2886"/>
    <w:rsid w:val="006C36B6"/>
    <w:rsid w:val="006C3767"/>
    <w:rsid w:val="006C3F1F"/>
    <w:rsid w:val="006C43C9"/>
    <w:rsid w:val="006C449E"/>
    <w:rsid w:val="006C4EB1"/>
    <w:rsid w:val="006C5FC6"/>
    <w:rsid w:val="006C7428"/>
    <w:rsid w:val="006D299C"/>
    <w:rsid w:val="006D2FE0"/>
    <w:rsid w:val="006D321A"/>
    <w:rsid w:val="006D46E3"/>
    <w:rsid w:val="006D5346"/>
    <w:rsid w:val="006D7775"/>
    <w:rsid w:val="006D7CF0"/>
    <w:rsid w:val="006D7D71"/>
    <w:rsid w:val="006E0166"/>
    <w:rsid w:val="006E2FFB"/>
    <w:rsid w:val="006E4684"/>
    <w:rsid w:val="006E4D99"/>
    <w:rsid w:val="006E50B0"/>
    <w:rsid w:val="006E6BE7"/>
    <w:rsid w:val="006E6D3C"/>
    <w:rsid w:val="006E7557"/>
    <w:rsid w:val="006E7728"/>
    <w:rsid w:val="006E7B34"/>
    <w:rsid w:val="006F5EF1"/>
    <w:rsid w:val="007004F4"/>
    <w:rsid w:val="00700A48"/>
    <w:rsid w:val="0070197E"/>
    <w:rsid w:val="0070298C"/>
    <w:rsid w:val="00703DB5"/>
    <w:rsid w:val="00703E0A"/>
    <w:rsid w:val="00706812"/>
    <w:rsid w:val="0070697F"/>
    <w:rsid w:val="00707A69"/>
    <w:rsid w:val="00710B7D"/>
    <w:rsid w:val="007138FD"/>
    <w:rsid w:val="0071498C"/>
    <w:rsid w:val="00715BB0"/>
    <w:rsid w:val="00717633"/>
    <w:rsid w:val="00720508"/>
    <w:rsid w:val="0072199C"/>
    <w:rsid w:val="00722C9F"/>
    <w:rsid w:val="0072470A"/>
    <w:rsid w:val="0072498A"/>
    <w:rsid w:val="00724F4F"/>
    <w:rsid w:val="00724F58"/>
    <w:rsid w:val="007253B8"/>
    <w:rsid w:val="00725915"/>
    <w:rsid w:val="007273A0"/>
    <w:rsid w:val="00727E46"/>
    <w:rsid w:val="007302FF"/>
    <w:rsid w:val="00732894"/>
    <w:rsid w:val="00732FF4"/>
    <w:rsid w:val="00733C51"/>
    <w:rsid w:val="007344E9"/>
    <w:rsid w:val="007352A6"/>
    <w:rsid w:val="0073568F"/>
    <w:rsid w:val="00735EDA"/>
    <w:rsid w:val="00736943"/>
    <w:rsid w:val="00736B1B"/>
    <w:rsid w:val="0073741F"/>
    <w:rsid w:val="0073784D"/>
    <w:rsid w:val="00740542"/>
    <w:rsid w:val="007407D0"/>
    <w:rsid w:val="007414C7"/>
    <w:rsid w:val="0074186A"/>
    <w:rsid w:val="007426A2"/>
    <w:rsid w:val="007439A7"/>
    <w:rsid w:val="00743C70"/>
    <w:rsid w:val="00746ED8"/>
    <w:rsid w:val="00747D04"/>
    <w:rsid w:val="00750DB8"/>
    <w:rsid w:val="007512D8"/>
    <w:rsid w:val="0075287E"/>
    <w:rsid w:val="00754B2C"/>
    <w:rsid w:val="00754D38"/>
    <w:rsid w:val="0075785B"/>
    <w:rsid w:val="00760831"/>
    <w:rsid w:val="00760ED6"/>
    <w:rsid w:val="007614AC"/>
    <w:rsid w:val="007620AB"/>
    <w:rsid w:val="007621E7"/>
    <w:rsid w:val="0076643F"/>
    <w:rsid w:val="007673B3"/>
    <w:rsid w:val="0077000C"/>
    <w:rsid w:val="007724B2"/>
    <w:rsid w:val="00772AE8"/>
    <w:rsid w:val="00773EFC"/>
    <w:rsid w:val="00774A4C"/>
    <w:rsid w:val="007779A7"/>
    <w:rsid w:val="00777F63"/>
    <w:rsid w:val="00781B64"/>
    <w:rsid w:val="007826BF"/>
    <w:rsid w:val="007859CD"/>
    <w:rsid w:val="007933DE"/>
    <w:rsid w:val="00793B96"/>
    <w:rsid w:val="00793EDD"/>
    <w:rsid w:val="007940F9"/>
    <w:rsid w:val="007949EF"/>
    <w:rsid w:val="007970BF"/>
    <w:rsid w:val="00797144"/>
    <w:rsid w:val="00797706"/>
    <w:rsid w:val="0079780A"/>
    <w:rsid w:val="007A07E0"/>
    <w:rsid w:val="007A0CC0"/>
    <w:rsid w:val="007A2389"/>
    <w:rsid w:val="007A2E14"/>
    <w:rsid w:val="007A3B99"/>
    <w:rsid w:val="007A5817"/>
    <w:rsid w:val="007A5ED5"/>
    <w:rsid w:val="007B05C4"/>
    <w:rsid w:val="007B116F"/>
    <w:rsid w:val="007B13B8"/>
    <w:rsid w:val="007B3EDD"/>
    <w:rsid w:val="007B45C1"/>
    <w:rsid w:val="007B4E13"/>
    <w:rsid w:val="007B4F52"/>
    <w:rsid w:val="007B60E9"/>
    <w:rsid w:val="007B6CC3"/>
    <w:rsid w:val="007B76D3"/>
    <w:rsid w:val="007C05C6"/>
    <w:rsid w:val="007C2119"/>
    <w:rsid w:val="007C3179"/>
    <w:rsid w:val="007C3334"/>
    <w:rsid w:val="007C396F"/>
    <w:rsid w:val="007C609D"/>
    <w:rsid w:val="007C6D31"/>
    <w:rsid w:val="007C7EBE"/>
    <w:rsid w:val="007D23C0"/>
    <w:rsid w:val="007D2614"/>
    <w:rsid w:val="007D27DD"/>
    <w:rsid w:val="007D2B98"/>
    <w:rsid w:val="007D47B6"/>
    <w:rsid w:val="007D48BF"/>
    <w:rsid w:val="007E07B2"/>
    <w:rsid w:val="007E153C"/>
    <w:rsid w:val="007E193C"/>
    <w:rsid w:val="007E1F46"/>
    <w:rsid w:val="007E21BC"/>
    <w:rsid w:val="007E2904"/>
    <w:rsid w:val="007E4792"/>
    <w:rsid w:val="007E7636"/>
    <w:rsid w:val="007E7C82"/>
    <w:rsid w:val="007F2AA1"/>
    <w:rsid w:val="007F30D8"/>
    <w:rsid w:val="007F4D79"/>
    <w:rsid w:val="007F588D"/>
    <w:rsid w:val="007F58C0"/>
    <w:rsid w:val="007F7672"/>
    <w:rsid w:val="007F799A"/>
    <w:rsid w:val="007F7B24"/>
    <w:rsid w:val="00800784"/>
    <w:rsid w:val="0080108D"/>
    <w:rsid w:val="0080307F"/>
    <w:rsid w:val="00803F1C"/>
    <w:rsid w:val="008042A7"/>
    <w:rsid w:val="00804518"/>
    <w:rsid w:val="0080600E"/>
    <w:rsid w:val="0080639E"/>
    <w:rsid w:val="00806650"/>
    <w:rsid w:val="0081085D"/>
    <w:rsid w:val="008109F8"/>
    <w:rsid w:val="008117FE"/>
    <w:rsid w:val="00813640"/>
    <w:rsid w:val="00814688"/>
    <w:rsid w:val="0081488A"/>
    <w:rsid w:val="0081677D"/>
    <w:rsid w:val="0081742D"/>
    <w:rsid w:val="00817612"/>
    <w:rsid w:val="00820180"/>
    <w:rsid w:val="00820A75"/>
    <w:rsid w:val="008218DB"/>
    <w:rsid w:val="00822F5A"/>
    <w:rsid w:val="00823585"/>
    <w:rsid w:val="0082460D"/>
    <w:rsid w:val="00825285"/>
    <w:rsid w:val="008255C3"/>
    <w:rsid w:val="00830A9D"/>
    <w:rsid w:val="008320D7"/>
    <w:rsid w:val="008322DD"/>
    <w:rsid w:val="008331D5"/>
    <w:rsid w:val="0083365A"/>
    <w:rsid w:val="008338A4"/>
    <w:rsid w:val="00833ECE"/>
    <w:rsid w:val="0083448C"/>
    <w:rsid w:val="0083472A"/>
    <w:rsid w:val="00834B51"/>
    <w:rsid w:val="00834D49"/>
    <w:rsid w:val="008354DE"/>
    <w:rsid w:val="00837A7A"/>
    <w:rsid w:val="00837C45"/>
    <w:rsid w:val="00840795"/>
    <w:rsid w:val="008434C3"/>
    <w:rsid w:val="00844730"/>
    <w:rsid w:val="00844D9B"/>
    <w:rsid w:val="008457C2"/>
    <w:rsid w:val="0084615B"/>
    <w:rsid w:val="00846BA1"/>
    <w:rsid w:val="00847BD9"/>
    <w:rsid w:val="00847E9E"/>
    <w:rsid w:val="0085039A"/>
    <w:rsid w:val="00851EF3"/>
    <w:rsid w:val="00852A4A"/>
    <w:rsid w:val="008534A9"/>
    <w:rsid w:val="008537D0"/>
    <w:rsid w:val="00854B73"/>
    <w:rsid w:val="0085610B"/>
    <w:rsid w:val="00857A82"/>
    <w:rsid w:val="00857BBE"/>
    <w:rsid w:val="00857DB2"/>
    <w:rsid w:val="008624DA"/>
    <w:rsid w:val="00862E83"/>
    <w:rsid w:val="008670AA"/>
    <w:rsid w:val="00867B3E"/>
    <w:rsid w:val="008708BF"/>
    <w:rsid w:val="00871411"/>
    <w:rsid w:val="00872F0D"/>
    <w:rsid w:val="00873836"/>
    <w:rsid w:val="00873AD6"/>
    <w:rsid w:val="008742F9"/>
    <w:rsid w:val="0087473A"/>
    <w:rsid w:val="00875C4B"/>
    <w:rsid w:val="00880445"/>
    <w:rsid w:val="00881E37"/>
    <w:rsid w:val="00882E7C"/>
    <w:rsid w:val="0088488F"/>
    <w:rsid w:val="008848B7"/>
    <w:rsid w:val="00885737"/>
    <w:rsid w:val="00886910"/>
    <w:rsid w:val="00890650"/>
    <w:rsid w:val="00890C99"/>
    <w:rsid w:val="008916BB"/>
    <w:rsid w:val="008928BC"/>
    <w:rsid w:val="00894FEF"/>
    <w:rsid w:val="0089586E"/>
    <w:rsid w:val="00895AD9"/>
    <w:rsid w:val="00897CD1"/>
    <w:rsid w:val="00897E12"/>
    <w:rsid w:val="008A078B"/>
    <w:rsid w:val="008A304B"/>
    <w:rsid w:val="008A7E0F"/>
    <w:rsid w:val="008B0689"/>
    <w:rsid w:val="008B0FC6"/>
    <w:rsid w:val="008B12F5"/>
    <w:rsid w:val="008B228B"/>
    <w:rsid w:val="008B3FF1"/>
    <w:rsid w:val="008B4C34"/>
    <w:rsid w:val="008B66C2"/>
    <w:rsid w:val="008C06CE"/>
    <w:rsid w:val="008C42A5"/>
    <w:rsid w:val="008C5E2D"/>
    <w:rsid w:val="008D1963"/>
    <w:rsid w:val="008D1F5B"/>
    <w:rsid w:val="008D29D9"/>
    <w:rsid w:val="008D30B3"/>
    <w:rsid w:val="008D39A9"/>
    <w:rsid w:val="008D3D0E"/>
    <w:rsid w:val="008D768D"/>
    <w:rsid w:val="008E262B"/>
    <w:rsid w:val="008E2931"/>
    <w:rsid w:val="008E3319"/>
    <w:rsid w:val="008E3759"/>
    <w:rsid w:val="008E3BFE"/>
    <w:rsid w:val="008E5A22"/>
    <w:rsid w:val="008E64A0"/>
    <w:rsid w:val="008E7308"/>
    <w:rsid w:val="008F0DFF"/>
    <w:rsid w:val="008F1912"/>
    <w:rsid w:val="008F5880"/>
    <w:rsid w:val="0090270B"/>
    <w:rsid w:val="0090274F"/>
    <w:rsid w:val="00902F82"/>
    <w:rsid w:val="009041DC"/>
    <w:rsid w:val="0090521E"/>
    <w:rsid w:val="00910155"/>
    <w:rsid w:val="00912CF9"/>
    <w:rsid w:val="00916E42"/>
    <w:rsid w:val="00917135"/>
    <w:rsid w:val="00917B5A"/>
    <w:rsid w:val="00917C1B"/>
    <w:rsid w:val="00920A58"/>
    <w:rsid w:val="00920A8C"/>
    <w:rsid w:val="00922A85"/>
    <w:rsid w:val="00924491"/>
    <w:rsid w:val="0092567F"/>
    <w:rsid w:val="00925F11"/>
    <w:rsid w:val="009264F0"/>
    <w:rsid w:val="009269BB"/>
    <w:rsid w:val="00927AF5"/>
    <w:rsid w:val="00931AE9"/>
    <w:rsid w:val="009332E1"/>
    <w:rsid w:val="00933839"/>
    <w:rsid w:val="00934A2C"/>
    <w:rsid w:val="009362C8"/>
    <w:rsid w:val="009369B6"/>
    <w:rsid w:val="009416C8"/>
    <w:rsid w:val="00941B4A"/>
    <w:rsid w:val="00943D3F"/>
    <w:rsid w:val="009442B5"/>
    <w:rsid w:val="00944381"/>
    <w:rsid w:val="009456B3"/>
    <w:rsid w:val="00945C84"/>
    <w:rsid w:val="009474D4"/>
    <w:rsid w:val="009508AF"/>
    <w:rsid w:val="00950A2D"/>
    <w:rsid w:val="00953206"/>
    <w:rsid w:val="0095432E"/>
    <w:rsid w:val="00954BAD"/>
    <w:rsid w:val="00955DDA"/>
    <w:rsid w:val="00956E1B"/>
    <w:rsid w:val="0095734D"/>
    <w:rsid w:val="00962A34"/>
    <w:rsid w:val="00962F04"/>
    <w:rsid w:val="009652FA"/>
    <w:rsid w:val="009664F1"/>
    <w:rsid w:val="00966F4D"/>
    <w:rsid w:val="0096706E"/>
    <w:rsid w:val="009670AB"/>
    <w:rsid w:val="00967692"/>
    <w:rsid w:val="00970DA3"/>
    <w:rsid w:val="0097183F"/>
    <w:rsid w:val="00972141"/>
    <w:rsid w:val="00973D74"/>
    <w:rsid w:val="00974491"/>
    <w:rsid w:val="00975C2C"/>
    <w:rsid w:val="00975C4E"/>
    <w:rsid w:val="00980274"/>
    <w:rsid w:val="009818C3"/>
    <w:rsid w:val="00981FBA"/>
    <w:rsid w:val="0098258D"/>
    <w:rsid w:val="00982A0E"/>
    <w:rsid w:val="009850EE"/>
    <w:rsid w:val="009902FD"/>
    <w:rsid w:val="009906A5"/>
    <w:rsid w:val="00990892"/>
    <w:rsid w:val="00992573"/>
    <w:rsid w:val="00994306"/>
    <w:rsid w:val="00997BC5"/>
    <w:rsid w:val="00997E74"/>
    <w:rsid w:val="009A077C"/>
    <w:rsid w:val="009A1E58"/>
    <w:rsid w:val="009A2766"/>
    <w:rsid w:val="009A4F41"/>
    <w:rsid w:val="009A6566"/>
    <w:rsid w:val="009A7149"/>
    <w:rsid w:val="009B04C2"/>
    <w:rsid w:val="009B0983"/>
    <w:rsid w:val="009B320D"/>
    <w:rsid w:val="009B381B"/>
    <w:rsid w:val="009B4F32"/>
    <w:rsid w:val="009B6A61"/>
    <w:rsid w:val="009B6B48"/>
    <w:rsid w:val="009B6C16"/>
    <w:rsid w:val="009B72A7"/>
    <w:rsid w:val="009B7AE1"/>
    <w:rsid w:val="009C0FB7"/>
    <w:rsid w:val="009C1754"/>
    <w:rsid w:val="009C67CD"/>
    <w:rsid w:val="009D12C1"/>
    <w:rsid w:val="009D1459"/>
    <w:rsid w:val="009D1753"/>
    <w:rsid w:val="009D3605"/>
    <w:rsid w:val="009D41ED"/>
    <w:rsid w:val="009D4DE2"/>
    <w:rsid w:val="009D55D4"/>
    <w:rsid w:val="009D7611"/>
    <w:rsid w:val="009E0439"/>
    <w:rsid w:val="009E0B61"/>
    <w:rsid w:val="009E1110"/>
    <w:rsid w:val="009E1641"/>
    <w:rsid w:val="009E2668"/>
    <w:rsid w:val="009E458D"/>
    <w:rsid w:val="009E53DE"/>
    <w:rsid w:val="009E6D8F"/>
    <w:rsid w:val="009F4EC4"/>
    <w:rsid w:val="009F6464"/>
    <w:rsid w:val="009F70CD"/>
    <w:rsid w:val="00A00077"/>
    <w:rsid w:val="00A028C3"/>
    <w:rsid w:val="00A02A59"/>
    <w:rsid w:val="00A03618"/>
    <w:rsid w:val="00A039C5"/>
    <w:rsid w:val="00A03C13"/>
    <w:rsid w:val="00A1060C"/>
    <w:rsid w:val="00A10BF2"/>
    <w:rsid w:val="00A11212"/>
    <w:rsid w:val="00A119BE"/>
    <w:rsid w:val="00A11E44"/>
    <w:rsid w:val="00A12238"/>
    <w:rsid w:val="00A1259D"/>
    <w:rsid w:val="00A13406"/>
    <w:rsid w:val="00A150EB"/>
    <w:rsid w:val="00A203A1"/>
    <w:rsid w:val="00A205CB"/>
    <w:rsid w:val="00A207BE"/>
    <w:rsid w:val="00A2434E"/>
    <w:rsid w:val="00A26456"/>
    <w:rsid w:val="00A276EA"/>
    <w:rsid w:val="00A278C4"/>
    <w:rsid w:val="00A30100"/>
    <w:rsid w:val="00A328B3"/>
    <w:rsid w:val="00A34D99"/>
    <w:rsid w:val="00A35A7F"/>
    <w:rsid w:val="00A437EA"/>
    <w:rsid w:val="00A45CEA"/>
    <w:rsid w:val="00A47270"/>
    <w:rsid w:val="00A50FCF"/>
    <w:rsid w:val="00A513F1"/>
    <w:rsid w:val="00A528D1"/>
    <w:rsid w:val="00A53719"/>
    <w:rsid w:val="00A5376E"/>
    <w:rsid w:val="00A570B0"/>
    <w:rsid w:val="00A60B23"/>
    <w:rsid w:val="00A610CD"/>
    <w:rsid w:val="00A6350A"/>
    <w:rsid w:val="00A721D1"/>
    <w:rsid w:val="00A7402A"/>
    <w:rsid w:val="00A74865"/>
    <w:rsid w:val="00A74CE8"/>
    <w:rsid w:val="00A75425"/>
    <w:rsid w:val="00A758AA"/>
    <w:rsid w:val="00A77100"/>
    <w:rsid w:val="00A80934"/>
    <w:rsid w:val="00A820AB"/>
    <w:rsid w:val="00A82DF0"/>
    <w:rsid w:val="00A82E04"/>
    <w:rsid w:val="00A8618C"/>
    <w:rsid w:val="00A86545"/>
    <w:rsid w:val="00A87C72"/>
    <w:rsid w:val="00A906C9"/>
    <w:rsid w:val="00A908AE"/>
    <w:rsid w:val="00A90AB6"/>
    <w:rsid w:val="00A92244"/>
    <w:rsid w:val="00A92B8A"/>
    <w:rsid w:val="00A92B8E"/>
    <w:rsid w:val="00A9437E"/>
    <w:rsid w:val="00A95EC1"/>
    <w:rsid w:val="00A968CB"/>
    <w:rsid w:val="00A97F08"/>
    <w:rsid w:val="00A97F4E"/>
    <w:rsid w:val="00AA028A"/>
    <w:rsid w:val="00AA09A2"/>
    <w:rsid w:val="00AA0AFF"/>
    <w:rsid w:val="00AA315F"/>
    <w:rsid w:val="00AA3D14"/>
    <w:rsid w:val="00AA5F11"/>
    <w:rsid w:val="00AA6F30"/>
    <w:rsid w:val="00AA7996"/>
    <w:rsid w:val="00AA7C6A"/>
    <w:rsid w:val="00AB0CA0"/>
    <w:rsid w:val="00AB1042"/>
    <w:rsid w:val="00AB193A"/>
    <w:rsid w:val="00AB1941"/>
    <w:rsid w:val="00AB21D8"/>
    <w:rsid w:val="00AB4790"/>
    <w:rsid w:val="00AB5B94"/>
    <w:rsid w:val="00AB612D"/>
    <w:rsid w:val="00AC0BB6"/>
    <w:rsid w:val="00AC16B8"/>
    <w:rsid w:val="00AC19CB"/>
    <w:rsid w:val="00AC2247"/>
    <w:rsid w:val="00AC24E5"/>
    <w:rsid w:val="00AC4713"/>
    <w:rsid w:val="00AC4EE6"/>
    <w:rsid w:val="00AC53D7"/>
    <w:rsid w:val="00AD090D"/>
    <w:rsid w:val="00AD1D9D"/>
    <w:rsid w:val="00AD34C4"/>
    <w:rsid w:val="00AD5AEE"/>
    <w:rsid w:val="00AD6455"/>
    <w:rsid w:val="00AD6922"/>
    <w:rsid w:val="00AD7668"/>
    <w:rsid w:val="00AE01B7"/>
    <w:rsid w:val="00AE02C1"/>
    <w:rsid w:val="00AE08B8"/>
    <w:rsid w:val="00AE0BDB"/>
    <w:rsid w:val="00AE18B0"/>
    <w:rsid w:val="00AE40E1"/>
    <w:rsid w:val="00AE4283"/>
    <w:rsid w:val="00AE5280"/>
    <w:rsid w:val="00AE5488"/>
    <w:rsid w:val="00AE5EE6"/>
    <w:rsid w:val="00AE6D64"/>
    <w:rsid w:val="00AE6F91"/>
    <w:rsid w:val="00AE78F5"/>
    <w:rsid w:val="00AE7B9E"/>
    <w:rsid w:val="00AF0896"/>
    <w:rsid w:val="00AF4E4D"/>
    <w:rsid w:val="00AF5571"/>
    <w:rsid w:val="00AF7261"/>
    <w:rsid w:val="00AF762E"/>
    <w:rsid w:val="00AF7EAA"/>
    <w:rsid w:val="00B0020C"/>
    <w:rsid w:val="00B02685"/>
    <w:rsid w:val="00B04FEB"/>
    <w:rsid w:val="00B05BFC"/>
    <w:rsid w:val="00B071C0"/>
    <w:rsid w:val="00B07341"/>
    <w:rsid w:val="00B1173E"/>
    <w:rsid w:val="00B11A93"/>
    <w:rsid w:val="00B127E2"/>
    <w:rsid w:val="00B14498"/>
    <w:rsid w:val="00B14688"/>
    <w:rsid w:val="00B15157"/>
    <w:rsid w:val="00B15D58"/>
    <w:rsid w:val="00B20160"/>
    <w:rsid w:val="00B23A3F"/>
    <w:rsid w:val="00B24DA6"/>
    <w:rsid w:val="00B25228"/>
    <w:rsid w:val="00B252AD"/>
    <w:rsid w:val="00B25F94"/>
    <w:rsid w:val="00B27ACF"/>
    <w:rsid w:val="00B27EA4"/>
    <w:rsid w:val="00B30539"/>
    <w:rsid w:val="00B314DB"/>
    <w:rsid w:val="00B33A86"/>
    <w:rsid w:val="00B33EAD"/>
    <w:rsid w:val="00B33F64"/>
    <w:rsid w:val="00B3422A"/>
    <w:rsid w:val="00B361F2"/>
    <w:rsid w:val="00B36A8E"/>
    <w:rsid w:val="00B3718B"/>
    <w:rsid w:val="00B3745F"/>
    <w:rsid w:val="00B433A6"/>
    <w:rsid w:val="00B436B3"/>
    <w:rsid w:val="00B43D81"/>
    <w:rsid w:val="00B43EAE"/>
    <w:rsid w:val="00B45C4E"/>
    <w:rsid w:val="00B4632A"/>
    <w:rsid w:val="00B46349"/>
    <w:rsid w:val="00B46475"/>
    <w:rsid w:val="00B46D64"/>
    <w:rsid w:val="00B4712C"/>
    <w:rsid w:val="00B47D64"/>
    <w:rsid w:val="00B47DB9"/>
    <w:rsid w:val="00B50D24"/>
    <w:rsid w:val="00B530F1"/>
    <w:rsid w:val="00B62543"/>
    <w:rsid w:val="00B62F46"/>
    <w:rsid w:val="00B63487"/>
    <w:rsid w:val="00B641CA"/>
    <w:rsid w:val="00B67AD2"/>
    <w:rsid w:val="00B70E4B"/>
    <w:rsid w:val="00B71B9F"/>
    <w:rsid w:val="00B727D7"/>
    <w:rsid w:val="00B759E3"/>
    <w:rsid w:val="00B779AA"/>
    <w:rsid w:val="00B8035F"/>
    <w:rsid w:val="00B8052F"/>
    <w:rsid w:val="00B83069"/>
    <w:rsid w:val="00B8392C"/>
    <w:rsid w:val="00B85C4D"/>
    <w:rsid w:val="00B85CE9"/>
    <w:rsid w:val="00B91234"/>
    <w:rsid w:val="00B9128D"/>
    <w:rsid w:val="00B91C78"/>
    <w:rsid w:val="00B92FAF"/>
    <w:rsid w:val="00B9393C"/>
    <w:rsid w:val="00B946F9"/>
    <w:rsid w:val="00B94EE1"/>
    <w:rsid w:val="00B96B04"/>
    <w:rsid w:val="00BA0462"/>
    <w:rsid w:val="00BA0A7F"/>
    <w:rsid w:val="00BA276C"/>
    <w:rsid w:val="00BA45EB"/>
    <w:rsid w:val="00BA4BB9"/>
    <w:rsid w:val="00BA515D"/>
    <w:rsid w:val="00BA6166"/>
    <w:rsid w:val="00BA63F9"/>
    <w:rsid w:val="00BA6A71"/>
    <w:rsid w:val="00BB1917"/>
    <w:rsid w:val="00BB306F"/>
    <w:rsid w:val="00BB3116"/>
    <w:rsid w:val="00BB3738"/>
    <w:rsid w:val="00BB3CC8"/>
    <w:rsid w:val="00BB3E3F"/>
    <w:rsid w:val="00BB442F"/>
    <w:rsid w:val="00BB6A0F"/>
    <w:rsid w:val="00BB766B"/>
    <w:rsid w:val="00BB78FD"/>
    <w:rsid w:val="00BC19F5"/>
    <w:rsid w:val="00BC208C"/>
    <w:rsid w:val="00BC2D11"/>
    <w:rsid w:val="00BC5E35"/>
    <w:rsid w:val="00BC62F0"/>
    <w:rsid w:val="00BC67C5"/>
    <w:rsid w:val="00BC6CEC"/>
    <w:rsid w:val="00BD0377"/>
    <w:rsid w:val="00BD038D"/>
    <w:rsid w:val="00BD134A"/>
    <w:rsid w:val="00BD295A"/>
    <w:rsid w:val="00BD4B89"/>
    <w:rsid w:val="00BD4C12"/>
    <w:rsid w:val="00BD5922"/>
    <w:rsid w:val="00BD625F"/>
    <w:rsid w:val="00BD6CD4"/>
    <w:rsid w:val="00BD6DD1"/>
    <w:rsid w:val="00BD6F06"/>
    <w:rsid w:val="00BD7DB2"/>
    <w:rsid w:val="00BE04A1"/>
    <w:rsid w:val="00BE213E"/>
    <w:rsid w:val="00BE236F"/>
    <w:rsid w:val="00BE3B9C"/>
    <w:rsid w:val="00BE4C34"/>
    <w:rsid w:val="00BE58A7"/>
    <w:rsid w:val="00BF02CB"/>
    <w:rsid w:val="00BF11E6"/>
    <w:rsid w:val="00BF11F3"/>
    <w:rsid w:val="00BF1583"/>
    <w:rsid w:val="00BF6D90"/>
    <w:rsid w:val="00BF6FD8"/>
    <w:rsid w:val="00BF7054"/>
    <w:rsid w:val="00C002B9"/>
    <w:rsid w:val="00C00630"/>
    <w:rsid w:val="00C00D6C"/>
    <w:rsid w:val="00C01B91"/>
    <w:rsid w:val="00C033B0"/>
    <w:rsid w:val="00C03680"/>
    <w:rsid w:val="00C038E4"/>
    <w:rsid w:val="00C03AE3"/>
    <w:rsid w:val="00C0483C"/>
    <w:rsid w:val="00C054DF"/>
    <w:rsid w:val="00C06E27"/>
    <w:rsid w:val="00C06ECB"/>
    <w:rsid w:val="00C11BE0"/>
    <w:rsid w:val="00C127DD"/>
    <w:rsid w:val="00C12ED1"/>
    <w:rsid w:val="00C1324E"/>
    <w:rsid w:val="00C15BC7"/>
    <w:rsid w:val="00C15CA8"/>
    <w:rsid w:val="00C163D0"/>
    <w:rsid w:val="00C20B01"/>
    <w:rsid w:val="00C21432"/>
    <w:rsid w:val="00C21762"/>
    <w:rsid w:val="00C21FEF"/>
    <w:rsid w:val="00C23BA4"/>
    <w:rsid w:val="00C23E91"/>
    <w:rsid w:val="00C24543"/>
    <w:rsid w:val="00C24C69"/>
    <w:rsid w:val="00C256A2"/>
    <w:rsid w:val="00C25ADB"/>
    <w:rsid w:val="00C25F80"/>
    <w:rsid w:val="00C27FB5"/>
    <w:rsid w:val="00C302AE"/>
    <w:rsid w:val="00C308DA"/>
    <w:rsid w:val="00C31F99"/>
    <w:rsid w:val="00C32240"/>
    <w:rsid w:val="00C346B5"/>
    <w:rsid w:val="00C34D01"/>
    <w:rsid w:val="00C3504B"/>
    <w:rsid w:val="00C35286"/>
    <w:rsid w:val="00C37220"/>
    <w:rsid w:val="00C4189D"/>
    <w:rsid w:val="00C41A40"/>
    <w:rsid w:val="00C42042"/>
    <w:rsid w:val="00C472C4"/>
    <w:rsid w:val="00C51171"/>
    <w:rsid w:val="00C51515"/>
    <w:rsid w:val="00C51FE9"/>
    <w:rsid w:val="00C530E2"/>
    <w:rsid w:val="00C53BE5"/>
    <w:rsid w:val="00C55083"/>
    <w:rsid w:val="00C560D0"/>
    <w:rsid w:val="00C5660B"/>
    <w:rsid w:val="00C57177"/>
    <w:rsid w:val="00C61456"/>
    <w:rsid w:val="00C61709"/>
    <w:rsid w:val="00C6274B"/>
    <w:rsid w:val="00C644AE"/>
    <w:rsid w:val="00C6528E"/>
    <w:rsid w:val="00C66B37"/>
    <w:rsid w:val="00C66B72"/>
    <w:rsid w:val="00C72B03"/>
    <w:rsid w:val="00C72B27"/>
    <w:rsid w:val="00C73745"/>
    <w:rsid w:val="00C73D23"/>
    <w:rsid w:val="00C76066"/>
    <w:rsid w:val="00C80B0D"/>
    <w:rsid w:val="00C84099"/>
    <w:rsid w:val="00C84BB9"/>
    <w:rsid w:val="00C8660D"/>
    <w:rsid w:val="00C86C05"/>
    <w:rsid w:val="00C87AC4"/>
    <w:rsid w:val="00C87CD5"/>
    <w:rsid w:val="00C90877"/>
    <w:rsid w:val="00C92BA1"/>
    <w:rsid w:val="00C9567A"/>
    <w:rsid w:val="00CA0346"/>
    <w:rsid w:val="00CA07F6"/>
    <w:rsid w:val="00CA09B3"/>
    <w:rsid w:val="00CA15E8"/>
    <w:rsid w:val="00CA58DF"/>
    <w:rsid w:val="00CA6394"/>
    <w:rsid w:val="00CA77EF"/>
    <w:rsid w:val="00CB0002"/>
    <w:rsid w:val="00CB0089"/>
    <w:rsid w:val="00CB212D"/>
    <w:rsid w:val="00CB2660"/>
    <w:rsid w:val="00CB3AC4"/>
    <w:rsid w:val="00CB47D3"/>
    <w:rsid w:val="00CB501D"/>
    <w:rsid w:val="00CB5200"/>
    <w:rsid w:val="00CB5310"/>
    <w:rsid w:val="00CB7CEC"/>
    <w:rsid w:val="00CB7E6F"/>
    <w:rsid w:val="00CC0154"/>
    <w:rsid w:val="00CC0D92"/>
    <w:rsid w:val="00CC1518"/>
    <w:rsid w:val="00CC2D21"/>
    <w:rsid w:val="00CC5679"/>
    <w:rsid w:val="00CC5E90"/>
    <w:rsid w:val="00CC67A2"/>
    <w:rsid w:val="00CC70AC"/>
    <w:rsid w:val="00CC7D34"/>
    <w:rsid w:val="00CD046C"/>
    <w:rsid w:val="00CD141A"/>
    <w:rsid w:val="00CD273B"/>
    <w:rsid w:val="00CD48FC"/>
    <w:rsid w:val="00CD65D6"/>
    <w:rsid w:val="00CE00F8"/>
    <w:rsid w:val="00CE03E2"/>
    <w:rsid w:val="00CE076C"/>
    <w:rsid w:val="00CE3F37"/>
    <w:rsid w:val="00CE44A7"/>
    <w:rsid w:val="00CE44F4"/>
    <w:rsid w:val="00CE5199"/>
    <w:rsid w:val="00CE5721"/>
    <w:rsid w:val="00CE66D5"/>
    <w:rsid w:val="00CE6786"/>
    <w:rsid w:val="00CE728B"/>
    <w:rsid w:val="00CE7CAE"/>
    <w:rsid w:val="00CF3898"/>
    <w:rsid w:val="00CF3ABE"/>
    <w:rsid w:val="00CF4564"/>
    <w:rsid w:val="00CF511D"/>
    <w:rsid w:val="00CF637A"/>
    <w:rsid w:val="00D03D3C"/>
    <w:rsid w:val="00D059DE"/>
    <w:rsid w:val="00D05ABD"/>
    <w:rsid w:val="00D07FE7"/>
    <w:rsid w:val="00D13FCE"/>
    <w:rsid w:val="00D17564"/>
    <w:rsid w:val="00D17F77"/>
    <w:rsid w:val="00D20C47"/>
    <w:rsid w:val="00D219AB"/>
    <w:rsid w:val="00D23880"/>
    <w:rsid w:val="00D249A1"/>
    <w:rsid w:val="00D25E23"/>
    <w:rsid w:val="00D2687F"/>
    <w:rsid w:val="00D27660"/>
    <w:rsid w:val="00D306D1"/>
    <w:rsid w:val="00D30800"/>
    <w:rsid w:val="00D30A66"/>
    <w:rsid w:val="00D32B4D"/>
    <w:rsid w:val="00D34786"/>
    <w:rsid w:val="00D36E5A"/>
    <w:rsid w:val="00D37BFC"/>
    <w:rsid w:val="00D40474"/>
    <w:rsid w:val="00D42769"/>
    <w:rsid w:val="00D4293A"/>
    <w:rsid w:val="00D43DD7"/>
    <w:rsid w:val="00D47A8E"/>
    <w:rsid w:val="00D50201"/>
    <w:rsid w:val="00D50F4D"/>
    <w:rsid w:val="00D52BCE"/>
    <w:rsid w:val="00D52D14"/>
    <w:rsid w:val="00D538EA"/>
    <w:rsid w:val="00D53FFC"/>
    <w:rsid w:val="00D54D5C"/>
    <w:rsid w:val="00D643E4"/>
    <w:rsid w:val="00D6758C"/>
    <w:rsid w:val="00D67E55"/>
    <w:rsid w:val="00D7009D"/>
    <w:rsid w:val="00D701FD"/>
    <w:rsid w:val="00D70BBA"/>
    <w:rsid w:val="00D712D3"/>
    <w:rsid w:val="00D71422"/>
    <w:rsid w:val="00D71E66"/>
    <w:rsid w:val="00D722DD"/>
    <w:rsid w:val="00D72C00"/>
    <w:rsid w:val="00D72DC6"/>
    <w:rsid w:val="00D7546B"/>
    <w:rsid w:val="00D7558D"/>
    <w:rsid w:val="00D77207"/>
    <w:rsid w:val="00D7795B"/>
    <w:rsid w:val="00D81190"/>
    <w:rsid w:val="00D81D92"/>
    <w:rsid w:val="00D83111"/>
    <w:rsid w:val="00D845A9"/>
    <w:rsid w:val="00D845B5"/>
    <w:rsid w:val="00D876F9"/>
    <w:rsid w:val="00D9011D"/>
    <w:rsid w:val="00D90AC9"/>
    <w:rsid w:val="00D92914"/>
    <w:rsid w:val="00D951C7"/>
    <w:rsid w:val="00D9613C"/>
    <w:rsid w:val="00D97339"/>
    <w:rsid w:val="00D97769"/>
    <w:rsid w:val="00D97D0A"/>
    <w:rsid w:val="00DA1A47"/>
    <w:rsid w:val="00DA3334"/>
    <w:rsid w:val="00DA3AD4"/>
    <w:rsid w:val="00DA3B6E"/>
    <w:rsid w:val="00DA3CEF"/>
    <w:rsid w:val="00DA6DEA"/>
    <w:rsid w:val="00DA7B5F"/>
    <w:rsid w:val="00DB1F47"/>
    <w:rsid w:val="00DB2734"/>
    <w:rsid w:val="00DB52EF"/>
    <w:rsid w:val="00DC11E7"/>
    <w:rsid w:val="00DC1356"/>
    <w:rsid w:val="00DC24E3"/>
    <w:rsid w:val="00DC3047"/>
    <w:rsid w:val="00DC3104"/>
    <w:rsid w:val="00DC4086"/>
    <w:rsid w:val="00DC41DE"/>
    <w:rsid w:val="00DC53E1"/>
    <w:rsid w:val="00DC552A"/>
    <w:rsid w:val="00DC6C19"/>
    <w:rsid w:val="00DC7023"/>
    <w:rsid w:val="00DC769A"/>
    <w:rsid w:val="00DD043E"/>
    <w:rsid w:val="00DD160C"/>
    <w:rsid w:val="00DD1748"/>
    <w:rsid w:val="00DD1ECD"/>
    <w:rsid w:val="00DD3D86"/>
    <w:rsid w:val="00DD3E41"/>
    <w:rsid w:val="00DD447F"/>
    <w:rsid w:val="00DD49D9"/>
    <w:rsid w:val="00DD4AD2"/>
    <w:rsid w:val="00DD4F25"/>
    <w:rsid w:val="00DD6AE0"/>
    <w:rsid w:val="00DD7765"/>
    <w:rsid w:val="00DE065A"/>
    <w:rsid w:val="00DE0EAD"/>
    <w:rsid w:val="00DE2087"/>
    <w:rsid w:val="00DE28BB"/>
    <w:rsid w:val="00DE3649"/>
    <w:rsid w:val="00DF00A6"/>
    <w:rsid w:val="00DF1EC4"/>
    <w:rsid w:val="00DF4CC4"/>
    <w:rsid w:val="00DF4D54"/>
    <w:rsid w:val="00DF55F9"/>
    <w:rsid w:val="00DF6DA4"/>
    <w:rsid w:val="00E00D19"/>
    <w:rsid w:val="00E01516"/>
    <w:rsid w:val="00E0340B"/>
    <w:rsid w:val="00E04821"/>
    <w:rsid w:val="00E04A90"/>
    <w:rsid w:val="00E0551F"/>
    <w:rsid w:val="00E07159"/>
    <w:rsid w:val="00E10A13"/>
    <w:rsid w:val="00E10C78"/>
    <w:rsid w:val="00E10F4E"/>
    <w:rsid w:val="00E1107F"/>
    <w:rsid w:val="00E12860"/>
    <w:rsid w:val="00E1475F"/>
    <w:rsid w:val="00E20699"/>
    <w:rsid w:val="00E219C7"/>
    <w:rsid w:val="00E241CA"/>
    <w:rsid w:val="00E2552E"/>
    <w:rsid w:val="00E25C04"/>
    <w:rsid w:val="00E2610D"/>
    <w:rsid w:val="00E277B5"/>
    <w:rsid w:val="00E34242"/>
    <w:rsid w:val="00E34662"/>
    <w:rsid w:val="00E346CA"/>
    <w:rsid w:val="00E353A5"/>
    <w:rsid w:val="00E35D86"/>
    <w:rsid w:val="00E36DCF"/>
    <w:rsid w:val="00E37F2C"/>
    <w:rsid w:val="00E407BF"/>
    <w:rsid w:val="00E40F74"/>
    <w:rsid w:val="00E4118C"/>
    <w:rsid w:val="00E43157"/>
    <w:rsid w:val="00E44D05"/>
    <w:rsid w:val="00E453E7"/>
    <w:rsid w:val="00E461CE"/>
    <w:rsid w:val="00E50692"/>
    <w:rsid w:val="00E524D5"/>
    <w:rsid w:val="00E5293D"/>
    <w:rsid w:val="00E54009"/>
    <w:rsid w:val="00E54C26"/>
    <w:rsid w:val="00E562E1"/>
    <w:rsid w:val="00E56402"/>
    <w:rsid w:val="00E573E4"/>
    <w:rsid w:val="00E614F9"/>
    <w:rsid w:val="00E616BB"/>
    <w:rsid w:val="00E61889"/>
    <w:rsid w:val="00E632F8"/>
    <w:rsid w:val="00E6397B"/>
    <w:rsid w:val="00E64C3D"/>
    <w:rsid w:val="00E67024"/>
    <w:rsid w:val="00E677BE"/>
    <w:rsid w:val="00E70320"/>
    <w:rsid w:val="00E709B4"/>
    <w:rsid w:val="00E71F5C"/>
    <w:rsid w:val="00E720CA"/>
    <w:rsid w:val="00E73234"/>
    <w:rsid w:val="00E742A5"/>
    <w:rsid w:val="00E74845"/>
    <w:rsid w:val="00E74E29"/>
    <w:rsid w:val="00E753F1"/>
    <w:rsid w:val="00E7561E"/>
    <w:rsid w:val="00E7635A"/>
    <w:rsid w:val="00E76B35"/>
    <w:rsid w:val="00E80561"/>
    <w:rsid w:val="00E820CD"/>
    <w:rsid w:val="00E83FA5"/>
    <w:rsid w:val="00E84EB5"/>
    <w:rsid w:val="00E85662"/>
    <w:rsid w:val="00E8789F"/>
    <w:rsid w:val="00E91381"/>
    <w:rsid w:val="00E929FB"/>
    <w:rsid w:val="00E93A21"/>
    <w:rsid w:val="00E95570"/>
    <w:rsid w:val="00E97B71"/>
    <w:rsid w:val="00EA07D9"/>
    <w:rsid w:val="00EA13AB"/>
    <w:rsid w:val="00EA1EDA"/>
    <w:rsid w:val="00EA24A3"/>
    <w:rsid w:val="00EA3B43"/>
    <w:rsid w:val="00EA3C6F"/>
    <w:rsid w:val="00EA3D34"/>
    <w:rsid w:val="00EA490D"/>
    <w:rsid w:val="00EA51C3"/>
    <w:rsid w:val="00EA5A0A"/>
    <w:rsid w:val="00EA5F9E"/>
    <w:rsid w:val="00EB1CE6"/>
    <w:rsid w:val="00EB23EF"/>
    <w:rsid w:val="00EB319C"/>
    <w:rsid w:val="00EB454D"/>
    <w:rsid w:val="00EB6D31"/>
    <w:rsid w:val="00EB7579"/>
    <w:rsid w:val="00EB7B42"/>
    <w:rsid w:val="00EC15AF"/>
    <w:rsid w:val="00EC2A89"/>
    <w:rsid w:val="00EC2FB3"/>
    <w:rsid w:val="00EC7364"/>
    <w:rsid w:val="00ED091B"/>
    <w:rsid w:val="00ED14AE"/>
    <w:rsid w:val="00ED2CF4"/>
    <w:rsid w:val="00ED549D"/>
    <w:rsid w:val="00ED564E"/>
    <w:rsid w:val="00ED6501"/>
    <w:rsid w:val="00ED76BE"/>
    <w:rsid w:val="00EE00E9"/>
    <w:rsid w:val="00EE0BE2"/>
    <w:rsid w:val="00EE0DD4"/>
    <w:rsid w:val="00EE16F2"/>
    <w:rsid w:val="00EE1FF2"/>
    <w:rsid w:val="00EE2948"/>
    <w:rsid w:val="00EE3346"/>
    <w:rsid w:val="00EE5B73"/>
    <w:rsid w:val="00EE6DF0"/>
    <w:rsid w:val="00EF0E70"/>
    <w:rsid w:val="00EF1AAA"/>
    <w:rsid w:val="00EF1E15"/>
    <w:rsid w:val="00EF20DC"/>
    <w:rsid w:val="00EF5D85"/>
    <w:rsid w:val="00EF619B"/>
    <w:rsid w:val="00F00B55"/>
    <w:rsid w:val="00F018F8"/>
    <w:rsid w:val="00F023D9"/>
    <w:rsid w:val="00F02AD1"/>
    <w:rsid w:val="00F02DFC"/>
    <w:rsid w:val="00F03BE7"/>
    <w:rsid w:val="00F04178"/>
    <w:rsid w:val="00F04C58"/>
    <w:rsid w:val="00F05663"/>
    <w:rsid w:val="00F06056"/>
    <w:rsid w:val="00F1047C"/>
    <w:rsid w:val="00F10C9C"/>
    <w:rsid w:val="00F117CE"/>
    <w:rsid w:val="00F11B58"/>
    <w:rsid w:val="00F12DD4"/>
    <w:rsid w:val="00F13686"/>
    <w:rsid w:val="00F14A8D"/>
    <w:rsid w:val="00F14FF2"/>
    <w:rsid w:val="00F15CBD"/>
    <w:rsid w:val="00F16354"/>
    <w:rsid w:val="00F178E5"/>
    <w:rsid w:val="00F22E8F"/>
    <w:rsid w:val="00F2359C"/>
    <w:rsid w:val="00F236D6"/>
    <w:rsid w:val="00F23F5F"/>
    <w:rsid w:val="00F253CC"/>
    <w:rsid w:val="00F27D6D"/>
    <w:rsid w:val="00F27E66"/>
    <w:rsid w:val="00F30FAF"/>
    <w:rsid w:val="00F32215"/>
    <w:rsid w:val="00F326D7"/>
    <w:rsid w:val="00F34B96"/>
    <w:rsid w:val="00F37106"/>
    <w:rsid w:val="00F3791A"/>
    <w:rsid w:val="00F414D9"/>
    <w:rsid w:val="00F41A76"/>
    <w:rsid w:val="00F42353"/>
    <w:rsid w:val="00F44E25"/>
    <w:rsid w:val="00F47FD1"/>
    <w:rsid w:val="00F519CF"/>
    <w:rsid w:val="00F543A7"/>
    <w:rsid w:val="00F55FA4"/>
    <w:rsid w:val="00F56BA5"/>
    <w:rsid w:val="00F606A0"/>
    <w:rsid w:val="00F6099A"/>
    <w:rsid w:val="00F609E8"/>
    <w:rsid w:val="00F60E22"/>
    <w:rsid w:val="00F617CD"/>
    <w:rsid w:val="00F61A87"/>
    <w:rsid w:val="00F6232A"/>
    <w:rsid w:val="00F646F9"/>
    <w:rsid w:val="00F653AA"/>
    <w:rsid w:val="00F7244B"/>
    <w:rsid w:val="00F767A8"/>
    <w:rsid w:val="00F81395"/>
    <w:rsid w:val="00F81BB8"/>
    <w:rsid w:val="00F83073"/>
    <w:rsid w:val="00F832DD"/>
    <w:rsid w:val="00F86395"/>
    <w:rsid w:val="00F90C45"/>
    <w:rsid w:val="00F90C64"/>
    <w:rsid w:val="00F90E7D"/>
    <w:rsid w:val="00F917D1"/>
    <w:rsid w:val="00F9653B"/>
    <w:rsid w:val="00FA1459"/>
    <w:rsid w:val="00FA2ACF"/>
    <w:rsid w:val="00FA416A"/>
    <w:rsid w:val="00FA49EA"/>
    <w:rsid w:val="00FA5036"/>
    <w:rsid w:val="00FA63BF"/>
    <w:rsid w:val="00FA6BFB"/>
    <w:rsid w:val="00FB1254"/>
    <w:rsid w:val="00FB1CCD"/>
    <w:rsid w:val="00FB62CF"/>
    <w:rsid w:val="00FB6B58"/>
    <w:rsid w:val="00FC0BF9"/>
    <w:rsid w:val="00FC11AA"/>
    <w:rsid w:val="00FC1D75"/>
    <w:rsid w:val="00FC21D6"/>
    <w:rsid w:val="00FC23FF"/>
    <w:rsid w:val="00FC3245"/>
    <w:rsid w:val="00FC4870"/>
    <w:rsid w:val="00FC4C8E"/>
    <w:rsid w:val="00FC6356"/>
    <w:rsid w:val="00FD01EA"/>
    <w:rsid w:val="00FD01F0"/>
    <w:rsid w:val="00FD373B"/>
    <w:rsid w:val="00FD3C3B"/>
    <w:rsid w:val="00FD3F3A"/>
    <w:rsid w:val="00FD73CD"/>
    <w:rsid w:val="00FD73DA"/>
    <w:rsid w:val="00FE07DD"/>
    <w:rsid w:val="00FE16D9"/>
    <w:rsid w:val="00FE1F5C"/>
    <w:rsid w:val="00FE433D"/>
    <w:rsid w:val="00FE5279"/>
    <w:rsid w:val="00FE6B45"/>
    <w:rsid w:val="00FE7AA0"/>
    <w:rsid w:val="00FE7ADC"/>
    <w:rsid w:val="00FE7B52"/>
    <w:rsid w:val="00FF0390"/>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797706"/>
    <w:pPr>
      <w:jc w:val="both"/>
    </w:pPr>
    <w:rPr>
      <w:rFonts w:eastAsia="Arial Unicode MS"/>
      <w:sz w:val="20"/>
      <w:szCs w:val="20"/>
      <w:bdr w:val="nil"/>
      <w:vertAlign w:val="superscript"/>
      <w:lang w:eastAsia="es-ES"/>
    </w:rPr>
  </w:style>
  <w:style w:type="character" w:customStyle="1" w:styleId="normaltextrun">
    <w:name w:val="normaltextrun"/>
    <w:basedOn w:val="DefaultParagraphFont"/>
    <w:rsid w:val="0053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578">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1615582">
      <w:bodyDiv w:val="1"/>
      <w:marLeft w:val="0"/>
      <w:marRight w:val="0"/>
      <w:marTop w:val="0"/>
      <w:marBottom w:val="0"/>
      <w:divBdr>
        <w:top w:val="none" w:sz="0" w:space="0" w:color="auto"/>
        <w:left w:val="none" w:sz="0" w:space="0" w:color="auto"/>
        <w:bottom w:val="none" w:sz="0" w:space="0" w:color="auto"/>
        <w:right w:val="none" w:sz="0" w:space="0" w:color="auto"/>
      </w:divBdr>
      <w:divsChild>
        <w:div w:id="620305743">
          <w:marLeft w:val="0"/>
          <w:marRight w:val="0"/>
          <w:marTop w:val="0"/>
          <w:marBottom w:val="0"/>
          <w:divBdr>
            <w:top w:val="none" w:sz="0" w:space="0" w:color="auto"/>
            <w:left w:val="none" w:sz="0" w:space="0" w:color="auto"/>
            <w:bottom w:val="none" w:sz="0" w:space="0" w:color="auto"/>
            <w:right w:val="none" w:sz="0" w:space="0" w:color="auto"/>
          </w:divBdr>
        </w:div>
        <w:div w:id="703097694">
          <w:marLeft w:val="0"/>
          <w:marRight w:val="0"/>
          <w:marTop w:val="0"/>
          <w:marBottom w:val="0"/>
          <w:divBdr>
            <w:top w:val="none" w:sz="0" w:space="0" w:color="auto"/>
            <w:left w:val="none" w:sz="0" w:space="0" w:color="auto"/>
            <w:bottom w:val="none" w:sz="0" w:space="0" w:color="auto"/>
            <w:right w:val="none" w:sz="0" w:space="0" w:color="auto"/>
          </w:divBdr>
          <w:divsChild>
            <w:div w:id="214506304">
              <w:marLeft w:val="0"/>
              <w:marRight w:val="165"/>
              <w:marTop w:val="150"/>
              <w:marBottom w:val="0"/>
              <w:divBdr>
                <w:top w:val="none" w:sz="0" w:space="0" w:color="auto"/>
                <w:left w:val="none" w:sz="0" w:space="0" w:color="auto"/>
                <w:bottom w:val="none" w:sz="0" w:space="0" w:color="auto"/>
                <w:right w:val="none" w:sz="0" w:space="0" w:color="auto"/>
              </w:divBdr>
              <w:divsChild>
                <w:div w:id="787359363">
                  <w:marLeft w:val="0"/>
                  <w:marRight w:val="0"/>
                  <w:marTop w:val="0"/>
                  <w:marBottom w:val="0"/>
                  <w:divBdr>
                    <w:top w:val="none" w:sz="0" w:space="0" w:color="auto"/>
                    <w:left w:val="none" w:sz="0" w:space="0" w:color="auto"/>
                    <w:bottom w:val="none" w:sz="0" w:space="0" w:color="auto"/>
                    <w:right w:val="none" w:sz="0" w:space="0" w:color="auto"/>
                  </w:divBdr>
                  <w:divsChild>
                    <w:div w:id="2147234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724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7535430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4082228">
      <w:bodyDiv w:val="1"/>
      <w:marLeft w:val="0"/>
      <w:marRight w:val="0"/>
      <w:marTop w:val="0"/>
      <w:marBottom w:val="0"/>
      <w:divBdr>
        <w:top w:val="none" w:sz="0" w:space="0" w:color="auto"/>
        <w:left w:val="none" w:sz="0" w:space="0" w:color="auto"/>
        <w:bottom w:val="none" w:sz="0" w:space="0" w:color="auto"/>
        <w:right w:val="none" w:sz="0" w:space="0" w:color="auto"/>
      </w:divBdr>
    </w:div>
    <w:div w:id="466701585">
      <w:bodyDiv w:val="1"/>
      <w:marLeft w:val="0"/>
      <w:marRight w:val="0"/>
      <w:marTop w:val="0"/>
      <w:marBottom w:val="0"/>
      <w:divBdr>
        <w:top w:val="none" w:sz="0" w:space="0" w:color="auto"/>
        <w:left w:val="none" w:sz="0" w:space="0" w:color="auto"/>
        <w:bottom w:val="none" w:sz="0" w:space="0" w:color="auto"/>
        <w:right w:val="none" w:sz="0" w:space="0" w:color="auto"/>
      </w:divBdr>
    </w:div>
    <w:div w:id="516772194">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89530467">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1315186">
      <w:bodyDiv w:val="1"/>
      <w:marLeft w:val="0"/>
      <w:marRight w:val="0"/>
      <w:marTop w:val="0"/>
      <w:marBottom w:val="0"/>
      <w:divBdr>
        <w:top w:val="none" w:sz="0" w:space="0" w:color="auto"/>
        <w:left w:val="none" w:sz="0" w:space="0" w:color="auto"/>
        <w:bottom w:val="none" w:sz="0" w:space="0" w:color="auto"/>
        <w:right w:val="none" w:sz="0" w:space="0" w:color="auto"/>
      </w:divBdr>
      <w:divsChild>
        <w:div w:id="375087068">
          <w:marLeft w:val="0"/>
          <w:marRight w:val="0"/>
          <w:marTop w:val="0"/>
          <w:marBottom w:val="0"/>
          <w:divBdr>
            <w:top w:val="none" w:sz="0" w:space="0" w:color="auto"/>
            <w:left w:val="none" w:sz="0" w:space="0" w:color="auto"/>
            <w:bottom w:val="none" w:sz="0" w:space="0" w:color="auto"/>
            <w:right w:val="none" w:sz="0" w:space="0" w:color="auto"/>
          </w:divBdr>
          <w:divsChild>
            <w:div w:id="951135904">
              <w:marLeft w:val="0"/>
              <w:marRight w:val="165"/>
              <w:marTop w:val="150"/>
              <w:marBottom w:val="0"/>
              <w:divBdr>
                <w:top w:val="none" w:sz="0" w:space="0" w:color="auto"/>
                <w:left w:val="none" w:sz="0" w:space="0" w:color="auto"/>
                <w:bottom w:val="none" w:sz="0" w:space="0" w:color="auto"/>
                <w:right w:val="none" w:sz="0" w:space="0" w:color="auto"/>
              </w:divBdr>
              <w:divsChild>
                <w:div w:id="1216621986">
                  <w:marLeft w:val="0"/>
                  <w:marRight w:val="0"/>
                  <w:marTop w:val="0"/>
                  <w:marBottom w:val="0"/>
                  <w:divBdr>
                    <w:top w:val="none" w:sz="0" w:space="0" w:color="auto"/>
                    <w:left w:val="none" w:sz="0" w:space="0" w:color="auto"/>
                    <w:bottom w:val="none" w:sz="0" w:space="0" w:color="auto"/>
                    <w:right w:val="none" w:sz="0" w:space="0" w:color="auto"/>
                  </w:divBdr>
                  <w:divsChild>
                    <w:div w:id="19024029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183591688">
              <w:marLeft w:val="0"/>
              <w:marRight w:val="0"/>
              <w:marTop w:val="0"/>
              <w:marBottom w:val="0"/>
              <w:divBdr>
                <w:top w:val="none" w:sz="0" w:space="0" w:color="auto"/>
                <w:left w:val="none" w:sz="0" w:space="0" w:color="auto"/>
                <w:bottom w:val="none" w:sz="0" w:space="0" w:color="auto"/>
                <w:right w:val="none" w:sz="0" w:space="0" w:color="auto"/>
              </w:divBdr>
            </w:div>
          </w:divsChild>
        </w:div>
        <w:div w:id="960959452">
          <w:marLeft w:val="0"/>
          <w:marRight w:val="0"/>
          <w:marTop w:val="0"/>
          <w:marBottom w:val="0"/>
          <w:divBdr>
            <w:top w:val="none" w:sz="0" w:space="0" w:color="auto"/>
            <w:left w:val="none" w:sz="0" w:space="0" w:color="auto"/>
            <w:bottom w:val="none" w:sz="0" w:space="0" w:color="auto"/>
            <w:right w:val="none" w:sz="0" w:space="0" w:color="auto"/>
          </w:divBdr>
        </w:div>
      </w:divsChild>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60239202">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922109641">
      <w:bodyDiv w:val="1"/>
      <w:marLeft w:val="0"/>
      <w:marRight w:val="0"/>
      <w:marTop w:val="0"/>
      <w:marBottom w:val="0"/>
      <w:divBdr>
        <w:top w:val="none" w:sz="0" w:space="0" w:color="auto"/>
        <w:left w:val="none" w:sz="0" w:space="0" w:color="auto"/>
        <w:bottom w:val="none" w:sz="0" w:space="0" w:color="auto"/>
        <w:right w:val="none" w:sz="0" w:space="0" w:color="auto"/>
      </w:divBdr>
      <w:divsChild>
        <w:div w:id="872497048">
          <w:marLeft w:val="0"/>
          <w:marRight w:val="0"/>
          <w:marTop w:val="0"/>
          <w:marBottom w:val="0"/>
          <w:divBdr>
            <w:top w:val="none" w:sz="0" w:space="0" w:color="auto"/>
            <w:left w:val="none" w:sz="0" w:space="0" w:color="auto"/>
            <w:bottom w:val="none" w:sz="0" w:space="0" w:color="auto"/>
            <w:right w:val="none" w:sz="0" w:space="0" w:color="auto"/>
          </w:divBdr>
          <w:divsChild>
            <w:div w:id="118493260">
              <w:marLeft w:val="0"/>
              <w:marRight w:val="0"/>
              <w:marTop w:val="0"/>
              <w:marBottom w:val="0"/>
              <w:divBdr>
                <w:top w:val="none" w:sz="0" w:space="0" w:color="auto"/>
                <w:left w:val="none" w:sz="0" w:space="0" w:color="auto"/>
                <w:bottom w:val="none" w:sz="0" w:space="0" w:color="auto"/>
                <w:right w:val="none" w:sz="0" w:space="0" w:color="auto"/>
              </w:divBdr>
            </w:div>
            <w:div w:id="1828856641">
              <w:marLeft w:val="0"/>
              <w:marRight w:val="165"/>
              <w:marTop w:val="150"/>
              <w:marBottom w:val="0"/>
              <w:divBdr>
                <w:top w:val="none" w:sz="0" w:space="0" w:color="auto"/>
                <w:left w:val="none" w:sz="0" w:space="0" w:color="auto"/>
                <w:bottom w:val="none" w:sz="0" w:space="0" w:color="auto"/>
                <w:right w:val="none" w:sz="0" w:space="0" w:color="auto"/>
              </w:divBdr>
              <w:divsChild>
                <w:div w:id="1572348309">
                  <w:marLeft w:val="0"/>
                  <w:marRight w:val="0"/>
                  <w:marTop w:val="0"/>
                  <w:marBottom w:val="0"/>
                  <w:divBdr>
                    <w:top w:val="none" w:sz="0" w:space="0" w:color="auto"/>
                    <w:left w:val="none" w:sz="0" w:space="0" w:color="auto"/>
                    <w:bottom w:val="none" w:sz="0" w:space="0" w:color="auto"/>
                    <w:right w:val="none" w:sz="0" w:space="0" w:color="auto"/>
                  </w:divBdr>
                  <w:divsChild>
                    <w:div w:id="538201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7227354">
          <w:marLeft w:val="0"/>
          <w:marRight w:val="0"/>
          <w:marTop w:val="0"/>
          <w:marBottom w:val="0"/>
          <w:divBdr>
            <w:top w:val="none" w:sz="0" w:space="0" w:color="auto"/>
            <w:left w:val="none" w:sz="0" w:space="0" w:color="auto"/>
            <w:bottom w:val="none" w:sz="0" w:space="0" w:color="auto"/>
            <w:right w:val="none" w:sz="0" w:space="0" w:color="auto"/>
          </w:divBdr>
        </w:div>
      </w:divsChild>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87993022">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6481095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695769781">
      <w:bodyDiv w:val="1"/>
      <w:marLeft w:val="0"/>
      <w:marRight w:val="0"/>
      <w:marTop w:val="0"/>
      <w:marBottom w:val="0"/>
      <w:divBdr>
        <w:top w:val="none" w:sz="0" w:space="0" w:color="auto"/>
        <w:left w:val="none" w:sz="0" w:space="0" w:color="auto"/>
        <w:bottom w:val="none" w:sz="0" w:space="0" w:color="auto"/>
        <w:right w:val="none" w:sz="0" w:space="0" w:color="auto"/>
      </w:divBdr>
      <w:divsChild>
        <w:div w:id="576406840">
          <w:marLeft w:val="0"/>
          <w:marRight w:val="0"/>
          <w:marTop w:val="0"/>
          <w:marBottom w:val="0"/>
          <w:divBdr>
            <w:top w:val="none" w:sz="0" w:space="0" w:color="auto"/>
            <w:left w:val="none" w:sz="0" w:space="0" w:color="auto"/>
            <w:bottom w:val="none" w:sz="0" w:space="0" w:color="auto"/>
            <w:right w:val="none" w:sz="0" w:space="0" w:color="auto"/>
          </w:divBdr>
        </w:div>
        <w:div w:id="841747973">
          <w:marLeft w:val="0"/>
          <w:marRight w:val="0"/>
          <w:marTop w:val="0"/>
          <w:marBottom w:val="0"/>
          <w:divBdr>
            <w:top w:val="none" w:sz="0" w:space="0" w:color="auto"/>
            <w:left w:val="none" w:sz="0" w:space="0" w:color="auto"/>
            <w:bottom w:val="none" w:sz="0" w:space="0" w:color="auto"/>
            <w:right w:val="none" w:sz="0" w:space="0" w:color="auto"/>
          </w:divBdr>
          <w:divsChild>
            <w:div w:id="973438833">
              <w:marLeft w:val="0"/>
              <w:marRight w:val="0"/>
              <w:marTop w:val="0"/>
              <w:marBottom w:val="0"/>
              <w:divBdr>
                <w:top w:val="none" w:sz="0" w:space="0" w:color="auto"/>
                <w:left w:val="none" w:sz="0" w:space="0" w:color="auto"/>
                <w:bottom w:val="none" w:sz="0" w:space="0" w:color="auto"/>
                <w:right w:val="none" w:sz="0" w:space="0" w:color="auto"/>
              </w:divBdr>
            </w:div>
            <w:div w:id="996345241">
              <w:marLeft w:val="0"/>
              <w:marRight w:val="165"/>
              <w:marTop w:val="150"/>
              <w:marBottom w:val="0"/>
              <w:divBdr>
                <w:top w:val="none" w:sz="0" w:space="0" w:color="auto"/>
                <w:left w:val="none" w:sz="0" w:space="0" w:color="auto"/>
                <w:bottom w:val="none" w:sz="0" w:space="0" w:color="auto"/>
                <w:right w:val="none" w:sz="0" w:space="0" w:color="auto"/>
              </w:divBdr>
              <w:divsChild>
                <w:div w:id="605308761">
                  <w:marLeft w:val="0"/>
                  <w:marRight w:val="0"/>
                  <w:marTop w:val="0"/>
                  <w:marBottom w:val="0"/>
                  <w:divBdr>
                    <w:top w:val="none" w:sz="0" w:space="0" w:color="auto"/>
                    <w:left w:val="none" w:sz="0" w:space="0" w:color="auto"/>
                    <w:bottom w:val="none" w:sz="0" w:space="0" w:color="auto"/>
                    <w:right w:val="none" w:sz="0" w:space="0" w:color="auto"/>
                  </w:divBdr>
                  <w:divsChild>
                    <w:div w:id="224880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87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58848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77421901">
      <w:bodyDiv w:val="1"/>
      <w:marLeft w:val="0"/>
      <w:marRight w:val="0"/>
      <w:marTop w:val="0"/>
      <w:marBottom w:val="0"/>
      <w:divBdr>
        <w:top w:val="none" w:sz="0" w:space="0" w:color="auto"/>
        <w:left w:val="none" w:sz="0" w:space="0" w:color="auto"/>
        <w:bottom w:val="none" w:sz="0" w:space="0" w:color="auto"/>
        <w:right w:val="none" w:sz="0" w:space="0" w:color="auto"/>
      </w:divBdr>
      <w:divsChild>
        <w:div w:id="950554824">
          <w:marLeft w:val="0"/>
          <w:marRight w:val="0"/>
          <w:marTop w:val="0"/>
          <w:marBottom w:val="0"/>
          <w:divBdr>
            <w:top w:val="none" w:sz="0" w:space="0" w:color="auto"/>
            <w:left w:val="none" w:sz="0" w:space="0" w:color="auto"/>
            <w:bottom w:val="none" w:sz="0" w:space="0" w:color="auto"/>
            <w:right w:val="none" w:sz="0" w:space="0" w:color="auto"/>
          </w:divBdr>
        </w:div>
        <w:div w:id="1697848818">
          <w:marLeft w:val="0"/>
          <w:marRight w:val="0"/>
          <w:marTop w:val="0"/>
          <w:marBottom w:val="0"/>
          <w:divBdr>
            <w:top w:val="none" w:sz="0" w:space="0" w:color="auto"/>
            <w:left w:val="none" w:sz="0" w:space="0" w:color="auto"/>
            <w:bottom w:val="none" w:sz="0" w:space="0" w:color="auto"/>
            <w:right w:val="none" w:sz="0" w:space="0" w:color="auto"/>
          </w:divBdr>
          <w:divsChild>
            <w:div w:id="1363824721">
              <w:marLeft w:val="0"/>
              <w:marRight w:val="0"/>
              <w:marTop w:val="0"/>
              <w:marBottom w:val="0"/>
              <w:divBdr>
                <w:top w:val="none" w:sz="0" w:space="0" w:color="auto"/>
                <w:left w:val="none" w:sz="0" w:space="0" w:color="auto"/>
                <w:bottom w:val="none" w:sz="0" w:space="0" w:color="auto"/>
                <w:right w:val="none" w:sz="0" w:space="0" w:color="auto"/>
              </w:divBdr>
            </w:div>
            <w:div w:id="1980841630">
              <w:marLeft w:val="0"/>
              <w:marRight w:val="165"/>
              <w:marTop w:val="150"/>
              <w:marBottom w:val="0"/>
              <w:divBdr>
                <w:top w:val="none" w:sz="0" w:space="0" w:color="auto"/>
                <w:left w:val="none" w:sz="0" w:space="0" w:color="auto"/>
                <w:bottom w:val="none" w:sz="0" w:space="0" w:color="auto"/>
                <w:right w:val="none" w:sz="0" w:space="0" w:color="auto"/>
              </w:divBdr>
              <w:divsChild>
                <w:div w:id="2013214350">
                  <w:marLeft w:val="0"/>
                  <w:marRight w:val="0"/>
                  <w:marTop w:val="0"/>
                  <w:marBottom w:val="0"/>
                  <w:divBdr>
                    <w:top w:val="none" w:sz="0" w:space="0" w:color="auto"/>
                    <w:left w:val="none" w:sz="0" w:space="0" w:color="auto"/>
                    <w:bottom w:val="none" w:sz="0" w:space="0" w:color="auto"/>
                    <w:right w:val="none" w:sz="0" w:space="0" w:color="auto"/>
                  </w:divBdr>
                  <w:divsChild>
                    <w:div w:id="384523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40257">
      <w:bodyDiv w:val="1"/>
      <w:marLeft w:val="0"/>
      <w:marRight w:val="0"/>
      <w:marTop w:val="0"/>
      <w:marBottom w:val="0"/>
      <w:divBdr>
        <w:top w:val="none" w:sz="0" w:space="0" w:color="auto"/>
        <w:left w:val="none" w:sz="0" w:space="0" w:color="auto"/>
        <w:bottom w:val="none" w:sz="0" w:space="0" w:color="auto"/>
        <w:right w:val="none" w:sz="0" w:space="0" w:color="auto"/>
      </w:divBdr>
    </w:div>
    <w:div w:id="1891725088">
      <w:bodyDiv w:val="1"/>
      <w:marLeft w:val="0"/>
      <w:marRight w:val="0"/>
      <w:marTop w:val="0"/>
      <w:marBottom w:val="0"/>
      <w:divBdr>
        <w:top w:val="none" w:sz="0" w:space="0" w:color="auto"/>
        <w:left w:val="none" w:sz="0" w:space="0" w:color="auto"/>
        <w:bottom w:val="none" w:sz="0" w:space="0" w:color="auto"/>
        <w:right w:val="none" w:sz="0" w:space="0" w:color="auto"/>
      </w:divBdr>
      <w:divsChild>
        <w:div w:id="1885482815">
          <w:marLeft w:val="0"/>
          <w:marRight w:val="0"/>
          <w:marTop w:val="0"/>
          <w:marBottom w:val="0"/>
          <w:divBdr>
            <w:top w:val="none" w:sz="0" w:space="0" w:color="auto"/>
            <w:left w:val="none" w:sz="0" w:space="0" w:color="auto"/>
            <w:bottom w:val="none" w:sz="0" w:space="0" w:color="auto"/>
            <w:right w:val="none" w:sz="0" w:space="0" w:color="auto"/>
          </w:divBdr>
        </w:div>
        <w:div w:id="2045208870">
          <w:marLeft w:val="0"/>
          <w:marRight w:val="0"/>
          <w:marTop w:val="0"/>
          <w:marBottom w:val="0"/>
          <w:divBdr>
            <w:top w:val="none" w:sz="0" w:space="0" w:color="auto"/>
            <w:left w:val="none" w:sz="0" w:space="0" w:color="auto"/>
            <w:bottom w:val="none" w:sz="0" w:space="0" w:color="auto"/>
            <w:right w:val="none" w:sz="0" w:space="0" w:color="auto"/>
          </w:divBdr>
          <w:divsChild>
            <w:div w:id="1644847080">
              <w:marLeft w:val="0"/>
              <w:marRight w:val="165"/>
              <w:marTop w:val="150"/>
              <w:marBottom w:val="0"/>
              <w:divBdr>
                <w:top w:val="none" w:sz="0" w:space="0" w:color="auto"/>
                <w:left w:val="none" w:sz="0" w:space="0" w:color="auto"/>
                <w:bottom w:val="none" w:sz="0" w:space="0" w:color="auto"/>
                <w:right w:val="none" w:sz="0" w:space="0" w:color="auto"/>
              </w:divBdr>
              <w:divsChild>
                <w:div w:id="876240692">
                  <w:marLeft w:val="0"/>
                  <w:marRight w:val="0"/>
                  <w:marTop w:val="0"/>
                  <w:marBottom w:val="0"/>
                  <w:divBdr>
                    <w:top w:val="none" w:sz="0" w:space="0" w:color="auto"/>
                    <w:left w:val="none" w:sz="0" w:space="0" w:color="auto"/>
                    <w:bottom w:val="none" w:sz="0" w:space="0" w:color="auto"/>
                    <w:right w:val="none" w:sz="0" w:space="0" w:color="auto"/>
                  </w:divBdr>
                  <w:divsChild>
                    <w:div w:id="367073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11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8778348">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47486050">
      <w:bodyDiv w:val="1"/>
      <w:marLeft w:val="0"/>
      <w:marRight w:val="0"/>
      <w:marTop w:val="0"/>
      <w:marBottom w:val="0"/>
      <w:divBdr>
        <w:top w:val="none" w:sz="0" w:space="0" w:color="auto"/>
        <w:left w:val="none" w:sz="0" w:space="0" w:color="auto"/>
        <w:bottom w:val="none" w:sz="0" w:space="0" w:color="auto"/>
        <w:right w:val="none" w:sz="0" w:space="0" w:color="auto"/>
      </w:divBdr>
      <w:divsChild>
        <w:div w:id="116338176">
          <w:marLeft w:val="0"/>
          <w:marRight w:val="0"/>
          <w:marTop w:val="0"/>
          <w:marBottom w:val="0"/>
          <w:divBdr>
            <w:top w:val="none" w:sz="0" w:space="0" w:color="auto"/>
            <w:left w:val="none" w:sz="0" w:space="0" w:color="auto"/>
            <w:bottom w:val="none" w:sz="0" w:space="0" w:color="auto"/>
            <w:right w:val="none" w:sz="0" w:space="0" w:color="auto"/>
          </w:divBdr>
        </w:div>
        <w:div w:id="1952782754">
          <w:marLeft w:val="0"/>
          <w:marRight w:val="0"/>
          <w:marTop w:val="0"/>
          <w:marBottom w:val="0"/>
          <w:divBdr>
            <w:top w:val="none" w:sz="0" w:space="0" w:color="auto"/>
            <w:left w:val="none" w:sz="0" w:space="0" w:color="auto"/>
            <w:bottom w:val="none" w:sz="0" w:space="0" w:color="auto"/>
            <w:right w:val="none" w:sz="0" w:space="0" w:color="auto"/>
          </w:divBdr>
          <w:divsChild>
            <w:div w:id="994140966">
              <w:marLeft w:val="0"/>
              <w:marRight w:val="165"/>
              <w:marTop w:val="150"/>
              <w:marBottom w:val="0"/>
              <w:divBdr>
                <w:top w:val="none" w:sz="0" w:space="0" w:color="auto"/>
                <w:left w:val="none" w:sz="0" w:space="0" w:color="auto"/>
                <w:bottom w:val="none" w:sz="0" w:space="0" w:color="auto"/>
                <w:right w:val="none" w:sz="0" w:space="0" w:color="auto"/>
              </w:divBdr>
              <w:divsChild>
                <w:div w:id="2059477536">
                  <w:marLeft w:val="0"/>
                  <w:marRight w:val="0"/>
                  <w:marTop w:val="0"/>
                  <w:marBottom w:val="0"/>
                  <w:divBdr>
                    <w:top w:val="none" w:sz="0" w:space="0" w:color="auto"/>
                    <w:left w:val="none" w:sz="0" w:space="0" w:color="auto"/>
                    <w:bottom w:val="none" w:sz="0" w:space="0" w:color="auto"/>
                    <w:right w:val="none" w:sz="0" w:space="0" w:color="auto"/>
                  </w:divBdr>
                  <w:divsChild>
                    <w:div w:id="1064715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97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5755</Words>
  <Characters>32804</Characters>
  <Application>Microsoft Office Word</Application>
  <DocSecurity>0</DocSecurity>
  <Lines>273</Lines>
  <Paragraphs>76</Paragraphs>
  <ScaleCrop>false</ScaleCrop>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2023-11-27T18:03:00Z</dcterms:created>
  <dcterms:modified xsi:type="dcterms:W3CDTF">2023-11-27T18:03:00Z</dcterms:modified>
</cp:coreProperties>
</file>