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9B4799" w:rsidRDefault="006311DA" w:rsidP="00627C9F">
      <w:pPr>
        <w:jc w:val="both"/>
        <w:rPr>
          <w:rFonts w:asciiTheme="majorHAnsi" w:hAnsiTheme="majorHAnsi" w:cs="Univers"/>
          <w:b/>
          <w:bCs/>
          <w:sz w:val="22"/>
          <w:szCs w:val="22"/>
        </w:rPr>
      </w:pPr>
      <w:r w:rsidRPr="009B479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9B479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9B4799" w:rsidRDefault="00040C3A" w:rsidP="00040C3A">
      <w:pPr>
        <w:tabs>
          <w:tab w:val="center" w:pos="5400"/>
        </w:tabs>
        <w:suppressAutoHyphens/>
        <w:jc w:val="both"/>
        <w:rPr>
          <w:rFonts w:asciiTheme="majorHAnsi" w:hAnsiTheme="majorHAnsi"/>
          <w:sz w:val="22"/>
          <w:szCs w:val="22"/>
        </w:rPr>
      </w:pPr>
    </w:p>
    <w:p w14:paraId="54AC1FBF" w14:textId="77777777" w:rsidR="00040C3A" w:rsidRPr="009B4799" w:rsidRDefault="00040C3A" w:rsidP="00040C3A">
      <w:pPr>
        <w:tabs>
          <w:tab w:val="center" w:pos="5400"/>
        </w:tabs>
        <w:suppressAutoHyphens/>
        <w:jc w:val="both"/>
        <w:rPr>
          <w:rFonts w:asciiTheme="majorHAnsi" w:hAnsiTheme="majorHAnsi"/>
          <w:sz w:val="22"/>
          <w:szCs w:val="22"/>
        </w:rPr>
      </w:pPr>
    </w:p>
    <w:p w14:paraId="6A4AC464" w14:textId="77777777" w:rsidR="005128E4" w:rsidRPr="009B4799" w:rsidRDefault="005128E4" w:rsidP="00040C3A">
      <w:pPr>
        <w:tabs>
          <w:tab w:val="center" w:pos="5400"/>
        </w:tabs>
        <w:suppressAutoHyphens/>
        <w:rPr>
          <w:rFonts w:asciiTheme="majorHAnsi" w:hAnsiTheme="majorHAnsi"/>
          <w:sz w:val="22"/>
          <w:szCs w:val="22"/>
        </w:rPr>
      </w:pPr>
    </w:p>
    <w:p w14:paraId="515D20A5" w14:textId="77777777" w:rsidR="005128E4" w:rsidRPr="009B4799" w:rsidRDefault="005128E4" w:rsidP="00040C3A">
      <w:pPr>
        <w:tabs>
          <w:tab w:val="center" w:pos="5400"/>
        </w:tabs>
        <w:suppressAutoHyphens/>
        <w:rPr>
          <w:rFonts w:asciiTheme="majorHAnsi" w:hAnsiTheme="majorHAnsi"/>
          <w:sz w:val="22"/>
          <w:szCs w:val="22"/>
        </w:rPr>
      </w:pPr>
    </w:p>
    <w:p w14:paraId="7CBA3E7E" w14:textId="77777777" w:rsidR="005128E4" w:rsidRPr="009B4799" w:rsidRDefault="005128E4" w:rsidP="00040C3A">
      <w:pPr>
        <w:tabs>
          <w:tab w:val="center" w:pos="5400"/>
        </w:tabs>
        <w:suppressAutoHyphens/>
        <w:rPr>
          <w:rFonts w:asciiTheme="majorHAnsi" w:hAnsiTheme="majorHAnsi"/>
          <w:sz w:val="22"/>
          <w:szCs w:val="22"/>
        </w:rPr>
      </w:pPr>
    </w:p>
    <w:p w14:paraId="0FFC5ED6" w14:textId="77777777" w:rsidR="00040C3A" w:rsidRPr="009B4799" w:rsidRDefault="00040C3A" w:rsidP="005128E4">
      <w:pPr>
        <w:tabs>
          <w:tab w:val="center" w:pos="5400"/>
        </w:tabs>
        <w:suppressAutoHyphens/>
        <w:jc w:val="center"/>
        <w:rPr>
          <w:rFonts w:asciiTheme="majorHAnsi" w:hAnsiTheme="majorHAnsi"/>
          <w:sz w:val="22"/>
          <w:szCs w:val="22"/>
        </w:rPr>
      </w:pPr>
    </w:p>
    <w:p w14:paraId="5FCF0358" w14:textId="77777777" w:rsidR="00040C3A" w:rsidRPr="009B4799" w:rsidRDefault="00040C3A" w:rsidP="005128E4">
      <w:pPr>
        <w:tabs>
          <w:tab w:val="center" w:pos="5400"/>
        </w:tabs>
        <w:suppressAutoHyphens/>
        <w:jc w:val="center"/>
        <w:rPr>
          <w:rFonts w:asciiTheme="majorHAnsi" w:hAnsiTheme="majorHAnsi"/>
          <w:sz w:val="22"/>
          <w:szCs w:val="22"/>
        </w:rPr>
      </w:pPr>
    </w:p>
    <w:p w14:paraId="23C02B60" w14:textId="77777777" w:rsidR="005B52B0" w:rsidRPr="009B4799" w:rsidRDefault="005B52B0" w:rsidP="005128E4">
      <w:pPr>
        <w:tabs>
          <w:tab w:val="center" w:pos="5400"/>
        </w:tabs>
        <w:suppressAutoHyphens/>
        <w:jc w:val="center"/>
        <w:rPr>
          <w:rFonts w:asciiTheme="majorHAnsi" w:hAnsiTheme="majorHAnsi"/>
          <w:sz w:val="22"/>
          <w:szCs w:val="22"/>
        </w:rPr>
      </w:pPr>
    </w:p>
    <w:p w14:paraId="1E4CC4A3" w14:textId="77777777" w:rsidR="005B52B0" w:rsidRPr="009B4799" w:rsidRDefault="005B52B0" w:rsidP="005128E4">
      <w:pPr>
        <w:tabs>
          <w:tab w:val="center" w:pos="5400"/>
        </w:tabs>
        <w:suppressAutoHyphens/>
        <w:jc w:val="center"/>
        <w:rPr>
          <w:rFonts w:asciiTheme="majorHAnsi" w:hAnsiTheme="majorHAnsi"/>
          <w:sz w:val="22"/>
          <w:szCs w:val="22"/>
        </w:rPr>
      </w:pPr>
    </w:p>
    <w:p w14:paraId="022074FD" w14:textId="77777777" w:rsidR="005B52B0" w:rsidRPr="009B4799" w:rsidRDefault="005B52B0" w:rsidP="005128E4">
      <w:pPr>
        <w:tabs>
          <w:tab w:val="center" w:pos="5400"/>
        </w:tabs>
        <w:suppressAutoHyphens/>
        <w:jc w:val="center"/>
        <w:rPr>
          <w:rFonts w:asciiTheme="majorHAnsi" w:hAnsiTheme="majorHAnsi"/>
          <w:sz w:val="22"/>
          <w:szCs w:val="22"/>
        </w:rPr>
      </w:pPr>
    </w:p>
    <w:p w14:paraId="3234C43C" w14:textId="77777777" w:rsidR="00040C3A" w:rsidRPr="009B4799" w:rsidRDefault="00040C3A" w:rsidP="00040C3A">
      <w:pPr>
        <w:tabs>
          <w:tab w:val="center" w:pos="5400"/>
        </w:tabs>
        <w:suppressAutoHyphens/>
        <w:jc w:val="center"/>
        <w:rPr>
          <w:rFonts w:asciiTheme="majorHAnsi" w:hAnsiTheme="majorHAnsi"/>
          <w:sz w:val="22"/>
          <w:szCs w:val="22"/>
        </w:rPr>
      </w:pPr>
    </w:p>
    <w:p w14:paraId="2D58FFBA" w14:textId="77777777" w:rsidR="00040C3A" w:rsidRPr="009B4799" w:rsidRDefault="00040C3A" w:rsidP="00040C3A">
      <w:pPr>
        <w:tabs>
          <w:tab w:val="center" w:pos="5400"/>
        </w:tabs>
        <w:suppressAutoHyphens/>
        <w:jc w:val="center"/>
        <w:rPr>
          <w:rFonts w:asciiTheme="majorHAnsi" w:hAnsiTheme="majorHAnsi"/>
          <w:sz w:val="22"/>
          <w:szCs w:val="22"/>
        </w:rPr>
      </w:pPr>
    </w:p>
    <w:p w14:paraId="4A574974" w14:textId="77777777" w:rsidR="00040C3A" w:rsidRPr="009B4799" w:rsidRDefault="00040C3A" w:rsidP="00040C3A">
      <w:pPr>
        <w:tabs>
          <w:tab w:val="center" w:pos="5400"/>
        </w:tabs>
        <w:suppressAutoHyphens/>
        <w:jc w:val="center"/>
        <w:rPr>
          <w:rFonts w:asciiTheme="majorHAnsi" w:hAnsiTheme="majorHAnsi"/>
          <w:sz w:val="22"/>
          <w:szCs w:val="22"/>
        </w:rPr>
      </w:pPr>
    </w:p>
    <w:p w14:paraId="11A9BA8A" w14:textId="77777777" w:rsidR="00040C3A" w:rsidRPr="009B4799" w:rsidRDefault="00E533FF" w:rsidP="00040C3A">
      <w:pPr>
        <w:tabs>
          <w:tab w:val="center" w:pos="5400"/>
        </w:tabs>
        <w:suppressAutoHyphens/>
        <w:jc w:val="center"/>
        <w:rPr>
          <w:rFonts w:asciiTheme="majorHAnsi" w:hAnsiTheme="majorHAnsi"/>
          <w:sz w:val="22"/>
          <w:szCs w:val="22"/>
        </w:rPr>
      </w:pPr>
      <w:r w:rsidRPr="009B479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BCE4D9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F2BD8">
                              <w:rPr>
                                <w:rFonts w:asciiTheme="majorHAnsi" w:hAnsiTheme="majorHAnsi" w:cs="Arial"/>
                                <w:b/>
                                <w:bCs/>
                                <w:color w:val="0D0D0D" w:themeColor="text1" w:themeTint="F2"/>
                                <w:sz w:val="36"/>
                                <w:szCs w:val="40"/>
                              </w:rPr>
                              <w:t>60</w:t>
                            </w:r>
                            <w:r w:rsidR="00322450" w:rsidRPr="004B7EB6">
                              <w:rPr>
                                <w:rFonts w:asciiTheme="majorHAnsi" w:hAnsiTheme="majorHAnsi" w:cs="Arial"/>
                                <w:b/>
                                <w:bCs/>
                                <w:color w:val="0D0D0D" w:themeColor="text1" w:themeTint="F2"/>
                                <w:sz w:val="36"/>
                                <w:szCs w:val="40"/>
                              </w:rPr>
                              <w:t>/</w:t>
                            </w:r>
                            <w:r w:rsidR="0047743E">
                              <w:rPr>
                                <w:rFonts w:asciiTheme="majorHAnsi" w:hAnsiTheme="majorHAnsi" w:cs="Arial"/>
                                <w:b/>
                                <w:bCs/>
                                <w:color w:val="0D0D0D" w:themeColor="text1" w:themeTint="F2"/>
                                <w:sz w:val="36"/>
                                <w:szCs w:val="40"/>
                              </w:rPr>
                              <w:t>23</w:t>
                            </w:r>
                          </w:p>
                          <w:p w14:paraId="081F51F3" w14:textId="41A8E95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7743E">
                              <w:rPr>
                                <w:rFonts w:asciiTheme="majorHAnsi" w:hAnsiTheme="majorHAnsi" w:cs="Arial"/>
                                <w:b/>
                                <w:bCs/>
                                <w:color w:val="0D0D0D" w:themeColor="text1" w:themeTint="F2"/>
                                <w:sz w:val="36"/>
                                <w:szCs w:val="40"/>
                              </w:rPr>
                              <w:t>2211</w:t>
                            </w:r>
                            <w:r w:rsidR="00F621C3">
                              <w:rPr>
                                <w:rFonts w:asciiTheme="majorHAnsi" w:hAnsiTheme="majorHAnsi" w:cs="Arial"/>
                                <w:b/>
                                <w:bCs/>
                                <w:color w:val="0D0D0D" w:themeColor="text1" w:themeTint="F2"/>
                                <w:sz w:val="36"/>
                                <w:szCs w:val="40"/>
                              </w:rPr>
                              <w:t>-</w:t>
                            </w:r>
                            <w:r w:rsidR="0047743E">
                              <w:rPr>
                                <w:rFonts w:asciiTheme="majorHAnsi" w:hAnsiTheme="majorHAnsi" w:cs="Arial"/>
                                <w:b/>
                                <w:bCs/>
                                <w:color w:val="0D0D0D" w:themeColor="text1" w:themeTint="F2"/>
                                <w:sz w:val="36"/>
                                <w:szCs w:val="40"/>
                              </w:rPr>
                              <w:t>12</w:t>
                            </w:r>
                          </w:p>
                          <w:p w14:paraId="34978E5A" w14:textId="080C31E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08408FC" w14:textId="77777777" w:rsidR="0047743E" w:rsidRPr="00B30654" w:rsidRDefault="0047743E" w:rsidP="0047743E">
                            <w:pPr>
                              <w:spacing w:line="276" w:lineRule="auto"/>
                              <w:rPr>
                                <w:rFonts w:asciiTheme="majorHAnsi" w:hAnsiTheme="majorHAnsi" w:cs="Arial"/>
                                <w:color w:val="0D0D0D" w:themeColor="text1" w:themeTint="F2"/>
                                <w:szCs w:val="22"/>
                              </w:rPr>
                            </w:pPr>
                            <w:r w:rsidRPr="00B30654">
                              <w:rPr>
                                <w:rFonts w:asciiTheme="majorHAnsi" w:hAnsiTheme="majorHAnsi" w:cs="Arial"/>
                                <w:bCs/>
                                <w:color w:val="0D0D0D" w:themeColor="text1" w:themeTint="F2"/>
                                <w:szCs w:val="22"/>
                              </w:rPr>
                              <w:t>MARIO YOBANNY MENDOZA AMADOR</w:t>
                            </w:r>
                          </w:p>
                          <w:p w14:paraId="48EBC31A" w14:textId="34595E93" w:rsidR="00F42B71" w:rsidRPr="004B625D" w:rsidRDefault="0047743E" w:rsidP="0047743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BCE4D9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F2BD8">
                        <w:rPr>
                          <w:rFonts w:asciiTheme="majorHAnsi" w:hAnsiTheme="majorHAnsi" w:cs="Arial"/>
                          <w:b/>
                          <w:bCs/>
                          <w:color w:val="0D0D0D" w:themeColor="text1" w:themeTint="F2"/>
                          <w:sz w:val="36"/>
                          <w:szCs w:val="40"/>
                        </w:rPr>
                        <w:t>60</w:t>
                      </w:r>
                      <w:r w:rsidR="00322450" w:rsidRPr="004B7EB6">
                        <w:rPr>
                          <w:rFonts w:asciiTheme="majorHAnsi" w:hAnsiTheme="majorHAnsi" w:cs="Arial"/>
                          <w:b/>
                          <w:bCs/>
                          <w:color w:val="0D0D0D" w:themeColor="text1" w:themeTint="F2"/>
                          <w:sz w:val="36"/>
                          <w:szCs w:val="40"/>
                        </w:rPr>
                        <w:t>/</w:t>
                      </w:r>
                      <w:r w:rsidR="0047743E">
                        <w:rPr>
                          <w:rFonts w:asciiTheme="majorHAnsi" w:hAnsiTheme="majorHAnsi" w:cs="Arial"/>
                          <w:b/>
                          <w:bCs/>
                          <w:color w:val="0D0D0D" w:themeColor="text1" w:themeTint="F2"/>
                          <w:sz w:val="36"/>
                          <w:szCs w:val="40"/>
                        </w:rPr>
                        <w:t>23</w:t>
                      </w:r>
                    </w:p>
                    <w:p w14:paraId="081F51F3" w14:textId="41A8E95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7743E">
                        <w:rPr>
                          <w:rFonts w:asciiTheme="majorHAnsi" w:hAnsiTheme="majorHAnsi" w:cs="Arial"/>
                          <w:b/>
                          <w:bCs/>
                          <w:color w:val="0D0D0D" w:themeColor="text1" w:themeTint="F2"/>
                          <w:sz w:val="36"/>
                          <w:szCs w:val="40"/>
                        </w:rPr>
                        <w:t>2211</w:t>
                      </w:r>
                      <w:r w:rsidR="00F621C3">
                        <w:rPr>
                          <w:rFonts w:asciiTheme="majorHAnsi" w:hAnsiTheme="majorHAnsi" w:cs="Arial"/>
                          <w:b/>
                          <w:bCs/>
                          <w:color w:val="0D0D0D" w:themeColor="text1" w:themeTint="F2"/>
                          <w:sz w:val="36"/>
                          <w:szCs w:val="40"/>
                        </w:rPr>
                        <w:t>-</w:t>
                      </w:r>
                      <w:r w:rsidR="0047743E">
                        <w:rPr>
                          <w:rFonts w:asciiTheme="majorHAnsi" w:hAnsiTheme="majorHAnsi" w:cs="Arial"/>
                          <w:b/>
                          <w:bCs/>
                          <w:color w:val="0D0D0D" w:themeColor="text1" w:themeTint="F2"/>
                          <w:sz w:val="36"/>
                          <w:szCs w:val="40"/>
                        </w:rPr>
                        <w:t>12</w:t>
                      </w:r>
                    </w:p>
                    <w:p w14:paraId="34978E5A" w14:textId="080C31E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08408FC" w14:textId="77777777" w:rsidR="0047743E" w:rsidRPr="00B30654" w:rsidRDefault="0047743E" w:rsidP="0047743E">
                      <w:pPr>
                        <w:spacing w:line="276" w:lineRule="auto"/>
                        <w:rPr>
                          <w:rFonts w:asciiTheme="majorHAnsi" w:hAnsiTheme="majorHAnsi" w:cs="Arial"/>
                          <w:color w:val="0D0D0D" w:themeColor="text1" w:themeTint="F2"/>
                          <w:szCs w:val="22"/>
                        </w:rPr>
                      </w:pPr>
                      <w:r w:rsidRPr="00B30654">
                        <w:rPr>
                          <w:rFonts w:asciiTheme="majorHAnsi" w:hAnsiTheme="majorHAnsi" w:cs="Arial"/>
                          <w:bCs/>
                          <w:color w:val="0D0D0D" w:themeColor="text1" w:themeTint="F2"/>
                          <w:szCs w:val="22"/>
                        </w:rPr>
                        <w:t>MARIO YOBANNY MENDOZA AMADOR</w:t>
                      </w:r>
                    </w:p>
                    <w:p w14:paraId="48EBC31A" w14:textId="34595E93" w:rsidR="00F42B71" w:rsidRPr="004B625D" w:rsidRDefault="0047743E" w:rsidP="0047743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HONDURAS</w:t>
                      </w:r>
                    </w:p>
                  </w:txbxContent>
                </v:textbox>
              </v:shape>
            </w:pict>
          </mc:Fallback>
        </mc:AlternateContent>
      </w:r>
      <w:r w:rsidR="004B7EB6" w:rsidRPr="009B479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B051B92"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47743E">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/Ser.L/V/II.</w:t>
                            </w:r>
                          </w:p>
                          <w:p w14:paraId="4AA08A8C" w14:textId="0B34194E" w:rsidR="00627C9F" w:rsidRPr="00B30654" w:rsidRDefault="00CA6577" w:rsidP="009E566A">
                            <w:pPr>
                              <w:jc w:val="right"/>
                              <w:rPr>
                                <w:rFonts w:asciiTheme="minorHAnsi" w:hAnsiTheme="minorHAnsi"/>
                                <w:color w:val="FFFFFF" w:themeColor="background1"/>
                                <w:sz w:val="22"/>
                              </w:rPr>
                            </w:pPr>
                            <w:r w:rsidRPr="00B30654">
                              <w:rPr>
                                <w:rFonts w:asciiTheme="minorHAnsi" w:hAnsiTheme="minorHAnsi"/>
                                <w:color w:val="FFFFFF" w:themeColor="background1"/>
                                <w:sz w:val="22"/>
                              </w:rPr>
                              <w:t xml:space="preserve">Doc. </w:t>
                            </w:r>
                            <w:r w:rsidR="009F2BD8" w:rsidRPr="009F2BD8">
                              <w:rPr>
                                <w:rFonts w:asciiTheme="minorHAnsi" w:hAnsiTheme="minorHAnsi"/>
                                <w:color w:val="FFFFFF" w:themeColor="background1"/>
                                <w:sz w:val="22"/>
                              </w:rPr>
                              <w:t>68</w:t>
                            </w:r>
                          </w:p>
                          <w:p w14:paraId="0BEFF61A" w14:textId="3CA714A5" w:rsidR="00627C9F" w:rsidRPr="004B7EB6" w:rsidRDefault="00022CF5" w:rsidP="009E566A">
                            <w:pPr>
                              <w:jc w:val="right"/>
                              <w:rPr>
                                <w:rFonts w:asciiTheme="minorHAnsi" w:hAnsiTheme="minorHAnsi"/>
                                <w:color w:val="FFFFFF" w:themeColor="background1"/>
                                <w:sz w:val="22"/>
                              </w:rPr>
                            </w:pPr>
                            <w:r w:rsidRPr="00B30654">
                              <w:rPr>
                                <w:rFonts w:asciiTheme="minorHAnsi" w:hAnsiTheme="minorHAnsi"/>
                                <w:color w:val="FFFFFF" w:themeColor="background1"/>
                                <w:sz w:val="22"/>
                              </w:rPr>
                              <w:t xml:space="preserve"> </w:t>
                            </w:r>
                            <w:r w:rsidR="009F2BD8">
                              <w:rPr>
                                <w:rFonts w:asciiTheme="minorHAnsi" w:hAnsiTheme="minorHAnsi"/>
                                <w:color w:val="FFFFFF" w:themeColor="background1"/>
                                <w:sz w:val="22"/>
                              </w:rPr>
                              <w:t xml:space="preserve">12 </w:t>
                            </w:r>
                            <w:r w:rsidR="000C4365" w:rsidRPr="009F2BD8">
                              <w:rPr>
                                <w:rFonts w:asciiTheme="minorHAnsi" w:hAnsiTheme="minorHAnsi"/>
                                <w:color w:val="FFFFFF" w:themeColor="background1"/>
                                <w:sz w:val="22"/>
                              </w:rPr>
                              <w:t>M</w:t>
                            </w:r>
                            <w:r w:rsidR="009F2BD8" w:rsidRPr="009F2BD8">
                              <w:rPr>
                                <w:rFonts w:asciiTheme="minorHAnsi" w:hAnsiTheme="minorHAnsi"/>
                                <w:color w:val="FFFFFF" w:themeColor="background1"/>
                                <w:sz w:val="22"/>
                              </w:rPr>
                              <w:t>ay</w:t>
                            </w:r>
                            <w:r w:rsidR="000C4365" w:rsidRPr="009F2BD8">
                              <w:rPr>
                                <w:rFonts w:asciiTheme="minorHAnsi" w:hAnsiTheme="minorHAnsi"/>
                                <w:color w:val="FFFFFF" w:themeColor="background1"/>
                                <w:sz w:val="22"/>
                              </w:rPr>
                              <w:t xml:space="preserve"> </w:t>
                            </w:r>
                            <w:r w:rsidR="006614CA">
                              <w:rPr>
                                <w:rFonts w:asciiTheme="minorHAnsi" w:hAnsiTheme="minorHAnsi"/>
                                <w:color w:val="FFFFFF" w:themeColor="background1"/>
                                <w:sz w:val="22"/>
                              </w:rPr>
                              <w:t>202</w:t>
                            </w:r>
                            <w:r w:rsidR="0047743E">
                              <w:rPr>
                                <w:rFonts w:asciiTheme="minorHAnsi" w:hAnsiTheme="minorHAnsi"/>
                                <w:color w:val="FFFFFF" w:themeColor="background1"/>
                                <w:sz w:val="22"/>
                              </w:rPr>
                              <w:t>3</w:t>
                            </w:r>
                          </w:p>
                          <w:p w14:paraId="0FC103BD" w14:textId="03314526"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9F2BD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B051B92"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47743E">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/Ser.L/V/II.</w:t>
                      </w:r>
                    </w:p>
                    <w:p w14:paraId="4AA08A8C" w14:textId="0B34194E" w:rsidR="00627C9F" w:rsidRPr="00B30654" w:rsidRDefault="00CA6577" w:rsidP="009E566A">
                      <w:pPr>
                        <w:jc w:val="right"/>
                        <w:rPr>
                          <w:rFonts w:asciiTheme="minorHAnsi" w:hAnsiTheme="minorHAnsi"/>
                          <w:color w:val="FFFFFF" w:themeColor="background1"/>
                          <w:sz w:val="22"/>
                        </w:rPr>
                      </w:pPr>
                      <w:r w:rsidRPr="00B30654">
                        <w:rPr>
                          <w:rFonts w:asciiTheme="minorHAnsi" w:hAnsiTheme="minorHAnsi"/>
                          <w:color w:val="FFFFFF" w:themeColor="background1"/>
                          <w:sz w:val="22"/>
                        </w:rPr>
                        <w:t xml:space="preserve">Doc. </w:t>
                      </w:r>
                      <w:r w:rsidR="009F2BD8" w:rsidRPr="009F2BD8">
                        <w:rPr>
                          <w:rFonts w:asciiTheme="minorHAnsi" w:hAnsiTheme="minorHAnsi"/>
                          <w:color w:val="FFFFFF" w:themeColor="background1"/>
                          <w:sz w:val="22"/>
                        </w:rPr>
                        <w:t>68</w:t>
                      </w:r>
                    </w:p>
                    <w:p w14:paraId="0BEFF61A" w14:textId="3CA714A5" w:rsidR="00627C9F" w:rsidRPr="004B7EB6" w:rsidRDefault="00022CF5" w:rsidP="009E566A">
                      <w:pPr>
                        <w:jc w:val="right"/>
                        <w:rPr>
                          <w:rFonts w:asciiTheme="minorHAnsi" w:hAnsiTheme="minorHAnsi"/>
                          <w:color w:val="FFFFFF" w:themeColor="background1"/>
                          <w:sz w:val="22"/>
                        </w:rPr>
                      </w:pPr>
                      <w:r w:rsidRPr="00B30654">
                        <w:rPr>
                          <w:rFonts w:asciiTheme="minorHAnsi" w:hAnsiTheme="minorHAnsi"/>
                          <w:color w:val="FFFFFF" w:themeColor="background1"/>
                          <w:sz w:val="22"/>
                        </w:rPr>
                        <w:t xml:space="preserve"> </w:t>
                      </w:r>
                      <w:r w:rsidR="009F2BD8">
                        <w:rPr>
                          <w:rFonts w:asciiTheme="minorHAnsi" w:hAnsiTheme="minorHAnsi"/>
                          <w:color w:val="FFFFFF" w:themeColor="background1"/>
                          <w:sz w:val="22"/>
                        </w:rPr>
                        <w:t xml:space="preserve">12 </w:t>
                      </w:r>
                      <w:r w:rsidR="000C4365" w:rsidRPr="009F2BD8">
                        <w:rPr>
                          <w:rFonts w:asciiTheme="minorHAnsi" w:hAnsiTheme="minorHAnsi"/>
                          <w:color w:val="FFFFFF" w:themeColor="background1"/>
                          <w:sz w:val="22"/>
                        </w:rPr>
                        <w:t>M</w:t>
                      </w:r>
                      <w:r w:rsidR="009F2BD8" w:rsidRPr="009F2BD8">
                        <w:rPr>
                          <w:rFonts w:asciiTheme="minorHAnsi" w:hAnsiTheme="minorHAnsi"/>
                          <w:color w:val="FFFFFF" w:themeColor="background1"/>
                          <w:sz w:val="22"/>
                        </w:rPr>
                        <w:t>ay</w:t>
                      </w:r>
                      <w:r w:rsidR="000C4365" w:rsidRPr="009F2BD8">
                        <w:rPr>
                          <w:rFonts w:asciiTheme="minorHAnsi" w:hAnsiTheme="minorHAnsi"/>
                          <w:color w:val="FFFFFF" w:themeColor="background1"/>
                          <w:sz w:val="22"/>
                        </w:rPr>
                        <w:t xml:space="preserve"> </w:t>
                      </w:r>
                      <w:r w:rsidR="006614CA">
                        <w:rPr>
                          <w:rFonts w:asciiTheme="minorHAnsi" w:hAnsiTheme="minorHAnsi"/>
                          <w:color w:val="FFFFFF" w:themeColor="background1"/>
                          <w:sz w:val="22"/>
                        </w:rPr>
                        <w:t>202</w:t>
                      </w:r>
                      <w:r w:rsidR="0047743E">
                        <w:rPr>
                          <w:rFonts w:asciiTheme="minorHAnsi" w:hAnsiTheme="minorHAnsi"/>
                          <w:color w:val="FFFFFF" w:themeColor="background1"/>
                          <w:sz w:val="22"/>
                        </w:rPr>
                        <w:t>3</w:t>
                      </w:r>
                    </w:p>
                    <w:p w14:paraId="0FC103BD" w14:textId="03314526"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9F2BD8">
                        <w:rPr>
                          <w:rFonts w:asciiTheme="minorHAnsi" w:hAnsiTheme="minorHAnsi"/>
                          <w:color w:val="FFFFFF" w:themeColor="background1"/>
                          <w:sz w:val="22"/>
                        </w:rPr>
                        <w:t>Spanish</w:t>
                      </w:r>
                    </w:p>
                  </w:txbxContent>
                </v:textbox>
              </v:shape>
            </w:pict>
          </mc:Fallback>
        </mc:AlternateContent>
      </w:r>
    </w:p>
    <w:p w14:paraId="3765F9FA" w14:textId="77777777" w:rsidR="00040C3A" w:rsidRPr="009B4799" w:rsidRDefault="00040C3A" w:rsidP="00040C3A">
      <w:pPr>
        <w:tabs>
          <w:tab w:val="center" w:pos="5400"/>
        </w:tabs>
        <w:suppressAutoHyphens/>
        <w:jc w:val="center"/>
        <w:rPr>
          <w:rFonts w:asciiTheme="majorHAnsi" w:hAnsiTheme="majorHAnsi"/>
          <w:sz w:val="22"/>
          <w:szCs w:val="22"/>
        </w:rPr>
      </w:pPr>
    </w:p>
    <w:p w14:paraId="5E33CE59" w14:textId="77777777" w:rsidR="00040C3A" w:rsidRPr="009B4799"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9B4799" w:rsidRDefault="00040C3A" w:rsidP="00040C3A">
      <w:pPr>
        <w:tabs>
          <w:tab w:val="center" w:pos="5400"/>
        </w:tabs>
        <w:suppressAutoHyphens/>
        <w:jc w:val="center"/>
        <w:rPr>
          <w:rFonts w:asciiTheme="majorHAnsi" w:hAnsiTheme="majorHAnsi"/>
          <w:sz w:val="22"/>
          <w:szCs w:val="22"/>
        </w:rPr>
      </w:pPr>
    </w:p>
    <w:p w14:paraId="43677EE2" w14:textId="77777777" w:rsidR="00040C3A" w:rsidRPr="009B4799" w:rsidRDefault="00040C3A" w:rsidP="00040C3A">
      <w:pPr>
        <w:tabs>
          <w:tab w:val="center" w:pos="5400"/>
        </w:tabs>
        <w:suppressAutoHyphens/>
        <w:jc w:val="center"/>
        <w:rPr>
          <w:rFonts w:asciiTheme="majorHAnsi" w:hAnsiTheme="majorHAnsi"/>
          <w:sz w:val="22"/>
          <w:szCs w:val="22"/>
        </w:rPr>
      </w:pPr>
    </w:p>
    <w:p w14:paraId="747B776B" w14:textId="77777777" w:rsidR="00040C3A" w:rsidRPr="009B4799" w:rsidRDefault="00040C3A" w:rsidP="00040C3A">
      <w:pPr>
        <w:tabs>
          <w:tab w:val="center" w:pos="5400"/>
        </w:tabs>
        <w:suppressAutoHyphens/>
        <w:jc w:val="center"/>
        <w:rPr>
          <w:rFonts w:asciiTheme="majorHAnsi" w:hAnsiTheme="majorHAnsi"/>
          <w:sz w:val="22"/>
          <w:szCs w:val="22"/>
        </w:rPr>
      </w:pPr>
    </w:p>
    <w:p w14:paraId="3FA14379" w14:textId="77777777" w:rsidR="00040C3A" w:rsidRPr="009B4799" w:rsidRDefault="00040C3A" w:rsidP="00040C3A">
      <w:pPr>
        <w:tabs>
          <w:tab w:val="center" w:pos="5400"/>
        </w:tabs>
        <w:suppressAutoHyphens/>
        <w:jc w:val="center"/>
        <w:rPr>
          <w:rFonts w:asciiTheme="majorHAnsi" w:hAnsiTheme="majorHAnsi"/>
          <w:sz w:val="22"/>
          <w:szCs w:val="22"/>
        </w:rPr>
      </w:pPr>
    </w:p>
    <w:p w14:paraId="28A65FAF" w14:textId="77777777" w:rsidR="005128E4" w:rsidRPr="009B4799" w:rsidRDefault="005128E4" w:rsidP="00040C3A">
      <w:pPr>
        <w:tabs>
          <w:tab w:val="center" w:pos="5400"/>
        </w:tabs>
        <w:suppressAutoHyphens/>
        <w:jc w:val="center"/>
        <w:rPr>
          <w:rFonts w:asciiTheme="majorHAnsi" w:hAnsiTheme="majorHAnsi"/>
          <w:sz w:val="22"/>
          <w:szCs w:val="22"/>
        </w:rPr>
      </w:pPr>
    </w:p>
    <w:p w14:paraId="11B1978A" w14:textId="77777777" w:rsidR="00040C3A" w:rsidRPr="009B4799" w:rsidRDefault="00040C3A" w:rsidP="00040C3A">
      <w:pPr>
        <w:tabs>
          <w:tab w:val="center" w:pos="5400"/>
        </w:tabs>
        <w:suppressAutoHyphens/>
        <w:jc w:val="center"/>
        <w:rPr>
          <w:rFonts w:asciiTheme="majorHAnsi" w:hAnsiTheme="majorHAnsi"/>
          <w:sz w:val="22"/>
          <w:szCs w:val="22"/>
        </w:rPr>
      </w:pPr>
    </w:p>
    <w:p w14:paraId="650F503D" w14:textId="77777777" w:rsidR="005128E4" w:rsidRPr="009B4799" w:rsidRDefault="005128E4" w:rsidP="00040C3A">
      <w:pPr>
        <w:tabs>
          <w:tab w:val="center" w:pos="5400"/>
        </w:tabs>
        <w:suppressAutoHyphens/>
        <w:jc w:val="center"/>
        <w:rPr>
          <w:rFonts w:asciiTheme="majorHAnsi" w:hAnsiTheme="majorHAnsi"/>
          <w:sz w:val="22"/>
          <w:szCs w:val="22"/>
        </w:rPr>
      </w:pPr>
    </w:p>
    <w:p w14:paraId="17861C77" w14:textId="77777777" w:rsidR="005128E4" w:rsidRPr="009B4799" w:rsidRDefault="005128E4" w:rsidP="00040C3A">
      <w:pPr>
        <w:tabs>
          <w:tab w:val="center" w:pos="5400"/>
        </w:tabs>
        <w:suppressAutoHyphens/>
        <w:jc w:val="center"/>
        <w:rPr>
          <w:rFonts w:asciiTheme="majorHAnsi" w:hAnsiTheme="majorHAnsi"/>
          <w:sz w:val="22"/>
          <w:szCs w:val="22"/>
        </w:rPr>
      </w:pPr>
    </w:p>
    <w:p w14:paraId="0EFEAEB7" w14:textId="77777777" w:rsidR="005128E4" w:rsidRPr="009B4799" w:rsidRDefault="005128E4" w:rsidP="00040C3A">
      <w:pPr>
        <w:tabs>
          <w:tab w:val="center" w:pos="5400"/>
        </w:tabs>
        <w:suppressAutoHyphens/>
        <w:jc w:val="center"/>
        <w:rPr>
          <w:rFonts w:asciiTheme="majorHAnsi" w:hAnsiTheme="majorHAnsi"/>
          <w:sz w:val="22"/>
          <w:szCs w:val="22"/>
        </w:rPr>
      </w:pPr>
    </w:p>
    <w:p w14:paraId="5B815FC5" w14:textId="77777777" w:rsidR="00040C3A" w:rsidRPr="009B4799" w:rsidRDefault="00040C3A" w:rsidP="00040C3A">
      <w:pPr>
        <w:tabs>
          <w:tab w:val="center" w:pos="5400"/>
        </w:tabs>
        <w:suppressAutoHyphens/>
        <w:jc w:val="center"/>
        <w:rPr>
          <w:rFonts w:asciiTheme="majorHAnsi" w:hAnsiTheme="majorHAnsi"/>
          <w:sz w:val="22"/>
          <w:szCs w:val="22"/>
        </w:rPr>
      </w:pPr>
    </w:p>
    <w:p w14:paraId="0D43F8BD" w14:textId="77777777" w:rsidR="00040C3A" w:rsidRPr="009B4799" w:rsidRDefault="00040C3A" w:rsidP="00040C3A">
      <w:pPr>
        <w:tabs>
          <w:tab w:val="center" w:pos="5400"/>
        </w:tabs>
        <w:suppressAutoHyphens/>
        <w:jc w:val="center"/>
        <w:rPr>
          <w:rFonts w:asciiTheme="majorHAnsi" w:hAnsiTheme="majorHAnsi"/>
          <w:sz w:val="22"/>
          <w:szCs w:val="22"/>
        </w:rPr>
      </w:pPr>
    </w:p>
    <w:p w14:paraId="03AA1AEB" w14:textId="77777777" w:rsidR="002C1641" w:rsidRPr="009B4799" w:rsidRDefault="002C1641" w:rsidP="00040C3A">
      <w:pPr>
        <w:tabs>
          <w:tab w:val="center" w:pos="5400"/>
        </w:tabs>
        <w:suppressAutoHyphens/>
        <w:jc w:val="center"/>
        <w:rPr>
          <w:rFonts w:asciiTheme="majorHAnsi" w:hAnsiTheme="majorHAnsi"/>
          <w:sz w:val="18"/>
          <w:szCs w:val="22"/>
        </w:rPr>
      </w:pPr>
    </w:p>
    <w:p w14:paraId="2FD75BF3" w14:textId="77777777" w:rsidR="002C1641" w:rsidRPr="009B4799" w:rsidRDefault="002C1641" w:rsidP="00040C3A">
      <w:pPr>
        <w:tabs>
          <w:tab w:val="center" w:pos="5400"/>
        </w:tabs>
        <w:suppressAutoHyphens/>
        <w:jc w:val="center"/>
        <w:rPr>
          <w:rFonts w:asciiTheme="majorHAnsi" w:hAnsiTheme="majorHAnsi"/>
          <w:sz w:val="18"/>
          <w:szCs w:val="22"/>
        </w:rPr>
      </w:pPr>
    </w:p>
    <w:p w14:paraId="73EF440E" w14:textId="77777777" w:rsidR="002C1641" w:rsidRPr="009B4799" w:rsidRDefault="002C1641" w:rsidP="00040C3A">
      <w:pPr>
        <w:tabs>
          <w:tab w:val="center" w:pos="5400"/>
        </w:tabs>
        <w:suppressAutoHyphens/>
        <w:jc w:val="center"/>
        <w:rPr>
          <w:rFonts w:asciiTheme="majorHAnsi" w:hAnsiTheme="majorHAnsi"/>
          <w:sz w:val="18"/>
          <w:szCs w:val="22"/>
        </w:rPr>
      </w:pPr>
    </w:p>
    <w:p w14:paraId="3D12B191" w14:textId="77777777" w:rsidR="002C1641" w:rsidRPr="009B4799" w:rsidRDefault="002C1641" w:rsidP="00040C3A">
      <w:pPr>
        <w:tabs>
          <w:tab w:val="center" w:pos="5400"/>
        </w:tabs>
        <w:suppressAutoHyphens/>
        <w:jc w:val="center"/>
        <w:rPr>
          <w:rFonts w:asciiTheme="majorHAnsi" w:hAnsiTheme="majorHAnsi"/>
          <w:sz w:val="18"/>
          <w:szCs w:val="22"/>
        </w:rPr>
      </w:pPr>
    </w:p>
    <w:p w14:paraId="1132D17C" w14:textId="77777777" w:rsidR="002C1641" w:rsidRPr="009B4799" w:rsidRDefault="002C1641" w:rsidP="00040C3A">
      <w:pPr>
        <w:tabs>
          <w:tab w:val="center" w:pos="5400"/>
        </w:tabs>
        <w:suppressAutoHyphens/>
        <w:jc w:val="center"/>
        <w:rPr>
          <w:rFonts w:asciiTheme="majorHAnsi" w:hAnsiTheme="majorHAnsi"/>
          <w:sz w:val="18"/>
          <w:szCs w:val="22"/>
        </w:rPr>
      </w:pPr>
    </w:p>
    <w:p w14:paraId="659B324C" w14:textId="77777777" w:rsidR="002C1641" w:rsidRPr="009B4799" w:rsidRDefault="002C1641" w:rsidP="00040C3A">
      <w:pPr>
        <w:tabs>
          <w:tab w:val="center" w:pos="5400"/>
        </w:tabs>
        <w:suppressAutoHyphens/>
        <w:jc w:val="center"/>
        <w:rPr>
          <w:rFonts w:asciiTheme="majorHAnsi" w:hAnsiTheme="majorHAnsi"/>
          <w:sz w:val="18"/>
          <w:szCs w:val="22"/>
        </w:rPr>
      </w:pPr>
    </w:p>
    <w:p w14:paraId="0DE58CEA" w14:textId="77777777" w:rsidR="002C1641" w:rsidRPr="009B4799" w:rsidRDefault="002C1641" w:rsidP="00040C3A">
      <w:pPr>
        <w:tabs>
          <w:tab w:val="center" w:pos="5400"/>
        </w:tabs>
        <w:suppressAutoHyphens/>
        <w:jc w:val="center"/>
        <w:rPr>
          <w:rFonts w:asciiTheme="majorHAnsi" w:hAnsiTheme="majorHAnsi"/>
          <w:sz w:val="18"/>
          <w:szCs w:val="22"/>
        </w:rPr>
      </w:pPr>
    </w:p>
    <w:p w14:paraId="3A5BB7C9" w14:textId="77777777" w:rsidR="002C1641" w:rsidRPr="009B4799" w:rsidRDefault="002C1641" w:rsidP="00040C3A">
      <w:pPr>
        <w:tabs>
          <w:tab w:val="center" w:pos="5400"/>
        </w:tabs>
        <w:suppressAutoHyphens/>
        <w:jc w:val="center"/>
        <w:rPr>
          <w:rFonts w:asciiTheme="majorHAnsi" w:hAnsiTheme="majorHAnsi"/>
          <w:sz w:val="18"/>
          <w:szCs w:val="22"/>
        </w:rPr>
      </w:pPr>
    </w:p>
    <w:p w14:paraId="6BA67E7F" w14:textId="77777777" w:rsidR="002C1641" w:rsidRPr="009B4799" w:rsidRDefault="002C1641" w:rsidP="00040C3A">
      <w:pPr>
        <w:tabs>
          <w:tab w:val="center" w:pos="5400"/>
        </w:tabs>
        <w:suppressAutoHyphens/>
        <w:jc w:val="center"/>
        <w:rPr>
          <w:rFonts w:asciiTheme="majorHAnsi" w:hAnsiTheme="majorHAnsi"/>
          <w:sz w:val="18"/>
          <w:szCs w:val="22"/>
        </w:rPr>
      </w:pPr>
    </w:p>
    <w:p w14:paraId="6D4FBE3A" w14:textId="77777777" w:rsidR="002C1641" w:rsidRPr="009B4799" w:rsidRDefault="002C1641" w:rsidP="00040C3A">
      <w:pPr>
        <w:tabs>
          <w:tab w:val="center" w:pos="5400"/>
        </w:tabs>
        <w:suppressAutoHyphens/>
        <w:jc w:val="center"/>
        <w:rPr>
          <w:rFonts w:asciiTheme="majorHAnsi" w:hAnsiTheme="majorHAnsi"/>
          <w:sz w:val="18"/>
          <w:szCs w:val="22"/>
        </w:rPr>
      </w:pPr>
    </w:p>
    <w:p w14:paraId="2741AD16" w14:textId="77777777" w:rsidR="002C1641" w:rsidRPr="009B4799" w:rsidRDefault="002C1641" w:rsidP="00040C3A">
      <w:pPr>
        <w:tabs>
          <w:tab w:val="center" w:pos="5400"/>
        </w:tabs>
        <w:suppressAutoHyphens/>
        <w:jc w:val="center"/>
        <w:rPr>
          <w:rFonts w:asciiTheme="majorHAnsi" w:hAnsiTheme="majorHAnsi"/>
          <w:sz w:val="18"/>
          <w:szCs w:val="22"/>
        </w:rPr>
      </w:pPr>
    </w:p>
    <w:p w14:paraId="1D99DBC4" w14:textId="77777777" w:rsidR="002C1641" w:rsidRPr="009B4799" w:rsidRDefault="002C1641" w:rsidP="00040C3A">
      <w:pPr>
        <w:tabs>
          <w:tab w:val="center" w:pos="5400"/>
        </w:tabs>
        <w:suppressAutoHyphens/>
        <w:jc w:val="center"/>
        <w:rPr>
          <w:rFonts w:asciiTheme="majorHAnsi" w:hAnsiTheme="majorHAnsi"/>
          <w:sz w:val="18"/>
          <w:szCs w:val="22"/>
        </w:rPr>
      </w:pPr>
    </w:p>
    <w:p w14:paraId="3290BF94" w14:textId="77777777" w:rsidR="002C1641" w:rsidRPr="009B4799" w:rsidRDefault="003C32BC" w:rsidP="00040C3A">
      <w:pPr>
        <w:tabs>
          <w:tab w:val="center" w:pos="5400"/>
        </w:tabs>
        <w:suppressAutoHyphens/>
        <w:jc w:val="center"/>
        <w:rPr>
          <w:rFonts w:asciiTheme="majorHAnsi" w:hAnsiTheme="majorHAnsi"/>
          <w:sz w:val="18"/>
          <w:szCs w:val="22"/>
        </w:rPr>
      </w:pPr>
      <w:r w:rsidRPr="009B479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4733B23">
                <wp:simplePos x="0" y="0"/>
                <wp:positionH relativeFrom="column">
                  <wp:posOffset>1209675</wp:posOffset>
                </wp:positionH>
                <wp:positionV relativeFrom="paragraph">
                  <wp:posOffset>64135</wp:posOffset>
                </wp:positionV>
                <wp:extent cx="4595495" cy="666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4545A18" w:rsidR="00092F32" w:rsidRPr="003C32BC" w:rsidRDefault="00B167E9" w:rsidP="0047743E">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9F2BD8">
                              <w:rPr>
                                <w:rFonts w:asciiTheme="majorHAnsi" w:hAnsiTheme="majorHAnsi"/>
                                <w:color w:val="0D0D0D" w:themeColor="text1" w:themeTint="F2"/>
                                <w:sz w:val="18"/>
                                <w:szCs w:val="20"/>
                              </w:rPr>
                              <w:t>May</w:t>
                            </w:r>
                            <w:r w:rsidR="00022CF5">
                              <w:rPr>
                                <w:rFonts w:asciiTheme="majorHAnsi" w:hAnsiTheme="majorHAnsi"/>
                                <w:color w:val="0D0D0D" w:themeColor="text1" w:themeTint="F2"/>
                                <w:sz w:val="18"/>
                                <w:szCs w:val="20"/>
                              </w:rPr>
                              <w:t xml:space="preserve"> </w:t>
                            </w:r>
                            <w:r w:rsidR="009F2BD8">
                              <w:rPr>
                                <w:rFonts w:asciiTheme="majorHAnsi" w:hAnsiTheme="majorHAnsi"/>
                                <w:color w:val="0D0D0D" w:themeColor="text1" w:themeTint="F2"/>
                                <w:sz w:val="18"/>
                                <w:szCs w:val="20"/>
                              </w:rPr>
                              <w:t>12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47743E">
                              <w:rPr>
                                <w:rFonts w:asciiTheme="majorHAnsi" w:hAnsiTheme="majorHAnsi"/>
                                <w:color w:val="0D0D0D" w:themeColor="text1" w:themeTint="F2"/>
                                <w:sz w:val="18"/>
                                <w:szCs w:val="20"/>
                              </w:rPr>
                              <w:t>3</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25pt;margin-top:5.05pt;width:361.8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" filled="f" stroked="f" strokeweight=".5pt">
                <v:textbox>
                  <w:txbxContent>
                    <w:p w14:paraId="29BF637A" w14:textId="24545A18" w:rsidR="00092F32" w:rsidRPr="003C32BC" w:rsidRDefault="00B167E9" w:rsidP="0047743E">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9F2BD8">
                        <w:rPr>
                          <w:rFonts w:asciiTheme="majorHAnsi" w:hAnsiTheme="majorHAnsi"/>
                          <w:color w:val="0D0D0D" w:themeColor="text1" w:themeTint="F2"/>
                          <w:sz w:val="18"/>
                          <w:szCs w:val="20"/>
                        </w:rPr>
                        <w:t>May</w:t>
                      </w:r>
                      <w:r w:rsidR="00022CF5">
                        <w:rPr>
                          <w:rFonts w:asciiTheme="majorHAnsi" w:hAnsiTheme="majorHAnsi"/>
                          <w:color w:val="0D0D0D" w:themeColor="text1" w:themeTint="F2"/>
                          <w:sz w:val="18"/>
                          <w:szCs w:val="20"/>
                        </w:rPr>
                        <w:t xml:space="preserve"> </w:t>
                      </w:r>
                      <w:r w:rsidR="009F2BD8">
                        <w:rPr>
                          <w:rFonts w:asciiTheme="majorHAnsi" w:hAnsiTheme="majorHAnsi"/>
                          <w:color w:val="0D0D0D" w:themeColor="text1" w:themeTint="F2"/>
                          <w:sz w:val="18"/>
                          <w:szCs w:val="20"/>
                        </w:rPr>
                        <w:t>12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47743E">
                        <w:rPr>
                          <w:rFonts w:asciiTheme="majorHAnsi" w:hAnsiTheme="majorHAnsi"/>
                          <w:color w:val="0D0D0D" w:themeColor="text1" w:themeTint="F2"/>
                          <w:sz w:val="18"/>
                          <w:szCs w:val="20"/>
                        </w:rPr>
                        <w:t>3</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9B4799" w:rsidRDefault="002C1641" w:rsidP="00040C3A">
      <w:pPr>
        <w:tabs>
          <w:tab w:val="center" w:pos="5400"/>
        </w:tabs>
        <w:suppressAutoHyphens/>
        <w:jc w:val="center"/>
        <w:rPr>
          <w:rFonts w:asciiTheme="majorHAnsi" w:hAnsiTheme="majorHAnsi"/>
          <w:sz w:val="18"/>
          <w:szCs w:val="22"/>
        </w:rPr>
      </w:pPr>
    </w:p>
    <w:p w14:paraId="3751FEDE" w14:textId="77777777" w:rsidR="002C1641" w:rsidRPr="009B4799" w:rsidRDefault="002C1641" w:rsidP="00040C3A">
      <w:pPr>
        <w:tabs>
          <w:tab w:val="center" w:pos="5400"/>
        </w:tabs>
        <w:suppressAutoHyphens/>
        <w:jc w:val="center"/>
        <w:rPr>
          <w:rFonts w:asciiTheme="majorHAnsi" w:hAnsiTheme="majorHAnsi"/>
          <w:sz w:val="18"/>
          <w:szCs w:val="22"/>
        </w:rPr>
      </w:pPr>
    </w:p>
    <w:p w14:paraId="5FAB54E7" w14:textId="77777777" w:rsidR="002C1641" w:rsidRPr="009B4799" w:rsidRDefault="002C1641" w:rsidP="00040C3A">
      <w:pPr>
        <w:tabs>
          <w:tab w:val="center" w:pos="5400"/>
        </w:tabs>
        <w:suppressAutoHyphens/>
        <w:jc w:val="center"/>
        <w:rPr>
          <w:rFonts w:asciiTheme="majorHAnsi" w:hAnsiTheme="majorHAnsi"/>
          <w:sz w:val="18"/>
          <w:szCs w:val="22"/>
        </w:rPr>
      </w:pPr>
    </w:p>
    <w:p w14:paraId="4AE4FBFB" w14:textId="77777777" w:rsidR="002C1641" w:rsidRPr="009B4799" w:rsidRDefault="002C1641" w:rsidP="00040C3A">
      <w:pPr>
        <w:tabs>
          <w:tab w:val="center" w:pos="5400"/>
        </w:tabs>
        <w:suppressAutoHyphens/>
        <w:jc w:val="center"/>
        <w:rPr>
          <w:rFonts w:asciiTheme="majorHAnsi" w:hAnsiTheme="majorHAnsi"/>
          <w:sz w:val="18"/>
          <w:szCs w:val="22"/>
        </w:rPr>
      </w:pPr>
    </w:p>
    <w:p w14:paraId="4DA3B2C3" w14:textId="77777777" w:rsidR="002C1641" w:rsidRPr="009B4799" w:rsidRDefault="003C32BC" w:rsidP="00040C3A">
      <w:pPr>
        <w:tabs>
          <w:tab w:val="center" w:pos="5400"/>
        </w:tabs>
        <w:suppressAutoHyphens/>
        <w:jc w:val="center"/>
        <w:rPr>
          <w:rFonts w:asciiTheme="majorHAnsi" w:hAnsiTheme="majorHAnsi"/>
          <w:sz w:val="18"/>
          <w:szCs w:val="22"/>
        </w:rPr>
      </w:pPr>
      <w:r w:rsidRPr="009B479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23F522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2BD8">
                              <w:rPr>
                                <w:rFonts w:asciiTheme="majorHAnsi" w:hAnsiTheme="majorHAnsi"/>
                                <w:color w:val="595959" w:themeColor="text1" w:themeTint="A6"/>
                                <w:sz w:val="18"/>
                              </w:rPr>
                              <w:t>60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9F2BD8">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7743E">
                              <w:rPr>
                                <w:rFonts w:asciiTheme="majorHAnsi" w:hAnsiTheme="majorHAnsi"/>
                                <w:color w:val="595959" w:themeColor="text1" w:themeTint="A6"/>
                                <w:sz w:val="18"/>
                              </w:rPr>
                              <w:t>22</w:t>
                            </w:r>
                            <w:r w:rsidR="009F2BD8">
                              <w:rPr>
                                <w:rFonts w:asciiTheme="majorHAnsi" w:hAnsiTheme="majorHAnsi"/>
                                <w:color w:val="595959" w:themeColor="text1" w:themeTint="A6"/>
                                <w:sz w:val="18"/>
                              </w:rPr>
                              <w:t>11</w:t>
                            </w:r>
                            <w:r w:rsidR="0047743E">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47743E" w:rsidRPr="0047743E">
                              <w:rPr>
                                <w:rFonts w:asciiTheme="majorHAnsi" w:hAnsiTheme="majorHAnsi"/>
                                <w:color w:val="595959" w:themeColor="text1" w:themeTint="A6"/>
                                <w:sz w:val="18"/>
                              </w:rPr>
                              <w:t>Mario Yobanny Mendoza Amador. Honduras</w:t>
                            </w:r>
                            <w:r w:rsidR="009F2BD8">
                              <w:rPr>
                                <w:rFonts w:asciiTheme="majorHAnsi" w:hAnsiTheme="majorHAnsi"/>
                                <w:color w:val="595959" w:themeColor="text1" w:themeTint="A6"/>
                                <w:sz w:val="18"/>
                              </w:rPr>
                              <w:t>. May 12, 2023</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723F522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2BD8">
                        <w:rPr>
                          <w:rFonts w:asciiTheme="majorHAnsi" w:hAnsiTheme="majorHAnsi"/>
                          <w:color w:val="595959" w:themeColor="text1" w:themeTint="A6"/>
                          <w:sz w:val="18"/>
                        </w:rPr>
                        <w:t>60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9F2BD8">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7743E">
                        <w:rPr>
                          <w:rFonts w:asciiTheme="majorHAnsi" w:hAnsiTheme="majorHAnsi"/>
                          <w:color w:val="595959" w:themeColor="text1" w:themeTint="A6"/>
                          <w:sz w:val="18"/>
                        </w:rPr>
                        <w:t>22</w:t>
                      </w:r>
                      <w:r w:rsidR="009F2BD8">
                        <w:rPr>
                          <w:rFonts w:asciiTheme="majorHAnsi" w:hAnsiTheme="majorHAnsi"/>
                          <w:color w:val="595959" w:themeColor="text1" w:themeTint="A6"/>
                          <w:sz w:val="18"/>
                        </w:rPr>
                        <w:t>11</w:t>
                      </w:r>
                      <w:r w:rsidR="0047743E">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47743E" w:rsidRPr="0047743E">
                        <w:rPr>
                          <w:rFonts w:asciiTheme="majorHAnsi" w:hAnsiTheme="majorHAnsi"/>
                          <w:color w:val="595959" w:themeColor="text1" w:themeTint="A6"/>
                          <w:sz w:val="18"/>
                        </w:rPr>
                        <w:t>Mario Yobanny Mendoza Amador. Honduras</w:t>
                      </w:r>
                      <w:r w:rsidR="009F2BD8">
                        <w:rPr>
                          <w:rFonts w:asciiTheme="majorHAnsi" w:hAnsiTheme="majorHAnsi"/>
                          <w:color w:val="595959" w:themeColor="text1" w:themeTint="A6"/>
                          <w:sz w:val="18"/>
                        </w:rPr>
                        <w:t>. May 12, 2023</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9B4799" w:rsidRDefault="002C1641" w:rsidP="00040C3A">
      <w:pPr>
        <w:tabs>
          <w:tab w:val="center" w:pos="5400"/>
        </w:tabs>
        <w:suppressAutoHyphens/>
        <w:jc w:val="center"/>
        <w:rPr>
          <w:rFonts w:asciiTheme="majorHAnsi" w:hAnsiTheme="majorHAnsi"/>
          <w:sz w:val="18"/>
          <w:szCs w:val="22"/>
        </w:rPr>
      </w:pPr>
    </w:p>
    <w:p w14:paraId="5420A6FF" w14:textId="77777777" w:rsidR="002C1641" w:rsidRPr="009B4799" w:rsidRDefault="002C1641" w:rsidP="00040C3A">
      <w:pPr>
        <w:tabs>
          <w:tab w:val="center" w:pos="5400"/>
        </w:tabs>
        <w:suppressAutoHyphens/>
        <w:jc w:val="center"/>
        <w:rPr>
          <w:rFonts w:asciiTheme="majorHAnsi" w:hAnsiTheme="majorHAnsi"/>
          <w:sz w:val="18"/>
          <w:szCs w:val="22"/>
        </w:rPr>
      </w:pPr>
    </w:p>
    <w:p w14:paraId="03B36C31" w14:textId="77777777" w:rsidR="003C32BC" w:rsidRPr="009B4799" w:rsidRDefault="003C32BC" w:rsidP="003C32BC">
      <w:pPr>
        <w:tabs>
          <w:tab w:val="center" w:pos="5400"/>
        </w:tabs>
        <w:suppressAutoHyphens/>
        <w:jc w:val="center"/>
        <w:rPr>
          <w:rFonts w:asciiTheme="majorHAnsi" w:hAnsiTheme="majorHAnsi"/>
          <w:sz w:val="18"/>
          <w:szCs w:val="22"/>
        </w:rPr>
      </w:pPr>
    </w:p>
    <w:p w14:paraId="154A4854" w14:textId="77777777" w:rsidR="003C32BC" w:rsidRPr="009B4799" w:rsidRDefault="006311DA" w:rsidP="003C32BC">
      <w:pPr>
        <w:tabs>
          <w:tab w:val="center" w:pos="5400"/>
        </w:tabs>
        <w:suppressAutoHyphens/>
        <w:jc w:val="center"/>
        <w:rPr>
          <w:rFonts w:asciiTheme="majorHAnsi" w:hAnsiTheme="majorHAnsi"/>
          <w:sz w:val="18"/>
          <w:szCs w:val="22"/>
        </w:rPr>
      </w:pPr>
      <w:r w:rsidRPr="009B479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9B479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9B4799" w:rsidRDefault="007607C4" w:rsidP="003C32BC">
      <w:pPr>
        <w:tabs>
          <w:tab w:val="center" w:pos="5400"/>
        </w:tabs>
        <w:suppressAutoHyphens/>
        <w:jc w:val="center"/>
        <w:rPr>
          <w:rFonts w:asciiTheme="majorHAnsi" w:hAnsiTheme="majorHAnsi"/>
          <w:sz w:val="18"/>
          <w:szCs w:val="22"/>
        </w:rPr>
        <w:sectPr w:rsidR="007607C4" w:rsidRPr="009B4799"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9B4799" w:rsidRDefault="00F621C3" w:rsidP="00F621C3">
      <w:pPr>
        <w:spacing w:after="240"/>
        <w:ind w:firstLine="720"/>
        <w:jc w:val="both"/>
        <w:rPr>
          <w:rFonts w:asciiTheme="majorHAnsi" w:hAnsiTheme="majorHAnsi"/>
          <w:b/>
          <w:bCs/>
          <w:sz w:val="20"/>
          <w:szCs w:val="20"/>
        </w:rPr>
      </w:pPr>
      <w:r w:rsidRPr="009B4799">
        <w:rPr>
          <w:rFonts w:asciiTheme="majorHAnsi" w:hAnsiTheme="majorHAnsi"/>
          <w:b/>
          <w:bCs/>
          <w:sz w:val="20"/>
          <w:szCs w:val="20"/>
        </w:rPr>
        <w:lastRenderedPageBreak/>
        <w:t>I.</w:t>
      </w:r>
      <w:r w:rsidRPr="009B4799">
        <w:rPr>
          <w:rFonts w:asciiTheme="majorHAnsi" w:hAnsiTheme="majorHAnsi"/>
          <w:b/>
          <w:bCs/>
          <w:sz w:val="20"/>
          <w:szCs w:val="20"/>
        </w:rPr>
        <w:tab/>
      </w:r>
      <w:r w:rsidR="00592718" w:rsidRPr="009B4799">
        <w:rPr>
          <w:rFonts w:asciiTheme="majorHAnsi" w:hAnsiTheme="majorHAnsi"/>
          <w:b/>
          <w:bCs/>
          <w:sz w:val="20"/>
          <w:szCs w:val="20"/>
        </w:rPr>
        <w:t>INFORMATION ABOUT THE PETITION</w:t>
      </w:r>
      <w:r w:rsidRPr="009B4799">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9B4799"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F621C3" w:rsidRPr="009B4799" w:rsidRDefault="003771A3" w:rsidP="009163FC">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Petitioner</w:t>
            </w:r>
            <w:r w:rsidR="00F621C3" w:rsidRPr="009B4799">
              <w:rPr>
                <w:rFonts w:asciiTheme="majorHAnsi" w:hAnsiTheme="majorHAnsi"/>
                <w:b/>
                <w:bCs/>
                <w:color w:val="FFFFFF" w:themeColor="background1"/>
                <w:sz w:val="20"/>
                <w:szCs w:val="20"/>
              </w:rPr>
              <w:t>:</w:t>
            </w:r>
          </w:p>
        </w:tc>
        <w:tc>
          <w:tcPr>
            <w:tcW w:w="5557" w:type="dxa"/>
            <w:vAlign w:val="center"/>
          </w:tcPr>
          <w:p w14:paraId="0674C7B8" w14:textId="7563D793" w:rsidR="00F621C3" w:rsidRPr="009B4799" w:rsidRDefault="00B20671" w:rsidP="009163FC">
            <w:pPr>
              <w:jc w:val="both"/>
              <w:rPr>
                <w:rFonts w:asciiTheme="majorHAnsi" w:hAnsiTheme="majorHAnsi"/>
                <w:bCs/>
                <w:sz w:val="20"/>
                <w:szCs w:val="20"/>
              </w:rPr>
            </w:pPr>
            <w:r>
              <w:rPr>
                <w:rFonts w:asciiTheme="majorHAnsi" w:hAnsiTheme="majorHAnsi"/>
                <w:bCs/>
                <w:sz w:val="20"/>
                <w:szCs w:val="20"/>
              </w:rPr>
              <w:t>Under con</w:t>
            </w:r>
            <w:r w:rsidR="00A916CF">
              <w:rPr>
                <w:rFonts w:asciiTheme="majorHAnsi" w:hAnsiTheme="majorHAnsi"/>
                <w:bCs/>
                <w:sz w:val="20"/>
                <w:szCs w:val="20"/>
              </w:rPr>
              <w:t xml:space="preserve">fidentiality </w:t>
            </w:r>
          </w:p>
        </w:tc>
      </w:tr>
      <w:tr w:rsidR="00F621C3" w:rsidRPr="009B4799"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F621C3" w:rsidRPr="009B4799" w:rsidRDefault="00C82449" w:rsidP="009163F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9B4799">
                  <w:rPr>
                    <w:rFonts w:asciiTheme="majorHAnsi" w:hAnsiTheme="majorHAnsi"/>
                    <w:b/>
                    <w:bCs/>
                    <w:color w:val="FFFFFF" w:themeColor="background1"/>
                    <w:sz w:val="20"/>
                    <w:szCs w:val="20"/>
                  </w:rPr>
                  <w:t>Alleged victim</w:t>
                </w:r>
              </w:sdtContent>
            </w:sdt>
            <w:r w:rsidR="00F621C3" w:rsidRPr="009B4799">
              <w:rPr>
                <w:rFonts w:asciiTheme="majorHAnsi" w:hAnsiTheme="majorHAnsi"/>
                <w:b/>
                <w:bCs/>
                <w:color w:val="FFFFFF" w:themeColor="background1"/>
                <w:sz w:val="20"/>
                <w:szCs w:val="20"/>
              </w:rPr>
              <w:t>:</w:t>
            </w:r>
          </w:p>
        </w:tc>
        <w:tc>
          <w:tcPr>
            <w:tcW w:w="5557" w:type="dxa"/>
            <w:vAlign w:val="center"/>
          </w:tcPr>
          <w:p w14:paraId="60895337" w14:textId="0596B6CE" w:rsidR="00F621C3" w:rsidRPr="009B4799" w:rsidRDefault="00BD06EC" w:rsidP="009163FC">
            <w:pPr>
              <w:jc w:val="both"/>
              <w:rPr>
                <w:rFonts w:asciiTheme="majorHAnsi" w:hAnsiTheme="majorHAnsi"/>
                <w:bCs/>
                <w:sz w:val="20"/>
                <w:szCs w:val="20"/>
              </w:rPr>
            </w:pPr>
            <w:r w:rsidRPr="009B4799">
              <w:rPr>
                <w:rFonts w:asciiTheme="majorHAnsi" w:hAnsiTheme="majorHAnsi"/>
                <w:bCs/>
                <w:sz w:val="20"/>
                <w:szCs w:val="20"/>
              </w:rPr>
              <w:t>Mario Yobanny Mendoza Amador</w:t>
            </w:r>
          </w:p>
        </w:tc>
      </w:tr>
      <w:tr w:rsidR="00F621C3" w:rsidRPr="009B4799"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F621C3" w:rsidRPr="009B4799" w:rsidRDefault="005816E5" w:rsidP="005816E5">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 xml:space="preserve">Respondent </w:t>
            </w:r>
            <w:r w:rsidR="00F621C3" w:rsidRPr="009B4799">
              <w:rPr>
                <w:rFonts w:asciiTheme="majorHAnsi" w:hAnsiTheme="majorHAnsi"/>
                <w:b/>
                <w:bCs/>
                <w:color w:val="FFFFFF" w:themeColor="background1"/>
                <w:sz w:val="20"/>
                <w:szCs w:val="20"/>
              </w:rPr>
              <w:t>State:</w:t>
            </w:r>
          </w:p>
        </w:tc>
        <w:tc>
          <w:tcPr>
            <w:tcW w:w="5557" w:type="dxa"/>
            <w:vAlign w:val="center"/>
          </w:tcPr>
          <w:p w14:paraId="3539D391" w14:textId="56A29C70" w:rsidR="00F621C3" w:rsidRPr="009B4799" w:rsidRDefault="00BD06EC" w:rsidP="009163FC">
            <w:pPr>
              <w:jc w:val="both"/>
              <w:rPr>
                <w:rFonts w:asciiTheme="majorHAnsi" w:hAnsiTheme="majorHAnsi"/>
                <w:bCs/>
                <w:sz w:val="20"/>
                <w:szCs w:val="20"/>
              </w:rPr>
            </w:pPr>
            <w:r w:rsidRPr="009B4799">
              <w:rPr>
                <w:rFonts w:asciiTheme="majorHAnsi" w:hAnsiTheme="majorHAnsi"/>
                <w:bCs/>
                <w:sz w:val="20"/>
                <w:szCs w:val="20"/>
              </w:rPr>
              <w:t>Honduras</w:t>
            </w:r>
          </w:p>
        </w:tc>
      </w:tr>
      <w:tr w:rsidR="00E47F3D" w:rsidRPr="009B4799"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9B4799" w:rsidRDefault="00E47F3D" w:rsidP="00E7588C">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 xml:space="preserve">Rights </w:t>
            </w:r>
            <w:r w:rsidR="00E7588C" w:rsidRPr="009B4799">
              <w:rPr>
                <w:rFonts w:asciiTheme="majorHAnsi" w:hAnsiTheme="majorHAnsi"/>
                <w:b/>
                <w:bCs/>
                <w:color w:val="FFFFFF" w:themeColor="background1"/>
                <w:sz w:val="20"/>
                <w:szCs w:val="20"/>
              </w:rPr>
              <w:t>invoked:</w:t>
            </w:r>
          </w:p>
        </w:tc>
        <w:tc>
          <w:tcPr>
            <w:tcW w:w="5557" w:type="dxa"/>
            <w:vAlign w:val="center"/>
          </w:tcPr>
          <w:p w14:paraId="51EEF9D2" w14:textId="767B172C" w:rsidR="00E47F3D" w:rsidRPr="009B4799" w:rsidRDefault="009B4799" w:rsidP="009163FC">
            <w:pPr>
              <w:jc w:val="both"/>
              <w:rPr>
                <w:rFonts w:asciiTheme="majorHAnsi" w:hAnsiTheme="majorHAnsi"/>
                <w:bCs/>
                <w:sz w:val="20"/>
                <w:szCs w:val="20"/>
              </w:rPr>
            </w:pPr>
            <w:r w:rsidRPr="009B4799">
              <w:rPr>
                <w:rFonts w:asciiTheme="majorHAnsi" w:hAnsiTheme="majorHAnsi"/>
                <w:bCs/>
                <w:sz w:val="20"/>
                <w:szCs w:val="20"/>
              </w:rPr>
              <w:t>Article</w:t>
            </w:r>
            <w:r w:rsidR="00BD06EC" w:rsidRPr="009B4799">
              <w:rPr>
                <w:rFonts w:asciiTheme="majorHAnsi" w:hAnsiTheme="majorHAnsi"/>
                <w:bCs/>
                <w:sz w:val="20"/>
                <w:szCs w:val="20"/>
              </w:rPr>
              <w:t>s 4 (</w:t>
            </w:r>
            <w:r w:rsidRPr="009B4799">
              <w:rPr>
                <w:rFonts w:asciiTheme="majorHAnsi" w:hAnsiTheme="majorHAnsi"/>
                <w:bCs/>
                <w:sz w:val="20"/>
                <w:szCs w:val="20"/>
              </w:rPr>
              <w:t>life</w:t>
            </w:r>
            <w:r w:rsidR="00BD06EC" w:rsidRPr="009B4799">
              <w:rPr>
                <w:rFonts w:asciiTheme="majorHAnsi" w:hAnsiTheme="majorHAnsi"/>
                <w:bCs/>
                <w:sz w:val="20"/>
                <w:szCs w:val="20"/>
              </w:rPr>
              <w:t>), 5 (</w:t>
            </w:r>
            <w:r w:rsidRPr="009B4799">
              <w:rPr>
                <w:rFonts w:asciiTheme="majorHAnsi" w:hAnsiTheme="majorHAnsi"/>
                <w:bCs/>
                <w:sz w:val="20"/>
                <w:szCs w:val="20"/>
              </w:rPr>
              <w:t>humane treatment</w:t>
            </w:r>
            <w:r w:rsidR="00BD06EC" w:rsidRPr="009B4799">
              <w:rPr>
                <w:rFonts w:asciiTheme="majorHAnsi" w:hAnsiTheme="majorHAnsi"/>
                <w:bCs/>
                <w:sz w:val="20"/>
                <w:szCs w:val="20"/>
              </w:rPr>
              <w:t>), 7 (personal</w:t>
            </w:r>
            <w:r w:rsidRPr="009B4799">
              <w:rPr>
                <w:rFonts w:asciiTheme="majorHAnsi" w:hAnsiTheme="majorHAnsi"/>
                <w:bCs/>
                <w:sz w:val="20"/>
                <w:szCs w:val="20"/>
              </w:rPr>
              <w:t xml:space="preserve"> libert</w:t>
            </w:r>
            <w:r w:rsidR="00BD06EC" w:rsidRPr="009B4799">
              <w:rPr>
                <w:rFonts w:asciiTheme="majorHAnsi" w:hAnsiTheme="majorHAnsi"/>
                <w:bCs/>
                <w:sz w:val="20"/>
                <w:szCs w:val="20"/>
              </w:rPr>
              <w:t>y</w:t>
            </w:r>
            <w:r w:rsidRPr="009B4799">
              <w:rPr>
                <w:rFonts w:asciiTheme="majorHAnsi" w:hAnsiTheme="majorHAnsi"/>
                <w:bCs/>
                <w:sz w:val="20"/>
                <w:szCs w:val="20"/>
              </w:rPr>
              <w:t>) and</w:t>
            </w:r>
            <w:r w:rsidR="00BD06EC" w:rsidRPr="009B4799">
              <w:rPr>
                <w:rFonts w:asciiTheme="majorHAnsi" w:hAnsiTheme="majorHAnsi"/>
                <w:bCs/>
                <w:sz w:val="20"/>
                <w:szCs w:val="20"/>
              </w:rPr>
              <w:t xml:space="preserve"> 24 (</w:t>
            </w:r>
            <w:r w:rsidR="000457CE">
              <w:rPr>
                <w:rFonts w:asciiTheme="majorHAnsi" w:hAnsiTheme="majorHAnsi"/>
                <w:bCs/>
                <w:sz w:val="20"/>
                <w:szCs w:val="20"/>
              </w:rPr>
              <w:t>right to equal protection</w:t>
            </w:r>
            <w:r w:rsidR="00BD06EC" w:rsidRPr="009B4799">
              <w:rPr>
                <w:rFonts w:asciiTheme="majorHAnsi" w:hAnsiTheme="majorHAnsi"/>
                <w:bCs/>
                <w:sz w:val="20"/>
                <w:szCs w:val="20"/>
              </w:rPr>
              <w:t xml:space="preserve">) </w:t>
            </w:r>
            <w:r w:rsidRPr="009B4799">
              <w:rPr>
                <w:rFonts w:asciiTheme="majorHAnsi" w:hAnsiTheme="majorHAnsi"/>
                <w:bCs/>
                <w:sz w:val="20"/>
                <w:szCs w:val="20"/>
              </w:rPr>
              <w:t>of the American Convention on Human Right</w:t>
            </w:r>
            <w:r w:rsidR="00486F10">
              <w:rPr>
                <w:rFonts w:asciiTheme="majorHAnsi" w:hAnsiTheme="majorHAnsi"/>
                <w:bCs/>
                <w:sz w:val="20"/>
                <w:szCs w:val="20"/>
              </w:rPr>
              <w:t>s</w:t>
            </w:r>
            <w:r w:rsidR="00BD06EC" w:rsidRPr="009B4799">
              <w:rPr>
                <w:rStyle w:val="FootnoteReference"/>
                <w:rFonts w:asciiTheme="majorHAnsi" w:hAnsiTheme="majorHAnsi"/>
                <w:bCs/>
                <w:sz w:val="20"/>
                <w:szCs w:val="20"/>
              </w:rPr>
              <w:footnoteReference w:id="2"/>
            </w:r>
            <w:r w:rsidR="00BD06EC" w:rsidRPr="009B4799">
              <w:rPr>
                <w:rFonts w:asciiTheme="majorHAnsi" w:hAnsiTheme="majorHAnsi"/>
                <w:bCs/>
                <w:sz w:val="20"/>
                <w:szCs w:val="20"/>
              </w:rPr>
              <w:t xml:space="preserve">, </w:t>
            </w:r>
            <w:r w:rsidRPr="009B4799">
              <w:rPr>
                <w:rFonts w:asciiTheme="majorHAnsi" w:hAnsiTheme="majorHAnsi"/>
                <w:bCs/>
                <w:sz w:val="20"/>
                <w:szCs w:val="20"/>
              </w:rPr>
              <w:t>i</w:t>
            </w:r>
            <w:r w:rsidRPr="009B4799">
              <w:rPr>
                <w:rFonts w:asciiTheme="majorHAnsi" w:hAnsiTheme="majorHAnsi"/>
                <w:sz w:val="20"/>
                <w:szCs w:val="20"/>
              </w:rPr>
              <w:t>n relation to its</w:t>
            </w:r>
            <w:r w:rsidR="00BD06EC" w:rsidRPr="009B4799">
              <w:rPr>
                <w:rFonts w:asciiTheme="majorHAnsi" w:hAnsiTheme="majorHAnsi"/>
                <w:bCs/>
                <w:sz w:val="20"/>
                <w:szCs w:val="20"/>
              </w:rPr>
              <w:t xml:space="preserve"> </w:t>
            </w:r>
            <w:r w:rsidRPr="009B4799">
              <w:rPr>
                <w:rFonts w:asciiTheme="majorHAnsi" w:hAnsiTheme="majorHAnsi"/>
                <w:bCs/>
                <w:sz w:val="20"/>
                <w:szCs w:val="20"/>
              </w:rPr>
              <w:t>article</w:t>
            </w:r>
            <w:r w:rsidR="00BD06EC" w:rsidRPr="009B4799">
              <w:rPr>
                <w:rFonts w:asciiTheme="majorHAnsi" w:hAnsiTheme="majorHAnsi"/>
                <w:bCs/>
                <w:sz w:val="20"/>
                <w:szCs w:val="20"/>
              </w:rPr>
              <w:t xml:space="preserve"> 1.1 </w:t>
            </w:r>
            <w:r w:rsidRPr="009B4799">
              <w:rPr>
                <w:rFonts w:asciiTheme="majorHAnsi" w:hAnsiTheme="majorHAnsi"/>
                <w:bCs/>
                <w:sz w:val="20"/>
                <w:szCs w:val="20"/>
              </w:rPr>
              <w:t>(obligation to respect rights); and the Inter-American Convention to Prevent and Punish Torture; other international treaties are also invoked</w:t>
            </w:r>
            <w:r w:rsidR="00BD06EC" w:rsidRPr="009B4799">
              <w:rPr>
                <w:rStyle w:val="FootnoteReference"/>
                <w:rFonts w:asciiTheme="majorHAnsi" w:hAnsiTheme="majorHAnsi"/>
                <w:bCs/>
                <w:sz w:val="20"/>
                <w:szCs w:val="20"/>
              </w:rPr>
              <w:footnoteReference w:id="3"/>
            </w:r>
          </w:p>
        </w:tc>
      </w:tr>
    </w:tbl>
    <w:p w14:paraId="006E8D49" w14:textId="1C646C41" w:rsidR="00F621C3" w:rsidRPr="009B4799" w:rsidRDefault="00F621C3" w:rsidP="00F621C3">
      <w:pPr>
        <w:spacing w:before="240" w:after="240"/>
        <w:ind w:firstLine="720"/>
        <w:jc w:val="both"/>
        <w:rPr>
          <w:rFonts w:asciiTheme="majorHAnsi" w:hAnsiTheme="majorHAnsi"/>
          <w:b/>
          <w:bCs/>
          <w:sz w:val="20"/>
          <w:szCs w:val="20"/>
        </w:rPr>
      </w:pPr>
      <w:r w:rsidRPr="009B4799">
        <w:rPr>
          <w:rFonts w:asciiTheme="majorHAnsi" w:hAnsiTheme="majorHAnsi"/>
          <w:b/>
          <w:bCs/>
          <w:sz w:val="20"/>
          <w:szCs w:val="20"/>
        </w:rPr>
        <w:t>II.</w:t>
      </w:r>
      <w:r w:rsidRPr="009B4799">
        <w:rPr>
          <w:rFonts w:asciiTheme="majorHAnsi" w:hAnsiTheme="majorHAnsi"/>
          <w:b/>
          <w:bCs/>
          <w:sz w:val="20"/>
          <w:szCs w:val="20"/>
        </w:rPr>
        <w:tab/>
        <w:t>PROCE</w:t>
      </w:r>
      <w:r w:rsidR="00321AFD" w:rsidRPr="009B4799">
        <w:rPr>
          <w:rFonts w:asciiTheme="majorHAnsi" w:hAnsiTheme="majorHAnsi"/>
          <w:b/>
          <w:bCs/>
          <w:sz w:val="20"/>
          <w:szCs w:val="20"/>
        </w:rPr>
        <w:t>EDINGS</w:t>
      </w:r>
      <w:r w:rsidRPr="009B4799">
        <w:rPr>
          <w:rFonts w:asciiTheme="majorHAnsi" w:hAnsiTheme="majorHAnsi"/>
          <w:b/>
          <w:bCs/>
          <w:sz w:val="20"/>
          <w:szCs w:val="20"/>
        </w:rPr>
        <w:t xml:space="preserve"> BEFORE THE IACHR</w:t>
      </w:r>
      <w:r w:rsidR="00653EA6" w:rsidRPr="009B4799">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9B4799"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F621C3" w:rsidRPr="009B4799" w:rsidRDefault="00B06BB7" w:rsidP="00B06BB7">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Filing of the petition</w:t>
            </w:r>
            <w:r w:rsidR="00F621C3" w:rsidRPr="009B4799">
              <w:rPr>
                <w:rFonts w:asciiTheme="majorHAnsi" w:hAnsiTheme="majorHAnsi"/>
                <w:b/>
                <w:bCs/>
                <w:color w:val="FFFFFF" w:themeColor="background1"/>
                <w:sz w:val="20"/>
                <w:szCs w:val="20"/>
              </w:rPr>
              <w:t>:</w:t>
            </w:r>
          </w:p>
        </w:tc>
        <w:tc>
          <w:tcPr>
            <w:tcW w:w="5557" w:type="dxa"/>
            <w:vAlign w:val="center"/>
          </w:tcPr>
          <w:p w14:paraId="1C0C3DE2" w14:textId="1F207B81" w:rsidR="00F621C3" w:rsidRPr="009B4799" w:rsidRDefault="009B4799" w:rsidP="009163FC">
            <w:pPr>
              <w:jc w:val="both"/>
              <w:rPr>
                <w:rFonts w:asciiTheme="majorHAnsi" w:hAnsiTheme="majorHAnsi"/>
                <w:bCs/>
                <w:sz w:val="20"/>
                <w:szCs w:val="20"/>
              </w:rPr>
            </w:pPr>
            <w:r w:rsidRPr="009B4799">
              <w:rPr>
                <w:rFonts w:asciiTheme="majorHAnsi" w:hAnsiTheme="majorHAnsi"/>
                <w:bCs/>
                <w:sz w:val="20"/>
                <w:szCs w:val="20"/>
              </w:rPr>
              <w:t>D</w:t>
            </w:r>
            <w:r w:rsidRPr="009B4799">
              <w:rPr>
                <w:rFonts w:asciiTheme="majorHAnsi" w:hAnsiTheme="majorHAnsi"/>
                <w:sz w:val="20"/>
                <w:szCs w:val="20"/>
              </w:rPr>
              <w:t>ecember 5,</w:t>
            </w:r>
            <w:r w:rsidR="00BD06EC" w:rsidRPr="009B4799">
              <w:rPr>
                <w:rFonts w:asciiTheme="majorHAnsi" w:hAnsiTheme="majorHAnsi"/>
                <w:bCs/>
                <w:sz w:val="20"/>
                <w:szCs w:val="20"/>
              </w:rPr>
              <w:t xml:space="preserve"> 2012</w:t>
            </w:r>
          </w:p>
        </w:tc>
      </w:tr>
      <w:tr w:rsidR="00F621C3" w:rsidRPr="009B4799"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F621C3" w:rsidRPr="009B4799" w:rsidRDefault="00F621C3" w:rsidP="003771A3">
            <w:pPr>
              <w:jc w:val="center"/>
              <w:rPr>
                <w:rFonts w:asciiTheme="majorHAnsi" w:hAnsiTheme="majorHAnsi"/>
                <w:b/>
                <w:color w:val="FFFFFF" w:themeColor="background1"/>
                <w:sz w:val="20"/>
                <w:szCs w:val="20"/>
              </w:rPr>
            </w:pPr>
            <w:r w:rsidRPr="009B4799">
              <w:rPr>
                <w:rFonts w:asciiTheme="majorHAnsi" w:hAnsiTheme="majorHAnsi"/>
                <w:b/>
                <w:color w:val="FFFFFF" w:themeColor="background1"/>
                <w:sz w:val="20"/>
                <w:szCs w:val="20"/>
              </w:rPr>
              <w:t xml:space="preserve">Additional information received at the </w:t>
            </w:r>
            <w:r w:rsidR="003771A3" w:rsidRPr="009B4799">
              <w:rPr>
                <w:rFonts w:asciiTheme="majorHAnsi" w:hAnsiTheme="majorHAnsi"/>
                <w:b/>
                <w:color w:val="FFFFFF" w:themeColor="background1"/>
                <w:sz w:val="20"/>
                <w:szCs w:val="20"/>
              </w:rPr>
              <w:t>s</w:t>
            </w:r>
            <w:r w:rsidRPr="009B4799">
              <w:rPr>
                <w:rFonts w:asciiTheme="majorHAnsi" w:hAnsiTheme="majorHAnsi"/>
                <w:b/>
                <w:color w:val="FFFFFF" w:themeColor="background1"/>
                <w:sz w:val="20"/>
                <w:szCs w:val="20"/>
              </w:rPr>
              <w:t>tage</w:t>
            </w:r>
            <w:r w:rsidR="003771A3" w:rsidRPr="009B4799">
              <w:rPr>
                <w:rFonts w:asciiTheme="majorHAnsi" w:hAnsiTheme="majorHAnsi"/>
                <w:b/>
                <w:color w:val="FFFFFF" w:themeColor="background1"/>
                <w:sz w:val="20"/>
                <w:szCs w:val="20"/>
              </w:rPr>
              <w:t xml:space="preserve"> of initial review</w:t>
            </w:r>
            <w:r w:rsidRPr="009B4799">
              <w:rPr>
                <w:rFonts w:asciiTheme="majorHAnsi" w:hAnsiTheme="majorHAnsi"/>
                <w:b/>
                <w:color w:val="FFFFFF" w:themeColor="background1"/>
                <w:sz w:val="20"/>
                <w:szCs w:val="20"/>
              </w:rPr>
              <w:t>:</w:t>
            </w:r>
          </w:p>
        </w:tc>
        <w:tc>
          <w:tcPr>
            <w:tcW w:w="5557" w:type="dxa"/>
            <w:vAlign w:val="center"/>
          </w:tcPr>
          <w:p w14:paraId="499B90CB" w14:textId="6B5DEFD7" w:rsidR="00F621C3" w:rsidRPr="009B4799" w:rsidRDefault="009B4799" w:rsidP="009163FC">
            <w:pPr>
              <w:jc w:val="both"/>
              <w:rPr>
                <w:rFonts w:asciiTheme="majorHAnsi" w:hAnsiTheme="majorHAnsi"/>
                <w:bCs/>
                <w:sz w:val="20"/>
                <w:szCs w:val="20"/>
              </w:rPr>
            </w:pPr>
            <w:r w:rsidRPr="009B4799">
              <w:rPr>
                <w:rFonts w:asciiTheme="majorHAnsi" w:hAnsiTheme="majorHAnsi"/>
                <w:bCs/>
                <w:sz w:val="20"/>
                <w:szCs w:val="20"/>
              </w:rPr>
              <w:t>A</w:t>
            </w:r>
            <w:r w:rsidRPr="009B4799">
              <w:rPr>
                <w:rFonts w:asciiTheme="majorHAnsi" w:hAnsiTheme="majorHAnsi"/>
                <w:sz w:val="20"/>
                <w:szCs w:val="20"/>
              </w:rPr>
              <w:t xml:space="preserve">pril </w:t>
            </w:r>
            <w:r w:rsidR="00BD06EC" w:rsidRPr="009B4799">
              <w:rPr>
                <w:rFonts w:asciiTheme="majorHAnsi" w:hAnsiTheme="majorHAnsi"/>
                <w:bCs/>
                <w:sz w:val="20"/>
                <w:szCs w:val="20"/>
              </w:rPr>
              <w:t>19</w:t>
            </w:r>
            <w:r w:rsidRPr="009B4799">
              <w:rPr>
                <w:rFonts w:asciiTheme="majorHAnsi" w:hAnsiTheme="majorHAnsi"/>
                <w:bCs/>
                <w:sz w:val="20"/>
                <w:szCs w:val="20"/>
              </w:rPr>
              <w:t xml:space="preserve">, </w:t>
            </w:r>
            <w:r w:rsidR="00BD06EC" w:rsidRPr="009B4799">
              <w:rPr>
                <w:rFonts w:asciiTheme="majorHAnsi" w:hAnsiTheme="majorHAnsi"/>
                <w:bCs/>
                <w:sz w:val="20"/>
                <w:szCs w:val="20"/>
              </w:rPr>
              <w:t>2018</w:t>
            </w:r>
          </w:p>
        </w:tc>
      </w:tr>
      <w:tr w:rsidR="00F621C3" w:rsidRPr="009B4799"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F621C3" w:rsidRPr="009B4799" w:rsidRDefault="00B06BB7" w:rsidP="00B06BB7">
            <w:pPr>
              <w:jc w:val="center"/>
              <w:rPr>
                <w:rFonts w:asciiTheme="majorHAnsi" w:hAnsiTheme="majorHAnsi"/>
                <w:b/>
                <w:bCs/>
                <w:color w:val="FFFFFF" w:themeColor="background1"/>
                <w:sz w:val="20"/>
                <w:szCs w:val="20"/>
              </w:rPr>
            </w:pPr>
            <w:r w:rsidRPr="009B4799">
              <w:rPr>
                <w:rFonts w:asciiTheme="majorHAnsi" w:hAnsiTheme="majorHAnsi"/>
                <w:b/>
                <w:color w:val="FFFFFF" w:themeColor="background1"/>
                <w:sz w:val="20"/>
                <w:szCs w:val="20"/>
              </w:rPr>
              <w:t>Notification of the petition to</w:t>
            </w:r>
            <w:r w:rsidR="00F621C3" w:rsidRPr="009B4799">
              <w:rPr>
                <w:rFonts w:asciiTheme="majorHAnsi" w:hAnsiTheme="majorHAnsi"/>
                <w:b/>
                <w:color w:val="FFFFFF" w:themeColor="background1"/>
                <w:sz w:val="20"/>
                <w:szCs w:val="20"/>
              </w:rPr>
              <w:t xml:space="preserve"> the State:</w:t>
            </w:r>
          </w:p>
        </w:tc>
        <w:tc>
          <w:tcPr>
            <w:tcW w:w="5557" w:type="dxa"/>
            <w:vAlign w:val="center"/>
          </w:tcPr>
          <w:p w14:paraId="22ADBFFE" w14:textId="34B4D59F" w:rsidR="00F621C3" w:rsidRPr="009B4799" w:rsidRDefault="009B4799" w:rsidP="009163FC">
            <w:pPr>
              <w:jc w:val="both"/>
              <w:rPr>
                <w:rFonts w:asciiTheme="majorHAnsi" w:hAnsiTheme="majorHAnsi"/>
                <w:bCs/>
                <w:sz w:val="20"/>
                <w:szCs w:val="20"/>
              </w:rPr>
            </w:pPr>
            <w:r>
              <w:rPr>
                <w:rFonts w:asciiTheme="majorHAnsi" w:hAnsiTheme="majorHAnsi"/>
                <w:bCs/>
                <w:sz w:val="20"/>
                <w:szCs w:val="20"/>
              </w:rPr>
              <w:t>October 15,</w:t>
            </w:r>
            <w:r w:rsidR="00BD06EC" w:rsidRPr="009B4799">
              <w:rPr>
                <w:rFonts w:asciiTheme="majorHAnsi" w:hAnsiTheme="majorHAnsi"/>
                <w:bCs/>
                <w:sz w:val="20"/>
                <w:szCs w:val="20"/>
              </w:rPr>
              <w:t xml:space="preserve"> 2018</w:t>
            </w:r>
          </w:p>
        </w:tc>
      </w:tr>
      <w:tr w:rsidR="00F621C3" w:rsidRPr="009B4799"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9B4799" w:rsidRDefault="00F621C3" w:rsidP="009163FC">
            <w:pPr>
              <w:jc w:val="center"/>
              <w:rPr>
                <w:rFonts w:asciiTheme="majorHAnsi" w:hAnsiTheme="majorHAnsi"/>
                <w:b/>
                <w:bCs/>
                <w:color w:val="FFFFFF" w:themeColor="background1"/>
                <w:sz w:val="20"/>
                <w:szCs w:val="20"/>
              </w:rPr>
            </w:pPr>
            <w:r w:rsidRPr="009B4799">
              <w:rPr>
                <w:rFonts w:asciiTheme="majorHAnsi" w:hAnsiTheme="majorHAnsi"/>
                <w:b/>
                <w:color w:val="FFFFFF" w:themeColor="background1"/>
                <w:sz w:val="20"/>
                <w:szCs w:val="20"/>
              </w:rPr>
              <w:t>State’s first response:</w:t>
            </w:r>
          </w:p>
        </w:tc>
        <w:tc>
          <w:tcPr>
            <w:tcW w:w="5557" w:type="dxa"/>
            <w:vAlign w:val="center"/>
          </w:tcPr>
          <w:p w14:paraId="19C5DA57" w14:textId="3CF6FD83" w:rsidR="00F621C3" w:rsidRPr="009B4799" w:rsidRDefault="009B4799" w:rsidP="009163FC">
            <w:pPr>
              <w:jc w:val="both"/>
              <w:rPr>
                <w:rFonts w:asciiTheme="majorHAnsi" w:hAnsiTheme="majorHAnsi"/>
                <w:bCs/>
                <w:sz w:val="20"/>
                <w:szCs w:val="20"/>
              </w:rPr>
            </w:pPr>
            <w:r>
              <w:rPr>
                <w:rFonts w:asciiTheme="majorHAnsi" w:hAnsiTheme="majorHAnsi"/>
                <w:bCs/>
                <w:sz w:val="20"/>
                <w:szCs w:val="20"/>
              </w:rPr>
              <w:t>February 22,</w:t>
            </w:r>
            <w:r w:rsidR="00BD06EC" w:rsidRPr="009B4799">
              <w:rPr>
                <w:rFonts w:asciiTheme="majorHAnsi" w:hAnsiTheme="majorHAnsi"/>
                <w:bCs/>
                <w:sz w:val="20"/>
                <w:szCs w:val="20"/>
              </w:rPr>
              <w:t xml:space="preserve"> 2019</w:t>
            </w:r>
          </w:p>
        </w:tc>
      </w:tr>
      <w:tr w:rsidR="003771A3" w:rsidRPr="009B4799" w14:paraId="7A8A8A3C" w14:textId="77777777" w:rsidTr="00AE31E9">
        <w:tc>
          <w:tcPr>
            <w:tcW w:w="3690" w:type="dxa"/>
            <w:tcBorders>
              <w:top w:val="single" w:sz="6" w:space="0" w:color="auto"/>
              <w:bottom w:val="single" w:sz="6" w:space="0" w:color="auto"/>
            </w:tcBorders>
            <w:shd w:val="clear" w:color="auto" w:fill="67AE3C"/>
            <w:vAlign w:val="center"/>
          </w:tcPr>
          <w:p w14:paraId="3DEC3A52" w14:textId="4AD4BFB0" w:rsidR="003771A3" w:rsidRPr="009B4799" w:rsidRDefault="003771A3" w:rsidP="0023351C">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Additional observations from the petition</w:t>
            </w:r>
            <w:r w:rsidR="0023351C" w:rsidRPr="009B4799">
              <w:rPr>
                <w:rFonts w:asciiTheme="majorHAnsi" w:hAnsiTheme="majorHAnsi"/>
                <w:b/>
                <w:bCs/>
                <w:color w:val="FFFFFF" w:themeColor="background1"/>
                <w:sz w:val="20"/>
                <w:szCs w:val="20"/>
              </w:rPr>
              <w:t>er</w:t>
            </w:r>
            <w:r w:rsidRPr="009B4799">
              <w:rPr>
                <w:rFonts w:asciiTheme="majorHAnsi" w:hAnsiTheme="majorHAnsi"/>
                <w:b/>
                <w:bCs/>
                <w:color w:val="FFFFFF" w:themeColor="background1"/>
                <w:sz w:val="20"/>
                <w:szCs w:val="20"/>
              </w:rPr>
              <w:t>:</w:t>
            </w:r>
          </w:p>
        </w:tc>
        <w:tc>
          <w:tcPr>
            <w:tcW w:w="5557" w:type="dxa"/>
            <w:vAlign w:val="center"/>
          </w:tcPr>
          <w:p w14:paraId="2A863ACD" w14:textId="555D885A" w:rsidR="003771A3" w:rsidRPr="009B4799" w:rsidRDefault="009B4799" w:rsidP="009163FC">
            <w:pPr>
              <w:jc w:val="both"/>
              <w:rPr>
                <w:rFonts w:asciiTheme="majorHAnsi" w:hAnsiTheme="majorHAnsi"/>
                <w:bCs/>
                <w:sz w:val="20"/>
                <w:szCs w:val="20"/>
              </w:rPr>
            </w:pPr>
            <w:r>
              <w:rPr>
                <w:rFonts w:asciiTheme="majorHAnsi" w:hAnsiTheme="majorHAnsi"/>
                <w:bCs/>
                <w:sz w:val="20"/>
                <w:szCs w:val="20"/>
              </w:rPr>
              <w:t>July 14,</w:t>
            </w:r>
            <w:r w:rsidR="00BD06EC" w:rsidRPr="009B4799">
              <w:rPr>
                <w:rFonts w:asciiTheme="majorHAnsi" w:hAnsiTheme="majorHAnsi"/>
                <w:bCs/>
                <w:sz w:val="20"/>
                <w:szCs w:val="20"/>
              </w:rPr>
              <w:t xml:space="preserve"> 2020, </w:t>
            </w:r>
            <w:r>
              <w:rPr>
                <w:rFonts w:asciiTheme="majorHAnsi" w:hAnsiTheme="majorHAnsi"/>
                <w:bCs/>
                <w:sz w:val="20"/>
                <w:szCs w:val="20"/>
              </w:rPr>
              <w:t>October 15,</w:t>
            </w:r>
            <w:r w:rsidR="00BD06EC" w:rsidRPr="009B4799">
              <w:rPr>
                <w:rFonts w:asciiTheme="majorHAnsi" w:hAnsiTheme="majorHAnsi"/>
                <w:bCs/>
                <w:sz w:val="20"/>
                <w:szCs w:val="20"/>
              </w:rPr>
              <w:t xml:space="preserve"> 2020</w:t>
            </w:r>
            <w:r w:rsidR="00051BEF">
              <w:rPr>
                <w:rFonts w:asciiTheme="majorHAnsi" w:hAnsiTheme="majorHAnsi"/>
                <w:bCs/>
                <w:sz w:val="20"/>
                <w:szCs w:val="20"/>
              </w:rPr>
              <w:t>;</w:t>
            </w:r>
            <w:r w:rsidR="00BD06EC" w:rsidRPr="009B4799">
              <w:rPr>
                <w:rFonts w:asciiTheme="majorHAnsi" w:hAnsiTheme="majorHAnsi"/>
                <w:bCs/>
                <w:sz w:val="20"/>
                <w:szCs w:val="20"/>
              </w:rPr>
              <w:t xml:space="preserve"> </w:t>
            </w:r>
            <w:r>
              <w:rPr>
                <w:rFonts w:asciiTheme="majorHAnsi" w:hAnsiTheme="majorHAnsi"/>
                <w:bCs/>
                <w:sz w:val="20"/>
                <w:szCs w:val="20"/>
              </w:rPr>
              <w:t>and April 29,</w:t>
            </w:r>
            <w:r w:rsidR="00BD06EC" w:rsidRPr="009B4799">
              <w:rPr>
                <w:rFonts w:asciiTheme="majorHAnsi" w:hAnsiTheme="majorHAnsi"/>
                <w:bCs/>
                <w:sz w:val="20"/>
                <w:szCs w:val="20"/>
              </w:rPr>
              <w:t xml:space="preserve"> 2022</w:t>
            </w:r>
          </w:p>
        </w:tc>
      </w:tr>
      <w:tr w:rsidR="003771A3" w:rsidRPr="009B4799" w14:paraId="3D79AA57" w14:textId="77777777" w:rsidTr="00AE31E9">
        <w:tc>
          <w:tcPr>
            <w:tcW w:w="3690" w:type="dxa"/>
            <w:tcBorders>
              <w:top w:val="single" w:sz="6" w:space="0" w:color="auto"/>
              <w:bottom w:val="single" w:sz="6" w:space="0" w:color="auto"/>
            </w:tcBorders>
            <w:shd w:val="clear" w:color="auto" w:fill="67AE3C"/>
            <w:vAlign w:val="center"/>
          </w:tcPr>
          <w:p w14:paraId="2FE60FBE" w14:textId="11BD82D3" w:rsidR="003771A3" w:rsidRPr="009B4799" w:rsidRDefault="003771A3" w:rsidP="00653EA6">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Additional observations from the State:</w:t>
            </w:r>
          </w:p>
        </w:tc>
        <w:tc>
          <w:tcPr>
            <w:tcW w:w="5557" w:type="dxa"/>
            <w:vAlign w:val="center"/>
          </w:tcPr>
          <w:p w14:paraId="27F6ADE3" w14:textId="331EC2B8" w:rsidR="003771A3" w:rsidRPr="009B4799" w:rsidRDefault="009B4799" w:rsidP="009163FC">
            <w:pPr>
              <w:jc w:val="both"/>
              <w:rPr>
                <w:rFonts w:asciiTheme="majorHAnsi" w:hAnsiTheme="majorHAnsi"/>
                <w:bCs/>
                <w:sz w:val="20"/>
                <w:szCs w:val="20"/>
              </w:rPr>
            </w:pPr>
            <w:r>
              <w:rPr>
                <w:rFonts w:asciiTheme="majorHAnsi" w:hAnsiTheme="majorHAnsi"/>
                <w:bCs/>
                <w:sz w:val="20"/>
                <w:szCs w:val="20"/>
              </w:rPr>
              <w:t xml:space="preserve">April 18, </w:t>
            </w:r>
            <w:r w:rsidR="00BD06EC" w:rsidRPr="009B4799">
              <w:rPr>
                <w:rFonts w:asciiTheme="majorHAnsi" w:hAnsiTheme="majorHAnsi"/>
                <w:bCs/>
                <w:sz w:val="20"/>
                <w:szCs w:val="20"/>
              </w:rPr>
              <w:t>2022</w:t>
            </w:r>
          </w:p>
        </w:tc>
      </w:tr>
    </w:tbl>
    <w:p w14:paraId="7F88B361" w14:textId="77777777" w:rsidR="00F621C3" w:rsidRPr="009B4799" w:rsidRDefault="00F621C3" w:rsidP="00F621C3">
      <w:pPr>
        <w:spacing w:before="240" w:after="240"/>
        <w:ind w:firstLine="720"/>
        <w:jc w:val="both"/>
        <w:rPr>
          <w:rFonts w:asciiTheme="majorHAnsi" w:hAnsiTheme="majorHAnsi"/>
          <w:b/>
          <w:bCs/>
          <w:sz w:val="20"/>
          <w:szCs w:val="20"/>
        </w:rPr>
      </w:pPr>
      <w:r w:rsidRPr="009B4799">
        <w:rPr>
          <w:rFonts w:asciiTheme="majorHAnsi" w:hAnsiTheme="majorHAnsi"/>
          <w:b/>
          <w:bCs/>
          <w:sz w:val="20"/>
          <w:szCs w:val="20"/>
        </w:rPr>
        <w:t xml:space="preserve">III. </w:t>
      </w:r>
      <w:r w:rsidRPr="009B479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9B4799"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9B4799" w:rsidRDefault="00F621C3" w:rsidP="009163FC">
            <w:pPr>
              <w:jc w:val="center"/>
              <w:rPr>
                <w:rFonts w:asciiTheme="majorHAnsi" w:hAnsiTheme="majorHAnsi"/>
                <w:b/>
                <w:bCs/>
                <w:i/>
                <w:color w:val="FFFFFF" w:themeColor="background1"/>
                <w:sz w:val="20"/>
                <w:szCs w:val="20"/>
              </w:rPr>
            </w:pPr>
            <w:r w:rsidRPr="009B4799">
              <w:rPr>
                <w:rFonts w:asciiTheme="majorHAnsi" w:hAnsiTheme="majorHAnsi"/>
                <w:b/>
                <w:bCs/>
                <w:color w:val="FFFFFF" w:themeColor="background1"/>
                <w:sz w:val="20"/>
                <w:szCs w:val="20"/>
              </w:rPr>
              <w:t>Competence</w:t>
            </w:r>
            <w:r w:rsidRPr="009B4799">
              <w:rPr>
                <w:rFonts w:asciiTheme="majorHAnsi" w:hAnsiTheme="majorHAnsi"/>
                <w:b/>
                <w:bCs/>
                <w:i/>
                <w:color w:val="FFFFFF" w:themeColor="background1"/>
                <w:sz w:val="20"/>
                <w:szCs w:val="20"/>
              </w:rPr>
              <w:t xml:space="preserve"> Ratione personae:</w:t>
            </w:r>
          </w:p>
        </w:tc>
        <w:tc>
          <w:tcPr>
            <w:tcW w:w="5670" w:type="dxa"/>
            <w:vAlign w:val="center"/>
          </w:tcPr>
          <w:p w14:paraId="237A8D0C" w14:textId="795ED8FC" w:rsidR="00F621C3" w:rsidRPr="009B4799" w:rsidRDefault="00BD06EC" w:rsidP="009163FC">
            <w:pPr>
              <w:rPr>
                <w:rFonts w:asciiTheme="majorHAnsi" w:hAnsiTheme="majorHAnsi"/>
                <w:bCs/>
                <w:sz w:val="20"/>
                <w:szCs w:val="20"/>
              </w:rPr>
            </w:pPr>
            <w:r w:rsidRPr="009B4799">
              <w:rPr>
                <w:rFonts w:asciiTheme="majorHAnsi" w:hAnsiTheme="majorHAnsi"/>
                <w:bCs/>
                <w:sz w:val="20"/>
                <w:szCs w:val="20"/>
              </w:rPr>
              <w:t>Yes</w:t>
            </w:r>
          </w:p>
        </w:tc>
      </w:tr>
      <w:tr w:rsidR="00F621C3" w:rsidRPr="009B4799"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9B4799" w:rsidRDefault="00F621C3" w:rsidP="009163FC">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Competence</w:t>
            </w:r>
            <w:r w:rsidRPr="009B4799">
              <w:rPr>
                <w:rFonts w:asciiTheme="majorHAnsi" w:hAnsiTheme="majorHAnsi"/>
                <w:b/>
                <w:bCs/>
                <w:i/>
                <w:color w:val="FFFFFF" w:themeColor="background1"/>
                <w:sz w:val="20"/>
                <w:szCs w:val="20"/>
              </w:rPr>
              <w:t xml:space="preserve"> Ratione loci</w:t>
            </w:r>
            <w:r w:rsidRPr="009B4799">
              <w:rPr>
                <w:rFonts w:asciiTheme="majorHAnsi" w:hAnsiTheme="majorHAnsi"/>
                <w:b/>
                <w:bCs/>
                <w:color w:val="FFFFFF" w:themeColor="background1"/>
                <w:sz w:val="20"/>
                <w:szCs w:val="20"/>
              </w:rPr>
              <w:t>:</w:t>
            </w:r>
          </w:p>
        </w:tc>
        <w:tc>
          <w:tcPr>
            <w:tcW w:w="5670" w:type="dxa"/>
            <w:vAlign w:val="center"/>
          </w:tcPr>
          <w:p w14:paraId="48257424" w14:textId="6945659E" w:rsidR="00F621C3" w:rsidRPr="009B4799" w:rsidRDefault="00BD06EC" w:rsidP="009163FC">
            <w:pPr>
              <w:rPr>
                <w:rFonts w:asciiTheme="majorHAnsi" w:hAnsiTheme="majorHAnsi"/>
                <w:bCs/>
                <w:sz w:val="20"/>
                <w:szCs w:val="20"/>
              </w:rPr>
            </w:pPr>
            <w:r w:rsidRPr="009B4799">
              <w:rPr>
                <w:rFonts w:asciiTheme="majorHAnsi" w:hAnsiTheme="majorHAnsi"/>
                <w:bCs/>
                <w:sz w:val="20"/>
                <w:szCs w:val="20"/>
              </w:rPr>
              <w:t>Yes</w:t>
            </w:r>
          </w:p>
        </w:tc>
      </w:tr>
      <w:tr w:rsidR="00F621C3" w:rsidRPr="009B4799"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9B4799" w:rsidRDefault="00F621C3" w:rsidP="009163FC">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Competence</w:t>
            </w:r>
            <w:r w:rsidRPr="009B4799">
              <w:rPr>
                <w:rFonts w:asciiTheme="majorHAnsi" w:hAnsiTheme="majorHAnsi"/>
                <w:b/>
                <w:bCs/>
                <w:i/>
                <w:color w:val="FFFFFF" w:themeColor="background1"/>
                <w:sz w:val="20"/>
                <w:szCs w:val="20"/>
              </w:rPr>
              <w:t xml:space="preserve"> Ratione temporis</w:t>
            </w:r>
            <w:r w:rsidRPr="009B4799">
              <w:rPr>
                <w:rFonts w:asciiTheme="majorHAnsi" w:hAnsiTheme="majorHAnsi"/>
                <w:b/>
                <w:bCs/>
                <w:color w:val="FFFFFF" w:themeColor="background1"/>
                <w:sz w:val="20"/>
                <w:szCs w:val="20"/>
              </w:rPr>
              <w:t>:</w:t>
            </w:r>
          </w:p>
        </w:tc>
        <w:tc>
          <w:tcPr>
            <w:tcW w:w="5670" w:type="dxa"/>
            <w:vAlign w:val="center"/>
          </w:tcPr>
          <w:p w14:paraId="74B3F783" w14:textId="67BF0828" w:rsidR="00F621C3" w:rsidRPr="009B4799" w:rsidRDefault="00BD06EC" w:rsidP="009163FC">
            <w:pPr>
              <w:rPr>
                <w:rFonts w:asciiTheme="majorHAnsi" w:hAnsiTheme="majorHAnsi"/>
                <w:bCs/>
                <w:sz w:val="20"/>
                <w:szCs w:val="20"/>
              </w:rPr>
            </w:pPr>
            <w:r w:rsidRPr="009B4799">
              <w:rPr>
                <w:rFonts w:asciiTheme="majorHAnsi" w:hAnsiTheme="majorHAnsi"/>
                <w:bCs/>
                <w:sz w:val="20"/>
                <w:szCs w:val="20"/>
              </w:rPr>
              <w:t>Yes</w:t>
            </w:r>
          </w:p>
        </w:tc>
      </w:tr>
      <w:tr w:rsidR="00F621C3" w:rsidRPr="009B4799"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9B4799" w:rsidRDefault="00F621C3" w:rsidP="009163FC">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Competence</w:t>
            </w:r>
            <w:r w:rsidRPr="009B4799">
              <w:rPr>
                <w:rFonts w:asciiTheme="majorHAnsi" w:hAnsiTheme="majorHAnsi"/>
                <w:b/>
                <w:bCs/>
                <w:i/>
                <w:color w:val="FFFFFF" w:themeColor="background1"/>
                <w:sz w:val="20"/>
                <w:szCs w:val="20"/>
              </w:rPr>
              <w:t xml:space="preserve"> Ratione materiae</w:t>
            </w:r>
            <w:r w:rsidRPr="009B4799">
              <w:rPr>
                <w:rFonts w:asciiTheme="majorHAnsi" w:hAnsiTheme="majorHAnsi"/>
                <w:b/>
                <w:bCs/>
                <w:color w:val="FFFFFF" w:themeColor="background1"/>
                <w:sz w:val="20"/>
                <w:szCs w:val="20"/>
              </w:rPr>
              <w:t>:</w:t>
            </w:r>
          </w:p>
        </w:tc>
        <w:tc>
          <w:tcPr>
            <w:tcW w:w="5670" w:type="dxa"/>
            <w:vAlign w:val="center"/>
          </w:tcPr>
          <w:p w14:paraId="64B3F199" w14:textId="2EC49E7D" w:rsidR="00F621C3" w:rsidRPr="009B4799" w:rsidRDefault="00BD06EC" w:rsidP="009163FC">
            <w:pPr>
              <w:jc w:val="both"/>
              <w:rPr>
                <w:rFonts w:asciiTheme="majorHAnsi" w:hAnsiTheme="majorHAnsi"/>
                <w:bCs/>
                <w:sz w:val="20"/>
                <w:szCs w:val="20"/>
              </w:rPr>
            </w:pPr>
            <w:r w:rsidRPr="009B4799">
              <w:rPr>
                <w:rFonts w:asciiTheme="majorHAnsi" w:hAnsiTheme="majorHAnsi"/>
                <w:bCs/>
                <w:sz w:val="20"/>
                <w:szCs w:val="20"/>
              </w:rPr>
              <w:t>Par</w:t>
            </w:r>
            <w:r w:rsidR="009B4799">
              <w:rPr>
                <w:rFonts w:asciiTheme="majorHAnsi" w:hAnsiTheme="majorHAnsi"/>
                <w:bCs/>
                <w:sz w:val="20"/>
                <w:szCs w:val="20"/>
              </w:rPr>
              <w:t>t</w:t>
            </w:r>
            <w:r w:rsidRPr="009B4799">
              <w:rPr>
                <w:rFonts w:asciiTheme="majorHAnsi" w:hAnsiTheme="majorHAnsi"/>
                <w:bCs/>
                <w:sz w:val="20"/>
                <w:szCs w:val="20"/>
              </w:rPr>
              <w:t xml:space="preserve">ial, </w:t>
            </w:r>
            <w:r w:rsidR="009B4799" w:rsidRPr="009B4799">
              <w:rPr>
                <w:rFonts w:asciiTheme="majorHAnsi" w:hAnsiTheme="majorHAnsi"/>
                <w:bCs/>
                <w:sz w:val="20"/>
                <w:szCs w:val="20"/>
              </w:rPr>
              <w:t>American Convention (deposit of instrument of ratification on September 8, 1977). However, Honduras has not ratified the Inter-American Convention to Prevent and Punish Torture</w:t>
            </w:r>
            <w:r w:rsidR="009B4799">
              <w:rPr>
                <w:rFonts w:asciiTheme="majorHAnsi" w:hAnsiTheme="majorHAnsi"/>
                <w:bCs/>
                <w:sz w:val="20"/>
                <w:szCs w:val="20"/>
              </w:rPr>
              <w:t>.</w:t>
            </w:r>
          </w:p>
        </w:tc>
      </w:tr>
    </w:tbl>
    <w:p w14:paraId="0408D4CD" w14:textId="54A61356" w:rsidR="00F621C3" w:rsidRPr="009B4799" w:rsidRDefault="00F621C3" w:rsidP="00F621C3">
      <w:pPr>
        <w:spacing w:before="240" w:after="240"/>
        <w:ind w:firstLine="720"/>
        <w:jc w:val="both"/>
        <w:rPr>
          <w:rFonts w:asciiTheme="majorHAnsi" w:hAnsiTheme="majorHAnsi"/>
          <w:b/>
          <w:bCs/>
          <w:sz w:val="20"/>
          <w:szCs w:val="20"/>
        </w:rPr>
      </w:pPr>
      <w:r w:rsidRPr="009B4799">
        <w:rPr>
          <w:rFonts w:asciiTheme="majorHAnsi" w:hAnsiTheme="majorHAnsi"/>
          <w:b/>
          <w:bCs/>
          <w:sz w:val="20"/>
          <w:szCs w:val="20"/>
        </w:rPr>
        <w:t xml:space="preserve">IV. </w:t>
      </w:r>
      <w:r w:rsidRPr="009B4799">
        <w:rPr>
          <w:rFonts w:asciiTheme="majorHAnsi" w:hAnsiTheme="majorHAnsi"/>
          <w:b/>
          <w:bCs/>
          <w:sz w:val="20"/>
          <w:szCs w:val="20"/>
        </w:rPr>
        <w:tab/>
        <w:t xml:space="preserve">DUPLICATION OF PROCEDURES AND INTERNATIONAL </w:t>
      </w:r>
      <w:r w:rsidRPr="009B4799">
        <w:rPr>
          <w:rFonts w:asciiTheme="majorHAnsi" w:hAnsiTheme="majorHAnsi"/>
          <w:b/>
          <w:bCs/>
          <w:i/>
          <w:sz w:val="20"/>
          <w:szCs w:val="20"/>
        </w:rPr>
        <w:t>RES JUDICATA</w:t>
      </w:r>
      <w:r w:rsidRPr="009B479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9B4799"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9B4799" w:rsidRDefault="00F621C3" w:rsidP="009163FC">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 xml:space="preserve">Duplication of procedures and International </w:t>
            </w:r>
            <w:r w:rsidRPr="009B4799">
              <w:rPr>
                <w:rFonts w:asciiTheme="majorHAnsi" w:hAnsiTheme="majorHAnsi"/>
                <w:b/>
                <w:bCs/>
                <w:i/>
                <w:color w:val="FFFFFF" w:themeColor="background1"/>
                <w:sz w:val="20"/>
                <w:szCs w:val="20"/>
              </w:rPr>
              <w:t>res judicata</w:t>
            </w:r>
            <w:r w:rsidRPr="009B4799">
              <w:rPr>
                <w:rFonts w:asciiTheme="majorHAnsi" w:hAnsiTheme="majorHAnsi"/>
                <w:b/>
                <w:bCs/>
                <w:color w:val="FFFFFF" w:themeColor="background1"/>
                <w:sz w:val="20"/>
                <w:szCs w:val="20"/>
              </w:rPr>
              <w:t>:</w:t>
            </w:r>
          </w:p>
        </w:tc>
        <w:tc>
          <w:tcPr>
            <w:tcW w:w="5670" w:type="dxa"/>
            <w:vAlign w:val="center"/>
          </w:tcPr>
          <w:p w14:paraId="4773CD23" w14:textId="628F0C16" w:rsidR="00F621C3" w:rsidRPr="009B4799" w:rsidRDefault="00BD06EC" w:rsidP="009163FC">
            <w:pPr>
              <w:jc w:val="both"/>
              <w:rPr>
                <w:rFonts w:asciiTheme="majorHAnsi" w:hAnsiTheme="majorHAnsi"/>
                <w:bCs/>
                <w:sz w:val="20"/>
                <w:szCs w:val="20"/>
              </w:rPr>
            </w:pPr>
            <w:r w:rsidRPr="009B4799">
              <w:rPr>
                <w:rFonts w:asciiTheme="majorHAnsi" w:hAnsiTheme="majorHAnsi"/>
                <w:bCs/>
                <w:sz w:val="20"/>
                <w:szCs w:val="20"/>
              </w:rPr>
              <w:t>No</w:t>
            </w:r>
          </w:p>
        </w:tc>
      </w:tr>
      <w:tr w:rsidR="00F621C3" w:rsidRPr="009B4799"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9B4799" w:rsidRDefault="00F621C3" w:rsidP="009163FC">
            <w:pPr>
              <w:jc w:val="center"/>
              <w:rPr>
                <w:rFonts w:asciiTheme="majorHAnsi" w:hAnsiTheme="majorHAnsi"/>
                <w:b/>
                <w:bCs/>
                <w:i/>
                <w:color w:val="FFFFFF" w:themeColor="background1"/>
                <w:sz w:val="20"/>
                <w:szCs w:val="20"/>
              </w:rPr>
            </w:pPr>
            <w:r w:rsidRPr="009B4799">
              <w:rPr>
                <w:rFonts w:asciiTheme="majorHAnsi" w:hAnsiTheme="majorHAnsi"/>
                <w:b/>
                <w:bCs/>
                <w:color w:val="FFFFFF" w:themeColor="background1"/>
                <w:sz w:val="20"/>
                <w:szCs w:val="20"/>
              </w:rPr>
              <w:t>Rights declared admissible</w:t>
            </w:r>
          </w:p>
        </w:tc>
        <w:tc>
          <w:tcPr>
            <w:tcW w:w="5670" w:type="dxa"/>
            <w:vAlign w:val="center"/>
          </w:tcPr>
          <w:p w14:paraId="33BE4040" w14:textId="1536F894" w:rsidR="00F621C3" w:rsidRPr="009B4799" w:rsidRDefault="009B4799" w:rsidP="009163FC">
            <w:pPr>
              <w:jc w:val="both"/>
              <w:rPr>
                <w:rFonts w:asciiTheme="majorHAnsi" w:hAnsiTheme="majorHAnsi"/>
                <w:bCs/>
                <w:sz w:val="20"/>
                <w:szCs w:val="20"/>
              </w:rPr>
            </w:pPr>
            <w:r w:rsidRPr="009B4799">
              <w:rPr>
                <w:rFonts w:asciiTheme="majorHAnsi" w:hAnsiTheme="majorHAnsi"/>
                <w:bCs/>
                <w:sz w:val="20"/>
                <w:szCs w:val="20"/>
              </w:rPr>
              <w:t>Article</w:t>
            </w:r>
            <w:r w:rsidR="00BD06EC" w:rsidRPr="009B4799">
              <w:rPr>
                <w:rFonts w:asciiTheme="majorHAnsi" w:hAnsiTheme="majorHAnsi"/>
                <w:bCs/>
                <w:sz w:val="20"/>
                <w:szCs w:val="20"/>
              </w:rPr>
              <w:t>s 4 (</w:t>
            </w:r>
            <w:r>
              <w:rPr>
                <w:rFonts w:asciiTheme="majorHAnsi" w:hAnsiTheme="majorHAnsi"/>
                <w:bCs/>
                <w:sz w:val="20"/>
                <w:szCs w:val="20"/>
              </w:rPr>
              <w:t>life</w:t>
            </w:r>
            <w:r w:rsidR="00BD06EC" w:rsidRPr="009B4799">
              <w:rPr>
                <w:rFonts w:asciiTheme="majorHAnsi" w:hAnsiTheme="majorHAnsi"/>
                <w:bCs/>
                <w:sz w:val="20"/>
                <w:szCs w:val="20"/>
              </w:rPr>
              <w:t>), 5 (</w:t>
            </w:r>
            <w:r>
              <w:rPr>
                <w:rFonts w:asciiTheme="majorHAnsi" w:hAnsiTheme="majorHAnsi"/>
                <w:bCs/>
                <w:sz w:val="20"/>
                <w:szCs w:val="20"/>
              </w:rPr>
              <w:t>humane treatment</w:t>
            </w:r>
            <w:r w:rsidR="00BD06EC" w:rsidRPr="009B4799">
              <w:rPr>
                <w:rFonts w:asciiTheme="majorHAnsi" w:hAnsiTheme="majorHAnsi"/>
                <w:bCs/>
                <w:sz w:val="20"/>
                <w:szCs w:val="20"/>
              </w:rPr>
              <w:t>), 8 (</w:t>
            </w:r>
            <w:r>
              <w:rPr>
                <w:rFonts w:asciiTheme="majorHAnsi" w:hAnsiTheme="majorHAnsi"/>
                <w:bCs/>
                <w:sz w:val="20"/>
                <w:szCs w:val="20"/>
              </w:rPr>
              <w:t>fair trial</w:t>
            </w:r>
            <w:r w:rsidR="00BD06EC" w:rsidRPr="009B4799">
              <w:rPr>
                <w:rFonts w:asciiTheme="majorHAnsi" w:hAnsiTheme="majorHAnsi"/>
                <w:bCs/>
                <w:sz w:val="20"/>
                <w:szCs w:val="20"/>
              </w:rPr>
              <w:t xml:space="preserve">) </w:t>
            </w:r>
            <w:r>
              <w:rPr>
                <w:rFonts w:asciiTheme="majorHAnsi" w:hAnsiTheme="majorHAnsi"/>
                <w:bCs/>
                <w:sz w:val="20"/>
                <w:szCs w:val="20"/>
              </w:rPr>
              <w:t>and</w:t>
            </w:r>
            <w:r w:rsidR="00BD06EC" w:rsidRPr="009B4799">
              <w:rPr>
                <w:rFonts w:asciiTheme="majorHAnsi" w:hAnsiTheme="majorHAnsi"/>
                <w:bCs/>
                <w:sz w:val="20"/>
                <w:szCs w:val="20"/>
              </w:rPr>
              <w:t xml:space="preserve"> 25 (judicial</w:t>
            </w:r>
            <w:r w:rsidRPr="009B4799">
              <w:rPr>
                <w:rFonts w:asciiTheme="majorHAnsi" w:hAnsiTheme="majorHAnsi"/>
                <w:bCs/>
                <w:sz w:val="20"/>
                <w:szCs w:val="20"/>
              </w:rPr>
              <w:t xml:space="preserve"> protection</w:t>
            </w:r>
            <w:r w:rsidR="00BD06EC" w:rsidRPr="009B4799">
              <w:rPr>
                <w:rFonts w:asciiTheme="majorHAnsi" w:hAnsiTheme="majorHAnsi"/>
                <w:bCs/>
                <w:sz w:val="20"/>
                <w:szCs w:val="20"/>
              </w:rPr>
              <w:t xml:space="preserve">) </w:t>
            </w:r>
            <w:r w:rsidRPr="009B4799">
              <w:rPr>
                <w:rFonts w:asciiTheme="majorHAnsi" w:hAnsiTheme="majorHAnsi"/>
                <w:bCs/>
                <w:sz w:val="20"/>
                <w:szCs w:val="20"/>
              </w:rPr>
              <w:t>of the American Convention, in relation to its article 1.1 (obligation to respect rights)</w:t>
            </w:r>
          </w:p>
        </w:tc>
      </w:tr>
      <w:tr w:rsidR="00F621C3" w:rsidRPr="009B4799"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9B4799" w:rsidRDefault="00F621C3" w:rsidP="009163FC">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Exhaustion of domestic remedies or applicability of an exception to the rule:</w:t>
            </w:r>
          </w:p>
        </w:tc>
        <w:tc>
          <w:tcPr>
            <w:tcW w:w="5670" w:type="dxa"/>
            <w:vAlign w:val="center"/>
          </w:tcPr>
          <w:p w14:paraId="2CC9F1B2" w14:textId="77777777" w:rsidR="00486F10" w:rsidRDefault="00486F10" w:rsidP="009163FC">
            <w:pPr>
              <w:rPr>
                <w:rFonts w:asciiTheme="majorHAnsi" w:hAnsiTheme="majorHAnsi"/>
                <w:bCs/>
                <w:sz w:val="20"/>
                <w:szCs w:val="20"/>
              </w:rPr>
            </w:pPr>
          </w:p>
          <w:p w14:paraId="2A98CE44" w14:textId="765EC574" w:rsidR="00F621C3" w:rsidRPr="009B4799" w:rsidRDefault="009B4799" w:rsidP="009163FC">
            <w:pPr>
              <w:rPr>
                <w:rFonts w:asciiTheme="majorHAnsi" w:hAnsiTheme="majorHAnsi"/>
                <w:bCs/>
                <w:sz w:val="20"/>
                <w:szCs w:val="20"/>
              </w:rPr>
            </w:pPr>
            <w:r w:rsidRPr="009B4799">
              <w:rPr>
                <w:rFonts w:asciiTheme="majorHAnsi" w:hAnsiTheme="majorHAnsi"/>
                <w:bCs/>
                <w:sz w:val="20"/>
                <w:szCs w:val="20"/>
              </w:rPr>
              <w:t xml:space="preserve">Yes, </w:t>
            </w:r>
            <w:r>
              <w:rPr>
                <w:rFonts w:asciiTheme="majorHAnsi" w:hAnsiTheme="majorHAnsi"/>
                <w:bCs/>
                <w:sz w:val="20"/>
                <w:szCs w:val="20"/>
              </w:rPr>
              <w:t>in</w:t>
            </w:r>
            <w:r w:rsidRPr="009B4799">
              <w:rPr>
                <w:rFonts w:asciiTheme="majorHAnsi" w:hAnsiTheme="majorHAnsi"/>
                <w:bCs/>
                <w:sz w:val="20"/>
                <w:szCs w:val="20"/>
              </w:rPr>
              <w:t xml:space="preserve"> the terms of Section </w:t>
            </w:r>
            <w:r w:rsidR="00BD06EC" w:rsidRPr="009B4799">
              <w:rPr>
                <w:rFonts w:asciiTheme="majorHAnsi" w:hAnsiTheme="majorHAnsi"/>
                <w:bCs/>
                <w:sz w:val="20"/>
                <w:szCs w:val="20"/>
              </w:rPr>
              <w:t>VI</w:t>
            </w:r>
          </w:p>
          <w:p w14:paraId="432DC56B" w14:textId="77777777" w:rsidR="00F621C3" w:rsidRPr="009B4799" w:rsidRDefault="00F621C3" w:rsidP="009163FC">
            <w:pPr>
              <w:rPr>
                <w:rFonts w:asciiTheme="majorHAnsi" w:hAnsiTheme="majorHAnsi"/>
                <w:bCs/>
                <w:sz w:val="20"/>
                <w:szCs w:val="20"/>
              </w:rPr>
            </w:pPr>
          </w:p>
        </w:tc>
      </w:tr>
      <w:tr w:rsidR="00F621C3" w:rsidRPr="009B4799"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9B4799" w:rsidRDefault="00F621C3" w:rsidP="009163FC">
            <w:pPr>
              <w:jc w:val="center"/>
              <w:rPr>
                <w:rFonts w:asciiTheme="majorHAnsi" w:hAnsiTheme="majorHAnsi"/>
                <w:b/>
                <w:bCs/>
                <w:color w:val="FFFFFF" w:themeColor="background1"/>
                <w:sz w:val="20"/>
                <w:szCs w:val="20"/>
              </w:rPr>
            </w:pPr>
            <w:r w:rsidRPr="009B4799">
              <w:rPr>
                <w:rFonts w:asciiTheme="majorHAnsi" w:hAnsiTheme="majorHAnsi"/>
                <w:b/>
                <w:bCs/>
                <w:color w:val="FFFFFF" w:themeColor="background1"/>
                <w:sz w:val="20"/>
                <w:szCs w:val="20"/>
              </w:rPr>
              <w:t>Timeliness of the petition:</w:t>
            </w:r>
          </w:p>
        </w:tc>
        <w:tc>
          <w:tcPr>
            <w:tcW w:w="5670" w:type="dxa"/>
            <w:vAlign w:val="center"/>
          </w:tcPr>
          <w:p w14:paraId="6A26CCE9" w14:textId="6B61FB84" w:rsidR="00F621C3" w:rsidRPr="009B4799" w:rsidRDefault="009B4799" w:rsidP="009163FC">
            <w:pPr>
              <w:rPr>
                <w:rFonts w:asciiTheme="majorHAnsi" w:hAnsiTheme="majorHAnsi"/>
                <w:bCs/>
                <w:sz w:val="20"/>
                <w:szCs w:val="20"/>
              </w:rPr>
            </w:pPr>
            <w:r w:rsidRPr="009B4799">
              <w:rPr>
                <w:rFonts w:asciiTheme="majorHAnsi" w:hAnsiTheme="majorHAnsi"/>
                <w:bCs/>
                <w:sz w:val="20"/>
                <w:szCs w:val="20"/>
              </w:rPr>
              <w:t xml:space="preserve">Yes, </w:t>
            </w:r>
            <w:r>
              <w:rPr>
                <w:rFonts w:asciiTheme="majorHAnsi" w:hAnsiTheme="majorHAnsi"/>
                <w:bCs/>
                <w:sz w:val="20"/>
                <w:szCs w:val="20"/>
              </w:rPr>
              <w:t>in</w:t>
            </w:r>
            <w:r w:rsidRPr="009B4799">
              <w:rPr>
                <w:rFonts w:asciiTheme="majorHAnsi" w:hAnsiTheme="majorHAnsi"/>
                <w:bCs/>
                <w:sz w:val="20"/>
                <w:szCs w:val="20"/>
              </w:rPr>
              <w:t xml:space="preserve"> the terms of Section VI</w:t>
            </w:r>
          </w:p>
        </w:tc>
      </w:tr>
    </w:tbl>
    <w:p w14:paraId="030F3F08" w14:textId="77777777" w:rsidR="00210F4B" w:rsidRPr="009B4799" w:rsidRDefault="00210F4B" w:rsidP="00F621C3">
      <w:pPr>
        <w:spacing w:before="240" w:after="240"/>
        <w:ind w:firstLine="720"/>
        <w:jc w:val="both"/>
        <w:rPr>
          <w:rFonts w:asciiTheme="majorHAnsi" w:hAnsiTheme="majorHAnsi"/>
          <w:b/>
          <w:sz w:val="20"/>
          <w:szCs w:val="20"/>
        </w:rPr>
      </w:pPr>
    </w:p>
    <w:p w14:paraId="31B74C7D" w14:textId="35B41D0F" w:rsidR="00BD06EC" w:rsidRPr="009B4799" w:rsidRDefault="00F621C3" w:rsidP="00BD06EC">
      <w:pPr>
        <w:spacing w:before="240" w:after="240"/>
        <w:ind w:firstLine="720"/>
        <w:jc w:val="both"/>
        <w:rPr>
          <w:rFonts w:asciiTheme="majorHAnsi" w:hAnsiTheme="majorHAnsi"/>
          <w:b/>
          <w:sz w:val="20"/>
          <w:szCs w:val="20"/>
        </w:rPr>
      </w:pPr>
      <w:r w:rsidRPr="009B4799">
        <w:rPr>
          <w:rFonts w:asciiTheme="majorHAnsi" w:hAnsiTheme="majorHAnsi"/>
          <w:b/>
          <w:sz w:val="20"/>
          <w:szCs w:val="20"/>
        </w:rPr>
        <w:t xml:space="preserve">V. </w:t>
      </w:r>
      <w:r w:rsidRPr="009B4799">
        <w:rPr>
          <w:rFonts w:asciiTheme="majorHAnsi" w:hAnsiTheme="majorHAnsi"/>
          <w:b/>
          <w:sz w:val="20"/>
          <w:szCs w:val="20"/>
        </w:rPr>
        <w:tab/>
      </w:r>
      <w:r w:rsidR="00BD06EC" w:rsidRPr="009B4799">
        <w:rPr>
          <w:rFonts w:asciiTheme="majorHAnsi" w:hAnsiTheme="majorHAnsi"/>
          <w:b/>
          <w:sz w:val="20"/>
          <w:szCs w:val="20"/>
        </w:rPr>
        <w:t>POSITION OF THE PARTIES</w:t>
      </w:r>
    </w:p>
    <w:p w14:paraId="629E2DE8" w14:textId="3A58D23F" w:rsidR="00F621C3" w:rsidRPr="009B4799" w:rsidRDefault="00BD06EC" w:rsidP="00BD06EC">
      <w:pPr>
        <w:spacing w:before="240" w:after="240"/>
        <w:ind w:firstLine="720"/>
        <w:jc w:val="both"/>
        <w:rPr>
          <w:rFonts w:asciiTheme="majorHAnsi" w:hAnsiTheme="majorHAnsi"/>
          <w:b/>
          <w:sz w:val="20"/>
          <w:szCs w:val="20"/>
        </w:rPr>
      </w:pPr>
      <w:r w:rsidRPr="009B4799">
        <w:rPr>
          <w:rFonts w:asciiTheme="majorHAnsi" w:hAnsiTheme="majorHAnsi"/>
          <w:bCs/>
          <w:i/>
          <w:iCs/>
          <w:sz w:val="20"/>
          <w:szCs w:val="20"/>
        </w:rPr>
        <w:t>Position of the petitioner</w:t>
      </w:r>
    </w:p>
    <w:p w14:paraId="722ACD24" w14:textId="03BE86C3" w:rsidR="00BD06EC" w:rsidRPr="00664225" w:rsidRDefault="006318B2" w:rsidP="00BD06EC">
      <w:pPr>
        <w:pStyle w:val="ListParagraph"/>
        <w:numPr>
          <w:ilvl w:val="0"/>
          <w:numId w:val="106"/>
        </w:numPr>
        <w:spacing w:before="240" w:after="240"/>
        <w:ind w:left="142" w:firstLine="567"/>
        <w:jc w:val="both"/>
        <w:rPr>
          <w:rFonts w:asciiTheme="majorHAnsi" w:hAnsiTheme="majorHAnsi"/>
          <w:bCs/>
          <w:sz w:val="20"/>
          <w:szCs w:val="20"/>
        </w:rPr>
      </w:pPr>
      <w:r w:rsidRPr="009B4799">
        <w:rPr>
          <w:rFonts w:asciiTheme="majorHAnsi" w:hAnsiTheme="majorHAnsi"/>
          <w:sz w:val="20"/>
          <w:szCs w:val="20"/>
        </w:rPr>
        <w:t xml:space="preserve"> </w:t>
      </w:r>
      <w:r w:rsidR="00484884" w:rsidRPr="00664225">
        <w:rPr>
          <w:rFonts w:asciiTheme="majorHAnsi" w:hAnsiTheme="majorHAnsi"/>
          <w:bCs/>
          <w:sz w:val="20"/>
          <w:szCs w:val="20"/>
        </w:rPr>
        <w:t xml:space="preserve">The petitioner claims the international responsibility of the Honduran State for the </w:t>
      </w:r>
      <w:r w:rsidR="00A017CA" w:rsidRPr="00664225">
        <w:rPr>
          <w:rFonts w:asciiTheme="majorHAnsi" w:hAnsiTheme="majorHAnsi"/>
          <w:bCs/>
          <w:sz w:val="20"/>
          <w:szCs w:val="20"/>
        </w:rPr>
        <w:t xml:space="preserve">alleged </w:t>
      </w:r>
      <w:r w:rsidR="00484884" w:rsidRPr="00664225">
        <w:rPr>
          <w:rFonts w:asciiTheme="majorHAnsi" w:hAnsiTheme="majorHAnsi"/>
          <w:bCs/>
          <w:sz w:val="20"/>
          <w:szCs w:val="20"/>
        </w:rPr>
        <w:t>abuse of authority, torture and injuries caused by police officers against young Mario Yobanny Mendoza Amador (hereinafter "the alleged victim"); as well as the lack of effective investigation and punishment of those responsible</w:t>
      </w:r>
      <w:r w:rsidR="00BD06EC" w:rsidRPr="00664225">
        <w:rPr>
          <w:rFonts w:asciiTheme="majorHAnsi" w:hAnsiTheme="majorHAnsi"/>
          <w:bCs/>
          <w:sz w:val="20"/>
          <w:szCs w:val="20"/>
        </w:rPr>
        <w:t xml:space="preserve">. </w:t>
      </w:r>
    </w:p>
    <w:p w14:paraId="6F0CD822" w14:textId="286415C6" w:rsidR="00BD06EC" w:rsidRPr="00664225" w:rsidRDefault="00484884"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The petitioners state by way of context that the alleged victim was in a vulnerable situation: he had been living on the street since he was seven years old when he became an orphan, and at the time of the events he was suffering from drug addiction and was in a situation of poverty</w:t>
      </w:r>
      <w:r w:rsidR="00BD06EC" w:rsidRPr="00664225">
        <w:rPr>
          <w:rFonts w:asciiTheme="majorHAnsi" w:hAnsiTheme="majorHAnsi"/>
          <w:bCs/>
          <w:sz w:val="20"/>
          <w:szCs w:val="20"/>
        </w:rPr>
        <w:t xml:space="preserve">. </w:t>
      </w:r>
    </w:p>
    <w:p w14:paraId="5ACC8C82" w14:textId="52039862" w:rsidR="00BD06EC" w:rsidRPr="00664225" w:rsidRDefault="00484884"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They hold that</w:t>
      </w:r>
      <w:r w:rsidR="00A017CA" w:rsidRPr="00664225">
        <w:rPr>
          <w:rFonts w:asciiTheme="majorHAnsi" w:hAnsiTheme="majorHAnsi"/>
          <w:bCs/>
          <w:sz w:val="20"/>
          <w:szCs w:val="20"/>
        </w:rPr>
        <w:t xml:space="preserve">, </w:t>
      </w:r>
      <w:r w:rsidRPr="00664225">
        <w:rPr>
          <w:rFonts w:asciiTheme="majorHAnsi" w:hAnsiTheme="majorHAnsi"/>
          <w:bCs/>
          <w:sz w:val="20"/>
          <w:szCs w:val="20"/>
        </w:rPr>
        <w:t xml:space="preserve">on the night of May 31, 2007, the alleged victim and a friend were in the La Plazuela neighborhood (also known as El Arbolito) in the city of Tegucigalpa when six policemen detained them and searched their belongings. They claim that young Mendoza Amador was carrying money, cigarettes and </w:t>
      </w:r>
      <w:r w:rsidR="00486F10" w:rsidRPr="00664225">
        <w:rPr>
          <w:rFonts w:asciiTheme="majorHAnsi" w:hAnsiTheme="majorHAnsi"/>
          <w:bCs/>
          <w:sz w:val="20"/>
          <w:szCs w:val="20"/>
        </w:rPr>
        <w:t>thinner</w:t>
      </w:r>
      <w:r w:rsidRPr="00664225">
        <w:rPr>
          <w:rFonts w:asciiTheme="majorHAnsi" w:hAnsiTheme="majorHAnsi"/>
          <w:bCs/>
          <w:sz w:val="20"/>
          <w:szCs w:val="20"/>
        </w:rPr>
        <w:t xml:space="preserve"> that he was using as a narcotic; the policemen returned his belongings, except for the solvent. Then, one of the policemen began to spray the alleged victim with said substance and proceeded to light a match, burning him in several parts of his body</w:t>
      </w:r>
      <w:r w:rsidR="00BD06EC" w:rsidRPr="00664225">
        <w:rPr>
          <w:rFonts w:asciiTheme="majorHAnsi" w:hAnsiTheme="majorHAnsi"/>
          <w:bCs/>
          <w:sz w:val="20"/>
          <w:szCs w:val="20"/>
        </w:rPr>
        <w:t xml:space="preserve">. </w:t>
      </w:r>
    </w:p>
    <w:p w14:paraId="74373050" w14:textId="7055EF3D" w:rsidR="00BD06EC" w:rsidRPr="00664225" w:rsidRDefault="00484884"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The alleged victim's friend tried to put out the fire, but he could not. They claim that the policemen saw this and left the scene, without asking for help; even before leaving they told them</w:t>
      </w:r>
      <w:r w:rsidR="00BD06EC" w:rsidRPr="00664225">
        <w:rPr>
          <w:rFonts w:asciiTheme="majorHAnsi" w:hAnsiTheme="majorHAnsi"/>
          <w:bCs/>
          <w:sz w:val="20"/>
          <w:szCs w:val="20"/>
        </w:rPr>
        <w:t xml:space="preserve">: </w:t>
      </w:r>
      <w:r w:rsidR="00BD06EC" w:rsidRPr="00664225">
        <w:rPr>
          <w:rFonts w:asciiTheme="majorHAnsi" w:hAnsiTheme="majorHAnsi"/>
          <w:bCs/>
          <w:i/>
          <w:iCs/>
          <w:sz w:val="20"/>
          <w:szCs w:val="20"/>
        </w:rPr>
        <w:t>“</w:t>
      </w:r>
      <w:r w:rsidRPr="00664225">
        <w:rPr>
          <w:rFonts w:asciiTheme="majorHAnsi" w:hAnsiTheme="majorHAnsi"/>
          <w:bCs/>
          <w:i/>
          <w:iCs/>
          <w:sz w:val="20"/>
          <w:szCs w:val="20"/>
        </w:rPr>
        <w:t>don't worry, because in the report [...] we are going to put attempted suicide</w:t>
      </w:r>
      <w:r w:rsidR="00BD06EC" w:rsidRPr="00664225">
        <w:rPr>
          <w:rFonts w:asciiTheme="majorHAnsi" w:hAnsiTheme="majorHAnsi"/>
          <w:bCs/>
          <w:i/>
          <w:iCs/>
          <w:sz w:val="20"/>
          <w:szCs w:val="20"/>
        </w:rPr>
        <w:t>”</w:t>
      </w:r>
      <w:r w:rsidR="00BD06EC" w:rsidRPr="00664225">
        <w:rPr>
          <w:rStyle w:val="FootnoteReference"/>
          <w:rFonts w:asciiTheme="majorHAnsi" w:hAnsiTheme="majorHAnsi"/>
          <w:bCs/>
          <w:i/>
          <w:iCs/>
          <w:sz w:val="20"/>
          <w:szCs w:val="20"/>
        </w:rPr>
        <w:footnoteReference w:id="5"/>
      </w:r>
      <w:r w:rsidR="00BD06EC" w:rsidRPr="00664225">
        <w:rPr>
          <w:rFonts w:asciiTheme="majorHAnsi" w:hAnsiTheme="majorHAnsi"/>
          <w:bCs/>
          <w:i/>
          <w:iCs/>
          <w:sz w:val="20"/>
          <w:szCs w:val="20"/>
        </w:rPr>
        <w:t>.</w:t>
      </w:r>
      <w:r w:rsidR="00BD06EC" w:rsidRPr="00664225">
        <w:rPr>
          <w:rFonts w:asciiTheme="majorHAnsi" w:hAnsiTheme="majorHAnsi"/>
          <w:bCs/>
          <w:sz w:val="20"/>
          <w:szCs w:val="20"/>
        </w:rPr>
        <w:t xml:space="preserve"> </w:t>
      </w:r>
      <w:r w:rsidRPr="00664225">
        <w:rPr>
          <w:rFonts w:asciiTheme="majorHAnsi" w:hAnsiTheme="majorHAnsi"/>
          <w:bCs/>
          <w:sz w:val="20"/>
          <w:szCs w:val="20"/>
        </w:rPr>
        <w:t>The friend was eventually able to put out the fire with a sweater and spot the number of the patrol car as the police officers were leaving</w:t>
      </w:r>
      <w:r w:rsidR="00BD06EC" w:rsidRPr="00664225">
        <w:rPr>
          <w:rFonts w:asciiTheme="majorHAnsi" w:hAnsiTheme="majorHAnsi"/>
          <w:bCs/>
          <w:sz w:val="20"/>
          <w:szCs w:val="20"/>
        </w:rPr>
        <w:t xml:space="preserve">. </w:t>
      </w:r>
    </w:p>
    <w:p w14:paraId="04456C25" w14:textId="45E0C2F7" w:rsidR="00BD06EC" w:rsidRPr="00664225" w:rsidRDefault="00484884"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A woman who observed what happened called the Fire Department, who arrived to the area and transferred young Mendoza Amador to the Hospital Escuela Universitario, where he remained in the Burn Ward for twenty-eight days, with burns of I and II degree in his arms, thorax and face</w:t>
      </w:r>
      <w:r w:rsidR="00BD06EC" w:rsidRPr="00664225">
        <w:rPr>
          <w:rStyle w:val="FootnoteReference"/>
          <w:rFonts w:asciiTheme="majorHAnsi" w:hAnsiTheme="majorHAnsi"/>
          <w:bCs/>
          <w:sz w:val="20"/>
          <w:szCs w:val="20"/>
        </w:rPr>
        <w:footnoteReference w:id="6"/>
      </w:r>
      <w:r w:rsidR="00BD06EC" w:rsidRPr="00664225">
        <w:rPr>
          <w:rFonts w:asciiTheme="majorHAnsi" w:hAnsiTheme="majorHAnsi"/>
          <w:bCs/>
          <w:sz w:val="20"/>
          <w:szCs w:val="20"/>
        </w:rPr>
        <w:t xml:space="preserve">. </w:t>
      </w:r>
      <w:r w:rsidR="00380B32" w:rsidRPr="00664225">
        <w:rPr>
          <w:rFonts w:asciiTheme="majorHAnsi" w:hAnsiTheme="majorHAnsi"/>
          <w:bCs/>
          <w:sz w:val="20"/>
          <w:szCs w:val="20"/>
        </w:rPr>
        <w:t>In addition, the alleged victim suffered from depressive symptoms while hospitalized and attempted to take his own life</w:t>
      </w:r>
      <w:r w:rsidR="00BD06EC" w:rsidRPr="00664225">
        <w:rPr>
          <w:rFonts w:asciiTheme="majorHAnsi" w:hAnsiTheme="majorHAnsi"/>
          <w:bCs/>
          <w:sz w:val="20"/>
          <w:szCs w:val="20"/>
        </w:rPr>
        <w:t xml:space="preserve">. </w:t>
      </w:r>
    </w:p>
    <w:p w14:paraId="76527D50" w14:textId="4BFFF783" w:rsidR="00BD06EC" w:rsidRPr="00664225" w:rsidRDefault="00380B32"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The friend of the alleged victim, with the assistance of the Non-Governmental Organization "Casa Alianza" and the petitioners, filed a complaint before the Public Ministry, where the intervention of the Special Prosecutor's Office for Human Rights was requested. The investigation for the crime of serious injury and attempted homicide officially began on June 5, 2007. The Public Ministry ordered the practice of anticipated evidence on June 22, 2007</w:t>
      </w:r>
      <w:r w:rsidR="00BD06EC" w:rsidRPr="00664225">
        <w:rPr>
          <w:rStyle w:val="FootnoteReference"/>
          <w:rFonts w:asciiTheme="majorHAnsi" w:hAnsiTheme="majorHAnsi"/>
          <w:bCs/>
          <w:sz w:val="20"/>
          <w:szCs w:val="20"/>
        </w:rPr>
        <w:footnoteReference w:id="7"/>
      </w:r>
      <w:r w:rsidR="00BD06EC" w:rsidRPr="00664225">
        <w:rPr>
          <w:rFonts w:asciiTheme="majorHAnsi" w:hAnsiTheme="majorHAnsi"/>
          <w:bCs/>
          <w:sz w:val="20"/>
          <w:szCs w:val="20"/>
        </w:rPr>
        <w:t xml:space="preserve">, </w:t>
      </w:r>
      <w:r w:rsidRPr="00664225">
        <w:rPr>
          <w:rFonts w:asciiTheme="majorHAnsi" w:hAnsiTheme="majorHAnsi"/>
          <w:bCs/>
          <w:sz w:val="20"/>
          <w:szCs w:val="20"/>
        </w:rPr>
        <w:t>in view of the depression presented by the alleged victim and for the purpose of safeguarding her procedural statement</w:t>
      </w:r>
      <w:r w:rsidR="00BD06EC" w:rsidRPr="00664225">
        <w:rPr>
          <w:rFonts w:asciiTheme="majorHAnsi" w:hAnsiTheme="majorHAnsi"/>
          <w:bCs/>
          <w:sz w:val="20"/>
          <w:szCs w:val="20"/>
        </w:rPr>
        <w:t>.</w:t>
      </w:r>
    </w:p>
    <w:p w14:paraId="559E56E7" w14:textId="6108935E" w:rsidR="00BD06EC" w:rsidRPr="00664225" w:rsidRDefault="00380B32"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 xml:space="preserve">The petitioners hold that, from the beginning of the investigations to date, the only documents in the casefile are: the statements of the alleged victim and his friend; the testimony of four witnesses who were located; the testimony of the police officers who were driving the patrol car with the number that the alleged victim's friend spotted; referrals of investigative measures to the General Directorate of Criminal Investigation, without any updates; and a final investigative measure of March 2, 2010, consisting of a statement by the young Mendoza Amador. The petitioners hold that although they sent different requests to </w:t>
      </w:r>
      <w:r w:rsidRPr="00664225">
        <w:rPr>
          <w:rFonts w:asciiTheme="majorHAnsi" w:hAnsiTheme="majorHAnsi"/>
          <w:bCs/>
          <w:sz w:val="20"/>
          <w:szCs w:val="20"/>
        </w:rPr>
        <w:lastRenderedPageBreak/>
        <w:t xml:space="preserve">the Prosecutor's Office -without specifying the dates of these requests-, they only received a verbal reply indicating that no progress was being made in the investigation because </w:t>
      </w:r>
      <w:r w:rsidR="00BD06EC" w:rsidRPr="00664225">
        <w:rPr>
          <w:rFonts w:asciiTheme="majorHAnsi" w:hAnsiTheme="majorHAnsi"/>
          <w:bCs/>
          <w:i/>
          <w:iCs/>
          <w:sz w:val="20"/>
          <w:szCs w:val="20"/>
        </w:rPr>
        <w:t>“</w:t>
      </w:r>
      <w:r w:rsidRPr="00664225">
        <w:rPr>
          <w:rFonts w:asciiTheme="majorHAnsi" w:hAnsiTheme="majorHAnsi"/>
          <w:bCs/>
          <w:i/>
          <w:iCs/>
          <w:sz w:val="20"/>
          <w:szCs w:val="20"/>
        </w:rPr>
        <w:t>witnesses would not testify</w:t>
      </w:r>
      <w:r w:rsidR="00BD06EC" w:rsidRPr="00664225">
        <w:rPr>
          <w:rFonts w:asciiTheme="majorHAnsi" w:hAnsiTheme="majorHAnsi"/>
          <w:bCs/>
          <w:i/>
          <w:iCs/>
          <w:sz w:val="20"/>
          <w:szCs w:val="20"/>
        </w:rPr>
        <w:t>”</w:t>
      </w:r>
      <w:r w:rsidR="00BD06EC" w:rsidRPr="00664225">
        <w:rPr>
          <w:rStyle w:val="FootnoteReference"/>
          <w:rFonts w:asciiTheme="majorHAnsi" w:hAnsiTheme="majorHAnsi"/>
          <w:bCs/>
          <w:i/>
          <w:iCs/>
          <w:sz w:val="20"/>
          <w:szCs w:val="20"/>
        </w:rPr>
        <w:footnoteReference w:id="8"/>
      </w:r>
      <w:r w:rsidR="00BD06EC" w:rsidRPr="00664225">
        <w:rPr>
          <w:rFonts w:asciiTheme="majorHAnsi" w:hAnsiTheme="majorHAnsi"/>
          <w:bCs/>
          <w:sz w:val="20"/>
          <w:szCs w:val="20"/>
        </w:rPr>
        <w:t>.</w:t>
      </w:r>
    </w:p>
    <w:p w14:paraId="3678CB0A" w14:textId="6D5FDCAD" w:rsidR="00BD06EC" w:rsidRPr="00664225" w:rsidRDefault="00380B32"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 xml:space="preserve">The petitioner also </w:t>
      </w:r>
      <w:r w:rsidR="003F1C38" w:rsidRPr="00664225">
        <w:rPr>
          <w:rFonts w:asciiTheme="majorHAnsi" w:hAnsiTheme="majorHAnsi"/>
          <w:bCs/>
          <w:sz w:val="20"/>
          <w:szCs w:val="20"/>
        </w:rPr>
        <w:t>holds</w:t>
      </w:r>
      <w:r w:rsidRPr="00664225">
        <w:rPr>
          <w:rFonts w:asciiTheme="majorHAnsi" w:hAnsiTheme="majorHAnsi"/>
          <w:bCs/>
          <w:sz w:val="20"/>
          <w:szCs w:val="20"/>
        </w:rPr>
        <w:t xml:space="preserve"> that young Mendoza Amador suffered threats from police officers after the criminal investigation was opened, </w:t>
      </w:r>
      <w:r w:rsidR="003F1C38" w:rsidRPr="00664225">
        <w:rPr>
          <w:rFonts w:asciiTheme="majorHAnsi" w:hAnsiTheme="majorHAnsi"/>
          <w:bCs/>
          <w:sz w:val="20"/>
          <w:szCs w:val="20"/>
        </w:rPr>
        <w:t xml:space="preserve">for </w:t>
      </w:r>
      <w:r w:rsidRPr="00664225">
        <w:rPr>
          <w:rFonts w:asciiTheme="majorHAnsi" w:hAnsiTheme="majorHAnsi"/>
          <w:bCs/>
          <w:sz w:val="20"/>
          <w:szCs w:val="20"/>
        </w:rPr>
        <w:t xml:space="preserve">which </w:t>
      </w:r>
      <w:r w:rsidR="003F1C38" w:rsidRPr="00664225">
        <w:rPr>
          <w:rFonts w:asciiTheme="majorHAnsi" w:hAnsiTheme="majorHAnsi"/>
          <w:bCs/>
          <w:sz w:val="20"/>
          <w:szCs w:val="20"/>
        </w:rPr>
        <w:t>reason</w:t>
      </w:r>
      <w:r w:rsidRPr="00664225">
        <w:rPr>
          <w:rFonts w:asciiTheme="majorHAnsi" w:hAnsiTheme="majorHAnsi"/>
          <w:bCs/>
          <w:sz w:val="20"/>
          <w:szCs w:val="20"/>
        </w:rPr>
        <w:t xml:space="preserve"> he always fled from them. In a document attached to the petition regarding the amplification of Mendoza Amador's statement of March 26, 2009, the petitioner states that</w:t>
      </w:r>
      <w:r w:rsidR="00BD06EC" w:rsidRPr="00664225">
        <w:rPr>
          <w:rFonts w:asciiTheme="majorHAnsi" w:hAnsiTheme="majorHAnsi"/>
          <w:bCs/>
          <w:sz w:val="20"/>
          <w:szCs w:val="20"/>
        </w:rPr>
        <w:t xml:space="preserve">: </w:t>
      </w:r>
      <w:r w:rsidR="00BD06EC" w:rsidRPr="00664225">
        <w:rPr>
          <w:rFonts w:asciiTheme="majorHAnsi" w:hAnsiTheme="majorHAnsi"/>
          <w:bCs/>
          <w:i/>
          <w:iCs/>
          <w:sz w:val="20"/>
          <w:szCs w:val="20"/>
        </w:rPr>
        <w:t>“</w:t>
      </w:r>
      <w:r w:rsidR="001D0B67" w:rsidRPr="00664225">
        <w:rPr>
          <w:rFonts w:asciiTheme="majorHAnsi" w:hAnsiTheme="majorHAnsi"/>
          <w:bCs/>
          <w:i/>
          <w:iCs/>
          <w:sz w:val="20"/>
          <w:szCs w:val="20"/>
        </w:rPr>
        <w:t>every now and then the police take me away for nothing, whenever they find me they take me away, when they look at me every three days, so I live hidden from the police because I am afraid, because they have told me that next time they will not throw thinner at me but gasoline, the patrol car is from Manchen</w:t>
      </w:r>
      <w:r w:rsidR="00BD06EC" w:rsidRPr="00664225">
        <w:rPr>
          <w:rFonts w:asciiTheme="majorHAnsi" w:hAnsiTheme="majorHAnsi"/>
          <w:bCs/>
          <w:i/>
          <w:iCs/>
          <w:sz w:val="20"/>
          <w:szCs w:val="20"/>
        </w:rPr>
        <w:t>”.</w:t>
      </w:r>
    </w:p>
    <w:p w14:paraId="5312006B" w14:textId="3D24E7DC" w:rsidR="00BD06EC" w:rsidRPr="00664225" w:rsidRDefault="001D0B67"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Due to the facts denounced, the petitioners claim that there was a lack of diligence and commitment to the investigation by authorities, as well as a failure to comply with a reasonable period of time in the preparatory stage of the process, which resulted in impunity that has lasted for years. Therefore, they ask the IACHR to apply the exception of exhaustion of domestic remedies</w:t>
      </w:r>
      <w:r w:rsidR="00BD06EC" w:rsidRPr="00664225">
        <w:rPr>
          <w:rFonts w:asciiTheme="majorHAnsi" w:hAnsiTheme="majorHAnsi"/>
          <w:bCs/>
          <w:sz w:val="20"/>
          <w:szCs w:val="20"/>
        </w:rPr>
        <w:t>.</w:t>
      </w:r>
    </w:p>
    <w:p w14:paraId="74A6F524" w14:textId="1EA80405" w:rsidR="00BD06EC" w:rsidRPr="00664225" w:rsidRDefault="001D0B67"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On the other hand, and in response to the State's assertion that</w:t>
      </w:r>
      <w:r w:rsidR="00BD06EC" w:rsidRPr="00664225">
        <w:rPr>
          <w:rFonts w:asciiTheme="majorHAnsi" w:hAnsiTheme="majorHAnsi"/>
          <w:bCs/>
          <w:sz w:val="20"/>
          <w:szCs w:val="20"/>
        </w:rPr>
        <w:t xml:space="preserve"> </w:t>
      </w:r>
      <w:r w:rsidR="00BD06EC" w:rsidRPr="00664225">
        <w:rPr>
          <w:rFonts w:asciiTheme="majorHAnsi" w:hAnsiTheme="majorHAnsi"/>
          <w:bCs/>
          <w:i/>
          <w:iCs/>
          <w:sz w:val="20"/>
          <w:szCs w:val="20"/>
        </w:rPr>
        <w:t>“</w:t>
      </w:r>
      <w:r w:rsidRPr="00664225">
        <w:rPr>
          <w:rFonts w:asciiTheme="majorHAnsi" w:hAnsiTheme="majorHAnsi"/>
          <w:bCs/>
          <w:i/>
          <w:iCs/>
          <w:sz w:val="20"/>
          <w:szCs w:val="20"/>
        </w:rPr>
        <w:t>the investigative proceedings are still in progress</w:t>
      </w:r>
      <w:r w:rsidR="00BD06EC" w:rsidRPr="00664225">
        <w:rPr>
          <w:rFonts w:asciiTheme="majorHAnsi" w:hAnsiTheme="majorHAnsi"/>
          <w:bCs/>
          <w:i/>
          <w:iCs/>
          <w:sz w:val="20"/>
          <w:szCs w:val="20"/>
        </w:rPr>
        <w:t xml:space="preserve">”, </w:t>
      </w:r>
      <w:r w:rsidRPr="00664225">
        <w:rPr>
          <w:rFonts w:asciiTheme="majorHAnsi" w:hAnsiTheme="majorHAnsi"/>
          <w:bCs/>
          <w:sz w:val="20"/>
          <w:szCs w:val="20"/>
        </w:rPr>
        <w:t>the petitioner contests that no progress or results were indicated; they consider that the State continues to violate the reasonable time period for an investigation after more than fifteen years, without any real effort from the authorities to find those responsible</w:t>
      </w:r>
      <w:r w:rsidR="00BD06EC" w:rsidRPr="00664225">
        <w:rPr>
          <w:rFonts w:asciiTheme="majorHAnsi" w:hAnsiTheme="majorHAnsi"/>
          <w:bCs/>
          <w:sz w:val="20"/>
          <w:szCs w:val="20"/>
        </w:rPr>
        <w:t xml:space="preserve">. </w:t>
      </w:r>
    </w:p>
    <w:p w14:paraId="441751FA" w14:textId="564455F1" w:rsidR="00BD06EC" w:rsidRPr="00664225" w:rsidRDefault="001D0B67"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 xml:space="preserve">With regard to the State's assertion that </w:t>
      </w:r>
      <w:r w:rsidR="00BD06EC" w:rsidRPr="00664225">
        <w:rPr>
          <w:rFonts w:asciiTheme="majorHAnsi" w:hAnsiTheme="majorHAnsi"/>
          <w:bCs/>
          <w:i/>
          <w:iCs/>
          <w:sz w:val="20"/>
          <w:szCs w:val="20"/>
        </w:rPr>
        <w:t>"</w:t>
      </w:r>
      <w:r w:rsidRPr="00664225">
        <w:t xml:space="preserve"> </w:t>
      </w:r>
      <w:r w:rsidRPr="00664225">
        <w:rPr>
          <w:rFonts w:asciiTheme="majorHAnsi" w:hAnsiTheme="majorHAnsi"/>
          <w:bCs/>
          <w:i/>
          <w:iCs/>
          <w:sz w:val="20"/>
          <w:szCs w:val="20"/>
        </w:rPr>
        <w:t>it is not possible to prove, even with minimal evidence, that the act was committed by police officers</w:t>
      </w:r>
      <w:r w:rsidR="00BD06EC" w:rsidRPr="00664225">
        <w:rPr>
          <w:rFonts w:asciiTheme="majorHAnsi" w:hAnsiTheme="majorHAnsi"/>
          <w:bCs/>
          <w:i/>
          <w:iCs/>
          <w:sz w:val="20"/>
          <w:szCs w:val="20"/>
        </w:rPr>
        <w:t>”</w:t>
      </w:r>
      <w:r w:rsidR="00BD06EC" w:rsidRPr="00664225">
        <w:rPr>
          <w:rFonts w:asciiTheme="majorHAnsi" w:hAnsiTheme="majorHAnsi"/>
          <w:bCs/>
          <w:sz w:val="20"/>
          <w:szCs w:val="20"/>
        </w:rPr>
        <w:t xml:space="preserve">, </w:t>
      </w:r>
      <w:r w:rsidRPr="00664225">
        <w:rPr>
          <w:rFonts w:asciiTheme="majorHAnsi" w:hAnsiTheme="majorHAnsi"/>
          <w:bCs/>
          <w:sz w:val="20"/>
          <w:szCs w:val="20"/>
        </w:rPr>
        <w:t>the petitioner recalls that the lack of diligence and unwarranted delay in the investigation of the facts and punishment of those responsible is also being denounced, and not only the responsibility of the agents involved</w:t>
      </w:r>
      <w:r w:rsidR="00BD06EC" w:rsidRPr="00664225">
        <w:rPr>
          <w:rFonts w:asciiTheme="majorHAnsi" w:hAnsiTheme="majorHAnsi"/>
          <w:bCs/>
          <w:sz w:val="20"/>
          <w:szCs w:val="20"/>
        </w:rPr>
        <w:t>.</w:t>
      </w:r>
    </w:p>
    <w:p w14:paraId="4DB0ACE0" w14:textId="1F085E92" w:rsidR="00BD06EC" w:rsidRPr="00664225" w:rsidRDefault="001D0B67"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The petitioner also refers to the administrative investigation -which the State pointed out in its response to the petition- conducted by the Directorate of Police Disciplinary Affairs (hereinafter "DIDAPOL") in case 121-2007; and assures that this has nothing to do with the subject matter of the petition</w:t>
      </w:r>
      <w:r w:rsidR="00BD06EC" w:rsidRPr="00664225">
        <w:rPr>
          <w:rFonts w:asciiTheme="majorHAnsi" w:hAnsiTheme="majorHAnsi"/>
          <w:bCs/>
          <w:sz w:val="20"/>
          <w:szCs w:val="20"/>
        </w:rPr>
        <w:t xml:space="preserve">. </w:t>
      </w:r>
    </w:p>
    <w:p w14:paraId="0DE4EB0A" w14:textId="5FF08365" w:rsidR="00BD06EC" w:rsidRPr="00664225" w:rsidRDefault="001D0B67"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It should be noted that the petitioning party reports that young Mario Yobanny Mendoza Amador was murdered on April 4, 2018; however, it does not seek to establish a link between the alleged victim's homicide and the facts denounced in the petition</w:t>
      </w:r>
      <w:r w:rsidR="00BD06EC" w:rsidRPr="00664225">
        <w:rPr>
          <w:rFonts w:asciiTheme="majorHAnsi" w:hAnsiTheme="majorHAnsi"/>
          <w:bCs/>
          <w:sz w:val="20"/>
          <w:szCs w:val="20"/>
        </w:rPr>
        <w:t xml:space="preserve">. </w:t>
      </w:r>
    </w:p>
    <w:p w14:paraId="2219940F" w14:textId="1B8124FD" w:rsidR="00BD06EC" w:rsidRPr="00664225" w:rsidRDefault="001D0B67"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Finally, they request that the investigation of the facts be completed; that measures of reparation be established</w:t>
      </w:r>
      <w:r w:rsidR="00BD06EC" w:rsidRPr="00664225">
        <w:rPr>
          <w:rFonts w:asciiTheme="majorHAnsi" w:hAnsiTheme="majorHAnsi"/>
          <w:bCs/>
          <w:sz w:val="20"/>
          <w:szCs w:val="20"/>
        </w:rPr>
        <w:t xml:space="preserve"> </w:t>
      </w:r>
      <w:r w:rsidR="00BD06EC" w:rsidRPr="00664225">
        <w:rPr>
          <w:rFonts w:asciiTheme="majorHAnsi" w:hAnsiTheme="majorHAnsi"/>
          <w:bCs/>
          <w:i/>
          <w:iCs/>
          <w:sz w:val="20"/>
          <w:szCs w:val="20"/>
        </w:rPr>
        <w:t>“</w:t>
      </w:r>
      <w:r w:rsidR="00634F79" w:rsidRPr="00664225">
        <w:rPr>
          <w:rFonts w:asciiTheme="majorHAnsi" w:hAnsiTheme="majorHAnsi"/>
          <w:bCs/>
          <w:i/>
          <w:iCs/>
          <w:sz w:val="20"/>
          <w:szCs w:val="20"/>
        </w:rPr>
        <w:t>consisting of public recognition by the State for the violation of human rights through written and oral means of communication; posthumous recognition; greater protection by the State for vulnerable victims, especially when they are orphans or live on the streets; that this case be cited in the Honduran Police Academy as an example of police malpractice</w:t>
      </w:r>
      <w:r w:rsidR="00BD06EC" w:rsidRPr="00664225">
        <w:rPr>
          <w:rFonts w:asciiTheme="majorHAnsi" w:hAnsiTheme="majorHAnsi"/>
          <w:bCs/>
          <w:i/>
          <w:iCs/>
          <w:sz w:val="20"/>
          <w:szCs w:val="20"/>
        </w:rPr>
        <w:t>”.</w:t>
      </w:r>
      <w:r w:rsidR="00BD06EC" w:rsidRPr="00664225">
        <w:rPr>
          <w:rFonts w:asciiTheme="majorHAnsi" w:hAnsiTheme="majorHAnsi"/>
          <w:bCs/>
          <w:sz w:val="20"/>
          <w:szCs w:val="20"/>
        </w:rPr>
        <w:t xml:space="preserve"> </w:t>
      </w:r>
    </w:p>
    <w:p w14:paraId="4A51CA7B" w14:textId="7DDC15CD" w:rsidR="00BD06EC" w:rsidRPr="00664225" w:rsidRDefault="009B4799" w:rsidP="00BD06EC">
      <w:pPr>
        <w:pStyle w:val="ListParagraph"/>
        <w:spacing w:before="240" w:after="240"/>
        <w:ind w:left="709"/>
        <w:jc w:val="both"/>
        <w:rPr>
          <w:rFonts w:asciiTheme="majorHAnsi" w:hAnsiTheme="majorHAnsi"/>
          <w:bCs/>
          <w:i/>
          <w:iCs/>
          <w:sz w:val="20"/>
          <w:szCs w:val="20"/>
        </w:rPr>
      </w:pPr>
      <w:r w:rsidRPr="00664225">
        <w:rPr>
          <w:rFonts w:asciiTheme="majorHAnsi" w:hAnsiTheme="majorHAnsi"/>
          <w:bCs/>
          <w:i/>
          <w:iCs/>
          <w:sz w:val="20"/>
          <w:szCs w:val="20"/>
        </w:rPr>
        <w:t>Position of the Honduran State</w:t>
      </w:r>
    </w:p>
    <w:p w14:paraId="3ED1B204" w14:textId="6EB897A3" w:rsidR="00BD06EC" w:rsidRPr="00664225" w:rsidRDefault="00634F79"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sz w:val="20"/>
          <w:szCs w:val="20"/>
        </w:rPr>
        <w:t xml:space="preserve">The State, for its part, argues that the petition should be dismissed for: i) failure to characterize </w:t>
      </w:r>
      <w:r w:rsidR="003F1C38" w:rsidRPr="00664225">
        <w:rPr>
          <w:rFonts w:asciiTheme="majorHAnsi" w:hAnsiTheme="majorHAnsi"/>
          <w:sz w:val="20"/>
          <w:szCs w:val="20"/>
        </w:rPr>
        <w:t>violations</w:t>
      </w:r>
      <w:r w:rsidRPr="00664225">
        <w:rPr>
          <w:rFonts w:asciiTheme="majorHAnsi" w:hAnsiTheme="majorHAnsi"/>
          <w:sz w:val="20"/>
          <w:szCs w:val="20"/>
        </w:rPr>
        <w:t>; and ii) failure to exhaust domestic remedies.</w:t>
      </w:r>
    </w:p>
    <w:p w14:paraId="0DA71B6C" w14:textId="764EB69A" w:rsidR="00BD06EC" w:rsidRPr="00664225" w:rsidRDefault="00634F79"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sz w:val="20"/>
          <w:szCs w:val="20"/>
        </w:rPr>
        <w:t xml:space="preserve">It holds that in the pleadings there is no precise characterization of the facts that are considered to be injured and that admissibility is not appropriate in accordance with the principle of complementarity that governs the Inter-American Human Rights System. It argues that although the complaint was filed against police officers after the proceedings, there are no elements to assert that they </w:t>
      </w:r>
      <w:r w:rsidRPr="00664225">
        <w:rPr>
          <w:rFonts w:asciiTheme="majorHAnsi" w:hAnsiTheme="majorHAnsi"/>
          <w:sz w:val="20"/>
          <w:szCs w:val="20"/>
        </w:rPr>
        <w:lastRenderedPageBreak/>
        <w:t>were responsible for the facts, making it impossible to attribute responsibility to the State for the violations to the humane treatment of the alleged victim</w:t>
      </w:r>
      <w:r w:rsidR="00BD06EC" w:rsidRPr="00664225">
        <w:rPr>
          <w:rFonts w:asciiTheme="majorHAnsi" w:hAnsiTheme="majorHAnsi"/>
          <w:sz w:val="20"/>
          <w:szCs w:val="20"/>
        </w:rPr>
        <w:t xml:space="preserve">. </w:t>
      </w:r>
    </w:p>
    <w:p w14:paraId="5ED3BB26" w14:textId="3870015F" w:rsidR="00BD06EC" w:rsidRPr="00664225" w:rsidRDefault="009E18A3"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sz w:val="20"/>
          <w:szCs w:val="20"/>
        </w:rPr>
        <w:t>In order to support the assertion that</w:t>
      </w:r>
      <w:r w:rsidR="00BD06EC" w:rsidRPr="00664225">
        <w:rPr>
          <w:rFonts w:asciiTheme="majorHAnsi" w:hAnsiTheme="majorHAnsi"/>
          <w:sz w:val="20"/>
          <w:szCs w:val="20"/>
        </w:rPr>
        <w:t xml:space="preserve"> </w:t>
      </w:r>
      <w:r w:rsidR="00BD06EC" w:rsidRPr="00664225">
        <w:rPr>
          <w:rFonts w:asciiTheme="majorHAnsi" w:hAnsiTheme="majorHAnsi"/>
          <w:bCs/>
          <w:i/>
          <w:iCs/>
          <w:sz w:val="20"/>
          <w:szCs w:val="20"/>
        </w:rPr>
        <w:t>"</w:t>
      </w:r>
      <w:r w:rsidRPr="00664225">
        <w:rPr>
          <w:rFonts w:asciiTheme="majorHAnsi" w:hAnsiTheme="majorHAnsi"/>
          <w:bCs/>
          <w:i/>
          <w:iCs/>
          <w:sz w:val="20"/>
          <w:szCs w:val="20"/>
        </w:rPr>
        <w:t>it is not possible to prove, even with minimal evidence, that the act was committed by police officers</w:t>
      </w:r>
      <w:r w:rsidR="00BD06EC" w:rsidRPr="00664225">
        <w:rPr>
          <w:rFonts w:asciiTheme="majorHAnsi" w:hAnsiTheme="majorHAnsi"/>
          <w:bCs/>
          <w:i/>
          <w:iCs/>
          <w:sz w:val="20"/>
          <w:szCs w:val="20"/>
        </w:rPr>
        <w:t>”</w:t>
      </w:r>
      <w:r w:rsidR="00BD06EC" w:rsidRPr="00664225">
        <w:rPr>
          <w:rFonts w:asciiTheme="majorHAnsi" w:hAnsiTheme="majorHAnsi"/>
          <w:i/>
          <w:iCs/>
          <w:sz w:val="20"/>
          <w:szCs w:val="20"/>
        </w:rPr>
        <w:t xml:space="preserve">, </w:t>
      </w:r>
      <w:r w:rsidR="004516A2" w:rsidRPr="00664225">
        <w:rPr>
          <w:rFonts w:asciiTheme="majorHAnsi" w:hAnsiTheme="majorHAnsi"/>
          <w:sz w:val="20"/>
          <w:szCs w:val="20"/>
        </w:rPr>
        <w:t>the State asserts that even in the statement of young Mendoza Amador, he was unable to identify the agents, and refers that the alleged victim was under the influence of an inhalant during the events that occurred. The State also reports that DIDAPOL conducted an investigation into the facts in case 121-2007, and that the internal investigation concluded that there was no evidence implicating the police officers in the patrol car under investigation</w:t>
      </w:r>
      <w:r w:rsidR="00BD06EC" w:rsidRPr="00664225">
        <w:rPr>
          <w:rFonts w:asciiTheme="majorHAnsi" w:hAnsiTheme="majorHAnsi"/>
          <w:sz w:val="20"/>
          <w:szCs w:val="20"/>
        </w:rPr>
        <w:t xml:space="preserve">. </w:t>
      </w:r>
    </w:p>
    <w:p w14:paraId="7BBF947E" w14:textId="64AC0944" w:rsidR="00BD06EC" w:rsidRPr="00664225" w:rsidRDefault="00E34ED3"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sz w:val="20"/>
          <w:szCs w:val="20"/>
        </w:rPr>
        <w:t>Likewise, Honduras considers that equality was always maintained in the treatment of the alleged victim, as evidenced by the medical care provided to him, the fact that he had access to file a complaint, and the fact that the corresponding investigation was initiated</w:t>
      </w:r>
      <w:r w:rsidR="00BD06EC" w:rsidRPr="00664225">
        <w:rPr>
          <w:rFonts w:asciiTheme="majorHAnsi" w:hAnsiTheme="majorHAnsi"/>
          <w:sz w:val="20"/>
          <w:szCs w:val="20"/>
        </w:rPr>
        <w:t xml:space="preserve">.  </w:t>
      </w:r>
    </w:p>
    <w:p w14:paraId="7FB090FE" w14:textId="1901C9C0" w:rsidR="00BD06EC" w:rsidRPr="00664225" w:rsidRDefault="00E34ED3"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 xml:space="preserve">As for the exhaustion of domestic remedies, the State notes that the alleged victim's friend reported the </w:t>
      </w:r>
      <w:r w:rsidR="00460F7A" w:rsidRPr="00664225">
        <w:rPr>
          <w:rFonts w:asciiTheme="majorHAnsi" w:hAnsiTheme="majorHAnsi"/>
          <w:bCs/>
          <w:sz w:val="20"/>
          <w:szCs w:val="20"/>
        </w:rPr>
        <w:t>events</w:t>
      </w:r>
      <w:r w:rsidRPr="00664225">
        <w:rPr>
          <w:rFonts w:asciiTheme="majorHAnsi" w:hAnsiTheme="majorHAnsi"/>
          <w:bCs/>
          <w:sz w:val="20"/>
          <w:szCs w:val="20"/>
        </w:rPr>
        <w:t xml:space="preserve"> before the Public Ministry on June 5, 2007, under file number 2561-2007. As of that moment, administrative file 6651-200 was opened, initiating an investigation against the police officers assigned to the patrol car that had coverage at the scene of the </w:t>
      </w:r>
      <w:r w:rsidR="00C64101" w:rsidRPr="00664225">
        <w:rPr>
          <w:rFonts w:asciiTheme="majorHAnsi" w:hAnsiTheme="majorHAnsi"/>
          <w:bCs/>
          <w:sz w:val="20"/>
          <w:szCs w:val="20"/>
        </w:rPr>
        <w:t>crime</w:t>
      </w:r>
      <w:r w:rsidRPr="00664225">
        <w:rPr>
          <w:rFonts w:asciiTheme="majorHAnsi" w:hAnsiTheme="majorHAnsi"/>
          <w:bCs/>
          <w:sz w:val="20"/>
          <w:szCs w:val="20"/>
        </w:rPr>
        <w:t xml:space="preserve">. In addition, the State reports that the Public Ministry, through the Special Prosecutor's Office for Human Rights, instructed the General Directorate of Criminal Investigation to investigate the facts, and holds that </w:t>
      </w:r>
      <w:r w:rsidR="00BD06EC" w:rsidRPr="00664225">
        <w:rPr>
          <w:rFonts w:asciiTheme="majorHAnsi" w:hAnsiTheme="majorHAnsi"/>
          <w:bCs/>
          <w:i/>
          <w:iCs/>
          <w:sz w:val="20"/>
          <w:szCs w:val="20"/>
        </w:rPr>
        <w:t>“</w:t>
      </w:r>
      <w:r w:rsidRPr="00664225">
        <w:rPr>
          <w:rFonts w:asciiTheme="majorHAnsi" w:hAnsiTheme="majorHAnsi"/>
          <w:bCs/>
          <w:i/>
          <w:iCs/>
          <w:sz w:val="20"/>
          <w:szCs w:val="20"/>
        </w:rPr>
        <w:t>the investigative proceedings are still in progress</w:t>
      </w:r>
      <w:r w:rsidR="00BD06EC" w:rsidRPr="00664225">
        <w:rPr>
          <w:rFonts w:asciiTheme="majorHAnsi" w:hAnsiTheme="majorHAnsi"/>
          <w:bCs/>
          <w:i/>
          <w:iCs/>
          <w:sz w:val="20"/>
          <w:szCs w:val="20"/>
        </w:rPr>
        <w:t>”</w:t>
      </w:r>
      <w:r w:rsidR="00BD06EC" w:rsidRPr="00664225">
        <w:rPr>
          <w:rFonts w:asciiTheme="majorHAnsi" w:hAnsiTheme="majorHAnsi"/>
          <w:bCs/>
          <w:sz w:val="20"/>
          <w:szCs w:val="20"/>
        </w:rPr>
        <w:t xml:space="preserve">. </w:t>
      </w:r>
      <w:r w:rsidRPr="00664225">
        <w:rPr>
          <w:rFonts w:asciiTheme="majorHAnsi" w:hAnsiTheme="majorHAnsi"/>
          <w:bCs/>
          <w:sz w:val="20"/>
          <w:szCs w:val="20"/>
        </w:rPr>
        <w:t>Thus, it holds that domestic remedies have not been exhausted, because there are proceedings to be exhausted and the Public Ministry is conducting the corresponding investigations</w:t>
      </w:r>
      <w:r w:rsidR="00BD06EC" w:rsidRPr="00664225">
        <w:rPr>
          <w:rFonts w:asciiTheme="majorHAnsi" w:hAnsiTheme="majorHAnsi"/>
          <w:bCs/>
          <w:sz w:val="20"/>
          <w:szCs w:val="20"/>
        </w:rPr>
        <w:t xml:space="preserve">. </w:t>
      </w:r>
    </w:p>
    <w:p w14:paraId="33B75DC8" w14:textId="3C985DAA" w:rsidR="00BD06EC" w:rsidRPr="00664225" w:rsidRDefault="00BD06EC"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Honduras consider</w:t>
      </w:r>
      <w:r w:rsidR="00E34ED3" w:rsidRPr="00664225">
        <w:rPr>
          <w:rFonts w:asciiTheme="majorHAnsi" w:hAnsiTheme="majorHAnsi"/>
          <w:bCs/>
          <w:sz w:val="20"/>
          <w:szCs w:val="20"/>
        </w:rPr>
        <w:t>s</w:t>
      </w:r>
      <w:r w:rsidRPr="00664225">
        <w:rPr>
          <w:rFonts w:asciiTheme="majorHAnsi" w:hAnsiTheme="majorHAnsi"/>
          <w:bCs/>
          <w:sz w:val="20"/>
          <w:szCs w:val="20"/>
        </w:rPr>
        <w:t xml:space="preserve"> </w:t>
      </w:r>
      <w:r w:rsidR="00E34ED3" w:rsidRPr="00664225">
        <w:rPr>
          <w:rFonts w:asciiTheme="majorHAnsi" w:hAnsiTheme="majorHAnsi"/>
          <w:bCs/>
          <w:sz w:val="20"/>
          <w:szCs w:val="20"/>
        </w:rPr>
        <w:t xml:space="preserve">that the necessary measures have been taken to comply with its international obligations, and that the State's obligation </w:t>
      </w:r>
      <w:r w:rsidR="00D47291" w:rsidRPr="00664225">
        <w:rPr>
          <w:rFonts w:asciiTheme="majorHAnsi" w:hAnsiTheme="majorHAnsi"/>
          <w:bCs/>
          <w:sz w:val="20"/>
          <w:szCs w:val="20"/>
        </w:rPr>
        <w:t>is one of means and not of result</w:t>
      </w:r>
      <w:r w:rsidR="00E34ED3" w:rsidRPr="00664225">
        <w:rPr>
          <w:rFonts w:asciiTheme="majorHAnsi" w:hAnsiTheme="majorHAnsi"/>
          <w:bCs/>
          <w:sz w:val="20"/>
          <w:szCs w:val="20"/>
        </w:rPr>
        <w:t>. It evokes that the reasonable time period may vary depending on the complexity of the matter, and that in the facts narrated there is no clarity because it has not been possible to individualize the participation of police agents</w:t>
      </w:r>
      <w:r w:rsidRPr="00664225">
        <w:rPr>
          <w:rFonts w:asciiTheme="majorHAnsi" w:hAnsiTheme="majorHAnsi"/>
          <w:bCs/>
          <w:sz w:val="20"/>
          <w:szCs w:val="20"/>
        </w:rPr>
        <w:t xml:space="preserve">. </w:t>
      </w:r>
    </w:p>
    <w:p w14:paraId="7D1C15CF" w14:textId="2AB33C59" w:rsidR="00BD06EC" w:rsidRPr="00664225" w:rsidRDefault="00E34ED3"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With regard to the articles invoked by the petitioner from the Universal Declaration of Human Rights, it considers that the petitioner did not specifically describe what the violation is centered on and did not indicate a correlation with the facts denounced. With regard to the Convention against Torture, the Inter-American Convention to Prevent and Punish Torture, and the Covenant on Civil and Political Rights, the State reiterates that it has not been possible to reasonably infer that the facts are attributable to the State; furthermore, that it has complied with its obligation to prevent the violations set forth in the various international instruments recognized by the State</w:t>
      </w:r>
      <w:r w:rsidR="00BD06EC" w:rsidRPr="00664225">
        <w:rPr>
          <w:rFonts w:asciiTheme="majorHAnsi" w:hAnsiTheme="majorHAnsi"/>
          <w:bCs/>
          <w:sz w:val="20"/>
          <w:szCs w:val="20"/>
        </w:rPr>
        <w:t xml:space="preserve">. </w:t>
      </w:r>
    </w:p>
    <w:p w14:paraId="6953F7A4" w14:textId="294C5FA2" w:rsidR="00F621C3" w:rsidRPr="00664225" w:rsidRDefault="00E34ED3" w:rsidP="00BD06EC">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Finally, the State reports that, although it is not the subject of the petition, the homicide of the alleged victim is being investigated by the Special Prosecutor's Office for Crimes against Life, registered under number 0801-2018-0185</w:t>
      </w:r>
      <w:r w:rsidR="00BD06EC" w:rsidRPr="00664225">
        <w:rPr>
          <w:rFonts w:asciiTheme="majorHAnsi" w:hAnsiTheme="majorHAnsi"/>
          <w:bCs/>
          <w:sz w:val="20"/>
          <w:szCs w:val="20"/>
        </w:rPr>
        <w:t>.</w:t>
      </w:r>
    </w:p>
    <w:p w14:paraId="55505107" w14:textId="72F76B4B" w:rsidR="00F621C3" w:rsidRPr="00664225" w:rsidRDefault="00F621C3" w:rsidP="00F621C3">
      <w:pPr>
        <w:spacing w:before="240" w:after="240"/>
        <w:ind w:firstLine="720"/>
        <w:jc w:val="both"/>
        <w:rPr>
          <w:rFonts w:asciiTheme="majorHAnsi" w:hAnsiTheme="majorHAnsi"/>
          <w:sz w:val="20"/>
          <w:szCs w:val="20"/>
        </w:rPr>
      </w:pPr>
      <w:r w:rsidRPr="00664225">
        <w:rPr>
          <w:rFonts w:asciiTheme="majorHAnsi" w:eastAsia="Cambria" w:hAnsiTheme="majorHAnsi" w:cs="Cambria"/>
          <w:b/>
          <w:bCs/>
          <w:color w:val="000000"/>
          <w:sz w:val="20"/>
          <w:szCs w:val="20"/>
          <w:u w:color="000000"/>
          <w:lang w:eastAsia="es-ES"/>
        </w:rPr>
        <w:t>VI.</w:t>
      </w:r>
      <w:r w:rsidRPr="00664225">
        <w:rPr>
          <w:rFonts w:asciiTheme="majorHAnsi" w:eastAsia="Cambria" w:hAnsiTheme="majorHAnsi" w:cs="Cambria"/>
          <w:b/>
          <w:bCs/>
          <w:color w:val="000000"/>
          <w:sz w:val="20"/>
          <w:szCs w:val="20"/>
          <w:u w:color="000000"/>
          <w:lang w:eastAsia="es-ES"/>
        </w:rPr>
        <w:tab/>
      </w:r>
      <w:r w:rsidR="001F1902" w:rsidRPr="00664225">
        <w:rPr>
          <w:rFonts w:asciiTheme="majorHAnsi" w:hAnsiTheme="majorHAnsi"/>
          <w:b/>
          <w:bCs/>
          <w:sz w:val="20"/>
          <w:szCs w:val="20"/>
        </w:rPr>
        <w:t xml:space="preserve">ANALYSIS OF </w:t>
      </w:r>
      <w:r w:rsidRPr="00664225">
        <w:rPr>
          <w:rFonts w:asciiTheme="majorHAnsi" w:hAnsiTheme="majorHAnsi"/>
          <w:b/>
          <w:sz w:val="20"/>
          <w:szCs w:val="20"/>
        </w:rPr>
        <w:t>EXHAUSTION OF DOMESTIC REMEDIES AND TIMELINESS OF THE PETITION</w:t>
      </w:r>
      <w:r w:rsidRPr="00664225">
        <w:rPr>
          <w:rFonts w:asciiTheme="majorHAnsi" w:eastAsia="Cambria" w:hAnsiTheme="majorHAnsi" w:cs="Cambria"/>
          <w:b/>
          <w:bCs/>
          <w:color w:val="000000"/>
          <w:sz w:val="20"/>
          <w:szCs w:val="20"/>
          <w:u w:color="000000"/>
          <w:lang w:eastAsia="es-ES"/>
        </w:rPr>
        <w:t xml:space="preserve"> </w:t>
      </w:r>
    </w:p>
    <w:p w14:paraId="63DB9DCA" w14:textId="1D232648" w:rsidR="00B3457F" w:rsidRPr="00664225" w:rsidRDefault="00F242D1" w:rsidP="00B3457F">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The Commission observes that the subject matter of the petition consists</w:t>
      </w:r>
      <w:r w:rsidR="00D47291" w:rsidRPr="00664225">
        <w:rPr>
          <w:rFonts w:asciiTheme="majorHAnsi" w:hAnsiTheme="majorHAnsi"/>
          <w:bCs/>
          <w:sz w:val="20"/>
          <w:szCs w:val="20"/>
        </w:rPr>
        <w:t xml:space="preserve">, on the one hand </w:t>
      </w:r>
      <w:r w:rsidRPr="00664225">
        <w:rPr>
          <w:rFonts w:asciiTheme="majorHAnsi" w:hAnsiTheme="majorHAnsi"/>
          <w:bCs/>
          <w:sz w:val="20"/>
          <w:szCs w:val="20"/>
        </w:rPr>
        <w:t xml:space="preserve">of a claim regarding the abuse of authority and violations of the alleged victim's right to life and humane treatment, after being </w:t>
      </w:r>
      <w:r w:rsidR="00737751" w:rsidRPr="00664225">
        <w:rPr>
          <w:rFonts w:asciiTheme="majorHAnsi" w:hAnsiTheme="majorHAnsi"/>
          <w:bCs/>
          <w:sz w:val="20"/>
          <w:szCs w:val="20"/>
        </w:rPr>
        <w:t xml:space="preserve">allegedly </w:t>
      </w:r>
      <w:r w:rsidRPr="00664225">
        <w:rPr>
          <w:rFonts w:asciiTheme="majorHAnsi" w:hAnsiTheme="majorHAnsi"/>
          <w:bCs/>
          <w:sz w:val="20"/>
          <w:szCs w:val="20"/>
        </w:rPr>
        <w:t xml:space="preserve">assaulted and tortured by members of the police. </w:t>
      </w:r>
      <w:r w:rsidR="00D47291" w:rsidRPr="00664225">
        <w:rPr>
          <w:rFonts w:asciiTheme="majorHAnsi" w:hAnsiTheme="majorHAnsi"/>
          <w:bCs/>
          <w:sz w:val="20"/>
          <w:szCs w:val="20"/>
        </w:rPr>
        <w:t>On the other hand, the petition refers to the alleged l</w:t>
      </w:r>
      <w:r w:rsidRPr="00664225">
        <w:rPr>
          <w:rFonts w:asciiTheme="majorHAnsi" w:hAnsiTheme="majorHAnsi"/>
          <w:bCs/>
          <w:sz w:val="20"/>
          <w:szCs w:val="20"/>
        </w:rPr>
        <w:t>ack of adequate and expeditious investigation and punishment of those responsible. For its part, the State alleges the lack of exhaustion of these investigations, inasmuch as the investigations before the Prosecutor's Office are still active</w:t>
      </w:r>
      <w:r w:rsidR="00B3457F" w:rsidRPr="00664225">
        <w:rPr>
          <w:rFonts w:asciiTheme="majorHAnsi" w:hAnsiTheme="majorHAnsi"/>
          <w:bCs/>
          <w:sz w:val="20"/>
          <w:szCs w:val="20"/>
        </w:rPr>
        <w:t xml:space="preserve">. </w:t>
      </w:r>
    </w:p>
    <w:p w14:paraId="7B414A9A" w14:textId="00A16745" w:rsidR="00B3457F" w:rsidRPr="00664225" w:rsidRDefault="00F242D1" w:rsidP="00B3457F">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In view of the</w:t>
      </w:r>
      <w:r w:rsidR="00737751" w:rsidRPr="00664225">
        <w:rPr>
          <w:rFonts w:asciiTheme="majorHAnsi" w:hAnsiTheme="majorHAnsi"/>
          <w:bCs/>
          <w:sz w:val="20"/>
          <w:szCs w:val="20"/>
        </w:rPr>
        <w:t>se</w:t>
      </w:r>
      <w:r w:rsidRPr="00664225">
        <w:rPr>
          <w:rFonts w:asciiTheme="majorHAnsi" w:hAnsiTheme="majorHAnsi"/>
          <w:bCs/>
          <w:sz w:val="20"/>
          <w:szCs w:val="20"/>
        </w:rPr>
        <w:t xml:space="preserve"> </w:t>
      </w:r>
      <w:r w:rsidR="00342BB1" w:rsidRPr="00664225">
        <w:rPr>
          <w:rFonts w:asciiTheme="majorHAnsi" w:hAnsiTheme="majorHAnsi"/>
          <w:bCs/>
          <w:sz w:val="20"/>
          <w:szCs w:val="20"/>
        </w:rPr>
        <w:t>facts,</w:t>
      </w:r>
      <w:r w:rsidRPr="00664225">
        <w:rPr>
          <w:rFonts w:asciiTheme="majorHAnsi" w:hAnsiTheme="majorHAnsi"/>
          <w:bCs/>
          <w:sz w:val="20"/>
          <w:szCs w:val="20"/>
        </w:rPr>
        <w:t xml:space="preserve"> the Commission recalls that, in situations involving crimes against life and humane treatment, the domestic remedies that must be taken into account for purposes of the </w:t>
      </w:r>
      <w:r w:rsidRPr="00664225">
        <w:rPr>
          <w:rFonts w:asciiTheme="majorHAnsi" w:hAnsiTheme="majorHAnsi"/>
          <w:bCs/>
          <w:sz w:val="20"/>
          <w:szCs w:val="20"/>
        </w:rPr>
        <w:lastRenderedPageBreak/>
        <w:t>admissibility of petitions are those related to the investigation and punishment of those responsible</w:t>
      </w:r>
      <w:r w:rsidR="00386E8C" w:rsidRPr="00664225">
        <w:rPr>
          <w:rStyle w:val="FootnoteReference"/>
          <w:rFonts w:asciiTheme="majorHAnsi" w:hAnsiTheme="majorHAnsi"/>
          <w:bCs/>
          <w:sz w:val="20"/>
          <w:szCs w:val="20"/>
          <w:lang w:val="es-ES_tradnl"/>
        </w:rPr>
        <w:footnoteReference w:id="9"/>
      </w:r>
      <w:r w:rsidRPr="00664225">
        <w:rPr>
          <w:rFonts w:asciiTheme="majorHAnsi" w:hAnsiTheme="majorHAnsi"/>
          <w:bCs/>
          <w:sz w:val="20"/>
          <w:szCs w:val="20"/>
        </w:rPr>
        <w:t xml:space="preserve">. In this regard, the Commission has previously held that in cases such as the present one, which involve possible human rights violations, i.e., which can be prosecuted </w:t>
      </w:r>
      <w:r w:rsidRPr="00664225">
        <w:rPr>
          <w:rFonts w:asciiTheme="majorHAnsi" w:hAnsiTheme="majorHAnsi"/>
          <w:bCs/>
          <w:i/>
          <w:iCs/>
          <w:sz w:val="20"/>
          <w:szCs w:val="20"/>
        </w:rPr>
        <w:t>ex officio</w:t>
      </w:r>
      <w:r w:rsidRPr="00664225">
        <w:rPr>
          <w:rFonts w:asciiTheme="majorHAnsi" w:hAnsiTheme="majorHAnsi"/>
          <w:bCs/>
          <w:sz w:val="20"/>
          <w:szCs w:val="20"/>
        </w:rPr>
        <w:t>, and especially when agents of the State are implicated in the alleged facts, the State has the obligation to investigate them. This burden must be assumed by the State as its own legal duty, and not as a management of private interests or depending on the initiative of the latter or on their own provision of evidence</w:t>
      </w:r>
      <w:r w:rsidR="00B3457F" w:rsidRPr="00664225">
        <w:rPr>
          <w:rStyle w:val="FootnoteReference"/>
          <w:rFonts w:asciiTheme="majorHAnsi" w:hAnsiTheme="majorHAnsi"/>
          <w:bCs/>
          <w:sz w:val="20"/>
          <w:szCs w:val="20"/>
        </w:rPr>
        <w:footnoteReference w:id="10"/>
      </w:r>
      <w:r w:rsidR="00B3457F" w:rsidRPr="00664225">
        <w:rPr>
          <w:rFonts w:asciiTheme="majorHAnsi" w:hAnsiTheme="majorHAnsi"/>
          <w:bCs/>
          <w:sz w:val="20"/>
          <w:szCs w:val="20"/>
        </w:rPr>
        <w:t>.</w:t>
      </w:r>
    </w:p>
    <w:p w14:paraId="12D7ED02" w14:textId="745F4147" w:rsidR="00B3457F" w:rsidRPr="00664225" w:rsidRDefault="00386E8C" w:rsidP="00B3457F">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In the instant case, the IACHR notes that, according to the information presented by the petitioner and reiterated by the State, the events that are the subject of the instant petition occurred on May 31, 2007</w:t>
      </w:r>
      <w:r w:rsidR="007C1671" w:rsidRPr="00664225">
        <w:rPr>
          <w:rFonts w:asciiTheme="majorHAnsi" w:hAnsiTheme="majorHAnsi"/>
          <w:bCs/>
          <w:sz w:val="20"/>
          <w:szCs w:val="20"/>
        </w:rPr>
        <w:t>;</w:t>
      </w:r>
      <w:r w:rsidRPr="00664225">
        <w:rPr>
          <w:rFonts w:asciiTheme="majorHAnsi" w:hAnsiTheme="majorHAnsi"/>
          <w:bCs/>
          <w:sz w:val="20"/>
          <w:szCs w:val="20"/>
        </w:rPr>
        <w:t xml:space="preserve"> and that, following a complaint by the petitioners, the Prosecutor's Office began an investigation on June 5, 2007, for the crimes of injury and attempted murder, and that the investigations are still open and inconclusive. In addition to the fact that part of the petitioners' allegations are precisely </w:t>
      </w:r>
      <w:r w:rsidR="00342BB1" w:rsidRPr="00664225">
        <w:rPr>
          <w:rFonts w:asciiTheme="majorHAnsi" w:hAnsiTheme="majorHAnsi"/>
          <w:bCs/>
          <w:sz w:val="20"/>
          <w:szCs w:val="20"/>
        </w:rPr>
        <w:t xml:space="preserve">related to </w:t>
      </w:r>
      <w:r w:rsidRPr="00664225">
        <w:rPr>
          <w:rFonts w:asciiTheme="majorHAnsi" w:hAnsiTheme="majorHAnsi"/>
          <w:bCs/>
          <w:sz w:val="20"/>
          <w:szCs w:val="20"/>
        </w:rPr>
        <w:t xml:space="preserve">possible acts of police harassment of the alleged victim, subsequent to the assaults to which he was subjected. Thus, more than fifteen years have passed, and the circumstances of the serious injuries of the alleged victim have still not been clarified, nor have those responsible been determined. Despite the fact that it was a concrete event, involving </w:t>
      </w:r>
      <w:r w:rsidR="00BC1CC9" w:rsidRPr="00664225">
        <w:rPr>
          <w:rFonts w:asciiTheme="majorHAnsi" w:hAnsiTheme="majorHAnsi"/>
          <w:bCs/>
          <w:sz w:val="20"/>
          <w:szCs w:val="20"/>
        </w:rPr>
        <w:t>one</w:t>
      </w:r>
      <w:r w:rsidRPr="00664225">
        <w:rPr>
          <w:rFonts w:asciiTheme="majorHAnsi" w:hAnsiTheme="majorHAnsi"/>
          <w:bCs/>
          <w:sz w:val="20"/>
          <w:szCs w:val="20"/>
        </w:rPr>
        <w:t xml:space="preserve"> victim, and that it occurred in the capital of the State itself, in the presence of at least two witnesses; and that immediately after the events the alleged victim went to a public hospital. Consequently, the IACHR concludes that the exception to the exhaustion of domestic remedies applies, in accordance with Article 46.2.c) of the Convention</w:t>
      </w:r>
      <w:r w:rsidR="00B3457F" w:rsidRPr="00664225">
        <w:rPr>
          <w:rFonts w:asciiTheme="majorHAnsi" w:hAnsiTheme="majorHAnsi"/>
          <w:bCs/>
          <w:sz w:val="20"/>
          <w:szCs w:val="20"/>
        </w:rPr>
        <w:t xml:space="preserve">. </w:t>
      </w:r>
      <w:bookmarkStart w:id="0" w:name="_Hlk117929164"/>
    </w:p>
    <w:p w14:paraId="3C6B88B6" w14:textId="1522D581" w:rsidR="00B3457F" w:rsidRPr="00664225" w:rsidRDefault="00386E8C" w:rsidP="00A64915">
      <w:pPr>
        <w:pStyle w:val="ListParagraph"/>
        <w:numPr>
          <w:ilvl w:val="0"/>
          <w:numId w:val="106"/>
        </w:numPr>
        <w:spacing w:before="240" w:after="240"/>
        <w:ind w:left="142" w:firstLine="567"/>
        <w:jc w:val="both"/>
        <w:rPr>
          <w:rFonts w:asciiTheme="majorHAnsi" w:hAnsiTheme="majorHAnsi"/>
          <w:bCs/>
          <w:sz w:val="20"/>
          <w:szCs w:val="20"/>
        </w:rPr>
      </w:pPr>
      <w:bookmarkStart w:id="1" w:name="_Hlk118123845"/>
      <w:bookmarkStart w:id="2" w:name="_Hlk118122280"/>
      <w:r w:rsidRPr="00664225">
        <w:rPr>
          <w:rFonts w:asciiTheme="majorHAnsi" w:hAnsiTheme="majorHAnsi"/>
          <w:sz w:val="20"/>
          <w:szCs w:val="20"/>
        </w:rPr>
        <w:t xml:space="preserve">On this matter, the Commission first reiterates, as it has consistently done, that Article 46.2 of the Convention, by its nature and purpose, is a norm with autonomous content </w:t>
      </w:r>
      <w:r w:rsidRPr="00664225">
        <w:rPr>
          <w:rFonts w:asciiTheme="majorHAnsi" w:hAnsiTheme="majorHAnsi"/>
          <w:i/>
          <w:iCs/>
          <w:sz w:val="20"/>
          <w:szCs w:val="20"/>
        </w:rPr>
        <w:t>vis-à-vis</w:t>
      </w:r>
      <w:r w:rsidRPr="00664225">
        <w:rPr>
          <w:rFonts w:asciiTheme="majorHAnsi" w:hAnsiTheme="majorHAnsi"/>
          <w:sz w:val="20"/>
          <w:szCs w:val="20"/>
        </w:rPr>
        <w:t xml:space="preserve"> the substantive norms of the American Convention. Therefore, the determination of whether the exceptions to the rule of exhaustion of domestic remedies are applicable to the case in question must be conducted prior to and separate from the analysis of the merits of the case, since it depends on a different standard of appraisal from that used to determine the possible violation of Articles 8 and 25 of the Convention. The IACHR has also stressed that there are no conventional or regulatory provisions that specifically regulate the period of time that constitutes unwarranted delay, for which reason the Commission assesses on a case-by-case basis to determine whether such delay is configured</w:t>
      </w:r>
      <w:r w:rsidR="00B3457F" w:rsidRPr="00664225">
        <w:rPr>
          <w:rStyle w:val="FootnoteReference"/>
          <w:rFonts w:asciiTheme="majorHAnsi" w:hAnsiTheme="majorHAnsi"/>
          <w:sz w:val="20"/>
          <w:szCs w:val="20"/>
        </w:rPr>
        <w:footnoteReference w:id="11"/>
      </w:r>
      <w:r w:rsidR="00B3457F" w:rsidRPr="00664225">
        <w:rPr>
          <w:rFonts w:asciiTheme="majorHAnsi" w:hAnsiTheme="majorHAnsi"/>
          <w:sz w:val="20"/>
          <w:szCs w:val="20"/>
        </w:rPr>
        <w:t xml:space="preserve">. </w:t>
      </w:r>
      <w:r w:rsidRPr="00664225">
        <w:rPr>
          <w:rFonts w:asciiTheme="majorHAnsi" w:hAnsiTheme="majorHAnsi"/>
          <w:sz w:val="20"/>
          <w:szCs w:val="20"/>
        </w:rPr>
        <w:t xml:space="preserve">Along these lines, the Inter-American Court has established as a guiding principle for the analysis of the possible unwarranted delay as an exception to the rule of exhaustion of domestic remedies, that </w:t>
      </w:r>
      <w:r w:rsidR="00B3457F" w:rsidRPr="00664225">
        <w:rPr>
          <w:rFonts w:asciiTheme="majorHAnsi" w:hAnsiTheme="majorHAnsi"/>
          <w:sz w:val="20"/>
          <w:szCs w:val="20"/>
        </w:rPr>
        <w:t>“</w:t>
      </w:r>
      <w:r w:rsidRPr="00664225">
        <w:rPr>
          <w:rFonts w:asciiTheme="majorHAnsi" w:hAnsiTheme="majorHAnsi"/>
          <w:i/>
          <w:iCs/>
          <w:sz w:val="20"/>
          <w:szCs w:val="20"/>
        </w:rPr>
        <w:t>in no way should the rule of prior exhaustion lead to the international action in aid of the helpless victim to be stopped or delayed to the point of futility</w:t>
      </w:r>
      <w:r w:rsidR="00B3457F" w:rsidRPr="00664225">
        <w:rPr>
          <w:rFonts w:asciiTheme="majorHAnsi" w:hAnsiTheme="majorHAnsi"/>
          <w:sz w:val="20"/>
          <w:szCs w:val="20"/>
        </w:rPr>
        <w:t>”</w:t>
      </w:r>
      <w:r w:rsidR="00B3457F" w:rsidRPr="00664225">
        <w:rPr>
          <w:rStyle w:val="FootnoteReference"/>
          <w:rFonts w:asciiTheme="majorHAnsi" w:hAnsiTheme="majorHAnsi"/>
          <w:sz w:val="20"/>
          <w:szCs w:val="20"/>
        </w:rPr>
        <w:footnoteReference w:id="12"/>
      </w:r>
      <w:r w:rsidR="00B3457F" w:rsidRPr="00664225">
        <w:rPr>
          <w:rFonts w:asciiTheme="majorHAnsi" w:hAnsiTheme="majorHAnsi"/>
          <w:sz w:val="20"/>
          <w:szCs w:val="20"/>
        </w:rPr>
        <w:t xml:space="preserve">. </w:t>
      </w:r>
      <w:r w:rsidR="007D361E" w:rsidRPr="00664225">
        <w:rPr>
          <w:rFonts w:asciiTheme="majorHAnsi" w:hAnsiTheme="majorHAnsi"/>
          <w:sz w:val="20"/>
          <w:szCs w:val="20"/>
        </w:rPr>
        <w:t>In other words, in the Commission's opinion, the complementary nature of the international protection provided for in the American Convention also implies that the intervention of the bodies of the Inter-American System must be timely in order for it to have any kind of useful effect in the protection of the rights of the alleged victims</w:t>
      </w:r>
      <w:r w:rsidR="00B3457F" w:rsidRPr="00664225">
        <w:rPr>
          <w:rFonts w:asciiTheme="majorHAnsi" w:hAnsiTheme="majorHAnsi"/>
          <w:sz w:val="20"/>
          <w:szCs w:val="20"/>
        </w:rPr>
        <w:t xml:space="preserve">. </w:t>
      </w:r>
      <w:bookmarkEnd w:id="0"/>
      <w:bookmarkEnd w:id="1"/>
      <w:bookmarkEnd w:id="2"/>
    </w:p>
    <w:p w14:paraId="2104A7F5" w14:textId="57B979CB" w:rsidR="00B3457F" w:rsidRPr="00664225" w:rsidRDefault="007D361E" w:rsidP="00A64915">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 xml:space="preserve">With regard to the deadline for filing, the Commission observes that the facts that are the subject of the complaint began on May 31, </w:t>
      </w:r>
      <w:r w:rsidR="009F2BD8" w:rsidRPr="00664225">
        <w:rPr>
          <w:rFonts w:asciiTheme="majorHAnsi" w:hAnsiTheme="majorHAnsi"/>
          <w:bCs/>
          <w:sz w:val="20"/>
          <w:szCs w:val="20"/>
        </w:rPr>
        <w:t>2007,</w:t>
      </w:r>
      <w:r w:rsidRPr="00664225">
        <w:rPr>
          <w:rFonts w:asciiTheme="majorHAnsi" w:hAnsiTheme="majorHAnsi"/>
          <w:bCs/>
          <w:sz w:val="20"/>
          <w:szCs w:val="20"/>
        </w:rPr>
        <w:t xml:space="preserve"> and the investigation of the facts began on June 5, 2007; that the petition was received at the IACHR on December 5, 2012, and that the effects of the violations, in terms of the alleged impunity, would extend to the present. Thus, the Commission concludes that the petition was filed within a reasonable period of time in accordance with Article 32.2 of the IACHR Rules of Procedure.</w:t>
      </w:r>
    </w:p>
    <w:p w14:paraId="7AB234C4" w14:textId="219F2C68" w:rsidR="00B3457F" w:rsidRPr="00664225" w:rsidRDefault="00B3457F" w:rsidP="00B3457F">
      <w:pPr>
        <w:pStyle w:val="ListParagraph"/>
        <w:spacing w:before="240" w:after="240"/>
        <w:ind w:left="709"/>
        <w:jc w:val="both"/>
        <w:rPr>
          <w:rFonts w:asciiTheme="majorHAnsi" w:hAnsiTheme="majorHAnsi"/>
          <w:bCs/>
          <w:sz w:val="20"/>
          <w:szCs w:val="20"/>
        </w:rPr>
      </w:pPr>
      <w:r w:rsidRPr="00664225">
        <w:rPr>
          <w:rFonts w:asciiTheme="majorHAnsi" w:hAnsiTheme="majorHAnsi"/>
          <w:b/>
          <w:bCs/>
          <w:sz w:val="20"/>
          <w:szCs w:val="20"/>
        </w:rPr>
        <w:t>VII.</w:t>
      </w:r>
      <w:r w:rsidRPr="00664225">
        <w:rPr>
          <w:rFonts w:asciiTheme="majorHAnsi" w:hAnsiTheme="majorHAnsi"/>
          <w:b/>
          <w:bCs/>
          <w:sz w:val="20"/>
          <w:szCs w:val="20"/>
        </w:rPr>
        <w:tab/>
        <w:t>ANALYSIS OF COLORABLE CLAIM</w:t>
      </w:r>
    </w:p>
    <w:p w14:paraId="6203C7A4" w14:textId="020E0233" w:rsidR="00B3457F" w:rsidRPr="00664225" w:rsidRDefault="007D361E" w:rsidP="00B3457F">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sz w:val="20"/>
          <w:szCs w:val="20"/>
        </w:rPr>
        <w:t xml:space="preserve">The Commission observes that the instant petition includes </w:t>
      </w:r>
      <w:r w:rsidR="00342BB1" w:rsidRPr="00664225">
        <w:rPr>
          <w:rFonts w:asciiTheme="majorHAnsi" w:hAnsiTheme="majorHAnsi"/>
          <w:sz w:val="20"/>
          <w:szCs w:val="20"/>
        </w:rPr>
        <w:t>claims</w:t>
      </w:r>
      <w:r w:rsidRPr="00664225">
        <w:rPr>
          <w:rFonts w:asciiTheme="majorHAnsi" w:hAnsiTheme="majorHAnsi"/>
          <w:sz w:val="20"/>
          <w:szCs w:val="20"/>
        </w:rPr>
        <w:t xml:space="preserve"> concerning the </w:t>
      </w:r>
      <w:r w:rsidR="00342BB1" w:rsidRPr="00664225">
        <w:rPr>
          <w:rFonts w:asciiTheme="majorHAnsi" w:hAnsiTheme="majorHAnsi"/>
          <w:sz w:val="20"/>
          <w:szCs w:val="20"/>
        </w:rPr>
        <w:t xml:space="preserve">alleged </w:t>
      </w:r>
      <w:r w:rsidRPr="00664225">
        <w:rPr>
          <w:rFonts w:asciiTheme="majorHAnsi" w:hAnsiTheme="majorHAnsi"/>
          <w:sz w:val="20"/>
          <w:szCs w:val="20"/>
        </w:rPr>
        <w:t xml:space="preserve">abuse of authority and the violation of the integrity and life of Mario Yobanny Mendoza Amador, due to the alleged torture perpetrated by the police officers when they set him on fire; as well as the lack of effective judicial protection, investigation of such acts, and punishment of those responsible. The State holds that there </w:t>
      </w:r>
      <w:r w:rsidRPr="00664225">
        <w:rPr>
          <w:rFonts w:asciiTheme="majorHAnsi" w:hAnsiTheme="majorHAnsi"/>
          <w:sz w:val="20"/>
          <w:szCs w:val="20"/>
        </w:rPr>
        <w:lastRenderedPageBreak/>
        <w:t xml:space="preserve">are no violations against the alleged victim inasmuch as it could not be established that it was the police who attacked young Mendoza Amador; furthermore, that access to complaints and to a criminal investigation into the facts has been respected, </w:t>
      </w:r>
      <w:r w:rsidR="00082EDE" w:rsidRPr="00664225">
        <w:rPr>
          <w:rFonts w:asciiTheme="majorHAnsi" w:hAnsiTheme="majorHAnsi"/>
          <w:sz w:val="20"/>
          <w:szCs w:val="20"/>
        </w:rPr>
        <w:t xml:space="preserve">since said investigation </w:t>
      </w:r>
      <w:r w:rsidRPr="00664225">
        <w:rPr>
          <w:rFonts w:asciiTheme="majorHAnsi" w:hAnsiTheme="majorHAnsi"/>
          <w:sz w:val="20"/>
          <w:szCs w:val="20"/>
        </w:rPr>
        <w:t>is still active</w:t>
      </w:r>
      <w:r w:rsidR="00B3457F" w:rsidRPr="00664225">
        <w:rPr>
          <w:rFonts w:asciiTheme="majorHAnsi" w:hAnsiTheme="majorHAnsi"/>
          <w:sz w:val="20"/>
          <w:szCs w:val="20"/>
        </w:rPr>
        <w:t xml:space="preserve">. </w:t>
      </w:r>
    </w:p>
    <w:p w14:paraId="460ED87D" w14:textId="2503C1C1" w:rsidR="00B3457F" w:rsidRPr="00664225" w:rsidRDefault="00A0398B" w:rsidP="00B3457F">
      <w:pPr>
        <w:pStyle w:val="ListParagraph"/>
        <w:numPr>
          <w:ilvl w:val="0"/>
          <w:numId w:val="106"/>
        </w:numPr>
        <w:spacing w:before="240" w:after="240"/>
        <w:ind w:left="142" w:firstLine="567"/>
        <w:jc w:val="both"/>
        <w:rPr>
          <w:rFonts w:asciiTheme="majorHAnsi" w:hAnsiTheme="majorHAnsi"/>
          <w:bCs/>
          <w:sz w:val="20"/>
          <w:szCs w:val="20"/>
        </w:rPr>
      </w:pPr>
      <w:r w:rsidRPr="00664225">
        <w:rPr>
          <w:rFonts w:asciiTheme="majorHAnsi" w:hAnsiTheme="majorHAnsi"/>
          <w:bCs/>
          <w:sz w:val="20"/>
          <w:szCs w:val="20"/>
        </w:rPr>
        <w:t xml:space="preserve">With regard to the State's </w:t>
      </w:r>
      <w:r w:rsidR="00342BB1" w:rsidRPr="00664225">
        <w:rPr>
          <w:rFonts w:asciiTheme="majorHAnsi" w:hAnsiTheme="majorHAnsi"/>
          <w:bCs/>
          <w:sz w:val="20"/>
          <w:szCs w:val="20"/>
        </w:rPr>
        <w:t xml:space="preserve">affirmations </w:t>
      </w:r>
      <w:r w:rsidRPr="00664225">
        <w:rPr>
          <w:rFonts w:asciiTheme="majorHAnsi" w:hAnsiTheme="majorHAnsi"/>
          <w:bCs/>
          <w:sz w:val="20"/>
          <w:szCs w:val="20"/>
        </w:rPr>
        <w:t xml:space="preserve">concerning the lack of characterization, the Commission reiterates that, for purposes of admissibility, it must determine whether the alleged facts could characterize a violation of rights in accordance with Article 47.b of the American Convention, whether the petition is "manifestly unfounded" or whether it is "obviously out of order" in accordance with Article 47.c) of the American Convention. The criteria for </w:t>
      </w:r>
      <w:r w:rsidR="007E6E42" w:rsidRPr="00664225">
        <w:rPr>
          <w:rFonts w:asciiTheme="majorHAnsi" w:hAnsiTheme="majorHAnsi"/>
          <w:bCs/>
          <w:sz w:val="20"/>
          <w:szCs w:val="20"/>
        </w:rPr>
        <w:t>assessing</w:t>
      </w:r>
      <w:r w:rsidRPr="00664225">
        <w:rPr>
          <w:rFonts w:asciiTheme="majorHAnsi" w:hAnsiTheme="majorHAnsi"/>
          <w:bCs/>
          <w:sz w:val="20"/>
          <w:szCs w:val="20"/>
        </w:rPr>
        <w:t xml:space="preserve"> these requirements differ from those used to rule on the merits of a petition. Similarly, within the scope of its mandate, the Commission has the competence to declare a petition admissible if it refers to domestic proceedings that could violate rights guaranteed by the American Convention. In other words, in light of the aforementioned conventional norms, in accordance with Article 34 of the Commission's Rules of Procedure, the analysis of admissibility focuses on the verification of such requirements, which refer to the existence of elements that, if true, could </w:t>
      </w:r>
      <w:r w:rsidRPr="00664225">
        <w:rPr>
          <w:rFonts w:asciiTheme="majorHAnsi" w:hAnsiTheme="majorHAnsi"/>
          <w:bCs/>
          <w:i/>
          <w:iCs/>
          <w:sz w:val="20"/>
          <w:szCs w:val="20"/>
        </w:rPr>
        <w:t>prima facie</w:t>
      </w:r>
      <w:r w:rsidRPr="00664225">
        <w:rPr>
          <w:rFonts w:asciiTheme="majorHAnsi" w:hAnsiTheme="majorHAnsi"/>
          <w:bCs/>
          <w:sz w:val="20"/>
          <w:szCs w:val="20"/>
        </w:rPr>
        <w:t xml:space="preserve"> constitute a violation of the American Convention</w:t>
      </w:r>
      <w:r w:rsidR="00B3457F" w:rsidRPr="00664225">
        <w:rPr>
          <w:rStyle w:val="FootnoteReference"/>
          <w:rFonts w:asciiTheme="majorHAnsi" w:hAnsiTheme="majorHAnsi"/>
          <w:bCs/>
          <w:sz w:val="20"/>
          <w:szCs w:val="20"/>
        </w:rPr>
        <w:footnoteReference w:id="13"/>
      </w:r>
    </w:p>
    <w:p w14:paraId="41F25C55" w14:textId="59EFB3A8" w:rsidR="00B3457F" w:rsidRPr="00664225" w:rsidRDefault="00A0398B" w:rsidP="0025159C">
      <w:pPr>
        <w:pStyle w:val="ListParagraph"/>
        <w:numPr>
          <w:ilvl w:val="0"/>
          <w:numId w:val="106"/>
        </w:numPr>
        <w:spacing w:before="240" w:after="240"/>
        <w:ind w:left="142" w:firstLine="567"/>
        <w:jc w:val="both"/>
        <w:rPr>
          <w:rFonts w:asciiTheme="majorHAnsi" w:hAnsiTheme="majorHAnsi"/>
          <w:sz w:val="20"/>
          <w:szCs w:val="20"/>
        </w:rPr>
      </w:pPr>
      <w:r w:rsidRPr="00664225">
        <w:rPr>
          <w:rFonts w:asciiTheme="majorHAnsi" w:hAnsiTheme="majorHAnsi"/>
          <w:bCs/>
          <w:sz w:val="20"/>
          <w:szCs w:val="20"/>
        </w:rPr>
        <w:t xml:space="preserve">In view of these considerations and after examining the elements of fact and law put forward by the parties, the Commission considers that the facts presented by the petitioner are not manifestly unfounded. In particular, the Commission considers that the claims concerning the alleged acts of torture and injuries against young Mendoza Amador, </w:t>
      </w:r>
      <w:r w:rsidR="00950186" w:rsidRPr="00664225">
        <w:rPr>
          <w:rFonts w:asciiTheme="majorHAnsi" w:hAnsiTheme="majorHAnsi"/>
          <w:bCs/>
          <w:sz w:val="20"/>
          <w:szCs w:val="20"/>
        </w:rPr>
        <w:t xml:space="preserve">allegedly </w:t>
      </w:r>
      <w:r w:rsidRPr="00664225">
        <w:rPr>
          <w:rFonts w:asciiTheme="majorHAnsi" w:hAnsiTheme="majorHAnsi"/>
          <w:bCs/>
          <w:sz w:val="20"/>
          <w:szCs w:val="20"/>
        </w:rPr>
        <w:t xml:space="preserve">caused by police officers; abuse of authority; the threats subsequently received by the alleged victim from the police; and the State's failure to act with due diligence within a reasonable time to investigate and clarify the facts after more than fifteen years, could constitute violations of Articles 4 (life), 5 (humane treatment), 8 (fair trial), and 25 (judicial protection) of the American Convention in relation to </w:t>
      </w:r>
      <w:r w:rsidR="00F2696E" w:rsidRPr="00664225">
        <w:rPr>
          <w:rFonts w:asciiTheme="majorHAnsi" w:hAnsiTheme="majorHAnsi"/>
          <w:bCs/>
          <w:sz w:val="20"/>
          <w:szCs w:val="20"/>
        </w:rPr>
        <w:t xml:space="preserve">its </w:t>
      </w:r>
      <w:r w:rsidRPr="00664225">
        <w:rPr>
          <w:rFonts w:asciiTheme="majorHAnsi" w:hAnsiTheme="majorHAnsi"/>
          <w:bCs/>
          <w:sz w:val="20"/>
          <w:szCs w:val="20"/>
        </w:rPr>
        <w:t>Article 1. 1 (obligation to respect rights)</w:t>
      </w:r>
      <w:r w:rsidR="00B3457F" w:rsidRPr="00664225">
        <w:rPr>
          <w:rFonts w:asciiTheme="majorHAnsi" w:hAnsiTheme="majorHAnsi"/>
          <w:bCs/>
          <w:sz w:val="20"/>
          <w:szCs w:val="20"/>
        </w:rPr>
        <w:t>.</w:t>
      </w:r>
    </w:p>
    <w:p w14:paraId="70146B96" w14:textId="4A955F81" w:rsidR="00F621C3" w:rsidRPr="00664225" w:rsidRDefault="00A0398B" w:rsidP="00962A98">
      <w:pPr>
        <w:pStyle w:val="ListParagraph"/>
        <w:numPr>
          <w:ilvl w:val="0"/>
          <w:numId w:val="106"/>
        </w:numPr>
        <w:spacing w:before="240" w:after="240"/>
        <w:ind w:left="142" w:firstLine="567"/>
        <w:jc w:val="both"/>
        <w:rPr>
          <w:rFonts w:asciiTheme="majorHAnsi" w:hAnsiTheme="majorHAnsi"/>
          <w:sz w:val="20"/>
          <w:szCs w:val="20"/>
        </w:rPr>
      </w:pPr>
      <w:r w:rsidRPr="00664225">
        <w:rPr>
          <w:rFonts w:asciiTheme="majorHAnsi" w:hAnsiTheme="majorHAnsi" w:cs="Calibri"/>
          <w:sz w:val="20"/>
          <w:szCs w:val="20"/>
        </w:rPr>
        <w:t>With respect to the other international instruments alleged by the petitioners, the Commission lacks competence to establish violations of the norms of said treaties, without prejudice to the fact that it may take them into account as part of its interpretative exercise of the norms of the American Convention in the merits stage of the present case, in the terms of Article 29 of the American Convention.</w:t>
      </w:r>
      <w:r w:rsidR="00B3457F" w:rsidRPr="00664225">
        <w:rPr>
          <w:rStyle w:val="FootnoteReference"/>
          <w:rFonts w:asciiTheme="majorHAnsi" w:hAnsiTheme="majorHAnsi" w:cs="Calibri"/>
          <w:sz w:val="20"/>
          <w:szCs w:val="20"/>
        </w:rPr>
        <w:footnoteReference w:id="14"/>
      </w:r>
    </w:p>
    <w:p w14:paraId="5A70550C" w14:textId="77777777" w:rsidR="00F621C3" w:rsidRPr="00664225" w:rsidRDefault="00F621C3" w:rsidP="00F621C3">
      <w:pPr>
        <w:pStyle w:val="ListParagraph"/>
        <w:spacing w:before="240" w:after="240"/>
        <w:jc w:val="both"/>
        <w:rPr>
          <w:rFonts w:asciiTheme="majorHAnsi" w:hAnsiTheme="majorHAnsi"/>
          <w:b/>
          <w:bCs/>
          <w:sz w:val="20"/>
          <w:szCs w:val="20"/>
        </w:rPr>
      </w:pPr>
      <w:r w:rsidRPr="00664225">
        <w:rPr>
          <w:rFonts w:asciiTheme="majorHAnsi" w:hAnsiTheme="majorHAnsi"/>
          <w:b/>
          <w:bCs/>
          <w:sz w:val="20"/>
          <w:szCs w:val="20"/>
        </w:rPr>
        <w:t xml:space="preserve">VIII. </w:t>
      </w:r>
      <w:r w:rsidRPr="00664225">
        <w:rPr>
          <w:rFonts w:asciiTheme="majorHAnsi" w:hAnsiTheme="majorHAnsi"/>
          <w:b/>
          <w:bCs/>
          <w:sz w:val="20"/>
          <w:szCs w:val="20"/>
        </w:rPr>
        <w:tab/>
        <w:t>DECISION</w:t>
      </w:r>
    </w:p>
    <w:p w14:paraId="47F30965" w14:textId="4A1078DF" w:rsidR="00F621C3" w:rsidRPr="0066422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225">
        <w:rPr>
          <w:rFonts w:asciiTheme="majorHAnsi" w:hAnsiTheme="majorHAnsi"/>
          <w:sz w:val="20"/>
          <w:szCs w:val="20"/>
        </w:rPr>
        <w:t>To find the instant petition admissible in relation to Articles</w:t>
      </w:r>
      <w:r w:rsidR="00645E83">
        <w:rPr>
          <w:rFonts w:asciiTheme="majorHAnsi" w:hAnsiTheme="majorHAnsi"/>
          <w:sz w:val="20"/>
          <w:szCs w:val="20"/>
        </w:rPr>
        <w:t xml:space="preserve"> 1.1,</w:t>
      </w:r>
      <w:r w:rsidRPr="00664225">
        <w:rPr>
          <w:rFonts w:asciiTheme="majorHAnsi" w:hAnsiTheme="majorHAnsi"/>
          <w:sz w:val="20"/>
          <w:szCs w:val="20"/>
        </w:rPr>
        <w:t xml:space="preserve"> </w:t>
      </w:r>
      <w:r w:rsidR="00A0398B" w:rsidRPr="00664225">
        <w:rPr>
          <w:rFonts w:asciiTheme="majorHAnsi" w:hAnsiTheme="majorHAnsi"/>
          <w:sz w:val="20"/>
          <w:szCs w:val="20"/>
        </w:rPr>
        <w:t>4, 5, 8 and 25</w:t>
      </w:r>
      <w:r w:rsidR="00645E83">
        <w:rPr>
          <w:rFonts w:asciiTheme="majorHAnsi" w:hAnsiTheme="majorHAnsi"/>
          <w:sz w:val="20"/>
          <w:szCs w:val="20"/>
        </w:rPr>
        <w:t xml:space="preserve"> of the American Convention</w:t>
      </w:r>
      <w:r w:rsidRPr="00664225">
        <w:rPr>
          <w:rFonts w:asciiTheme="majorHAnsi" w:hAnsiTheme="majorHAnsi"/>
          <w:sz w:val="20"/>
          <w:szCs w:val="20"/>
        </w:rPr>
        <w:t>;</w:t>
      </w:r>
    </w:p>
    <w:p w14:paraId="22CC8DDA" w14:textId="51ED6D8B" w:rsidR="00F621C3" w:rsidRPr="0066422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225">
        <w:rPr>
          <w:rFonts w:asciiTheme="majorHAnsi" w:hAnsiTheme="majorHAnsi"/>
          <w:sz w:val="20"/>
          <w:szCs w:val="20"/>
        </w:rPr>
        <w:t>To notify the parties of this decision;</w:t>
      </w:r>
      <w:r w:rsidR="001F1902" w:rsidRPr="00664225">
        <w:rPr>
          <w:rFonts w:asciiTheme="majorHAnsi" w:hAnsiTheme="majorHAnsi"/>
          <w:sz w:val="20"/>
          <w:szCs w:val="20"/>
        </w:rPr>
        <w:t xml:space="preserve"> t</w:t>
      </w:r>
      <w:r w:rsidRPr="00664225">
        <w:rPr>
          <w:rFonts w:asciiTheme="majorHAnsi" w:hAnsiTheme="majorHAnsi"/>
          <w:sz w:val="20"/>
          <w:szCs w:val="20"/>
        </w:rPr>
        <w:t xml:space="preserve">o continue with the analysis on the merits; and </w:t>
      </w:r>
      <w:r w:rsidR="001F1902" w:rsidRPr="00664225">
        <w:rPr>
          <w:rFonts w:asciiTheme="majorHAnsi" w:hAnsiTheme="majorHAnsi"/>
          <w:sz w:val="20"/>
          <w:szCs w:val="20"/>
        </w:rPr>
        <w:t>t</w:t>
      </w:r>
      <w:r w:rsidRPr="00664225">
        <w:rPr>
          <w:rFonts w:asciiTheme="majorHAnsi" w:hAnsiTheme="majorHAnsi"/>
          <w:sz w:val="20"/>
          <w:szCs w:val="20"/>
        </w:rPr>
        <w:t>o publish this decision and include it in its Annual Report to the General Assembly of the Organization of American States.</w:t>
      </w:r>
    </w:p>
    <w:p w14:paraId="731620B1" w14:textId="3E6D2F10" w:rsidR="00DE5E15" w:rsidRPr="00DE5E15" w:rsidRDefault="00DE5E15" w:rsidP="00DE5E15">
      <w:pPr>
        <w:pStyle w:val="ListParagraph"/>
        <w:suppressAutoHyphens/>
        <w:ind w:left="0" w:firstLine="720"/>
        <w:jc w:val="both"/>
        <w:rPr>
          <w:rFonts w:asciiTheme="majorHAnsi" w:hAnsiTheme="majorHAnsi"/>
          <w:sz w:val="20"/>
          <w:szCs w:val="20"/>
        </w:rPr>
      </w:pPr>
      <w:r w:rsidRPr="00DE5E15">
        <w:rPr>
          <w:spacing w:val="-2"/>
          <w:sz w:val="20"/>
        </w:rPr>
        <w:t>Approved by the Inter-American Commission on Human Rights on the 10</w:t>
      </w:r>
      <w:r w:rsidRPr="00DE5E15">
        <w:rPr>
          <w:spacing w:val="-2"/>
          <w:sz w:val="20"/>
          <w:vertAlign w:val="superscript"/>
        </w:rPr>
        <w:t>th</w:t>
      </w:r>
      <w:r w:rsidRPr="00DE5E15">
        <w:rPr>
          <w:spacing w:val="-2"/>
          <w:sz w:val="20"/>
        </w:rPr>
        <w:t xml:space="preserve"> day of the month of May 2023. (Signed:) </w:t>
      </w:r>
      <w:r w:rsidRPr="00DE5E15">
        <w:rPr>
          <w:rStyle w:val="normaltextrun"/>
          <w:rFonts w:cs="Segoe UI"/>
          <w:sz w:val="20"/>
          <w:szCs w:val="20"/>
        </w:rPr>
        <w:t>Margarette May Macaulay, President; Roberta Clarke, Second Vice President; Julissa Mantilla Falcón and Carlos Bernal Pulido, Commissioners.</w:t>
      </w:r>
    </w:p>
    <w:p w14:paraId="1C6AA622" w14:textId="77777777" w:rsidR="00F621C3" w:rsidRPr="009B4799"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9B4799"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9B4799"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9B4799" w:rsidRDefault="00F621C3" w:rsidP="00F621C3">
      <w:pPr>
        <w:rPr>
          <w:rFonts w:asciiTheme="majorHAnsi" w:hAnsiTheme="majorHAnsi" w:cs="Calibri"/>
          <w:sz w:val="20"/>
          <w:szCs w:val="20"/>
        </w:rPr>
      </w:pPr>
    </w:p>
    <w:p w14:paraId="2122B46A" w14:textId="77777777" w:rsidR="00C55560" w:rsidRPr="009B4799" w:rsidRDefault="00C55560" w:rsidP="00230163">
      <w:pPr>
        <w:tabs>
          <w:tab w:val="left" w:pos="2820"/>
        </w:tabs>
        <w:suppressAutoHyphens/>
        <w:spacing w:line="276" w:lineRule="auto"/>
        <w:rPr>
          <w:rFonts w:asciiTheme="majorHAnsi" w:hAnsiTheme="majorHAnsi"/>
          <w:sz w:val="20"/>
          <w:szCs w:val="20"/>
        </w:rPr>
      </w:pPr>
    </w:p>
    <w:sectPr w:rsidR="00C55560" w:rsidRPr="009B479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DF19" w14:textId="77777777" w:rsidR="0068773D" w:rsidRDefault="0068773D" w:rsidP="00036A8A">
      <w:r>
        <w:separator/>
      </w:r>
    </w:p>
  </w:endnote>
  <w:endnote w:type="continuationSeparator" w:id="0">
    <w:p w14:paraId="5200D667" w14:textId="77777777" w:rsidR="0068773D" w:rsidRDefault="0068773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7D50" w14:textId="77777777" w:rsidR="0068773D" w:rsidRPr="00036A8A" w:rsidRDefault="0068773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DC2E5BC" w14:textId="77777777" w:rsidR="0068773D" w:rsidRPr="00036A8A" w:rsidRDefault="0068773D" w:rsidP="00036A8A">
      <w:pPr>
        <w:rPr>
          <w:rFonts w:asciiTheme="majorHAnsi" w:hAnsiTheme="majorHAnsi"/>
          <w:sz w:val="16"/>
          <w:szCs w:val="16"/>
        </w:rPr>
      </w:pPr>
      <w:r w:rsidRPr="00036A8A">
        <w:rPr>
          <w:rFonts w:asciiTheme="majorHAnsi" w:hAnsiTheme="majorHAnsi"/>
          <w:sz w:val="16"/>
          <w:szCs w:val="16"/>
        </w:rPr>
        <w:separator/>
      </w:r>
    </w:p>
    <w:p w14:paraId="08F40C6E" w14:textId="77777777" w:rsidR="0068773D" w:rsidRPr="00036A8A" w:rsidRDefault="0068773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39DE8AC" w14:textId="77777777" w:rsidR="0068773D" w:rsidRPr="0093441A" w:rsidRDefault="0068773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19D2D7F" w14:textId="5B708B5C" w:rsidR="00BD06EC" w:rsidRPr="00386E8C" w:rsidRDefault="00BD06EC" w:rsidP="00BD06EC">
      <w:pPr>
        <w:pStyle w:val="FootnoteText"/>
        <w:ind w:firstLine="720"/>
        <w:jc w:val="both"/>
        <w:rPr>
          <w:rFonts w:asciiTheme="majorHAnsi" w:hAnsiTheme="majorHAnsi"/>
          <w:sz w:val="16"/>
          <w:szCs w:val="16"/>
        </w:rPr>
      </w:pPr>
      <w:r w:rsidRPr="00386E8C">
        <w:rPr>
          <w:rStyle w:val="FootnoteReference"/>
          <w:rFonts w:asciiTheme="majorHAnsi" w:hAnsiTheme="majorHAnsi"/>
          <w:sz w:val="16"/>
          <w:szCs w:val="16"/>
        </w:rPr>
        <w:footnoteRef/>
      </w:r>
      <w:r w:rsidRPr="00386E8C">
        <w:rPr>
          <w:rFonts w:asciiTheme="majorHAnsi" w:hAnsiTheme="majorHAnsi"/>
          <w:sz w:val="16"/>
          <w:szCs w:val="16"/>
        </w:rPr>
        <w:t xml:space="preserve"> </w:t>
      </w:r>
      <w:r w:rsidR="00B9253C" w:rsidRPr="00386E8C">
        <w:rPr>
          <w:rFonts w:asciiTheme="majorHAnsi" w:hAnsiTheme="majorHAnsi"/>
          <w:sz w:val="16"/>
          <w:szCs w:val="16"/>
        </w:rPr>
        <w:t>Hereinafter "the American Convention" or "the Convention".</w:t>
      </w:r>
    </w:p>
  </w:footnote>
  <w:footnote w:id="3">
    <w:p w14:paraId="65E73C19" w14:textId="2C55B614" w:rsidR="00BD06EC" w:rsidRPr="00386E8C" w:rsidRDefault="00BD06EC" w:rsidP="00BD06EC">
      <w:pPr>
        <w:pStyle w:val="FootnoteText"/>
        <w:ind w:firstLine="720"/>
        <w:jc w:val="both"/>
        <w:rPr>
          <w:rFonts w:asciiTheme="majorHAnsi" w:hAnsiTheme="majorHAnsi"/>
          <w:sz w:val="16"/>
          <w:szCs w:val="16"/>
        </w:rPr>
      </w:pPr>
      <w:r w:rsidRPr="00386E8C">
        <w:rPr>
          <w:rStyle w:val="FootnoteReference"/>
          <w:rFonts w:asciiTheme="majorHAnsi" w:hAnsiTheme="majorHAnsi"/>
          <w:sz w:val="16"/>
          <w:szCs w:val="16"/>
        </w:rPr>
        <w:footnoteRef/>
      </w:r>
      <w:r w:rsidRPr="00386E8C">
        <w:rPr>
          <w:rFonts w:asciiTheme="majorHAnsi" w:hAnsiTheme="majorHAnsi"/>
          <w:sz w:val="16"/>
          <w:szCs w:val="16"/>
        </w:rPr>
        <w:t xml:space="preserve"> </w:t>
      </w:r>
      <w:r w:rsidR="00B9253C" w:rsidRPr="00386E8C">
        <w:rPr>
          <w:rFonts w:asciiTheme="majorHAnsi" w:hAnsiTheme="majorHAnsi"/>
          <w:sz w:val="16"/>
          <w:szCs w:val="16"/>
        </w:rPr>
        <w:t>The Universal Declaration of Human Rights; the Convention Against Torture and Other Cruel, Inhuman or Degrading Treatment or Punishment; and the International Covenant on Civil and Political Rights</w:t>
      </w:r>
      <w:r w:rsidRPr="00386E8C">
        <w:rPr>
          <w:rFonts w:asciiTheme="majorHAnsi" w:hAnsiTheme="majorHAnsi"/>
          <w:sz w:val="16"/>
          <w:szCs w:val="16"/>
        </w:rPr>
        <w:t>.</w:t>
      </w:r>
    </w:p>
  </w:footnote>
  <w:footnote w:id="4">
    <w:p w14:paraId="6F51BDAF" w14:textId="5F4755E7" w:rsidR="00653EA6" w:rsidRPr="00386E8C" w:rsidRDefault="00653EA6" w:rsidP="00210F4B">
      <w:pPr>
        <w:pStyle w:val="FootnoteText"/>
        <w:ind w:firstLine="720"/>
        <w:jc w:val="both"/>
        <w:rPr>
          <w:rFonts w:ascii="Cambria" w:hAnsi="Cambria"/>
          <w:sz w:val="16"/>
          <w:szCs w:val="16"/>
        </w:rPr>
      </w:pPr>
      <w:r w:rsidRPr="00386E8C">
        <w:rPr>
          <w:rStyle w:val="FootnoteReference"/>
          <w:rFonts w:ascii="Cambria" w:hAnsi="Cambria"/>
          <w:sz w:val="16"/>
          <w:szCs w:val="16"/>
        </w:rPr>
        <w:footnoteRef/>
      </w:r>
      <w:r w:rsidRPr="00386E8C">
        <w:rPr>
          <w:rFonts w:ascii="Cambria" w:hAnsi="Cambria"/>
          <w:sz w:val="16"/>
          <w:szCs w:val="16"/>
        </w:rPr>
        <w:t xml:space="preserve"> The observations </w:t>
      </w:r>
      <w:r w:rsidR="00321AFD" w:rsidRPr="00386E8C">
        <w:rPr>
          <w:rFonts w:ascii="Cambria" w:hAnsi="Cambria"/>
          <w:sz w:val="16"/>
          <w:szCs w:val="16"/>
        </w:rPr>
        <w:t>submitted</w:t>
      </w:r>
      <w:r w:rsidRPr="00386E8C">
        <w:rPr>
          <w:rFonts w:ascii="Cambria" w:hAnsi="Cambria"/>
          <w:sz w:val="16"/>
          <w:szCs w:val="16"/>
        </w:rPr>
        <w:t xml:space="preserve"> by each party were duly transmitted to the opposing party.</w:t>
      </w:r>
    </w:p>
  </w:footnote>
  <w:footnote w:id="5">
    <w:p w14:paraId="503A9093" w14:textId="6F7D20AF" w:rsidR="00BD06EC" w:rsidRPr="00386E8C" w:rsidRDefault="00BD06EC" w:rsidP="00BD06EC">
      <w:pPr>
        <w:pStyle w:val="FootnoteText"/>
        <w:ind w:firstLine="709"/>
        <w:jc w:val="both"/>
        <w:rPr>
          <w:rFonts w:asciiTheme="majorHAnsi" w:hAnsiTheme="majorHAnsi"/>
          <w:sz w:val="16"/>
          <w:szCs w:val="16"/>
        </w:rPr>
      </w:pPr>
      <w:r w:rsidRPr="00386E8C">
        <w:rPr>
          <w:rStyle w:val="FootnoteReference"/>
          <w:rFonts w:asciiTheme="majorHAnsi" w:hAnsiTheme="majorHAnsi"/>
          <w:sz w:val="16"/>
          <w:szCs w:val="16"/>
        </w:rPr>
        <w:footnoteRef/>
      </w:r>
      <w:r w:rsidRPr="00386E8C">
        <w:rPr>
          <w:rFonts w:asciiTheme="majorHAnsi" w:hAnsiTheme="majorHAnsi"/>
          <w:sz w:val="16"/>
          <w:szCs w:val="16"/>
        </w:rPr>
        <w:t xml:space="preserve"> </w:t>
      </w:r>
      <w:r w:rsidR="003A5D5B" w:rsidRPr="003A5D5B">
        <w:rPr>
          <w:rFonts w:asciiTheme="majorHAnsi" w:hAnsiTheme="majorHAnsi"/>
          <w:bCs/>
          <w:sz w:val="16"/>
          <w:szCs w:val="16"/>
        </w:rPr>
        <w:t>Found in document attached to the petition, regarding the extension to the statement of young Mendoza Amador before the Special Prosecutor for Human Rights, of March 26, 2009</w:t>
      </w:r>
      <w:r w:rsidRPr="00386E8C">
        <w:rPr>
          <w:rFonts w:asciiTheme="majorHAnsi" w:hAnsiTheme="majorHAnsi"/>
          <w:bCs/>
          <w:sz w:val="16"/>
          <w:szCs w:val="16"/>
        </w:rPr>
        <w:t>.</w:t>
      </w:r>
    </w:p>
  </w:footnote>
  <w:footnote w:id="6">
    <w:p w14:paraId="71C92F37" w14:textId="2861273F" w:rsidR="00BD06EC" w:rsidRPr="00386E8C" w:rsidRDefault="00BD06EC" w:rsidP="00BD06EC">
      <w:pPr>
        <w:pStyle w:val="FootnoteText"/>
        <w:ind w:firstLine="709"/>
        <w:jc w:val="both"/>
        <w:rPr>
          <w:rFonts w:asciiTheme="majorHAnsi" w:hAnsiTheme="majorHAnsi"/>
          <w:sz w:val="16"/>
          <w:szCs w:val="16"/>
        </w:rPr>
      </w:pPr>
      <w:r w:rsidRPr="00386E8C">
        <w:rPr>
          <w:rFonts w:asciiTheme="majorHAnsi" w:hAnsiTheme="majorHAnsi"/>
          <w:sz w:val="16"/>
          <w:szCs w:val="16"/>
          <w:vertAlign w:val="superscript"/>
        </w:rPr>
        <w:footnoteRef/>
      </w:r>
      <w:r w:rsidRPr="00386E8C">
        <w:rPr>
          <w:rFonts w:asciiTheme="majorHAnsi" w:hAnsiTheme="majorHAnsi"/>
          <w:sz w:val="16"/>
          <w:szCs w:val="16"/>
        </w:rPr>
        <w:t xml:space="preserve"> </w:t>
      </w:r>
      <w:r w:rsidR="003A5D5B" w:rsidRPr="003A5D5B">
        <w:rPr>
          <w:rFonts w:asciiTheme="majorHAnsi" w:hAnsiTheme="majorHAnsi"/>
          <w:sz w:val="16"/>
          <w:szCs w:val="16"/>
        </w:rPr>
        <w:t xml:space="preserve">According to the Clinical File 2051377 and the Medical Opinion of July 10, </w:t>
      </w:r>
      <w:r w:rsidR="009F2BD8" w:rsidRPr="003A5D5B">
        <w:rPr>
          <w:rFonts w:asciiTheme="majorHAnsi" w:hAnsiTheme="majorHAnsi"/>
          <w:sz w:val="16"/>
          <w:szCs w:val="16"/>
        </w:rPr>
        <w:t>2007,</w:t>
      </w:r>
      <w:r w:rsidR="003A5D5B" w:rsidRPr="003A5D5B">
        <w:rPr>
          <w:rFonts w:asciiTheme="majorHAnsi" w:hAnsiTheme="majorHAnsi"/>
          <w:sz w:val="16"/>
          <w:szCs w:val="16"/>
        </w:rPr>
        <w:t xml:space="preserve"> made at the request of the Special Prosecutor's Office for Human Rights. The latter indicates about the alleged victim</w:t>
      </w:r>
      <w:r w:rsidRPr="00386E8C">
        <w:rPr>
          <w:rFonts w:asciiTheme="majorHAnsi" w:hAnsiTheme="majorHAnsi"/>
          <w:sz w:val="16"/>
          <w:szCs w:val="16"/>
        </w:rPr>
        <w:t xml:space="preserve">: </w:t>
      </w:r>
      <w:r w:rsidRPr="00386E8C">
        <w:rPr>
          <w:rFonts w:asciiTheme="majorHAnsi" w:hAnsiTheme="majorHAnsi"/>
          <w:i/>
          <w:iCs/>
          <w:sz w:val="16"/>
          <w:szCs w:val="16"/>
        </w:rPr>
        <w:t>“</w:t>
      </w:r>
      <w:r w:rsidR="003A5D5B" w:rsidRPr="003A5D5B">
        <w:rPr>
          <w:rFonts w:asciiTheme="majorHAnsi" w:hAnsiTheme="majorHAnsi"/>
          <w:i/>
          <w:iCs/>
          <w:sz w:val="16"/>
          <w:szCs w:val="16"/>
        </w:rPr>
        <w:t>male, 20 years old, unemployed, single, with a history of having been physically assaulted by the police by throwing Tinner (chemical irritant) and setting him on fire, on physical examination there is external evidence of injuries [...] Grade I burns (formation of phlyctenas in the dermis skin layer with 25% of the total body surface damaged), nowadays the danger to life can be up to a loss of 80% of the body surface [...] Type of injuries: Burns (face, neck thorax, abdomen, left arm and forearm, right forearm and hand) compatible to those produced by flammable liquid (chemical).</w:t>
      </w:r>
    </w:p>
  </w:footnote>
  <w:footnote w:id="7">
    <w:p w14:paraId="4E254CB0" w14:textId="05A012D2" w:rsidR="00BD06EC" w:rsidRPr="00386E8C" w:rsidRDefault="00BD06EC" w:rsidP="00BD06EC">
      <w:pPr>
        <w:pStyle w:val="FootnoteText"/>
        <w:ind w:firstLine="709"/>
        <w:jc w:val="both"/>
        <w:rPr>
          <w:rFonts w:asciiTheme="majorHAnsi" w:hAnsiTheme="majorHAnsi"/>
          <w:sz w:val="16"/>
          <w:szCs w:val="16"/>
        </w:rPr>
      </w:pPr>
      <w:r w:rsidRPr="00386E8C">
        <w:rPr>
          <w:rStyle w:val="FootnoteReference"/>
          <w:rFonts w:asciiTheme="majorHAnsi" w:hAnsiTheme="majorHAnsi"/>
          <w:sz w:val="16"/>
          <w:szCs w:val="16"/>
        </w:rPr>
        <w:footnoteRef/>
      </w:r>
      <w:r w:rsidRPr="00386E8C">
        <w:rPr>
          <w:rFonts w:asciiTheme="majorHAnsi" w:hAnsiTheme="majorHAnsi"/>
          <w:sz w:val="16"/>
          <w:szCs w:val="16"/>
        </w:rPr>
        <w:t xml:space="preserve"> </w:t>
      </w:r>
      <w:r w:rsidR="003A5D5B" w:rsidRPr="003A5D5B">
        <w:rPr>
          <w:rFonts w:asciiTheme="majorHAnsi" w:hAnsiTheme="majorHAnsi"/>
          <w:sz w:val="16"/>
          <w:szCs w:val="16"/>
        </w:rPr>
        <w:t>According to the State, this statement was rendered and registered under number 984-2007-J-18</w:t>
      </w:r>
      <w:r w:rsidRPr="00386E8C">
        <w:rPr>
          <w:rFonts w:asciiTheme="majorHAnsi" w:hAnsiTheme="majorHAnsi"/>
          <w:bCs/>
          <w:sz w:val="16"/>
          <w:szCs w:val="16"/>
        </w:rPr>
        <w:t>.</w:t>
      </w:r>
    </w:p>
  </w:footnote>
  <w:footnote w:id="8">
    <w:p w14:paraId="07FBD196" w14:textId="04D0A1B6" w:rsidR="00BD06EC" w:rsidRPr="00386E8C" w:rsidRDefault="00BD06EC" w:rsidP="00BD06EC">
      <w:pPr>
        <w:pStyle w:val="FootnoteText"/>
        <w:ind w:firstLine="709"/>
        <w:jc w:val="both"/>
        <w:rPr>
          <w:rFonts w:asciiTheme="majorHAnsi" w:hAnsiTheme="majorHAnsi"/>
          <w:sz w:val="16"/>
          <w:szCs w:val="16"/>
        </w:rPr>
      </w:pPr>
      <w:r w:rsidRPr="00386E8C">
        <w:rPr>
          <w:rStyle w:val="FootnoteReference"/>
          <w:rFonts w:asciiTheme="majorHAnsi" w:hAnsiTheme="majorHAnsi"/>
          <w:sz w:val="16"/>
          <w:szCs w:val="16"/>
        </w:rPr>
        <w:footnoteRef/>
      </w:r>
      <w:r w:rsidRPr="00386E8C">
        <w:rPr>
          <w:rFonts w:asciiTheme="majorHAnsi" w:hAnsiTheme="majorHAnsi"/>
          <w:sz w:val="16"/>
          <w:szCs w:val="16"/>
        </w:rPr>
        <w:t xml:space="preserve"> </w:t>
      </w:r>
      <w:r w:rsidR="00634F79" w:rsidRPr="00386E8C">
        <w:rPr>
          <w:rFonts w:asciiTheme="majorHAnsi" w:hAnsiTheme="majorHAnsi"/>
          <w:sz w:val="16"/>
          <w:szCs w:val="16"/>
        </w:rPr>
        <w:t>In the same sense, there is an attached document from the Special Prosecutor's Office for Human Rights dated November 27, 2008, addressed to the Inspector General's Office of the National Police, in which the following is stated</w:t>
      </w:r>
      <w:r w:rsidRPr="00386E8C">
        <w:rPr>
          <w:rFonts w:asciiTheme="majorHAnsi" w:hAnsiTheme="majorHAnsi"/>
          <w:sz w:val="16"/>
          <w:szCs w:val="16"/>
        </w:rPr>
        <w:t xml:space="preserve">: </w:t>
      </w:r>
      <w:r w:rsidRPr="00386E8C">
        <w:rPr>
          <w:rFonts w:asciiTheme="majorHAnsi" w:hAnsiTheme="majorHAnsi"/>
          <w:i/>
          <w:iCs/>
          <w:sz w:val="16"/>
          <w:szCs w:val="16"/>
        </w:rPr>
        <w:t>“</w:t>
      </w:r>
      <w:r w:rsidR="00634F79" w:rsidRPr="00386E8C">
        <w:rPr>
          <w:rFonts w:asciiTheme="majorHAnsi" w:hAnsiTheme="majorHAnsi"/>
          <w:i/>
          <w:iCs/>
          <w:sz w:val="16"/>
          <w:szCs w:val="16"/>
        </w:rPr>
        <w:t>We wish to state that since we do not have a witness who could identify the aggressors, we have not achieved the desired effect in the investigations carried out by this Prosecutor's Office, requesting through Official Letter FEDH-1047 the file prepared for this purpose by Internal Affairs, since there is secrecy from police officers who heard the rumor of those who had participated in such an abominable act, which cannot go unpunished due to the magnitude of the crime</w:t>
      </w:r>
      <w:r w:rsidRPr="00386E8C">
        <w:rPr>
          <w:rFonts w:asciiTheme="majorHAnsi" w:hAnsiTheme="majorHAnsi"/>
          <w:i/>
          <w:iCs/>
          <w:sz w:val="16"/>
          <w:szCs w:val="16"/>
        </w:rPr>
        <w:t>”.</w:t>
      </w:r>
    </w:p>
  </w:footnote>
  <w:footnote w:id="9">
    <w:p w14:paraId="1EA30743" w14:textId="57B7B9D4" w:rsidR="00386E8C" w:rsidRPr="00B30654" w:rsidRDefault="00386E8C" w:rsidP="00386E8C">
      <w:pPr>
        <w:pStyle w:val="FootnoteText"/>
        <w:ind w:firstLine="709"/>
        <w:jc w:val="both"/>
        <w:rPr>
          <w:rFonts w:asciiTheme="majorHAnsi" w:hAnsiTheme="majorHAnsi"/>
          <w:sz w:val="16"/>
          <w:szCs w:val="16"/>
          <w:lang w:val="pt-BR"/>
        </w:rPr>
      </w:pPr>
      <w:r w:rsidRPr="00386E8C">
        <w:rPr>
          <w:rStyle w:val="FootnoteReference"/>
          <w:rFonts w:asciiTheme="majorHAnsi" w:hAnsiTheme="majorHAnsi"/>
          <w:sz w:val="16"/>
          <w:szCs w:val="16"/>
        </w:rPr>
        <w:footnoteRef/>
      </w:r>
      <w:r w:rsidRPr="00386E8C">
        <w:rPr>
          <w:rFonts w:asciiTheme="majorHAnsi" w:hAnsiTheme="majorHAnsi"/>
          <w:sz w:val="16"/>
          <w:szCs w:val="16"/>
        </w:rPr>
        <w:t xml:space="preserve"> IACHR, Report No. 72/18, Petition 1131-08. Admissibility. </w:t>
      </w:r>
      <w:r w:rsidRPr="00B30654">
        <w:rPr>
          <w:rFonts w:asciiTheme="majorHAnsi" w:hAnsiTheme="majorHAnsi"/>
          <w:sz w:val="16"/>
          <w:szCs w:val="16"/>
          <w:lang w:val="pt-BR"/>
        </w:rPr>
        <w:t>Moisés de Jesús Hernández Pinto and family. Guatemala. June 20, 2018, para. 10.</w:t>
      </w:r>
    </w:p>
  </w:footnote>
  <w:footnote w:id="10">
    <w:p w14:paraId="2913465F" w14:textId="60DBDA6D" w:rsidR="00B3457F" w:rsidRPr="00386E8C" w:rsidRDefault="00B3457F" w:rsidP="00B3457F">
      <w:pPr>
        <w:pStyle w:val="FootnoteText"/>
        <w:ind w:firstLine="709"/>
        <w:jc w:val="both"/>
        <w:rPr>
          <w:rFonts w:asciiTheme="majorHAnsi" w:hAnsiTheme="majorHAnsi"/>
          <w:sz w:val="16"/>
          <w:szCs w:val="16"/>
        </w:rPr>
      </w:pPr>
      <w:r w:rsidRPr="00386E8C">
        <w:rPr>
          <w:rStyle w:val="FootnoteReference"/>
          <w:rFonts w:asciiTheme="majorHAnsi" w:hAnsiTheme="majorHAnsi"/>
          <w:sz w:val="16"/>
          <w:szCs w:val="16"/>
        </w:rPr>
        <w:footnoteRef/>
      </w:r>
      <w:r w:rsidRPr="00B30654">
        <w:rPr>
          <w:rFonts w:asciiTheme="majorHAnsi" w:hAnsiTheme="majorHAnsi"/>
          <w:sz w:val="16"/>
          <w:szCs w:val="16"/>
          <w:lang w:val="pt-BR"/>
        </w:rPr>
        <w:t xml:space="preserve"> </w:t>
      </w:r>
      <w:r w:rsidR="00386E8C" w:rsidRPr="00B30654">
        <w:rPr>
          <w:rFonts w:asciiTheme="majorHAnsi" w:hAnsiTheme="majorHAnsi"/>
          <w:sz w:val="16"/>
          <w:szCs w:val="16"/>
          <w:lang w:val="pt-BR"/>
        </w:rPr>
        <w:t xml:space="preserve">IACHR, Report No. 159/17, Petition 712-08. Admissibility. Sebastián Larroza Velázquez and family. Paraguay. November 30, 2017, para. 14; and IACHR, Report No. 68/08, Petition 231-98, Admissibility, Ernesto Travesi, Argentina, October 16, 2008, para. </w:t>
      </w:r>
      <w:r w:rsidR="00386E8C" w:rsidRPr="00386E8C">
        <w:rPr>
          <w:rFonts w:asciiTheme="majorHAnsi" w:hAnsiTheme="majorHAnsi"/>
          <w:sz w:val="16"/>
          <w:szCs w:val="16"/>
        </w:rPr>
        <w:t>32</w:t>
      </w:r>
      <w:r w:rsidRPr="00386E8C">
        <w:rPr>
          <w:rFonts w:asciiTheme="majorHAnsi" w:hAnsiTheme="majorHAnsi"/>
          <w:sz w:val="16"/>
          <w:szCs w:val="16"/>
        </w:rPr>
        <w:t>.</w:t>
      </w:r>
    </w:p>
  </w:footnote>
  <w:footnote w:id="11">
    <w:p w14:paraId="637F7F41" w14:textId="102811A4" w:rsidR="00B3457F" w:rsidRPr="00386E8C" w:rsidRDefault="00B3457F" w:rsidP="00B3457F">
      <w:pPr>
        <w:pStyle w:val="FootnoteText"/>
        <w:ind w:firstLine="720"/>
        <w:jc w:val="both"/>
        <w:rPr>
          <w:rFonts w:ascii="Cambria" w:hAnsi="Cambria"/>
          <w:sz w:val="16"/>
          <w:szCs w:val="16"/>
        </w:rPr>
      </w:pPr>
      <w:r w:rsidRPr="00386E8C">
        <w:rPr>
          <w:rStyle w:val="FootnoteReference"/>
          <w:rFonts w:ascii="Cambria" w:hAnsi="Cambria"/>
          <w:sz w:val="16"/>
          <w:szCs w:val="16"/>
        </w:rPr>
        <w:footnoteRef/>
      </w:r>
      <w:r w:rsidRPr="00386E8C">
        <w:rPr>
          <w:rFonts w:ascii="Cambria" w:hAnsi="Cambria"/>
          <w:sz w:val="16"/>
          <w:szCs w:val="16"/>
        </w:rPr>
        <w:t xml:space="preserve"> </w:t>
      </w:r>
      <w:r w:rsidR="003A5D5B" w:rsidRPr="003A5D5B">
        <w:rPr>
          <w:rFonts w:ascii="Cambria" w:hAnsi="Cambria"/>
          <w:sz w:val="16"/>
          <w:szCs w:val="16"/>
        </w:rPr>
        <w:t xml:space="preserve">IACHR, Report No. 14/08, Petition 652-04. Admissibility. </w:t>
      </w:r>
      <w:r w:rsidR="003A5D5B" w:rsidRPr="00664225">
        <w:rPr>
          <w:rFonts w:ascii="Cambria" w:hAnsi="Cambria"/>
          <w:sz w:val="16"/>
          <w:szCs w:val="16"/>
        </w:rPr>
        <w:t xml:space="preserve">Hugo Humberto Ruíz Fuentes. Guatemala. </w:t>
      </w:r>
      <w:r w:rsidR="003A5D5B" w:rsidRPr="003A5D5B">
        <w:rPr>
          <w:rFonts w:ascii="Cambria" w:hAnsi="Cambria"/>
          <w:sz w:val="16"/>
          <w:szCs w:val="16"/>
        </w:rPr>
        <w:t>March 5, 2008, para. 68</w:t>
      </w:r>
      <w:r w:rsidRPr="00386E8C">
        <w:rPr>
          <w:rFonts w:ascii="Cambria" w:hAnsi="Cambria"/>
          <w:sz w:val="16"/>
          <w:szCs w:val="16"/>
        </w:rPr>
        <w:t>.</w:t>
      </w:r>
    </w:p>
  </w:footnote>
  <w:footnote w:id="12">
    <w:p w14:paraId="2D41CB2A" w14:textId="64F3D9EB" w:rsidR="00B3457F" w:rsidRPr="00664225" w:rsidRDefault="00B3457F" w:rsidP="00B3457F">
      <w:pPr>
        <w:pStyle w:val="FootnoteText"/>
        <w:ind w:firstLine="720"/>
        <w:jc w:val="both"/>
        <w:rPr>
          <w:rFonts w:ascii="Cambria" w:hAnsi="Cambria"/>
          <w:sz w:val="16"/>
          <w:szCs w:val="16"/>
        </w:rPr>
      </w:pPr>
      <w:r w:rsidRPr="00386E8C">
        <w:rPr>
          <w:rStyle w:val="FootnoteReference"/>
          <w:rFonts w:ascii="Cambria" w:hAnsi="Cambria"/>
          <w:sz w:val="16"/>
          <w:szCs w:val="16"/>
        </w:rPr>
        <w:footnoteRef/>
      </w:r>
      <w:r w:rsidRPr="00386E8C">
        <w:rPr>
          <w:rFonts w:ascii="Cambria" w:hAnsi="Cambria"/>
          <w:sz w:val="16"/>
          <w:szCs w:val="16"/>
        </w:rPr>
        <w:t xml:space="preserve"> </w:t>
      </w:r>
      <w:r w:rsidR="003A5D5B" w:rsidRPr="003A5D5B">
        <w:rPr>
          <w:rFonts w:ascii="Cambria" w:hAnsi="Cambria"/>
          <w:sz w:val="16"/>
          <w:szCs w:val="16"/>
        </w:rPr>
        <w:t>Inter-American Court of Human Rights, Velásquez Rodríguez v. Honduras, Preliminary Exceptions, Judgment of 26 June 1987, para</w:t>
      </w:r>
      <w:r w:rsidRPr="00386E8C">
        <w:rPr>
          <w:rFonts w:ascii="Cambria" w:hAnsi="Cambria"/>
          <w:sz w:val="16"/>
          <w:szCs w:val="16"/>
        </w:rPr>
        <w:t xml:space="preserve">. </w:t>
      </w:r>
      <w:r w:rsidRPr="00664225">
        <w:rPr>
          <w:rFonts w:ascii="Cambria" w:hAnsi="Cambria"/>
          <w:sz w:val="16"/>
          <w:szCs w:val="16"/>
        </w:rPr>
        <w:t>93.</w:t>
      </w:r>
    </w:p>
  </w:footnote>
  <w:footnote w:id="13">
    <w:p w14:paraId="3C518479" w14:textId="13101201" w:rsidR="00B3457F" w:rsidRPr="00664225" w:rsidRDefault="00B3457F" w:rsidP="00B3457F">
      <w:pPr>
        <w:pStyle w:val="FootnoteText"/>
        <w:ind w:firstLine="709"/>
        <w:jc w:val="both"/>
        <w:rPr>
          <w:rFonts w:asciiTheme="majorHAnsi" w:hAnsiTheme="majorHAnsi"/>
          <w:sz w:val="16"/>
          <w:szCs w:val="16"/>
        </w:rPr>
      </w:pPr>
      <w:r w:rsidRPr="00386E8C">
        <w:rPr>
          <w:rFonts w:asciiTheme="majorHAnsi" w:hAnsiTheme="majorHAnsi"/>
          <w:sz w:val="16"/>
          <w:szCs w:val="16"/>
          <w:vertAlign w:val="superscript"/>
        </w:rPr>
        <w:footnoteRef/>
      </w:r>
      <w:r w:rsidRPr="00664225">
        <w:rPr>
          <w:rFonts w:asciiTheme="majorHAnsi" w:hAnsiTheme="majorHAnsi"/>
          <w:sz w:val="16"/>
          <w:szCs w:val="16"/>
        </w:rPr>
        <w:t xml:space="preserve"> </w:t>
      </w:r>
      <w:r w:rsidR="00BE4A2E" w:rsidRPr="00664225">
        <w:rPr>
          <w:rFonts w:asciiTheme="majorHAnsi" w:hAnsiTheme="majorHAnsi"/>
          <w:sz w:val="16"/>
          <w:szCs w:val="16"/>
        </w:rPr>
        <w:t xml:space="preserve">IACHR. Report No. 143/18, Petition 940-08. Admissibility. Luis Américo Ayala Gonzales. Peru, December 4, 2018, para. </w:t>
      </w:r>
      <w:r w:rsidR="00BE4A2E" w:rsidRPr="00BE4A2E">
        <w:rPr>
          <w:rFonts w:asciiTheme="majorHAnsi" w:hAnsiTheme="majorHAnsi"/>
          <w:sz w:val="16"/>
          <w:szCs w:val="16"/>
        </w:rPr>
        <w:t xml:space="preserve">12; and IACHR. Report No. 293/20, Petition 434-09. Admissibility. Gabriel Ulises Valdez Larqué and family. </w:t>
      </w:r>
      <w:r w:rsidR="00BE4A2E" w:rsidRPr="00664225">
        <w:rPr>
          <w:rFonts w:asciiTheme="majorHAnsi" w:hAnsiTheme="majorHAnsi"/>
          <w:sz w:val="16"/>
          <w:szCs w:val="16"/>
        </w:rPr>
        <w:t>Mexico, October 13, 2020, para. 22</w:t>
      </w:r>
      <w:r w:rsidRPr="00664225">
        <w:rPr>
          <w:rFonts w:asciiTheme="majorHAnsi" w:hAnsiTheme="majorHAnsi"/>
          <w:sz w:val="16"/>
          <w:szCs w:val="16"/>
        </w:rPr>
        <w:t>.</w:t>
      </w:r>
    </w:p>
  </w:footnote>
  <w:footnote w:id="14">
    <w:p w14:paraId="1E53FCFC" w14:textId="6164851E" w:rsidR="00B3457F" w:rsidRPr="00386E8C" w:rsidRDefault="00B3457F" w:rsidP="00B3457F">
      <w:pPr>
        <w:pStyle w:val="FootnoteText"/>
        <w:jc w:val="both"/>
        <w:rPr>
          <w:rFonts w:asciiTheme="majorHAnsi" w:hAnsiTheme="majorHAnsi"/>
          <w:sz w:val="16"/>
          <w:szCs w:val="16"/>
        </w:rPr>
      </w:pPr>
      <w:r w:rsidRPr="00664225">
        <w:rPr>
          <w:rFonts w:asciiTheme="majorHAnsi" w:hAnsiTheme="majorHAnsi"/>
          <w:sz w:val="16"/>
          <w:szCs w:val="16"/>
        </w:rPr>
        <w:tab/>
      </w:r>
      <w:r w:rsidRPr="00386E8C">
        <w:rPr>
          <w:rStyle w:val="FootnoteReference"/>
          <w:rFonts w:asciiTheme="majorHAnsi" w:hAnsiTheme="majorHAnsi"/>
          <w:sz w:val="16"/>
          <w:szCs w:val="16"/>
        </w:rPr>
        <w:footnoteRef/>
      </w:r>
      <w:r w:rsidRPr="00664225">
        <w:rPr>
          <w:rFonts w:asciiTheme="majorHAnsi" w:hAnsiTheme="majorHAnsi"/>
          <w:sz w:val="16"/>
          <w:szCs w:val="16"/>
        </w:rPr>
        <w:t xml:space="preserve"> </w:t>
      </w:r>
      <w:r w:rsidR="00BE4A2E" w:rsidRPr="00664225">
        <w:rPr>
          <w:rFonts w:asciiTheme="majorHAnsi" w:hAnsiTheme="majorHAnsi"/>
          <w:sz w:val="16"/>
          <w:szCs w:val="16"/>
        </w:rPr>
        <w:t xml:space="preserve">IACHR, Report No. 111/17. Petition 883-07. Admissibility. Rosario Bedoya Becerra. Colombia. </w:t>
      </w:r>
      <w:r w:rsidR="00BE4A2E" w:rsidRPr="00BE4A2E">
        <w:rPr>
          <w:rFonts w:asciiTheme="majorHAnsi" w:hAnsiTheme="majorHAnsi"/>
          <w:sz w:val="16"/>
          <w:szCs w:val="16"/>
        </w:rPr>
        <w:t>September 7, 2017, para. 15</w:t>
      </w:r>
      <w:r w:rsidRPr="00386E8C">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82449"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084FF1"/>
    <w:multiLevelType w:val="hybridMultilevel"/>
    <w:tmpl w:val="F0045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D0467A5"/>
    <w:multiLevelType w:val="hybridMultilevel"/>
    <w:tmpl w:val="F004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8"/>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7"/>
  </w:num>
  <w:num w:numId="89" w16cid:durableId="128058583">
    <w:abstractNumId w:val="59"/>
  </w:num>
  <w:num w:numId="90" w16cid:durableId="1009914232">
    <w:abstractNumId w:val="60"/>
  </w:num>
  <w:num w:numId="91" w16cid:durableId="820124281">
    <w:abstractNumId w:val="61"/>
  </w:num>
  <w:num w:numId="92" w16cid:durableId="292637384">
    <w:abstractNumId w:val="63"/>
  </w:num>
  <w:num w:numId="93" w16cid:durableId="1214807657">
    <w:abstractNumId w:val="64"/>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 w:numId="106" w16cid:durableId="1646738505">
    <w:abstractNumId w:val="62"/>
  </w:num>
  <w:num w:numId="107" w16cid:durableId="362167738">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36A8A"/>
    <w:rsid w:val="00040C3A"/>
    <w:rsid w:val="000457CE"/>
    <w:rsid w:val="00051BEF"/>
    <w:rsid w:val="000639C0"/>
    <w:rsid w:val="00070F3A"/>
    <w:rsid w:val="000716C5"/>
    <w:rsid w:val="00075E23"/>
    <w:rsid w:val="00082EDE"/>
    <w:rsid w:val="00092F32"/>
    <w:rsid w:val="0009344A"/>
    <w:rsid w:val="000A575F"/>
    <w:rsid w:val="000C4365"/>
    <w:rsid w:val="000D10DB"/>
    <w:rsid w:val="00124116"/>
    <w:rsid w:val="0013104F"/>
    <w:rsid w:val="00137EBA"/>
    <w:rsid w:val="00145EDC"/>
    <w:rsid w:val="00153084"/>
    <w:rsid w:val="00160A75"/>
    <w:rsid w:val="00167A34"/>
    <w:rsid w:val="001714B4"/>
    <w:rsid w:val="0018037F"/>
    <w:rsid w:val="001A5F27"/>
    <w:rsid w:val="001A65E4"/>
    <w:rsid w:val="001A7870"/>
    <w:rsid w:val="001C1B41"/>
    <w:rsid w:val="001C2FC6"/>
    <w:rsid w:val="001D0B67"/>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42BB1"/>
    <w:rsid w:val="00356185"/>
    <w:rsid w:val="00360380"/>
    <w:rsid w:val="003771A3"/>
    <w:rsid w:val="00380B32"/>
    <w:rsid w:val="00386CF0"/>
    <w:rsid w:val="00386E8C"/>
    <w:rsid w:val="003A4348"/>
    <w:rsid w:val="003A5D5B"/>
    <w:rsid w:val="003C32BC"/>
    <w:rsid w:val="003E3E03"/>
    <w:rsid w:val="003F1BBF"/>
    <w:rsid w:val="003F1C38"/>
    <w:rsid w:val="00412B26"/>
    <w:rsid w:val="004162B1"/>
    <w:rsid w:val="004165C2"/>
    <w:rsid w:val="00450A4A"/>
    <w:rsid w:val="004516A2"/>
    <w:rsid w:val="00460F7A"/>
    <w:rsid w:val="004666FB"/>
    <w:rsid w:val="00466D0B"/>
    <w:rsid w:val="00467B7E"/>
    <w:rsid w:val="0047743E"/>
    <w:rsid w:val="00484884"/>
    <w:rsid w:val="00486F10"/>
    <w:rsid w:val="0049419D"/>
    <w:rsid w:val="004B2762"/>
    <w:rsid w:val="004B7EB6"/>
    <w:rsid w:val="004C41DE"/>
    <w:rsid w:val="004C4B62"/>
    <w:rsid w:val="004D6025"/>
    <w:rsid w:val="004D72BC"/>
    <w:rsid w:val="004F6B67"/>
    <w:rsid w:val="00501399"/>
    <w:rsid w:val="00507BC4"/>
    <w:rsid w:val="005128E4"/>
    <w:rsid w:val="00525560"/>
    <w:rsid w:val="005279D7"/>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3881"/>
    <w:rsid w:val="005C4225"/>
    <w:rsid w:val="005F0F33"/>
    <w:rsid w:val="00600DEB"/>
    <w:rsid w:val="00605DE2"/>
    <w:rsid w:val="00613027"/>
    <w:rsid w:val="00627C9F"/>
    <w:rsid w:val="006311DA"/>
    <w:rsid w:val="006311E9"/>
    <w:rsid w:val="006318B2"/>
    <w:rsid w:val="00632354"/>
    <w:rsid w:val="00634F79"/>
    <w:rsid w:val="00642810"/>
    <w:rsid w:val="00645E83"/>
    <w:rsid w:val="00652333"/>
    <w:rsid w:val="00653EA6"/>
    <w:rsid w:val="006614CA"/>
    <w:rsid w:val="00664225"/>
    <w:rsid w:val="0068009E"/>
    <w:rsid w:val="0068773D"/>
    <w:rsid w:val="006A17D2"/>
    <w:rsid w:val="006A73E6"/>
    <w:rsid w:val="006B2D5C"/>
    <w:rsid w:val="006C4EB1"/>
    <w:rsid w:val="006D4707"/>
    <w:rsid w:val="006E0166"/>
    <w:rsid w:val="006E7B34"/>
    <w:rsid w:val="00701B24"/>
    <w:rsid w:val="0071495F"/>
    <w:rsid w:val="00737751"/>
    <w:rsid w:val="0073798E"/>
    <w:rsid w:val="00745899"/>
    <w:rsid w:val="007607C4"/>
    <w:rsid w:val="0076643F"/>
    <w:rsid w:val="00781653"/>
    <w:rsid w:val="007A2F70"/>
    <w:rsid w:val="007C1671"/>
    <w:rsid w:val="007C3334"/>
    <w:rsid w:val="007C52BB"/>
    <w:rsid w:val="007D2B98"/>
    <w:rsid w:val="007D361E"/>
    <w:rsid w:val="007E6E42"/>
    <w:rsid w:val="007F196E"/>
    <w:rsid w:val="00803F1C"/>
    <w:rsid w:val="0080600E"/>
    <w:rsid w:val="00817612"/>
    <w:rsid w:val="00837C45"/>
    <w:rsid w:val="00853419"/>
    <w:rsid w:val="00897E12"/>
    <w:rsid w:val="008D0C3A"/>
    <w:rsid w:val="008D43BA"/>
    <w:rsid w:val="008E3759"/>
    <w:rsid w:val="009041DC"/>
    <w:rsid w:val="009104B4"/>
    <w:rsid w:val="009228DA"/>
    <w:rsid w:val="00925FCD"/>
    <w:rsid w:val="0093441A"/>
    <w:rsid w:val="00950186"/>
    <w:rsid w:val="00954BF7"/>
    <w:rsid w:val="00962A98"/>
    <w:rsid w:val="0096706E"/>
    <w:rsid w:val="00981FBA"/>
    <w:rsid w:val="009B381B"/>
    <w:rsid w:val="009B4799"/>
    <w:rsid w:val="009D7611"/>
    <w:rsid w:val="009E18A3"/>
    <w:rsid w:val="009E53DE"/>
    <w:rsid w:val="009E566A"/>
    <w:rsid w:val="009F2BD8"/>
    <w:rsid w:val="00A017CA"/>
    <w:rsid w:val="00A0398B"/>
    <w:rsid w:val="00A0577C"/>
    <w:rsid w:val="00A12DBC"/>
    <w:rsid w:val="00A43458"/>
    <w:rsid w:val="00A528D1"/>
    <w:rsid w:val="00A66BE5"/>
    <w:rsid w:val="00A916CF"/>
    <w:rsid w:val="00AD37C1"/>
    <w:rsid w:val="00AE31E9"/>
    <w:rsid w:val="00AE66EC"/>
    <w:rsid w:val="00AE6F91"/>
    <w:rsid w:val="00AF5571"/>
    <w:rsid w:val="00B04A2C"/>
    <w:rsid w:val="00B06BB7"/>
    <w:rsid w:val="00B167E9"/>
    <w:rsid w:val="00B179ED"/>
    <w:rsid w:val="00B20671"/>
    <w:rsid w:val="00B30654"/>
    <w:rsid w:val="00B314DB"/>
    <w:rsid w:val="00B31EBE"/>
    <w:rsid w:val="00B3457F"/>
    <w:rsid w:val="00B3718B"/>
    <w:rsid w:val="00B44B23"/>
    <w:rsid w:val="00B4632A"/>
    <w:rsid w:val="00B9253C"/>
    <w:rsid w:val="00B92E49"/>
    <w:rsid w:val="00BA276C"/>
    <w:rsid w:val="00BB306F"/>
    <w:rsid w:val="00BC1CC9"/>
    <w:rsid w:val="00BD06EC"/>
    <w:rsid w:val="00BD232B"/>
    <w:rsid w:val="00BD2E42"/>
    <w:rsid w:val="00BD4B89"/>
    <w:rsid w:val="00BE4A2E"/>
    <w:rsid w:val="00C21762"/>
    <w:rsid w:val="00C24543"/>
    <w:rsid w:val="00C256A2"/>
    <w:rsid w:val="00C3492D"/>
    <w:rsid w:val="00C362D2"/>
    <w:rsid w:val="00C55560"/>
    <w:rsid w:val="00C64101"/>
    <w:rsid w:val="00C66B72"/>
    <w:rsid w:val="00C82449"/>
    <w:rsid w:val="00C9567A"/>
    <w:rsid w:val="00CA6577"/>
    <w:rsid w:val="00CB2660"/>
    <w:rsid w:val="00CC5E90"/>
    <w:rsid w:val="00CD046C"/>
    <w:rsid w:val="00CE5199"/>
    <w:rsid w:val="00CE66D5"/>
    <w:rsid w:val="00D34786"/>
    <w:rsid w:val="00D40A1E"/>
    <w:rsid w:val="00D47291"/>
    <w:rsid w:val="00D533C0"/>
    <w:rsid w:val="00D712D3"/>
    <w:rsid w:val="00D71422"/>
    <w:rsid w:val="00D7145E"/>
    <w:rsid w:val="00D75084"/>
    <w:rsid w:val="00D7558D"/>
    <w:rsid w:val="00D81D92"/>
    <w:rsid w:val="00D93446"/>
    <w:rsid w:val="00DA7B5F"/>
    <w:rsid w:val="00DE5E15"/>
    <w:rsid w:val="00DF078B"/>
    <w:rsid w:val="00DF350D"/>
    <w:rsid w:val="00E227C1"/>
    <w:rsid w:val="00E34ED3"/>
    <w:rsid w:val="00E43157"/>
    <w:rsid w:val="00E47F3D"/>
    <w:rsid w:val="00E533FF"/>
    <w:rsid w:val="00E709B3"/>
    <w:rsid w:val="00E7588C"/>
    <w:rsid w:val="00E850B6"/>
    <w:rsid w:val="00E8789F"/>
    <w:rsid w:val="00E97B71"/>
    <w:rsid w:val="00EB454D"/>
    <w:rsid w:val="00ED0D1B"/>
    <w:rsid w:val="00EE3522"/>
    <w:rsid w:val="00EF1967"/>
    <w:rsid w:val="00EF619B"/>
    <w:rsid w:val="00F00B55"/>
    <w:rsid w:val="00F1380F"/>
    <w:rsid w:val="00F140E4"/>
    <w:rsid w:val="00F14F0E"/>
    <w:rsid w:val="00F15A3B"/>
    <w:rsid w:val="00F242D1"/>
    <w:rsid w:val="00F24C29"/>
    <w:rsid w:val="00F253CC"/>
    <w:rsid w:val="00F2696E"/>
    <w:rsid w:val="00F42B71"/>
    <w:rsid w:val="00F5641C"/>
    <w:rsid w:val="00F56BA5"/>
    <w:rsid w:val="00F621C3"/>
    <w:rsid w:val="00F6335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BD06E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normaltextrun">
    <w:name w:val="normaltextrun"/>
    <w:basedOn w:val="DefaultParagraphFont"/>
    <w:rsid w:val="00DE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268BF"/>
    <w:rsid w:val="00183EF8"/>
    <w:rsid w:val="00357051"/>
    <w:rsid w:val="00357785"/>
    <w:rsid w:val="004108B1"/>
    <w:rsid w:val="004148C0"/>
    <w:rsid w:val="00741CD7"/>
    <w:rsid w:val="00AB44F1"/>
    <w:rsid w:val="00C578E4"/>
    <w:rsid w:val="00E3025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3049</Words>
  <Characters>17383</Characters>
  <Application>Microsoft Office Word</Application>
  <DocSecurity>0</DocSecurity>
  <Lines>144</Lines>
  <Paragraphs>40</Paragraphs>
  <ScaleCrop>false</ScaleCrop>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2023-07-10T21:37:00Z</dcterms:created>
  <dcterms:modified xsi:type="dcterms:W3CDTF">2023-07-10T21:37:00Z</dcterms:modified>
</cp:coreProperties>
</file>