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54B6" w14:textId="77777777" w:rsidR="00040C3A" w:rsidRPr="006271B7" w:rsidRDefault="006311DA" w:rsidP="00627C9F">
      <w:pPr>
        <w:jc w:val="both"/>
        <w:rPr>
          <w:rFonts w:asciiTheme="majorHAnsi" w:hAnsiTheme="majorHAnsi" w:cs="Univers"/>
          <w:b/>
          <w:bCs/>
          <w:sz w:val="22"/>
          <w:szCs w:val="22"/>
        </w:rPr>
      </w:pPr>
      <w:r w:rsidRPr="006271B7">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14:anchorId="18793043" wp14:editId="7C3D3382">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A84782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271B7">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14:anchorId="52EDF2C5" wp14:editId="0D8742D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C22AA" w14:textId="77777777" w:rsidR="00D02D3C" w:rsidRDefault="00D02D3C">
                            <w:r>
                              <w:rPr>
                                <w:noProof/>
                                <w:lang w:val="es-UY" w:eastAsia="es-UY"/>
                              </w:rPr>
                              <w:drawing>
                                <wp:inline distT="0" distB="0" distL="0" distR="0" wp14:anchorId="5AB0F809" wp14:editId="522866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4CC22AA" w14:textId="77777777" w:rsidR="00D02D3C" w:rsidRDefault="00D02D3C">
                      <w:r>
                        <w:rPr>
                          <w:noProof/>
                        </w:rPr>
                        <w:drawing>
                          <wp:inline distT="0" distB="0" distL="0" distR="0" wp14:anchorId="5AB0F809" wp14:editId="522866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66CB1BF" w14:textId="77777777" w:rsidR="00040C3A" w:rsidRPr="006271B7" w:rsidRDefault="00040C3A" w:rsidP="00040C3A">
      <w:pPr>
        <w:tabs>
          <w:tab w:val="center" w:pos="5400"/>
        </w:tabs>
        <w:suppressAutoHyphens/>
        <w:jc w:val="both"/>
        <w:rPr>
          <w:rFonts w:asciiTheme="majorHAnsi" w:hAnsiTheme="majorHAnsi"/>
          <w:sz w:val="22"/>
          <w:szCs w:val="22"/>
        </w:rPr>
      </w:pPr>
    </w:p>
    <w:p w14:paraId="32EBA7F5" w14:textId="77777777" w:rsidR="00040C3A" w:rsidRPr="006271B7" w:rsidRDefault="00040C3A" w:rsidP="00040C3A">
      <w:pPr>
        <w:tabs>
          <w:tab w:val="center" w:pos="5400"/>
        </w:tabs>
        <w:suppressAutoHyphens/>
        <w:jc w:val="both"/>
        <w:rPr>
          <w:rFonts w:asciiTheme="majorHAnsi" w:hAnsiTheme="majorHAnsi"/>
          <w:sz w:val="22"/>
          <w:szCs w:val="22"/>
        </w:rPr>
      </w:pPr>
    </w:p>
    <w:p w14:paraId="159724FE" w14:textId="77777777" w:rsidR="005128E4" w:rsidRPr="006271B7" w:rsidRDefault="005128E4" w:rsidP="00040C3A">
      <w:pPr>
        <w:tabs>
          <w:tab w:val="center" w:pos="5400"/>
        </w:tabs>
        <w:suppressAutoHyphens/>
        <w:rPr>
          <w:rFonts w:asciiTheme="majorHAnsi" w:hAnsiTheme="majorHAnsi"/>
          <w:sz w:val="22"/>
          <w:szCs w:val="22"/>
        </w:rPr>
      </w:pPr>
    </w:p>
    <w:p w14:paraId="6272E695" w14:textId="77777777" w:rsidR="005128E4" w:rsidRPr="006271B7" w:rsidRDefault="005128E4" w:rsidP="00040C3A">
      <w:pPr>
        <w:tabs>
          <w:tab w:val="center" w:pos="5400"/>
        </w:tabs>
        <w:suppressAutoHyphens/>
        <w:rPr>
          <w:rFonts w:asciiTheme="majorHAnsi" w:hAnsiTheme="majorHAnsi"/>
          <w:sz w:val="22"/>
          <w:szCs w:val="22"/>
        </w:rPr>
      </w:pPr>
    </w:p>
    <w:p w14:paraId="6D04D8D0" w14:textId="77777777" w:rsidR="005128E4" w:rsidRPr="006271B7" w:rsidRDefault="005128E4" w:rsidP="00040C3A">
      <w:pPr>
        <w:tabs>
          <w:tab w:val="center" w:pos="5400"/>
        </w:tabs>
        <w:suppressAutoHyphens/>
        <w:rPr>
          <w:rFonts w:asciiTheme="majorHAnsi" w:hAnsiTheme="majorHAnsi"/>
          <w:sz w:val="22"/>
          <w:szCs w:val="22"/>
        </w:rPr>
      </w:pPr>
    </w:p>
    <w:p w14:paraId="6DFE98F9" w14:textId="77777777" w:rsidR="00040C3A" w:rsidRPr="006271B7" w:rsidRDefault="00040C3A" w:rsidP="005128E4">
      <w:pPr>
        <w:tabs>
          <w:tab w:val="center" w:pos="5400"/>
        </w:tabs>
        <w:suppressAutoHyphens/>
        <w:jc w:val="center"/>
        <w:rPr>
          <w:rFonts w:asciiTheme="majorHAnsi" w:hAnsiTheme="majorHAnsi"/>
          <w:sz w:val="22"/>
          <w:szCs w:val="22"/>
        </w:rPr>
      </w:pPr>
    </w:p>
    <w:p w14:paraId="5B3F7A92" w14:textId="77777777" w:rsidR="00040C3A" w:rsidRPr="006271B7" w:rsidRDefault="00040C3A" w:rsidP="005128E4">
      <w:pPr>
        <w:tabs>
          <w:tab w:val="center" w:pos="5400"/>
        </w:tabs>
        <w:suppressAutoHyphens/>
        <w:jc w:val="center"/>
        <w:rPr>
          <w:rFonts w:asciiTheme="majorHAnsi" w:hAnsiTheme="majorHAnsi"/>
          <w:sz w:val="22"/>
          <w:szCs w:val="22"/>
        </w:rPr>
      </w:pPr>
    </w:p>
    <w:p w14:paraId="2D4E2575" w14:textId="77777777" w:rsidR="005B52B0" w:rsidRPr="006271B7" w:rsidRDefault="005B52B0" w:rsidP="005128E4">
      <w:pPr>
        <w:tabs>
          <w:tab w:val="center" w:pos="5400"/>
        </w:tabs>
        <w:suppressAutoHyphens/>
        <w:jc w:val="center"/>
        <w:rPr>
          <w:rFonts w:asciiTheme="majorHAnsi" w:hAnsiTheme="majorHAnsi"/>
          <w:sz w:val="22"/>
          <w:szCs w:val="22"/>
        </w:rPr>
      </w:pPr>
    </w:p>
    <w:p w14:paraId="29FFBAFE" w14:textId="77777777" w:rsidR="005B52B0" w:rsidRPr="006271B7" w:rsidRDefault="005B52B0" w:rsidP="005128E4">
      <w:pPr>
        <w:tabs>
          <w:tab w:val="center" w:pos="5400"/>
        </w:tabs>
        <w:suppressAutoHyphens/>
        <w:jc w:val="center"/>
        <w:rPr>
          <w:rFonts w:asciiTheme="majorHAnsi" w:hAnsiTheme="majorHAnsi"/>
          <w:sz w:val="22"/>
          <w:szCs w:val="22"/>
        </w:rPr>
      </w:pPr>
    </w:p>
    <w:p w14:paraId="52B572AC" w14:textId="77777777" w:rsidR="005B52B0" w:rsidRPr="006271B7" w:rsidRDefault="005B52B0" w:rsidP="005128E4">
      <w:pPr>
        <w:tabs>
          <w:tab w:val="center" w:pos="5400"/>
        </w:tabs>
        <w:suppressAutoHyphens/>
        <w:jc w:val="center"/>
        <w:rPr>
          <w:rFonts w:asciiTheme="majorHAnsi" w:hAnsiTheme="majorHAnsi"/>
          <w:sz w:val="22"/>
          <w:szCs w:val="22"/>
        </w:rPr>
      </w:pPr>
    </w:p>
    <w:p w14:paraId="15FD0681" w14:textId="77777777" w:rsidR="00040C3A" w:rsidRPr="006271B7" w:rsidRDefault="00040C3A" w:rsidP="00040C3A">
      <w:pPr>
        <w:tabs>
          <w:tab w:val="center" w:pos="5400"/>
        </w:tabs>
        <w:suppressAutoHyphens/>
        <w:jc w:val="center"/>
        <w:rPr>
          <w:rFonts w:asciiTheme="majorHAnsi" w:hAnsiTheme="majorHAnsi"/>
          <w:sz w:val="22"/>
          <w:szCs w:val="22"/>
        </w:rPr>
      </w:pPr>
    </w:p>
    <w:p w14:paraId="26EF4A6C" w14:textId="77777777" w:rsidR="00040C3A" w:rsidRPr="006271B7" w:rsidRDefault="00040C3A" w:rsidP="00040C3A">
      <w:pPr>
        <w:tabs>
          <w:tab w:val="center" w:pos="5400"/>
        </w:tabs>
        <w:suppressAutoHyphens/>
        <w:jc w:val="center"/>
        <w:rPr>
          <w:rFonts w:asciiTheme="majorHAnsi" w:hAnsiTheme="majorHAnsi"/>
          <w:sz w:val="22"/>
          <w:szCs w:val="22"/>
        </w:rPr>
      </w:pPr>
    </w:p>
    <w:p w14:paraId="4506D69E" w14:textId="77777777" w:rsidR="00040C3A" w:rsidRPr="006271B7" w:rsidRDefault="00040C3A" w:rsidP="00040C3A">
      <w:pPr>
        <w:tabs>
          <w:tab w:val="center" w:pos="5400"/>
        </w:tabs>
        <w:suppressAutoHyphens/>
        <w:jc w:val="center"/>
        <w:rPr>
          <w:rFonts w:asciiTheme="majorHAnsi" w:hAnsiTheme="majorHAnsi"/>
          <w:sz w:val="22"/>
          <w:szCs w:val="22"/>
        </w:rPr>
      </w:pPr>
    </w:p>
    <w:p w14:paraId="32644CE2" w14:textId="77777777" w:rsidR="00040C3A" w:rsidRPr="006271B7" w:rsidRDefault="00E533FF" w:rsidP="00040C3A">
      <w:pPr>
        <w:tabs>
          <w:tab w:val="center" w:pos="5400"/>
        </w:tabs>
        <w:suppressAutoHyphens/>
        <w:jc w:val="center"/>
        <w:rPr>
          <w:rFonts w:asciiTheme="majorHAnsi" w:hAnsiTheme="majorHAnsi"/>
          <w:sz w:val="22"/>
          <w:szCs w:val="22"/>
        </w:rPr>
      </w:pPr>
      <w:r w:rsidRPr="006271B7">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14:anchorId="191AF7D6" wp14:editId="3AA2912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E4FB" w14:textId="5695888B" w:rsidR="00D02D3C" w:rsidRPr="004B7EB6" w:rsidRDefault="00EF5E9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109</w:t>
                            </w:r>
                            <w:r w:rsidR="00D02D3C" w:rsidRPr="004B7EB6">
                              <w:rPr>
                                <w:rFonts w:asciiTheme="majorHAnsi" w:hAnsiTheme="majorHAnsi" w:cs="Arial"/>
                                <w:b/>
                                <w:bCs/>
                                <w:color w:val="0D0D0D" w:themeColor="text1" w:themeTint="F2"/>
                                <w:sz w:val="36"/>
                                <w:szCs w:val="40"/>
                              </w:rPr>
                              <w:t>/</w:t>
                            </w:r>
                            <w:r w:rsidR="00D02D3C">
                              <w:rPr>
                                <w:rFonts w:asciiTheme="majorHAnsi" w:hAnsiTheme="majorHAnsi" w:cs="Arial"/>
                                <w:b/>
                                <w:bCs/>
                                <w:color w:val="0D0D0D" w:themeColor="text1" w:themeTint="F2"/>
                                <w:sz w:val="36"/>
                                <w:szCs w:val="40"/>
                              </w:rPr>
                              <w:t>18</w:t>
                            </w:r>
                          </w:p>
                          <w:p w14:paraId="465370B6" w14:textId="668BFBEE" w:rsidR="00D02D3C" w:rsidRPr="004B7EB6" w:rsidRDefault="00D02D3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12.870</w:t>
                            </w:r>
                          </w:p>
                          <w:p w14:paraId="0A17D5F4" w14:textId="77777777" w:rsidR="00D02D3C" w:rsidRPr="004B7EB6" w:rsidRDefault="00D02D3C" w:rsidP="00105D7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4F77B154" w14:textId="77777777" w:rsidR="00D02D3C" w:rsidRPr="004B7EB6" w:rsidRDefault="00D02D3C" w:rsidP="004B7EB6">
                            <w:pPr>
                              <w:spacing w:line="276" w:lineRule="auto"/>
                              <w:rPr>
                                <w:rFonts w:asciiTheme="majorHAnsi" w:hAnsiTheme="majorHAnsi" w:cs="Arial"/>
                                <w:color w:val="0D0D0D" w:themeColor="text1" w:themeTint="F2"/>
                                <w:szCs w:val="22"/>
                              </w:rPr>
                            </w:pPr>
                          </w:p>
                          <w:p w14:paraId="3DDACC7E" w14:textId="77777777" w:rsidR="00D02D3C" w:rsidRPr="004B7EB6" w:rsidRDefault="00D02D3C" w:rsidP="004B7EB6">
                            <w:pPr>
                              <w:spacing w:line="276" w:lineRule="auto"/>
                              <w:rPr>
                                <w:rFonts w:asciiTheme="majorHAnsi" w:hAnsiTheme="majorHAnsi" w:cs="Arial"/>
                                <w:color w:val="0D0D0D" w:themeColor="text1" w:themeTint="F2"/>
                                <w:szCs w:val="22"/>
                              </w:rPr>
                            </w:pPr>
                          </w:p>
                          <w:p w14:paraId="0DE3C39C" w14:textId="43AA6DC7" w:rsidR="00D02D3C" w:rsidRPr="00D02D3C" w:rsidRDefault="00D02D3C" w:rsidP="00105D7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YENINA ESTHER MARTINEZ ESQUIVIA</w:t>
                            </w:r>
                          </w:p>
                          <w:p w14:paraId="75D3F63C" w14:textId="2E88B52B" w:rsidR="00D02D3C" w:rsidRPr="00D02D3C" w:rsidRDefault="00D02D3C" w:rsidP="00105D7F">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16EE4FB" w14:textId="5695888B" w:rsidR="00D02D3C" w:rsidRPr="004B7EB6" w:rsidRDefault="00EF5E9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109</w:t>
                      </w:r>
                      <w:r w:rsidR="00D02D3C" w:rsidRPr="004B7EB6">
                        <w:rPr>
                          <w:rFonts w:asciiTheme="majorHAnsi" w:hAnsiTheme="majorHAnsi" w:cs="Arial"/>
                          <w:b/>
                          <w:bCs/>
                          <w:color w:val="0D0D0D" w:themeColor="text1" w:themeTint="F2"/>
                          <w:sz w:val="36"/>
                          <w:szCs w:val="40"/>
                        </w:rPr>
                        <w:t>/</w:t>
                      </w:r>
                      <w:r w:rsidR="00D02D3C">
                        <w:rPr>
                          <w:rFonts w:asciiTheme="majorHAnsi" w:hAnsiTheme="majorHAnsi" w:cs="Arial"/>
                          <w:b/>
                          <w:bCs/>
                          <w:color w:val="0D0D0D" w:themeColor="text1" w:themeTint="F2"/>
                          <w:sz w:val="36"/>
                          <w:szCs w:val="40"/>
                        </w:rPr>
                        <w:t>18</w:t>
                      </w:r>
                    </w:p>
                    <w:p w14:paraId="465370B6" w14:textId="668BFBEE" w:rsidR="00D02D3C" w:rsidRPr="004B7EB6" w:rsidRDefault="00D02D3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12.870</w:t>
                      </w:r>
                    </w:p>
                    <w:p w14:paraId="0A17D5F4" w14:textId="77777777" w:rsidR="00D02D3C" w:rsidRPr="004B7EB6" w:rsidRDefault="00D02D3C" w:rsidP="00105D7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4F77B154" w14:textId="77777777" w:rsidR="00D02D3C" w:rsidRPr="004B7EB6" w:rsidRDefault="00D02D3C" w:rsidP="004B7EB6">
                      <w:pPr>
                        <w:spacing w:line="276" w:lineRule="auto"/>
                        <w:rPr>
                          <w:rFonts w:asciiTheme="majorHAnsi" w:hAnsiTheme="majorHAnsi" w:cs="Arial"/>
                          <w:color w:val="0D0D0D" w:themeColor="text1" w:themeTint="F2"/>
                          <w:szCs w:val="22"/>
                        </w:rPr>
                      </w:pPr>
                    </w:p>
                    <w:p w14:paraId="3DDACC7E" w14:textId="77777777" w:rsidR="00D02D3C" w:rsidRPr="004B7EB6" w:rsidRDefault="00D02D3C" w:rsidP="004B7EB6">
                      <w:pPr>
                        <w:spacing w:line="276" w:lineRule="auto"/>
                        <w:rPr>
                          <w:rFonts w:asciiTheme="majorHAnsi" w:hAnsiTheme="majorHAnsi" w:cs="Arial"/>
                          <w:color w:val="0D0D0D" w:themeColor="text1" w:themeTint="F2"/>
                          <w:szCs w:val="22"/>
                        </w:rPr>
                      </w:pPr>
                    </w:p>
                    <w:p w14:paraId="0DE3C39C" w14:textId="43AA6DC7" w:rsidR="00D02D3C" w:rsidRPr="00D02D3C" w:rsidRDefault="00D02D3C" w:rsidP="00105D7F">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YENINA ESTHER MARTINEZ ESQUIVIA</w:t>
                      </w:r>
                    </w:p>
                    <w:p w14:paraId="75D3F63C" w14:textId="2E88B52B" w:rsidR="00D02D3C" w:rsidRPr="00D02D3C" w:rsidRDefault="00D02D3C" w:rsidP="00105D7F">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COLOMBIA</w:t>
                      </w:r>
                    </w:p>
                  </w:txbxContent>
                </v:textbox>
              </v:shape>
            </w:pict>
          </mc:Fallback>
        </mc:AlternateContent>
      </w:r>
      <w:r w:rsidR="004B7EB6" w:rsidRPr="006271B7">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14:anchorId="09A758CB" wp14:editId="74060C2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273AE" w14:textId="77777777" w:rsidR="00D02D3C" w:rsidRPr="004B7EB6" w:rsidRDefault="00D02D3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14:paraId="337CA118" w14:textId="5368DBA0" w:rsidR="00D02D3C" w:rsidRPr="004B7EB6" w:rsidRDefault="00EF5E9E"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126</w:t>
                            </w:r>
                          </w:p>
                          <w:p w14:paraId="4F3CE91D" w14:textId="69EDEFA8" w:rsidR="00D02D3C" w:rsidRPr="004B7EB6" w:rsidRDefault="00EF5E9E"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00D02D3C" w:rsidRPr="004B7EB6">
                              <w:rPr>
                                <w:rFonts w:asciiTheme="minorHAnsi" w:hAnsiTheme="minorHAnsi"/>
                                <w:color w:val="FFFFFF" w:themeColor="background1"/>
                                <w:sz w:val="22"/>
                              </w:rPr>
                              <w:t xml:space="preserve"> </w:t>
                            </w:r>
                            <w:r w:rsidR="00D02D3C">
                              <w:rPr>
                                <w:rFonts w:asciiTheme="minorHAnsi" w:hAnsiTheme="minorHAnsi"/>
                                <w:color w:val="FFFFFF" w:themeColor="background1"/>
                                <w:sz w:val="22"/>
                              </w:rPr>
                              <w:t>October 2018</w:t>
                            </w:r>
                          </w:p>
                          <w:p w14:paraId="6EC7DDBE" w14:textId="524CEE08" w:rsidR="00D02D3C" w:rsidRPr="004B7EB6" w:rsidRDefault="00D02D3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DE273AE" w14:textId="77777777" w:rsidR="00D02D3C" w:rsidRPr="004B7EB6" w:rsidRDefault="00D02D3C"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169</w:t>
                      </w:r>
                    </w:p>
                    <w:p w14:paraId="337CA118" w14:textId="5368DBA0" w:rsidR="00D02D3C" w:rsidRPr="004B7EB6" w:rsidRDefault="00EF5E9E"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126</w:t>
                      </w:r>
                    </w:p>
                    <w:p w14:paraId="4F3CE91D" w14:textId="69EDEFA8" w:rsidR="00D02D3C" w:rsidRPr="004B7EB6" w:rsidRDefault="00EF5E9E" w:rsidP="002C1641">
                      <w:pPr>
                        <w:jc w:val="right"/>
                        <w:rPr>
                          <w:rFonts w:asciiTheme="minorHAnsi" w:hAnsiTheme="minorHAnsi"/>
                          <w:color w:val="FFFFFF" w:themeColor="background1"/>
                          <w:sz w:val="22"/>
                        </w:rPr>
                      </w:pPr>
                      <w:r>
                        <w:rPr>
                          <w:rFonts w:asciiTheme="minorHAnsi" w:hAnsiTheme="minorHAnsi"/>
                          <w:color w:val="FFFFFF" w:themeColor="background1"/>
                          <w:sz w:val="22"/>
                        </w:rPr>
                        <w:t>5</w:t>
                      </w:r>
                      <w:r w:rsidR="00D02D3C" w:rsidRPr="004B7EB6">
                        <w:rPr>
                          <w:rFonts w:asciiTheme="minorHAnsi" w:hAnsiTheme="minorHAnsi"/>
                          <w:color w:val="FFFFFF" w:themeColor="background1"/>
                          <w:sz w:val="22"/>
                        </w:rPr>
                        <w:t xml:space="preserve"> </w:t>
                      </w:r>
                      <w:r w:rsidR="00D02D3C">
                        <w:rPr>
                          <w:rFonts w:asciiTheme="minorHAnsi" w:hAnsiTheme="minorHAnsi"/>
                          <w:color w:val="FFFFFF" w:themeColor="background1"/>
                          <w:sz w:val="22"/>
                        </w:rPr>
                        <w:t>October 2018</w:t>
                      </w:r>
                    </w:p>
                    <w:p w14:paraId="6EC7DDBE" w14:textId="524CEE08" w:rsidR="00D02D3C" w:rsidRPr="004B7EB6" w:rsidRDefault="00D02D3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4CE639A4" w14:textId="77777777" w:rsidR="00040C3A" w:rsidRPr="006271B7" w:rsidRDefault="00040C3A" w:rsidP="00040C3A">
      <w:pPr>
        <w:tabs>
          <w:tab w:val="center" w:pos="5400"/>
        </w:tabs>
        <w:suppressAutoHyphens/>
        <w:jc w:val="center"/>
        <w:rPr>
          <w:rFonts w:asciiTheme="majorHAnsi" w:hAnsiTheme="majorHAnsi"/>
          <w:sz w:val="22"/>
          <w:szCs w:val="22"/>
        </w:rPr>
      </w:pPr>
    </w:p>
    <w:p w14:paraId="373E239E" w14:textId="77777777" w:rsidR="00040C3A" w:rsidRPr="006271B7" w:rsidRDefault="00040C3A" w:rsidP="00040C3A">
      <w:pPr>
        <w:tabs>
          <w:tab w:val="center" w:pos="5400"/>
        </w:tabs>
        <w:suppressAutoHyphens/>
        <w:jc w:val="center"/>
        <w:rPr>
          <w:rFonts w:asciiTheme="majorHAnsi" w:hAnsiTheme="majorHAnsi" w:cs="Arial"/>
          <w:sz w:val="22"/>
          <w:szCs w:val="22"/>
        </w:rPr>
      </w:pPr>
    </w:p>
    <w:p w14:paraId="65E93279" w14:textId="77777777" w:rsidR="00040C3A" w:rsidRPr="006271B7" w:rsidRDefault="00040C3A" w:rsidP="00040C3A">
      <w:pPr>
        <w:tabs>
          <w:tab w:val="center" w:pos="5400"/>
        </w:tabs>
        <w:suppressAutoHyphens/>
        <w:jc w:val="center"/>
        <w:rPr>
          <w:rFonts w:asciiTheme="majorHAnsi" w:hAnsiTheme="majorHAnsi"/>
          <w:sz w:val="22"/>
          <w:szCs w:val="22"/>
        </w:rPr>
      </w:pPr>
    </w:p>
    <w:p w14:paraId="3E423023" w14:textId="77777777" w:rsidR="00040C3A" w:rsidRPr="006271B7" w:rsidRDefault="00040C3A" w:rsidP="00040C3A">
      <w:pPr>
        <w:tabs>
          <w:tab w:val="center" w:pos="5400"/>
        </w:tabs>
        <w:suppressAutoHyphens/>
        <w:jc w:val="center"/>
        <w:rPr>
          <w:rFonts w:asciiTheme="majorHAnsi" w:hAnsiTheme="majorHAnsi"/>
          <w:sz w:val="22"/>
          <w:szCs w:val="22"/>
        </w:rPr>
      </w:pPr>
    </w:p>
    <w:p w14:paraId="0C3D82F0" w14:textId="77777777" w:rsidR="00040C3A" w:rsidRPr="006271B7" w:rsidRDefault="00040C3A" w:rsidP="00040C3A">
      <w:pPr>
        <w:tabs>
          <w:tab w:val="center" w:pos="5400"/>
        </w:tabs>
        <w:suppressAutoHyphens/>
        <w:jc w:val="center"/>
        <w:rPr>
          <w:rFonts w:asciiTheme="majorHAnsi" w:hAnsiTheme="majorHAnsi"/>
          <w:sz w:val="22"/>
          <w:szCs w:val="22"/>
        </w:rPr>
      </w:pPr>
    </w:p>
    <w:p w14:paraId="2ED4EAF5" w14:textId="77777777" w:rsidR="00040C3A" w:rsidRPr="006271B7" w:rsidRDefault="00040C3A" w:rsidP="00040C3A">
      <w:pPr>
        <w:tabs>
          <w:tab w:val="center" w:pos="5400"/>
        </w:tabs>
        <w:suppressAutoHyphens/>
        <w:jc w:val="center"/>
        <w:rPr>
          <w:rFonts w:asciiTheme="majorHAnsi" w:hAnsiTheme="majorHAnsi"/>
          <w:sz w:val="22"/>
          <w:szCs w:val="22"/>
        </w:rPr>
      </w:pPr>
    </w:p>
    <w:p w14:paraId="39469491" w14:textId="77777777" w:rsidR="005128E4" w:rsidRPr="006271B7" w:rsidRDefault="005128E4" w:rsidP="00040C3A">
      <w:pPr>
        <w:tabs>
          <w:tab w:val="center" w:pos="5400"/>
        </w:tabs>
        <w:suppressAutoHyphens/>
        <w:jc w:val="center"/>
        <w:rPr>
          <w:rFonts w:asciiTheme="majorHAnsi" w:hAnsiTheme="majorHAnsi"/>
          <w:sz w:val="22"/>
          <w:szCs w:val="22"/>
        </w:rPr>
      </w:pPr>
    </w:p>
    <w:p w14:paraId="63BE572A" w14:textId="77777777" w:rsidR="00040C3A" w:rsidRPr="006271B7" w:rsidRDefault="00040C3A" w:rsidP="00040C3A">
      <w:pPr>
        <w:tabs>
          <w:tab w:val="center" w:pos="5400"/>
        </w:tabs>
        <w:suppressAutoHyphens/>
        <w:jc w:val="center"/>
        <w:rPr>
          <w:rFonts w:asciiTheme="majorHAnsi" w:hAnsiTheme="majorHAnsi"/>
          <w:sz w:val="22"/>
          <w:szCs w:val="22"/>
        </w:rPr>
      </w:pPr>
    </w:p>
    <w:p w14:paraId="1822D3F5" w14:textId="77777777" w:rsidR="005128E4" w:rsidRPr="006271B7" w:rsidRDefault="005128E4" w:rsidP="00040C3A">
      <w:pPr>
        <w:tabs>
          <w:tab w:val="center" w:pos="5400"/>
        </w:tabs>
        <w:suppressAutoHyphens/>
        <w:jc w:val="center"/>
        <w:rPr>
          <w:rFonts w:asciiTheme="majorHAnsi" w:hAnsiTheme="majorHAnsi"/>
          <w:sz w:val="22"/>
          <w:szCs w:val="22"/>
        </w:rPr>
      </w:pPr>
    </w:p>
    <w:p w14:paraId="0B2A0E7C" w14:textId="77777777" w:rsidR="005128E4" w:rsidRPr="006271B7" w:rsidRDefault="005128E4" w:rsidP="00040C3A">
      <w:pPr>
        <w:tabs>
          <w:tab w:val="center" w:pos="5400"/>
        </w:tabs>
        <w:suppressAutoHyphens/>
        <w:jc w:val="center"/>
        <w:rPr>
          <w:rFonts w:asciiTheme="majorHAnsi" w:hAnsiTheme="majorHAnsi"/>
          <w:sz w:val="22"/>
          <w:szCs w:val="22"/>
        </w:rPr>
      </w:pPr>
    </w:p>
    <w:p w14:paraId="677A7287" w14:textId="77777777" w:rsidR="005128E4" w:rsidRPr="006271B7" w:rsidRDefault="005128E4" w:rsidP="00040C3A">
      <w:pPr>
        <w:tabs>
          <w:tab w:val="center" w:pos="5400"/>
        </w:tabs>
        <w:suppressAutoHyphens/>
        <w:jc w:val="center"/>
        <w:rPr>
          <w:rFonts w:asciiTheme="majorHAnsi" w:hAnsiTheme="majorHAnsi"/>
          <w:sz w:val="22"/>
          <w:szCs w:val="22"/>
        </w:rPr>
      </w:pPr>
    </w:p>
    <w:p w14:paraId="5F8889D2" w14:textId="77777777" w:rsidR="00040C3A" w:rsidRPr="006271B7" w:rsidRDefault="00040C3A" w:rsidP="00040C3A">
      <w:pPr>
        <w:tabs>
          <w:tab w:val="center" w:pos="5400"/>
        </w:tabs>
        <w:suppressAutoHyphens/>
        <w:jc w:val="center"/>
        <w:rPr>
          <w:rFonts w:asciiTheme="majorHAnsi" w:hAnsiTheme="majorHAnsi"/>
          <w:sz w:val="22"/>
          <w:szCs w:val="22"/>
        </w:rPr>
      </w:pPr>
    </w:p>
    <w:p w14:paraId="141C22E5" w14:textId="77777777" w:rsidR="00040C3A" w:rsidRPr="006271B7" w:rsidRDefault="00040C3A" w:rsidP="00040C3A">
      <w:pPr>
        <w:tabs>
          <w:tab w:val="center" w:pos="5400"/>
        </w:tabs>
        <w:suppressAutoHyphens/>
        <w:jc w:val="center"/>
        <w:rPr>
          <w:rFonts w:asciiTheme="majorHAnsi" w:hAnsiTheme="majorHAnsi"/>
          <w:sz w:val="22"/>
          <w:szCs w:val="22"/>
        </w:rPr>
      </w:pPr>
    </w:p>
    <w:p w14:paraId="16736A5C" w14:textId="77777777" w:rsidR="002C1641" w:rsidRPr="006271B7" w:rsidRDefault="002C1641" w:rsidP="00040C3A">
      <w:pPr>
        <w:tabs>
          <w:tab w:val="center" w:pos="5400"/>
        </w:tabs>
        <w:suppressAutoHyphens/>
        <w:jc w:val="center"/>
        <w:rPr>
          <w:rFonts w:asciiTheme="majorHAnsi" w:hAnsiTheme="majorHAnsi"/>
          <w:sz w:val="18"/>
          <w:szCs w:val="22"/>
        </w:rPr>
      </w:pPr>
    </w:p>
    <w:p w14:paraId="64C4039E" w14:textId="77777777" w:rsidR="002C1641" w:rsidRPr="006271B7" w:rsidRDefault="002C1641" w:rsidP="00040C3A">
      <w:pPr>
        <w:tabs>
          <w:tab w:val="center" w:pos="5400"/>
        </w:tabs>
        <w:suppressAutoHyphens/>
        <w:jc w:val="center"/>
        <w:rPr>
          <w:rFonts w:asciiTheme="majorHAnsi" w:hAnsiTheme="majorHAnsi"/>
          <w:sz w:val="18"/>
          <w:szCs w:val="22"/>
        </w:rPr>
      </w:pPr>
    </w:p>
    <w:p w14:paraId="4ECBA714" w14:textId="77777777" w:rsidR="002C1641" w:rsidRPr="006271B7" w:rsidRDefault="002C1641" w:rsidP="00040C3A">
      <w:pPr>
        <w:tabs>
          <w:tab w:val="center" w:pos="5400"/>
        </w:tabs>
        <w:suppressAutoHyphens/>
        <w:jc w:val="center"/>
        <w:rPr>
          <w:rFonts w:asciiTheme="majorHAnsi" w:hAnsiTheme="majorHAnsi"/>
          <w:sz w:val="18"/>
          <w:szCs w:val="22"/>
        </w:rPr>
      </w:pPr>
    </w:p>
    <w:p w14:paraId="75D58C92" w14:textId="77777777" w:rsidR="002C1641" w:rsidRPr="006271B7" w:rsidRDefault="002C1641" w:rsidP="00040C3A">
      <w:pPr>
        <w:tabs>
          <w:tab w:val="center" w:pos="5400"/>
        </w:tabs>
        <w:suppressAutoHyphens/>
        <w:jc w:val="center"/>
        <w:rPr>
          <w:rFonts w:asciiTheme="majorHAnsi" w:hAnsiTheme="majorHAnsi"/>
          <w:sz w:val="18"/>
          <w:szCs w:val="22"/>
        </w:rPr>
      </w:pPr>
    </w:p>
    <w:p w14:paraId="1C7EA2DE" w14:textId="77777777" w:rsidR="002C1641" w:rsidRPr="006271B7" w:rsidRDefault="002C1641" w:rsidP="00040C3A">
      <w:pPr>
        <w:tabs>
          <w:tab w:val="center" w:pos="5400"/>
        </w:tabs>
        <w:suppressAutoHyphens/>
        <w:jc w:val="center"/>
        <w:rPr>
          <w:rFonts w:asciiTheme="majorHAnsi" w:hAnsiTheme="majorHAnsi"/>
          <w:sz w:val="18"/>
          <w:szCs w:val="22"/>
        </w:rPr>
      </w:pPr>
    </w:p>
    <w:p w14:paraId="413AF2CB" w14:textId="77777777" w:rsidR="002C1641" w:rsidRPr="006271B7" w:rsidRDefault="002C1641" w:rsidP="00040C3A">
      <w:pPr>
        <w:tabs>
          <w:tab w:val="center" w:pos="5400"/>
        </w:tabs>
        <w:suppressAutoHyphens/>
        <w:jc w:val="center"/>
        <w:rPr>
          <w:rFonts w:asciiTheme="majorHAnsi" w:hAnsiTheme="majorHAnsi"/>
          <w:sz w:val="18"/>
          <w:szCs w:val="22"/>
        </w:rPr>
      </w:pPr>
    </w:p>
    <w:p w14:paraId="0D812EEA" w14:textId="77777777" w:rsidR="002C1641" w:rsidRPr="006271B7" w:rsidRDefault="002C1641" w:rsidP="00040C3A">
      <w:pPr>
        <w:tabs>
          <w:tab w:val="center" w:pos="5400"/>
        </w:tabs>
        <w:suppressAutoHyphens/>
        <w:jc w:val="center"/>
        <w:rPr>
          <w:rFonts w:asciiTheme="majorHAnsi" w:hAnsiTheme="majorHAnsi"/>
          <w:sz w:val="18"/>
          <w:szCs w:val="22"/>
        </w:rPr>
      </w:pPr>
    </w:p>
    <w:p w14:paraId="2FF18054" w14:textId="77777777" w:rsidR="002C1641" w:rsidRPr="006271B7" w:rsidRDefault="002C1641" w:rsidP="00040C3A">
      <w:pPr>
        <w:tabs>
          <w:tab w:val="center" w:pos="5400"/>
        </w:tabs>
        <w:suppressAutoHyphens/>
        <w:jc w:val="center"/>
        <w:rPr>
          <w:rFonts w:asciiTheme="majorHAnsi" w:hAnsiTheme="majorHAnsi"/>
          <w:sz w:val="18"/>
          <w:szCs w:val="22"/>
        </w:rPr>
      </w:pPr>
    </w:p>
    <w:p w14:paraId="5ED4EEA1" w14:textId="77777777" w:rsidR="002C1641" w:rsidRPr="006271B7" w:rsidRDefault="002C1641" w:rsidP="00040C3A">
      <w:pPr>
        <w:tabs>
          <w:tab w:val="center" w:pos="5400"/>
        </w:tabs>
        <w:suppressAutoHyphens/>
        <w:jc w:val="center"/>
        <w:rPr>
          <w:rFonts w:asciiTheme="majorHAnsi" w:hAnsiTheme="majorHAnsi"/>
          <w:sz w:val="18"/>
          <w:szCs w:val="22"/>
        </w:rPr>
      </w:pPr>
    </w:p>
    <w:p w14:paraId="29D387B5" w14:textId="77777777" w:rsidR="002C1641" w:rsidRPr="006271B7" w:rsidRDefault="002C1641" w:rsidP="00040C3A">
      <w:pPr>
        <w:tabs>
          <w:tab w:val="center" w:pos="5400"/>
        </w:tabs>
        <w:suppressAutoHyphens/>
        <w:jc w:val="center"/>
        <w:rPr>
          <w:rFonts w:asciiTheme="majorHAnsi" w:hAnsiTheme="majorHAnsi"/>
          <w:sz w:val="18"/>
          <w:szCs w:val="22"/>
        </w:rPr>
      </w:pPr>
    </w:p>
    <w:p w14:paraId="3309EFD7" w14:textId="77777777" w:rsidR="002C1641" w:rsidRPr="006271B7" w:rsidRDefault="002C1641" w:rsidP="00040C3A">
      <w:pPr>
        <w:tabs>
          <w:tab w:val="center" w:pos="5400"/>
        </w:tabs>
        <w:suppressAutoHyphens/>
        <w:jc w:val="center"/>
        <w:rPr>
          <w:rFonts w:asciiTheme="majorHAnsi" w:hAnsiTheme="majorHAnsi"/>
          <w:sz w:val="18"/>
          <w:szCs w:val="22"/>
        </w:rPr>
      </w:pPr>
    </w:p>
    <w:p w14:paraId="1F42D0B7" w14:textId="77777777" w:rsidR="002C1641" w:rsidRPr="006271B7" w:rsidRDefault="002C1641" w:rsidP="00040C3A">
      <w:pPr>
        <w:tabs>
          <w:tab w:val="center" w:pos="5400"/>
        </w:tabs>
        <w:suppressAutoHyphens/>
        <w:jc w:val="center"/>
        <w:rPr>
          <w:rFonts w:asciiTheme="majorHAnsi" w:hAnsiTheme="majorHAnsi"/>
          <w:sz w:val="18"/>
          <w:szCs w:val="22"/>
        </w:rPr>
      </w:pPr>
    </w:p>
    <w:p w14:paraId="614DCC81" w14:textId="77777777" w:rsidR="002C1641" w:rsidRPr="006271B7" w:rsidRDefault="003C32BC" w:rsidP="00040C3A">
      <w:pPr>
        <w:tabs>
          <w:tab w:val="center" w:pos="5400"/>
        </w:tabs>
        <w:suppressAutoHyphens/>
        <w:jc w:val="center"/>
        <w:rPr>
          <w:rFonts w:asciiTheme="majorHAnsi" w:hAnsiTheme="majorHAnsi"/>
          <w:sz w:val="18"/>
          <w:szCs w:val="22"/>
        </w:rPr>
      </w:pPr>
      <w:r w:rsidRPr="006271B7">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14:anchorId="270C4A85" wp14:editId="1D93A5F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FB009" w14:textId="25F7DC04" w:rsidR="00D02D3C" w:rsidRPr="003C32BC" w:rsidRDefault="00D02D3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EF5E9E">
                              <w:rPr>
                                <w:rFonts w:asciiTheme="majorHAnsi" w:hAnsiTheme="majorHAnsi"/>
                                <w:color w:val="0D0D0D" w:themeColor="text1" w:themeTint="F2"/>
                                <w:sz w:val="18"/>
                                <w:szCs w:val="20"/>
                              </w:rPr>
                              <w:t>Commission at its session No. 126</w:t>
                            </w:r>
                            <w:r w:rsidR="00EF5E9E"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F5E9E">
                              <w:rPr>
                                <w:rFonts w:asciiTheme="majorHAnsi" w:hAnsiTheme="majorHAnsi"/>
                                <w:color w:val="0D0D0D" w:themeColor="text1" w:themeTint="F2"/>
                                <w:sz w:val="18"/>
                                <w:szCs w:val="20"/>
                              </w:rPr>
                              <w:t>October</w:t>
                            </w:r>
                            <w:r w:rsidR="00EF5E9E" w:rsidRPr="003C32BC">
                              <w:rPr>
                                <w:rFonts w:asciiTheme="majorHAnsi" w:hAnsiTheme="majorHAnsi"/>
                                <w:color w:val="0D0D0D" w:themeColor="text1" w:themeTint="F2"/>
                                <w:sz w:val="18"/>
                                <w:szCs w:val="20"/>
                              </w:rPr>
                              <w:t xml:space="preserve"> </w:t>
                            </w:r>
                            <w:r w:rsidR="00EF5E9E">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sidR="00EF5E9E">
                              <w:rPr>
                                <w:rFonts w:asciiTheme="majorHAnsi" w:hAnsiTheme="majorHAnsi" w:cs="Univers"/>
                                <w:color w:val="0D0D0D" w:themeColor="text1" w:themeTint="F2"/>
                                <w:sz w:val="18"/>
                                <w:szCs w:val="20"/>
                              </w:rPr>
                              <w:t>169</w:t>
                            </w:r>
                            <w:r w:rsidR="00EF5E9E" w:rsidRPr="003C32BC">
                              <w:rPr>
                                <w:rFonts w:asciiTheme="majorHAnsi" w:hAnsiTheme="majorHAnsi" w:cs="Univers"/>
                                <w:color w:val="0D0D0D" w:themeColor="text1" w:themeTint="F2"/>
                                <w:sz w:val="18"/>
                                <w:szCs w:val="20"/>
                              </w:rPr>
                              <w:t xml:space="preserve"> Period</w:t>
                            </w:r>
                            <w:r w:rsidRPr="003C32BC">
                              <w:rPr>
                                <w:rFonts w:asciiTheme="majorHAnsi" w:hAnsiTheme="majorHAnsi" w:cs="Univers"/>
                                <w:color w:val="0D0D0D" w:themeColor="text1" w:themeTint="F2"/>
                                <w:sz w:val="18"/>
                                <w:szCs w:val="20"/>
                              </w:rPr>
                              <w:t xml:space="preserve"> of Sessions</w:t>
                            </w:r>
                            <w:r>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08BFB009" w14:textId="25F7DC04" w:rsidR="00D02D3C" w:rsidRPr="003C32BC" w:rsidRDefault="00D02D3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EF5E9E">
                        <w:rPr>
                          <w:rFonts w:asciiTheme="majorHAnsi" w:hAnsiTheme="majorHAnsi"/>
                          <w:color w:val="0D0D0D" w:themeColor="text1" w:themeTint="F2"/>
                          <w:sz w:val="18"/>
                          <w:szCs w:val="20"/>
                        </w:rPr>
                        <w:t>Commission at its session No. 126</w:t>
                      </w:r>
                      <w:r w:rsidR="00EF5E9E"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F5E9E">
                        <w:rPr>
                          <w:rFonts w:asciiTheme="majorHAnsi" w:hAnsiTheme="majorHAnsi"/>
                          <w:color w:val="0D0D0D" w:themeColor="text1" w:themeTint="F2"/>
                          <w:sz w:val="18"/>
                          <w:szCs w:val="20"/>
                        </w:rPr>
                        <w:t>October</w:t>
                      </w:r>
                      <w:r w:rsidR="00EF5E9E" w:rsidRPr="003C32BC">
                        <w:rPr>
                          <w:rFonts w:asciiTheme="majorHAnsi" w:hAnsiTheme="majorHAnsi"/>
                          <w:color w:val="0D0D0D" w:themeColor="text1" w:themeTint="F2"/>
                          <w:sz w:val="18"/>
                          <w:szCs w:val="20"/>
                        </w:rPr>
                        <w:t xml:space="preserve"> </w:t>
                      </w:r>
                      <w:r w:rsidR="00EF5E9E">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Pr="003C32BC">
                        <w:rPr>
                          <w:rFonts w:asciiTheme="majorHAnsi" w:hAnsiTheme="majorHAnsi"/>
                          <w:color w:val="0D0D0D" w:themeColor="text1" w:themeTint="F2"/>
                          <w:sz w:val="18"/>
                          <w:szCs w:val="20"/>
                        </w:rPr>
                        <w:br/>
                      </w:r>
                      <w:r w:rsidR="00EF5E9E">
                        <w:rPr>
                          <w:rFonts w:asciiTheme="majorHAnsi" w:hAnsiTheme="majorHAnsi" w:cs="Univers"/>
                          <w:color w:val="0D0D0D" w:themeColor="text1" w:themeTint="F2"/>
                          <w:sz w:val="18"/>
                          <w:szCs w:val="20"/>
                        </w:rPr>
                        <w:t>169</w:t>
                      </w:r>
                      <w:r w:rsidR="00EF5E9E" w:rsidRPr="003C32BC">
                        <w:rPr>
                          <w:rFonts w:asciiTheme="majorHAnsi" w:hAnsiTheme="majorHAnsi" w:cs="Univers"/>
                          <w:color w:val="0D0D0D" w:themeColor="text1" w:themeTint="F2"/>
                          <w:sz w:val="18"/>
                          <w:szCs w:val="20"/>
                        </w:rPr>
                        <w:t xml:space="preserve"> Period</w:t>
                      </w:r>
                      <w:r w:rsidRPr="003C32BC">
                        <w:rPr>
                          <w:rFonts w:asciiTheme="majorHAnsi" w:hAnsiTheme="majorHAnsi" w:cs="Univers"/>
                          <w:color w:val="0D0D0D" w:themeColor="text1" w:themeTint="F2"/>
                          <w:sz w:val="18"/>
                          <w:szCs w:val="20"/>
                        </w:rPr>
                        <w:t xml:space="preserve"> of Sessions</w:t>
                      </w:r>
                      <w:r>
                        <w:rPr>
                          <w:rFonts w:asciiTheme="majorHAnsi" w:hAnsiTheme="majorHAnsi" w:cs="Univers"/>
                          <w:color w:val="0D0D0D" w:themeColor="text1" w:themeTint="F2"/>
                          <w:sz w:val="18"/>
                          <w:szCs w:val="20"/>
                        </w:rPr>
                        <w:t>.</w:t>
                      </w:r>
                    </w:p>
                  </w:txbxContent>
                </v:textbox>
              </v:shape>
            </w:pict>
          </mc:Fallback>
        </mc:AlternateContent>
      </w:r>
    </w:p>
    <w:p w14:paraId="00AB4A68" w14:textId="77777777" w:rsidR="002C1641" w:rsidRPr="006271B7" w:rsidRDefault="002C1641" w:rsidP="00040C3A">
      <w:pPr>
        <w:tabs>
          <w:tab w:val="center" w:pos="5400"/>
        </w:tabs>
        <w:suppressAutoHyphens/>
        <w:jc w:val="center"/>
        <w:rPr>
          <w:rFonts w:asciiTheme="majorHAnsi" w:hAnsiTheme="majorHAnsi"/>
          <w:sz w:val="18"/>
          <w:szCs w:val="22"/>
        </w:rPr>
      </w:pPr>
    </w:p>
    <w:p w14:paraId="46522D94" w14:textId="77777777" w:rsidR="002C1641" w:rsidRPr="006271B7" w:rsidRDefault="002C1641" w:rsidP="00040C3A">
      <w:pPr>
        <w:tabs>
          <w:tab w:val="center" w:pos="5400"/>
        </w:tabs>
        <w:suppressAutoHyphens/>
        <w:jc w:val="center"/>
        <w:rPr>
          <w:rFonts w:asciiTheme="majorHAnsi" w:hAnsiTheme="majorHAnsi"/>
          <w:sz w:val="18"/>
          <w:szCs w:val="22"/>
        </w:rPr>
      </w:pPr>
    </w:p>
    <w:p w14:paraId="59AB70A4" w14:textId="77777777" w:rsidR="002C1641" w:rsidRPr="006271B7" w:rsidRDefault="002C1641" w:rsidP="00040C3A">
      <w:pPr>
        <w:tabs>
          <w:tab w:val="center" w:pos="5400"/>
        </w:tabs>
        <w:suppressAutoHyphens/>
        <w:jc w:val="center"/>
        <w:rPr>
          <w:rFonts w:asciiTheme="majorHAnsi" w:hAnsiTheme="majorHAnsi"/>
          <w:sz w:val="18"/>
          <w:szCs w:val="22"/>
        </w:rPr>
      </w:pPr>
    </w:p>
    <w:p w14:paraId="210D1BC5" w14:textId="77777777" w:rsidR="002C1641" w:rsidRPr="006271B7" w:rsidRDefault="002C1641" w:rsidP="00040C3A">
      <w:pPr>
        <w:tabs>
          <w:tab w:val="center" w:pos="5400"/>
        </w:tabs>
        <w:suppressAutoHyphens/>
        <w:jc w:val="center"/>
        <w:rPr>
          <w:rFonts w:asciiTheme="majorHAnsi" w:hAnsiTheme="majorHAnsi"/>
          <w:sz w:val="18"/>
          <w:szCs w:val="22"/>
        </w:rPr>
      </w:pPr>
    </w:p>
    <w:p w14:paraId="0EEF2664" w14:textId="77777777" w:rsidR="002C1641" w:rsidRPr="006271B7" w:rsidRDefault="003C32BC" w:rsidP="00040C3A">
      <w:pPr>
        <w:tabs>
          <w:tab w:val="center" w:pos="5400"/>
        </w:tabs>
        <w:suppressAutoHyphens/>
        <w:jc w:val="center"/>
        <w:rPr>
          <w:rFonts w:asciiTheme="majorHAnsi" w:hAnsiTheme="majorHAnsi"/>
          <w:sz w:val="18"/>
          <w:szCs w:val="22"/>
        </w:rPr>
      </w:pPr>
      <w:r w:rsidRPr="006271B7">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14:anchorId="44529972" wp14:editId="2FD5846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0B054" w14:textId="3323BA61" w:rsidR="00D02D3C" w:rsidRPr="003C32BC" w:rsidRDefault="00D02D3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F5E9E">
                              <w:rPr>
                                <w:rFonts w:asciiTheme="majorHAnsi" w:hAnsiTheme="majorHAnsi"/>
                                <w:color w:val="595959" w:themeColor="text1" w:themeTint="A6"/>
                                <w:sz w:val="18"/>
                              </w:rPr>
                              <w:t>. 109</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12.840</w:t>
                            </w:r>
                            <w:r w:rsidRPr="003C32BC">
                              <w:rPr>
                                <w:rFonts w:asciiTheme="majorHAnsi" w:hAnsiTheme="majorHAnsi"/>
                                <w:color w:val="595959" w:themeColor="text1" w:themeTint="A6"/>
                                <w:sz w:val="18"/>
                              </w:rPr>
                              <w:t xml:space="preserve">. </w:t>
                            </w:r>
                            <w:r w:rsidRPr="00DE4AA5">
                              <w:rPr>
                                <w:rFonts w:asciiTheme="majorHAnsi" w:hAnsiTheme="majorHAnsi"/>
                                <w:color w:val="595959" w:themeColor="text1" w:themeTint="A6"/>
                                <w:sz w:val="18"/>
                                <w:lang w:val="pt-BR"/>
                              </w:rPr>
                              <w:t xml:space="preserve">Merits. Yenina Esther Martinez Esquivia. </w:t>
                            </w:r>
                            <w:r w:rsidRPr="00EF5E9E">
                              <w:rPr>
                                <w:rFonts w:asciiTheme="majorHAnsi" w:hAnsiTheme="majorHAnsi"/>
                                <w:color w:val="595959" w:themeColor="text1" w:themeTint="A6"/>
                                <w:sz w:val="18"/>
                              </w:rPr>
                              <w:t xml:space="preserve">Colombia. </w:t>
                            </w:r>
                            <w:r w:rsidR="00EF5E9E">
                              <w:rPr>
                                <w:rFonts w:asciiTheme="majorHAnsi" w:hAnsiTheme="majorHAnsi"/>
                                <w:color w:val="595959" w:themeColor="text1" w:themeTint="A6"/>
                                <w:sz w:val="18"/>
                              </w:rPr>
                              <w:t>October 5</w:t>
                            </w:r>
                            <w:r>
                              <w:rPr>
                                <w:rFonts w:asciiTheme="majorHAnsi" w:hAnsiTheme="majorHAnsi"/>
                                <w:color w:val="595959" w:themeColor="text1" w:themeTint="A6"/>
                                <w:sz w:val="18"/>
                              </w:rPr>
                              <w:t>,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6D0B054" w14:textId="3323BA61" w:rsidR="00D02D3C" w:rsidRPr="003C32BC" w:rsidRDefault="00D02D3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EF5E9E">
                        <w:rPr>
                          <w:rFonts w:asciiTheme="majorHAnsi" w:hAnsiTheme="majorHAnsi"/>
                          <w:color w:val="595959" w:themeColor="text1" w:themeTint="A6"/>
                          <w:sz w:val="18"/>
                        </w:rPr>
                        <w:t>. 109</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12.840</w:t>
                      </w:r>
                      <w:r w:rsidRPr="003C32BC">
                        <w:rPr>
                          <w:rFonts w:asciiTheme="majorHAnsi" w:hAnsiTheme="majorHAnsi"/>
                          <w:color w:val="595959" w:themeColor="text1" w:themeTint="A6"/>
                          <w:sz w:val="18"/>
                        </w:rPr>
                        <w:t xml:space="preserve">. </w:t>
                      </w:r>
                      <w:proofErr w:type="gramStart"/>
                      <w:r w:rsidRPr="00EF5E9E">
                        <w:rPr>
                          <w:rFonts w:asciiTheme="majorHAnsi" w:hAnsiTheme="majorHAnsi"/>
                          <w:color w:val="595959" w:themeColor="text1" w:themeTint="A6"/>
                          <w:sz w:val="18"/>
                        </w:rPr>
                        <w:t>Merits.</w:t>
                      </w:r>
                      <w:proofErr w:type="gramEnd"/>
                      <w:r w:rsidRPr="00EF5E9E">
                        <w:rPr>
                          <w:rFonts w:asciiTheme="majorHAnsi" w:hAnsiTheme="majorHAnsi"/>
                          <w:color w:val="595959" w:themeColor="text1" w:themeTint="A6"/>
                          <w:sz w:val="18"/>
                        </w:rPr>
                        <w:t xml:space="preserve"> </w:t>
                      </w:r>
                      <w:proofErr w:type="spellStart"/>
                      <w:proofErr w:type="gramStart"/>
                      <w:r w:rsidRPr="00EF5E9E">
                        <w:rPr>
                          <w:rFonts w:asciiTheme="majorHAnsi" w:hAnsiTheme="majorHAnsi"/>
                          <w:color w:val="595959" w:themeColor="text1" w:themeTint="A6"/>
                          <w:sz w:val="18"/>
                        </w:rPr>
                        <w:t>Yenina</w:t>
                      </w:r>
                      <w:proofErr w:type="spellEnd"/>
                      <w:r w:rsidRPr="00EF5E9E">
                        <w:rPr>
                          <w:rFonts w:asciiTheme="majorHAnsi" w:hAnsiTheme="majorHAnsi"/>
                          <w:color w:val="595959" w:themeColor="text1" w:themeTint="A6"/>
                          <w:sz w:val="18"/>
                        </w:rPr>
                        <w:t xml:space="preserve"> Esther Martinez </w:t>
                      </w:r>
                      <w:proofErr w:type="spellStart"/>
                      <w:r w:rsidRPr="00EF5E9E">
                        <w:rPr>
                          <w:rFonts w:asciiTheme="majorHAnsi" w:hAnsiTheme="majorHAnsi"/>
                          <w:color w:val="595959" w:themeColor="text1" w:themeTint="A6"/>
                          <w:sz w:val="18"/>
                        </w:rPr>
                        <w:t>Esquivia</w:t>
                      </w:r>
                      <w:proofErr w:type="spellEnd"/>
                      <w:r w:rsidRPr="00EF5E9E">
                        <w:rPr>
                          <w:rFonts w:asciiTheme="majorHAnsi" w:hAnsiTheme="majorHAnsi"/>
                          <w:color w:val="595959" w:themeColor="text1" w:themeTint="A6"/>
                          <w:sz w:val="18"/>
                        </w:rPr>
                        <w:t>.</w:t>
                      </w:r>
                      <w:proofErr w:type="gramEnd"/>
                      <w:r w:rsidRPr="00EF5E9E">
                        <w:rPr>
                          <w:rFonts w:asciiTheme="majorHAnsi" w:hAnsiTheme="majorHAnsi"/>
                          <w:color w:val="595959" w:themeColor="text1" w:themeTint="A6"/>
                          <w:sz w:val="18"/>
                        </w:rPr>
                        <w:t xml:space="preserve"> Colombia. </w:t>
                      </w:r>
                      <w:r w:rsidR="00EF5E9E">
                        <w:rPr>
                          <w:rFonts w:asciiTheme="majorHAnsi" w:hAnsiTheme="majorHAnsi"/>
                          <w:color w:val="595959" w:themeColor="text1" w:themeTint="A6"/>
                          <w:sz w:val="18"/>
                        </w:rPr>
                        <w:t>October 5</w:t>
                      </w:r>
                      <w:r>
                        <w:rPr>
                          <w:rFonts w:asciiTheme="majorHAnsi" w:hAnsiTheme="majorHAnsi"/>
                          <w:color w:val="595959" w:themeColor="text1" w:themeTint="A6"/>
                          <w:sz w:val="18"/>
                        </w:rPr>
                        <w:t>, 2018</w:t>
                      </w:r>
                      <w:r w:rsidRPr="007607C4">
                        <w:rPr>
                          <w:rFonts w:asciiTheme="majorHAnsi" w:hAnsiTheme="majorHAnsi"/>
                          <w:color w:val="595959" w:themeColor="text1" w:themeTint="A6"/>
                          <w:sz w:val="18"/>
                        </w:rPr>
                        <w:t>.</w:t>
                      </w:r>
                    </w:p>
                  </w:txbxContent>
                </v:textbox>
              </v:shape>
            </w:pict>
          </mc:Fallback>
        </mc:AlternateContent>
      </w:r>
    </w:p>
    <w:p w14:paraId="07A08B4B" w14:textId="77777777" w:rsidR="002C1641" w:rsidRPr="006271B7" w:rsidRDefault="002C1641" w:rsidP="00040C3A">
      <w:pPr>
        <w:tabs>
          <w:tab w:val="center" w:pos="5400"/>
        </w:tabs>
        <w:suppressAutoHyphens/>
        <w:jc w:val="center"/>
        <w:rPr>
          <w:rFonts w:asciiTheme="majorHAnsi" w:hAnsiTheme="majorHAnsi"/>
          <w:sz w:val="18"/>
          <w:szCs w:val="22"/>
        </w:rPr>
      </w:pPr>
    </w:p>
    <w:p w14:paraId="350C823B" w14:textId="77777777" w:rsidR="002C1641" w:rsidRPr="006271B7" w:rsidRDefault="002C1641" w:rsidP="00040C3A">
      <w:pPr>
        <w:tabs>
          <w:tab w:val="center" w:pos="5400"/>
        </w:tabs>
        <w:suppressAutoHyphens/>
        <w:jc w:val="center"/>
        <w:rPr>
          <w:rFonts w:asciiTheme="majorHAnsi" w:hAnsiTheme="majorHAnsi"/>
          <w:sz w:val="18"/>
          <w:szCs w:val="22"/>
        </w:rPr>
      </w:pPr>
    </w:p>
    <w:p w14:paraId="3BECDDF0" w14:textId="77777777" w:rsidR="003C32BC" w:rsidRPr="006271B7" w:rsidRDefault="003C32BC" w:rsidP="003C32BC">
      <w:pPr>
        <w:tabs>
          <w:tab w:val="center" w:pos="5400"/>
        </w:tabs>
        <w:suppressAutoHyphens/>
        <w:jc w:val="center"/>
        <w:rPr>
          <w:rFonts w:asciiTheme="majorHAnsi" w:hAnsiTheme="majorHAnsi"/>
          <w:sz w:val="18"/>
          <w:szCs w:val="22"/>
        </w:rPr>
      </w:pPr>
    </w:p>
    <w:p w14:paraId="090B0520" w14:textId="77777777" w:rsidR="003C32BC" w:rsidRPr="006271B7" w:rsidRDefault="006311DA" w:rsidP="003C32BC">
      <w:pPr>
        <w:tabs>
          <w:tab w:val="center" w:pos="5400"/>
        </w:tabs>
        <w:suppressAutoHyphens/>
        <w:jc w:val="center"/>
        <w:rPr>
          <w:rFonts w:asciiTheme="majorHAnsi" w:hAnsiTheme="majorHAnsi"/>
          <w:sz w:val="18"/>
          <w:szCs w:val="22"/>
        </w:rPr>
      </w:pPr>
      <w:r w:rsidRPr="006271B7">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14:anchorId="2D454307" wp14:editId="552934B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9B51F" w14:textId="77777777" w:rsidR="00D02D3C" w:rsidRPr="004B7EB6" w:rsidRDefault="00D02D3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5B9B51F" w14:textId="77777777" w:rsidR="00D02D3C" w:rsidRPr="004B7EB6" w:rsidRDefault="00D02D3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6271B7">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14:anchorId="28D73947" wp14:editId="63BD1D8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224A4" w14:textId="77777777" w:rsidR="00D02D3C" w:rsidRDefault="00D02D3C">
                            <w:r>
                              <w:rPr>
                                <w:noProof/>
                                <w:lang w:val="es-UY" w:eastAsia="es-UY"/>
                              </w:rPr>
                              <w:drawing>
                                <wp:inline distT="0" distB="0" distL="0" distR="0" wp14:anchorId="72DE346A" wp14:editId="518DB09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9C224A4" w14:textId="77777777" w:rsidR="00D02D3C" w:rsidRDefault="00D02D3C">
                      <w:r>
                        <w:rPr>
                          <w:noProof/>
                        </w:rPr>
                        <w:drawing>
                          <wp:inline distT="0" distB="0" distL="0" distR="0" wp14:anchorId="72DE346A" wp14:editId="518DB09B">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6D0544D" w14:textId="77777777" w:rsidR="007607C4" w:rsidRPr="006271B7" w:rsidRDefault="007607C4" w:rsidP="003C32BC">
      <w:pPr>
        <w:tabs>
          <w:tab w:val="center" w:pos="5400"/>
        </w:tabs>
        <w:suppressAutoHyphens/>
        <w:jc w:val="center"/>
        <w:rPr>
          <w:rFonts w:asciiTheme="majorHAnsi" w:hAnsiTheme="majorHAnsi"/>
          <w:sz w:val="18"/>
          <w:szCs w:val="22"/>
        </w:rPr>
        <w:sectPr w:rsidR="007607C4" w:rsidRPr="006271B7"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B1F0A7C" w14:textId="5AD06021" w:rsidR="00F63C54" w:rsidRPr="002F2DAC" w:rsidRDefault="00F63C54" w:rsidP="00F63C54">
      <w:pPr>
        <w:tabs>
          <w:tab w:val="center" w:pos="5400"/>
        </w:tabs>
        <w:suppressAutoHyphens/>
        <w:spacing w:line="276" w:lineRule="auto"/>
        <w:jc w:val="center"/>
        <w:rPr>
          <w:rFonts w:asciiTheme="majorHAnsi" w:hAnsiTheme="majorHAnsi"/>
          <w:b/>
          <w:sz w:val="18"/>
          <w:szCs w:val="20"/>
          <w:lang w:val="pt-BR"/>
        </w:rPr>
      </w:pPr>
      <w:r w:rsidRPr="002F2DAC">
        <w:rPr>
          <w:rFonts w:asciiTheme="majorHAnsi" w:hAnsiTheme="majorHAnsi"/>
          <w:b/>
          <w:sz w:val="18"/>
          <w:szCs w:val="20"/>
          <w:lang w:val="pt-BR"/>
        </w:rPr>
        <w:lastRenderedPageBreak/>
        <w:t xml:space="preserve">REPORT No. </w:t>
      </w:r>
      <w:r w:rsidR="00DE4AA5">
        <w:rPr>
          <w:rFonts w:asciiTheme="majorHAnsi" w:hAnsiTheme="majorHAnsi"/>
          <w:b/>
          <w:sz w:val="18"/>
          <w:szCs w:val="20"/>
          <w:lang w:val="pt-BR"/>
        </w:rPr>
        <w:t>109</w:t>
      </w:r>
      <w:r w:rsidRPr="002F2DAC">
        <w:rPr>
          <w:rFonts w:asciiTheme="majorHAnsi" w:hAnsiTheme="majorHAnsi"/>
          <w:b/>
          <w:sz w:val="18"/>
          <w:szCs w:val="20"/>
          <w:lang w:val="pt-BR"/>
        </w:rPr>
        <w:t>/18</w:t>
      </w:r>
    </w:p>
    <w:p w14:paraId="10E1EFEC" w14:textId="5CBD1D5C" w:rsidR="00F63C54" w:rsidRPr="002F2DAC" w:rsidRDefault="00D02D3C" w:rsidP="00F63C54">
      <w:pPr>
        <w:tabs>
          <w:tab w:val="center" w:pos="5400"/>
        </w:tabs>
        <w:suppressAutoHyphens/>
        <w:spacing w:line="276" w:lineRule="auto"/>
        <w:jc w:val="center"/>
        <w:rPr>
          <w:rFonts w:asciiTheme="majorHAnsi" w:hAnsiTheme="majorHAnsi"/>
          <w:b/>
          <w:sz w:val="18"/>
          <w:szCs w:val="20"/>
          <w:lang w:val="pt-BR"/>
        </w:rPr>
      </w:pPr>
      <w:r w:rsidRPr="002F2DAC">
        <w:rPr>
          <w:rFonts w:asciiTheme="majorHAnsi" w:hAnsiTheme="majorHAnsi"/>
          <w:b/>
          <w:sz w:val="18"/>
          <w:szCs w:val="20"/>
          <w:lang w:val="pt-BR"/>
        </w:rPr>
        <w:t>CASE 12.870</w:t>
      </w:r>
    </w:p>
    <w:p w14:paraId="46BDDF0A" w14:textId="77777777" w:rsidR="00F63C54" w:rsidRPr="00D02D3C" w:rsidRDefault="00F63C54" w:rsidP="00F63C54">
      <w:pPr>
        <w:tabs>
          <w:tab w:val="center" w:pos="5400"/>
        </w:tabs>
        <w:suppressAutoHyphens/>
        <w:spacing w:line="276" w:lineRule="auto"/>
        <w:jc w:val="center"/>
        <w:rPr>
          <w:rFonts w:asciiTheme="majorHAnsi" w:hAnsiTheme="majorHAnsi"/>
          <w:sz w:val="18"/>
          <w:szCs w:val="20"/>
          <w:lang w:val="pt-BR"/>
        </w:rPr>
      </w:pPr>
      <w:r w:rsidRPr="00D02D3C">
        <w:rPr>
          <w:rFonts w:asciiTheme="majorHAnsi" w:hAnsiTheme="majorHAnsi"/>
          <w:sz w:val="18"/>
          <w:szCs w:val="20"/>
          <w:lang w:val="pt-BR"/>
        </w:rPr>
        <w:t xml:space="preserve">MERITS </w:t>
      </w:r>
    </w:p>
    <w:p w14:paraId="7D226636" w14:textId="59D72581" w:rsidR="00F63C54" w:rsidRPr="00D02D3C" w:rsidRDefault="00D02D3C" w:rsidP="00F63C54">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YENINA ESTHER MARTINEZ ESQUIVIA</w:t>
      </w:r>
    </w:p>
    <w:p w14:paraId="2BB80ED1" w14:textId="0262CDD8" w:rsidR="00F63C54" w:rsidRPr="00D02D3C" w:rsidRDefault="00D02D3C" w:rsidP="00F63C54">
      <w:pPr>
        <w:tabs>
          <w:tab w:val="center" w:pos="5400"/>
        </w:tabs>
        <w:suppressAutoHyphens/>
        <w:spacing w:line="276" w:lineRule="auto"/>
        <w:jc w:val="center"/>
        <w:rPr>
          <w:rFonts w:asciiTheme="majorHAnsi" w:hAnsiTheme="majorHAnsi"/>
          <w:sz w:val="18"/>
          <w:szCs w:val="20"/>
          <w:lang w:val="pt-BR"/>
        </w:rPr>
      </w:pPr>
      <w:r>
        <w:rPr>
          <w:rFonts w:asciiTheme="majorHAnsi" w:hAnsiTheme="majorHAnsi"/>
          <w:sz w:val="18"/>
          <w:szCs w:val="20"/>
          <w:lang w:val="pt-BR"/>
        </w:rPr>
        <w:t>COLOMBIA</w:t>
      </w:r>
    </w:p>
    <w:p w14:paraId="4F1D42AA" w14:textId="77777777" w:rsidR="00F63C54" w:rsidRPr="00D02D3C" w:rsidRDefault="00F63C54" w:rsidP="00F63C54">
      <w:pPr>
        <w:tabs>
          <w:tab w:val="center" w:pos="5400"/>
        </w:tabs>
        <w:suppressAutoHyphens/>
        <w:spacing w:line="276" w:lineRule="auto"/>
        <w:jc w:val="center"/>
        <w:rPr>
          <w:rFonts w:asciiTheme="majorHAnsi" w:hAnsiTheme="majorHAnsi"/>
          <w:sz w:val="18"/>
          <w:szCs w:val="20"/>
          <w:lang w:val="pt-BR"/>
        </w:rPr>
      </w:pPr>
      <w:r w:rsidRPr="00D02D3C">
        <w:rPr>
          <w:rFonts w:asciiTheme="majorHAnsi" w:hAnsiTheme="majorHAnsi"/>
          <w:sz w:val="18"/>
          <w:szCs w:val="20"/>
          <w:lang w:val="pt-BR"/>
        </w:rPr>
        <w:t xml:space="preserve">DATE </w:t>
      </w:r>
    </w:p>
    <w:p w14:paraId="1201759E" w14:textId="77777777" w:rsidR="00F63C54" w:rsidRPr="00D02D3C" w:rsidRDefault="00F63C54" w:rsidP="00105D7F">
      <w:pPr>
        <w:tabs>
          <w:tab w:val="center" w:pos="5400"/>
        </w:tabs>
        <w:suppressAutoHyphens/>
        <w:spacing w:line="276" w:lineRule="auto"/>
        <w:jc w:val="center"/>
        <w:rPr>
          <w:rFonts w:asciiTheme="majorHAnsi" w:hAnsiTheme="majorHAnsi"/>
          <w:b/>
          <w:sz w:val="18"/>
          <w:szCs w:val="20"/>
          <w:lang w:val="pt-BR"/>
        </w:rPr>
      </w:pPr>
    </w:p>
    <w:sdt>
      <w:sdtPr>
        <w:rPr>
          <w:rFonts w:ascii="Times New Roman" w:eastAsia="Arial Unicode MS" w:hAnsi="Times New Roman" w:cs="Times New Roman"/>
          <w:b w:val="0"/>
          <w:bCs w:val="0"/>
          <w:color w:val="auto"/>
          <w:sz w:val="24"/>
          <w:szCs w:val="24"/>
          <w:bdr w:val="nil"/>
          <w:lang w:eastAsia="en-US"/>
        </w:rPr>
        <w:id w:val="-1174182999"/>
        <w:docPartObj>
          <w:docPartGallery w:val="Table of Contents"/>
          <w:docPartUnique/>
        </w:docPartObj>
      </w:sdtPr>
      <w:sdtEndPr>
        <w:rPr>
          <w:noProof/>
        </w:rPr>
      </w:sdtEndPr>
      <w:sdtContent>
        <w:p w14:paraId="31716334" w14:textId="18718868" w:rsidR="00F63C54" w:rsidRPr="00F63C54" w:rsidRDefault="00F63C54">
          <w:pPr>
            <w:pStyle w:val="TOCHeading"/>
            <w:rPr>
              <w:sz w:val="20"/>
              <w:szCs w:val="20"/>
            </w:rPr>
          </w:pPr>
        </w:p>
        <w:p w14:paraId="1AFD3B48" w14:textId="77777777" w:rsidR="00A666FF" w:rsidRPr="00A666FF" w:rsidRDefault="00F63C54" w:rsidP="00A666FF">
          <w:pPr>
            <w:pStyle w:val="TOC1"/>
            <w:tabs>
              <w:tab w:val="left" w:pos="1440"/>
              <w:tab w:val="right" w:leader="dot" w:pos="9270"/>
            </w:tabs>
            <w:rPr>
              <w:rFonts w:asciiTheme="majorHAnsi" w:eastAsiaTheme="minorEastAsia" w:hAnsiTheme="majorHAnsi" w:cstheme="minorBidi"/>
              <w:noProof/>
              <w:sz w:val="20"/>
              <w:szCs w:val="20"/>
              <w:bdr w:val="none" w:sz="0" w:space="0" w:color="auto"/>
            </w:rPr>
          </w:pPr>
          <w:r w:rsidRPr="00F63C54">
            <w:rPr>
              <w:rFonts w:asciiTheme="majorHAnsi" w:hAnsiTheme="majorHAnsi"/>
              <w:sz w:val="20"/>
              <w:szCs w:val="20"/>
            </w:rPr>
            <w:fldChar w:fldCharType="begin"/>
          </w:r>
          <w:r w:rsidRPr="00F63C54">
            <w:rPr>
              <w:rFonts w:asciiTheme="majorHAnsi" w:hAnsiTheme="majorHAnsi"/>
              <w:sz w:val="20"/>
              <w:szCs w:val="20"/>
            </w:rPr>
            <w:instrText xml:space="preserve"> TOC \o "1-3" \h \z \u </w:instrText>
          </w:r>
          <w:r w:rsidRPr="00F63C54">
            <w:rPr>
              <w:rFonts w:asciiTheme="majorHAnsi" w:hAnsiTheme="majorHAnsi"/>
              <w:sz w:val="20"/>
              <w:szCs w:val="20"/>
            </w:rPr>
            <w:fldChar w:fldCharType="separate"/>
          </w:r>
          <w:hyperlink w:anchor="_Toc523998346" w:history="1">
            <w:r w:rsidR="00A666FF" w:rsidRPr="00A666FF">
              <w:rPr>
                <w:rStyle w:val="Hyperlink"/>
                <w:rFonts w:asciiTheme="majorHAnsi" w:eastAsiaTheme="majorEastAsia" w:hAnsiTheme="majorHAnsi"/>
                <w:b/>
                <w:bCs/>
                <w:noProof/>
                <w:sz w:val="20"/>
                <w:szCs w:val="20"/>
              </w:rPr>
              <w:t>I.</w:t>
            </w:r>
            <w:r w:rsidR="00A666FF" w:rsidRPr="00A666FF">
              <w:rPr>
                <w:rFonts w:asciiTheme="majorHAnsi" w:eastAsiaTheme="minorEastAsia" w:hAnsiTheme="majorHAnsi" w:cstheme="minorBidi"/>
                <w:b/>
                <w:noProof/>
                <w:sz w:val="20"/>
                <w:szCs w:val="20"/>
                <w:bdr w:val="none" w:sz="0" w:space="0" w:color="auto"/>
              </w:rPr>
              <w:tab/>
            </w:r>
            <w:r w:rsidR="00A666FF" w:rsidRPr="00A666FF">
              <w:rPr>
                <w:rStyle w:val="Hyperlink"/>
                <w:rFonts w:asciiTheme="majorHAnsi" w:eastAsiaTheme="majorEastAsia" w:hAnsiTheme="majorHAnsi" w:cstheme="majorBidi"/>
                <w:b/>
                <w:bCs/>
                <w:noProof/>
                <w:sz w:val="20"/>
                <w:szCs w:val="20"/>
              </w:rPr>
              <w:t>SUMMARY</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_Toc523998346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2</w:t>
            </w:r>
            <w:r w:rsidR="00A666FF" w:rsidRPr="00A666FF">
              <w:rPr>
                <w:rFonts w:asciiTheme="majorHAnsi" w:hAnsiTheme="majorHAnsi"/>
                <w:noProof/>
                <w:webHidden/>
                <w:sz w:val="20"/>
                <w:szCs w:val="20"/>
              </w:rPr>
              <w:fldChar w:fldCharType="end"/>
            </w:r>
          </w:hyperlink>
        </w:p>
        <w:p w14:paraId="7FD7F35F" w14:textId="77777777" w:rsidR="00A666FF" w:rsidRPr="00A666FF" w:rsidRDefault="00397E46" w:rsidP="00A666FF">
          <w:pPr>
            <w:pStyle w:val="TOC1"/>
            <w:tabs>
              <w:tab w:val="left" w:pos="1440"/>
              <w:tab w:val="right" w:leader="dot" w:pos="9270"/>
            </w:tabs>
            <w:rPr>
              <w:rFonts w:asciiTheme="majorHAnsi" w:eastAsiaTheme="minorEastAsia" w:hAnsiTheme="majorHAnsi" w:cstheme="minorBidi"/>
              <w:noProof/>
              <w:sz w:val="20"/>
              <w:szCs w:val="20"/>
              <w:bdr w:val="none" w:sz="0" w:space="0" w:color="auto"/>
            </w:rPr>
          </w:pPr>
          <w:hyperlink w:anchor="_Toc523998347" w:history="1">
            <w:r w:rsidR="00A666FF" w:rsidRPr="00A666FF">
              <w:rPr>
                <w:rStyle w:val="Hyperlink"/>
                <w:rFonts w:asciiTheme="majorHAnsi" w:eastAsia="Times New Roman" w:hAnsiTheme="majorHAnsi"/>
                <w:b/>
                <w:noProof/>
                <w:sz w:val="20"/>
                <w:szCs w:val="20"/>
              </w:rPr>
              <w:t>II.</w:t>
            </w:r>
            <w:r w:rsidR="00A666FF" w:rsidRPr="00A666FF">
              <w:rPr>
                <w:rFonts w:asciiTheme="majorHAnsi" w:eastAsiaTheme="minorEastAsia" w:hAnsiTheme="majorHAnsi" w:cstheme="minorBidi"/>
                <w:b/>
                <w:noProof/>
                <w:sz w:val="20"/>
                <w:szCs w:val="20"/>
                <w:bdr w:val="none" w:sz="0" w:space="0" w:color="auto"/>
              </w:rPr>
              <w:tab/>
            </w:r>
            <w:r w:rsidR="00A666FF" w:rsidRPr="00A666FF">
              <w:rPr>
                <w:rStyle w:val="Hyperlink"/>
                <w:rFonts w:asciiTheme="majorHAnsi" w:eastAsia="Times New Roman" w:hAnsiTheme="majorHAnsi"/>
                <w:b/>
                <w:noProof/>
                <w:sz w:val="20"/>
                <w:szCs w:val="20"/>
              </w:rPr>
              <w:t>ARGUMENTS OF THE PARTIES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_Toc523998347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2</w:t>
            </w:r>
            <w:r w:rsidR="00A666FF" w:rsidRPr="00A666FF">
              <w:rPr>
                <w:rFonts w:asciiTheme="majorHAnsi" w:hAnsiTheme="majorHAnsi"/>
                <w:noProof/>
                <w:webHidden/>
                <w:sz w:val="20"/>
                <w:szCs w:val="20"/>
              </w:rPr>
              <w:fldChar w:fldCharType="end"/>
            </w:r>
          </w:hyperlink>
        </w:p>
        <w:p w14:paraId="1AA088E3"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48" w:history="1">
            <w:r w:rsidR="00A666FF" w:rsidRPr="00A666FF">
              <w:rPr>
                <w:rStyle w:val="Hyperlink"/>
                <w:rFonts w:asciiTheme="majorHAnsi" w:eastAsia="Times New Roman" w:hAnsiTheme="majorHAnsi"/>
                <w:noProof/>
                <w:sz w:val="20"/>
                <w:szCs w:val="20"/>
              </w:rPr>
              <w:t>A.</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The petitioner</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_Toc523998348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3</w:t>
            </w:r>
            <w:r w:rsidR="00A666FF" w:rsidRPr="00A666FF">
              <w:rPr>
                <w:rFonts w:asciiTheme="majorHAnsi" w:hAnsiTheme="majorHAnsi"/>
                <w:noProof/>
                <w:webHidden/>
                <w:sz w:val="20"/>
                <w:szCs w:val="20"/>
              </w:rPr>
              <w:fldChar w:fldCharType="end"/>
            </w:r>
          </w:hyperlink>
        </w:p>
        <w:p w14:paraId="1BB02C3B"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49" w:history="1">
            <w:r w:rsidR="00A666FF" w:rsidRPr="00A666FF">
              <w:rPr>
                <w:rStyle w:val="Hyperlink"/>
                <w:rFonts w:asciiTheme="majorHAnsi" w:eastAsia="Times New Roman" w:hAnsiTheme="majorHAnsi"/>
                <w:noProof/>
                <w:sz w:val="20"/>
                <w:szCs w:val="20"/>
              </w:rPr>
              <w:t>B.</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The State</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_Toc523998349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4</w:t>
            </w:r>
            <w:r w:rsidR="00A666FF" w:rsidRPr="00A666FF">
              <w:rPr>
                <w:rFonts w:asciiTheme="majorHAnsi" w:hAnsiTheme="majorHAnsi"/>
                <w:noProof/>
                <w:webHidden/>
                <w:sz w:val="20"/>
                <w:szCs w:val="20"/>
              </w:rPr>
              <w:fldChar w:fldCharType="end"/>
            </w:r>
          </w:hyperlink>
        </w:p>
        <w:p w14:paraId="509D9D03" w14:textId="77777777" w:rsidR="00A666FF" w:rsidRPr="00A666FF" w:rsidRDefault="00397E46" w:rsidP="00A666FF">
          <w:pPr>
            <w:pStyle w:val="TOC1"/>
            <w:tabs>
              <w:tab w:val="left" w:pos="1440"/>
              <w:tab w:val="right" w:leader="dot" w:pos="9270"/>
            </w:tabs>
            <w:rPr>
              <w:rFonts w:asciiTheme="majorHAnsi" w:eastAsiaTheme="minorEastAsia" w:hAnsiTheme="majorHAnsi" w:cstheme="minorBidi"/>
              <w:noProof/>
              <w:sz w:val="20"/>
              <w:szCs w:val="20"/>
              <w:bdr w:val="none" w:sz="0" w:space="0" w:color="auto"/>
            </w:rPr>
          </w:pPr>
          <w:hyperlink w:anchor="_Toc523998350" w:history="1">
            <w:r w:rsidR="00A666FF" w:rsidRPr="00A666FF">
              <w:rPr>
                <w:rStyle w:val="Hyperlink"/>
                <w:rFonts w:asciiTheme="majorHAnsi" w:eastAsia="Times New Roman" w:hAnsiTheme="majorHAnsi"/>
                <w:b/>
                <w:noProof/>
                <w:sz w:val="20"/>
                <w:szCs w:val="20"/>
              </w:rPr>
              <w:t>III.</w:t>
            </w:r>
            <w:r w:rsidR="00A666FF" w:rsidRPr="00A666FF">
              <w:rPr>
                <w:rFonts w:asciiTheme="majorHAnsi" w:eastAsiaTheme="minorEastAsia" w:hAnsiTheme="majorHAnsi" w:cstheme="minorBidi"/>
                <w:b/>
                <w:noProof/>
                <w:sz w:val="20"/>
                <w:szCs w:val="20"/>
                <w:bdr w:val="none" w:sz="0" w:space="0" w:color="auto"/>
              </w:rPr>
              <w:tab/>
            </w:r>
            <w:r w:rsidR="00A666FF" w:rsidRPr="00A666FF">
              <w:rPr>
                <w:rStyle w:val="Hyperlink"/>
                <w:rFonts w:asciiTheme="majorHAnsi" w:eastAsia="Times New Roman" w:hAnsiTheme="majorHAnsi"/>
                <w:b/>
                <w:noProof/>
                <w:sz w:val="20"/>
                <w:szCs w:val="20"/>
              </w:rPr>
              <w:t>FACTS PROVEN</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_Toc523998350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6</w:t>
            </w:r>
            <w:r w:rsidR="00A666FF" w:rsidRPr="00A666FF">
              <w:rPr>
                <w:rFonts w:asciiTheme="majorHAnsi" w:hAnsiTheme="majorHAnsi"/>
                <w:noProof/>
                <w:webHidden/>
                <w:sz w:val="20"/>
                <w:szCs w:val="20"/>
              </w:rPr>
              <w:fldChar w:fldCharType="end"/>
            </w:r>
          </w:hyperlink>
        </w:p>
        <w:p w14:paraId="499D642A"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1" w:history="1">
            <w:r w:rsidR="00A666FF" w:rsidRPr="00A666FF">
              <w:rPr>
                <w:rStyle w:val="Hyperlink"/>
                <w:rFonts w:asciiTheme="majorHAnsi" w:eastAsia="Times New Roman" w:hAnsiTheme="majorHAnsi"/>
                <w:noProof/>
                <w:sz w:val="20"/>
                <w:szCs w:val="20"/>
              </w:rPr>
              <w:t>A.</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Appointment</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_Toc523998351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6</w:t>
            </w:r>
            <w:r w:rsidR="00A666FF" w:rsidRPr="00A666FF">
              <w:rPr>
                <w:rFonts w:asciiTheme="majorHAnsi" w:hAnsiTheme="majorHAnsi"/>
                <w:noProof/>
                <w:webHidden/>
                <w:sz w:val="20"/>
                <w:szCs w:val="20"/>
              </w:rPr>
              <w:fldChar w:fldCharType="end"/>
            </w:r>
          </w:hyperlink>
        </w:p>
        <w:p w14:paraId="36188490"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2" w:history="1">
            <w:r w:rsidR="00A666FF" w:rsidRPr="00A666FF">
              <w:rPr>
                <w:rStyle w:val="Hyperlink"/>
                <w:rFonts w:asciiTheme="majorHAnsi" w:eastAsia="Times New Roman" w:hAnsiTheme="majorHAnsi"/>
                <w:noProof/>
                <w:sz w:val="20"/>
                <w:szCs w:val="20"/>
              </w:rPr>
              <w:t>B.</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 xml:space="preserve">Petitioner relieved of her duties and </w:t>
            </w:r>
            <w:r w:rsidR="00A666FF" w:rsidRPr="00A666FF">
              <w:rPr>
                <w:rStyle w:val="Hyperlink"/>
                <w:rFonts w:asciiTheme="majorHAnsi" w:eastAsia="Times New Roman" w:hAnsiTheme="majorHAnsi"/>
                <w:i/>
                <w:iCs/>
                <w:noProof/>
                <w:sz w:val="20"/>
                <w:szCs w:val="20"/>
              </w:rPr>
              <w:t>tutela</w:t>
            </w:r>
            <w:r w:rsidR="00A666FF" w:rsidRPr="00A666FF">
              <w:rPr>
                <w:rStyle w:val="Hyperlink"/>
                <w:rFonts w:asciiTheme="majorHAnsi" w:eastAsia="Times New Roman" w:hAnsiTheme="majorHAnsi"/>
                <w:noProof/>
                <w:sz w:val="20"/>
                <w:szCs w:val="20"/>
              </w:rPr>
              <w:t xml:space="preserve"> actions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_Toc523998352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6</w:t>
            </w:r>
            <w:r w:rsidR="00A666FF" w:rsidRPr="00A666FF">
              <w:rPr>
                <w:rFonts w:asciiTheme="majorHAnsi" w:hAnsiTheme="majorHAnsi"/>
                <w:noProof/>
                <w:webHidden/>
                <w:sz w:val="20"/>
                <w:szCs w:val="20"/>
              </w:rPr>
              <w:fldChar w:fldCharType="end"/>
            </w:r>
          </w:hyperlink>
        </w:p>
        <w:p w14:paraId="65A251F7"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3" w:history="1">
            <w:r w:rsidR="00A666FF" w:rsidRPr="00A666FF">
              <w:rPr>
                <w:rStyle w:val="Hyperlink"/>
                <w:rFonts w:asciiTheme="majorHAnsi" w:eastAsia="Times New Roman" w:hAnsiTheme="majorHAnsi"/>
                <w:noProof/>
                <w:sz w:val="20"/>
                <w:szCs w:val="20"/>
              </w:rPr>
              <w:t>C.</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Other mechanisms for bringing challenges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_Toc523998353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8</w:t>
            </w:r>
            <w:r w:rsidR="00A666FF" w:rsidRPr="00A666FF">
              <w:rPr>
                <w:rFonts w:asciiTheme="majorHAnsi" w:hAnsiTheme="majorHAnsi"/>
                <w:noProof/>
                <w:webHidden/>
                <w:sz w:val="20"/>
                <w:szCs w:val="20"/>
              </w:rPr>
              <w:fldChar w:fldCharType="end"/>
            </w:r>
          </w:hyperlink>
        </w:p>
        <w:p w14:paraId="1F2F5FC7" w14:textId="77777777" w:rsidR="00A666FF" w:rsidRPr="00A666FF" w:rsidRDefault="00397E46" w:rsidP="00A666FF">
          <w:pPr>
            <w:pStyle w:val="TOC1"/>
            <w:tabs>
              <w:tab w:val="left" w:pos="1440"/>
              <w:tab w:val="right" w:leader="dot" w:pos="9270"/>
            </w:tabs>
            <w:rPr>
              <w:rFonts w:asciiTheme="majorHAnsi" w:eastAsiaTheme="minorEastAsia" w:hAnsiTheme="majorHAnsi" w:cstheme="minorBidi"/>
              <w:noProof/>
              <w:sz w:val="20"/>
              <w:szCs w:val="20"/>
              <w:bdr w:val="none" w:sz="0" w:space="0" w:color="auto"/>
            </w:rPr>
          </w:pPr>
          <w:hyperlink w:anchor="_Toc523998354" w:history="1">
            <w:r w:rsidR="00A666FF" w:rsidRPr="00A666FF">
              <w:rPr>
                <w:rStyle w:val="Hyperlink"/>
                <w:rFonts w:asciiTheme="majorHAnsi" w:eastAsia="Times New Roman" w:hAnsiTheme="majorHAnsi"/>
                <w:b/>
                <w:noProof/>
                <w:sz w:val="20"/>
                <w:szCs w:val="20"/>
              </w:rPr>
              <w:t>IV.</w:t>
            </w:r>
            <w:r w:rsidR="00A666FF" w:rsidRPr="00A666FF">
              <w:rPr>
                <w:rFonts w:asciiTheme="majorHAnsi" w:eastAsiaTheme="minorEastAsia" w:hAnsiTheme="majorHAnsi" w:cstheme="minorBidi"/>
                <w:b/>
                <w:noProof/>
                <w:sz w:val="20"/>
                <w:szCs w:val="20"/>
                <w:bdr w:val="none" w:sz="0" w:space="0" w:color="auto"/>
              </w:rPr>
              <w:tab/>
            </w:r>
            <w:r w:rsidR="00A666FF" w:rsidRPr="00A666FF">
              <w:rPr>
                <w:rStyle w:val="Hyperlink"/>
                <w:rFonts w:asciiTheme="majorHAnsi" w:eastAsia="Times New Roman" w:hAnsiTheme="majorHAnsi"/>
                <w:b/>
                <w:noProof/>
                <w:sz w:val="20"/>
                <w:szCs w:val="20"/>
              </w:rPr>
              <w:t>LEGAL ANALYSIS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_Toc523998354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9</w:t>
            </w:r>
            <w:r w:rsidR="00A666FF" w:rsidRPr="00A666FF">
              <w:rPr>
                <w:rFonts w:asciiTheme="majorHAnsi" w:hAnsiTheme="majorHAnsi"/>
                <w:noProof/>
                <w:webHidden/>
                <w:sz w:val="20"/>
                <w:szCs w:val="20"/>
              </w:rPr>
              <w:fldChar w:fldCharType="end"/>
            </w:r>
          </w:hyperlink>
        </w:p>
        <w:p w14:paraId="777A101C"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5" w:history="1">
            <w:r w:rsidR="00A666FF" w:rsidRPr="00A666FF">
              <w:rPr>
                <w:rStyle w:val="Hyperlink"/>
                <w:rFonts w:asciiTheme="majorHAnsi" w:eastAsia="Times New Roman" w:hAnsiTheme="majorHAnsi"/>
                <w:noProof/>
                <w:sz w:val="20"/>
                <w:szCs w:val="20"/>
              </w:rPr>
              <w:t>A.</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Right to judicial guarantees and freedom from ex post facto laws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_Toc523998355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9</w:t>
            </w:r>
            <w:r w:rsidR="00A666FF" w:rsidRPr="00A666FF">
              <w:rPr>
                <w:rFonts w:asciiTheme="majorHAnsi" w:hAnsiTheme="majorHAnsi"/>
                <w:noProof/>
                <w:webHidden/>
                <w:sz w:val="20"/>
                <w:szCs w:val="20"/>
              </w:rPr>
              <w:fldChar w:fldCharType="end"/>
            </w:r>
          </w:hyperlink>
        </w:p>
        <w:p w14:paraId="20C8F291" w14:textId="77777777" w:rsidR="00A666FF" w:rsidRPr="00A666F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6" w:history="1">
            <w:r w:rsidR="00A666FF" w:rsidRPr="00A666FF">
              <w:rPr>
                <w:rStyle w:val="Hyperlink"/>
                <w:rFonts w:asciiTheme="majorHAnsi" w:eastAsia="Times New Roman" w:hAnsiTheme="majorHAnsi"/>
                <w:noProof/>
                <w:sz w:val="20"/>
                <w:szCs w:val="20"/>
                <w:lang w:val="es-UY"/>
              </w:rPr>
              <w:t>1.</w:t>
            </w:r>
            <w:r w:rsidR="00A666FF" w:rsidRPr="00A666FF">
              <w:rPr>
                <w:rFonts w:asciiTheme="majorHAnsi" w:eastAsiaTheme="minorEastAsia" w:hAnsiTheme="majorHAnsi" w:cstheme="minorBidi"/>
                <w:noProof/>
                <w:sz w:val="20"/>
                <w:szCs w:val="20"/>
                <w:bdr w:val="none" w:sz="0" w:space="0" w:color="auto"/>
              </w:rPr>
              <w:tab/>
            </w:r>
            <w:r w:rsidR="00A666FF" w:rsidRPr="00A666FF">
              <w:rPr>
                <w:rStyle w:val="Hyperlink"/>
                <w:rFonts w:asciiTheme="majorHAnsi" w:eastAsia="Times New Roman" w:hAnsiTheme="majorHAnsi"/>
                <w:noProof/>
                <w:sz w:val="20"/>
                <w:szCs w:val="20"/>
              </w:rPr>
              <w:t>General considerations on the guarantees applicable to proceedings for imposing sanctions for determining rights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_Toc523998356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9</w:t>
            </w:r>
            <w:r w:rsidR="00A666FF" w:rsidRPr="00A666FF">
              <w:rPr>
                <w:rFonts w:asciiTheme="majorHAnsi" w:hAnsiTheme="majorHAnsi"/>
                <w:noProof/>
                <w:webHidden/>
                <w:sz w:val="20"/>
                <w:szCs w:val="20"/>
              </w:rPr>
              <w:fldChar w:fldCharType="end"/>
            </w:r>
          </w:hyperlink>
        </w:p>
        <w:p w14:paraId="580E69D5"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57" w:history="1">
            <w:r w:rsidR="00A666FF" w:rsidRPr="00062C3F">
              <w:rPr>
                <w:rStyle w:val="Hyperlink"/>
                <w:rFonts w:asciiTheme="majorHAnsi" w:eastAsia="Times New Roman" w:hAnsiTheme="majorHAnsi"/>
                <w:noProof/>
                <w:sz w:val="20"/>
                <w:szCs w:val="20"/>
                <w:lang w:val="es-UY"/>
              </w:rPr>
              <w:t>2.</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General considerations on the guarantees applicable to judicial officers, including prosecutors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_Toc523998357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10</w:t>
            </w:r>
            <w:r w:rsidR="00A666FF" w:rsidRPr="00062C3F">
              <w:rPr>
                <w:rFonts w:asciiTheme="majorHAnsi" w:hAnsiTheme="majorHAnsi"/>
                <w:noProof/>
                <w:webHidden/>
                <w:sz w:val="20"/>
                <w:szCs w:val="20"/>
              </w:rPr>
              <w:fldChar w:fldCharType="end"/>
            </w:r>
          </w:hyperlink>
        </w:p>
        <w:p w14:paraId="3BFF0352" w14:textId="77777777" w:rsidR="00A666FF" w:rsidRPr="00062C3F" w:rsidRDefault="00397E46" w:rsidP="00A666FF">
          <w:pPr>
            <w:pStyle w:val="TOC3"/>
            <w:tabs>
              <w:tab w:val="left" w:pos="2160"/>
              <w:tab w:val="right" w:leader="dot" w:pos="9270"/>
            </w:tabs>
            <w:rPr>
              <w:rFonts w:asciiTheme="majorHAnsi" w:eastAsiaTheme="minorEastAsia" w:hAnsiTheme="majorHAnsi" w:cstheme="minorBidi"/>
              <w:noProof/>
              <w:sz w:val="20"/>
              <w:szCs w:val="20"/>
              <w:bdr w:val="none" w:sz="0" w:space="0" w:color="auto"/>
            </w:rPr>
          </w:pPr>
          <w:hyperlink w:anchor="_Toc523998358" w:history="1">
            <w:r w:rsidR="00A666FF" w:rsidRPr="00062C3F">
              <w:rPr>
                <w:rStyle w:val="Hyperlink"/>
                <w:rFonts w:asciiTheme="majorHAnsi" w:eastAsiaTheme="majorEastAsia" w:hAnsiTheme="majorHAnsi" w:cstheme="majorBidi"/>
                <w:bCs/>
                <w:noProof/>
                <w:sz w:val="20"/>
                <w:szCs w:val="20"/>
              </w:rPr>
              <w:t>2.1</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heme="majorEastAsia" w:hAnsiTheme="majorHAnsi" w:cstheme="majorBidi"/>
                <w:bCs/>
                <w:noProof/>
                <w:sz w:val="20"/>
                <w:szCs w:val="20"/>
              </w:rPr>
              <w:t>The principle of judicial independence and the removal of judicial officers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_Toc523998358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10</w:t>
            </w:r>
            <w:r w:rsidR="00A666FF" w:rsidRPr="00062C3F">
              <w:rPr>
                <w:rFonts w:asciiTheme="majorHAnsi" w:hAnsiTheme="majorHAnsi"/>
                <w:noProof/>
                <w:webHidden/>
                <w:sz w:val="20"/>
                <w:szCs w:val="20"/>
              </w:rPr>
              <w:fldChar w:fldCharType="end"/>
            </w:r>
          </w:hyperlink>
        </w:p>
        <w:p w14:paraId="412F2CB1" w14:textId="77777777" w:rsidR="00A666FF" w:rsidRPr="00062C3F" w:rsidRDefault="00397E46" w:rsidP="00A666FF">
          <w:pPr>
            <w:pStyle w:val="TOC3"/>
            <w:tabs>
              <w:tab w:val="left" w:pos="2160"/>
              <w:tab w:val="right" w:leader="dot" w:pos="9270"/>
            </w:tabs>
            <w:rPr>
              <w:rFonts w:asciiTheme="majorHAnsi" w:eastAsiaTheme="minorEastAsia" w:hAnsiTheme="majorHAnsi" w:cstheme="minorBidi"/>
              <w:noProof/>
              <w:sz w:val="20"/>
              <w:szCs w:val="20"/>
              <w:bdr w:val="none" w:sz="0" w:space="0" w:color="auto"/>
            </w:rPr>
          </w:pPr>
          <w:hyperlink w:anchor="_Toc523998359" w:history="1">
            <w:r w:rsidR="00A666FF" w:rsidRPr="00062C3F">
              <w:rPr>
                <w:rStyle w:val="Hyperlink"/>
                <w:rFonts w:asciiTheme="majorHAnsi" w:eastAsiaTheme="majorEastAsia" w:hAnsiTheme="majorHAnsi" w:cstheme="majorBidi"/>
                <w:bCs/>
                <w:noProof/>
                <w:sz w:val="20"/>
                <w:szCs w:val="20"/>
              </w:rPr>
              <w:t>2.2</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heme="majorEastAsia" w:hAnsiTheme="majorHAnsi" w:cstheme="majorBidi"/>
                <w:bCs/>
                <w:noProof/>
                <w:sz w:val="20"/>
                <w:szCs w:val="20"/>
              </w:rPr>
              <w:t>General considerations about the reinforced stability of prosecutors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_Toc523998359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11</w:t>
            </w:r>
            <w:r w:rsidR="00A666FF" w:rsidRPr="00062C3F">
              <w:rPr>
                <w:rFonts w:asciiTheme="majorHAnsi" w:hAnsiTheme="majorHAnsi"/>
                <w:noProof/>
                <w:webHidden/>
                <w:sz w:val="20"/>
                <w:szCs w:val="20"/>
              </w:rPr>
              <w:fldChar w:fldCharType="end"/>
            </w:r>
          </w:hyperlink>
        </w:p>
        <w:p w14:paraId="49D25C37"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60" w:history="1">
            <w:r w:rsidR="00A666FF" w:rsidRPr="00062C3F">
              <w:rPr>
                <w:rStyle w:val="Hyperlink"/>
                <w:rFonts w:asciiTheme="majorHAnsi" w:eastAsia="Times New Roman" w:hAnsiTheme="majorHAnsi"/>
                <w:noProof/>
                <w:sz w:val="20"/>
                <w:szCs w:val="20"/>
                <w:lang w:val="es-UY"/>
              </w:rPr>
              <w:t>3.</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Analysis of the instant case</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_Toc523998360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12</w:t>
            </w:r>
            <w:r w:rsidR="00A666FF" w:rsidRPr="00062C3F">
              <w:rPr>
                <w:rFonts w:asciiTheme="majorHAnsi" w:hAnsiTheme="majorHAnsi"/>
                <w:noProof/>
                <w:webHidden/>
                <w:sz w:val="20"/>
                <w:szCs w:val="20"/>
              </w:rPr>
              <w:fldChar w:fldCharType="end"/>
            </w:r>
          </w:hyperlink>
        </w:p>
        <w:p w14:paraId="2628829F" w14:textId="77777777" w:rsidR="00A666FF" w:rsidRPr="00062C3F" w:rsidRDefault="00397E46" w:rsidP="00A666FF">
          <w:pPr>
            <w:pStyle w:val="TOC3"/>
            <w:tabs>
              <w:tab w:val="left" w:pos="2160"/>
              <w:tab w:val="right" w:leader="dot" w:pos="9270"/>
            </w:tabs>
            <w:rPr>
              <w:rFonts w:asciiTheme="majorHAnsi" w:eastAsiaTheme="minorEastAsia" w:hAnsiTheme="majorHAnsi" w:cstheme="minorBidi"/>
              <w:noProof/>
              <w:sz w:val="20"/>
              <w:szCs w:val="20"/>
              <w:bdr w:val="none" w:sz="0" w:space="0" w:color="auto"/>
            </w:rPr>
          </w:pPr>
          <w:hyperlink w:anchor="_Toc523998361" w:history="1">
            <w:r w:rsidR="00A666FF" w:rsidRPr="00062C3F">
              <w:rPr>
                <w:rStyle w:val="Hyperlink"/>
                <w:rFonts w:asciiTheme="majorHAnsi" w:eastAsiaTheme="majorEastAsia" w:hAnsiTheme="majorHAnsi" w:cstheme="majorBidi"/>
                <w:bCs/>
                <w:noProof/>
                <w:sz w:val="20"/>
                <w:szCs w:val="20"/>
              </w:rPr>
              <w:t>3.1</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heme="majorEastAsia" w:hAnsiTheme="majorHAnsi" w:cstheme="majorBidi"/>
                <w:bCs/>
                <w:noProof/>
                <w:sz w:val="20"/>
                <w:szCs w:val="20"/>
              </w:rPr>
              <w:t>As per the right to be heard, the right to defense, and the freedom from ex post facto laws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_Toc523998361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12</w:t>
            </w:r>
            <w:r w:rsidR="00A666FF" w:rsidRPr="00062C3F">
              <w:rPr>
                <w:rFonts w:asciiTheme="majorHAnsi" w:hAnsiTheme="majorHAnsi"/>
                <w:noProof/>
                <w:webHidden/>
                <w:sz w:val="20"/>
                <w:szCs w:val="20"/>
              </w:rPr>
              <w:fldChar w:fldCharType="end"/>
            </w:r>
          </w:hyperlink>
        </w:p>
        <w:p w14:paraId="7B27E307"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62" w:history="1">
            <w:r w:rsidR="00A666FF" w:rsidRPr="00062C3F">
              <w:rPr>
                <w:rStyle w:val="Hyperlink"/>
                <w:rFonts w:asciiTheme="majorHAnsi" w:eastAsia="Times New Roman" w:hAnsiTheme="majorHAnsi"/>
                <w:noProof/>
                <w:sz w:val="20"/>
                <w:szCs w:val="20"/>
              </w:rPr>
              <w:t>B.</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The rights to judicial protection and judicial guarantees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_Toc523998362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13</w:t>
            </w:r>
            <w:r w:rsidR="00A666FF" w:rsidRPr="00062C3F">
              <w:rPr>
                <w:rFonts w:asciiTheme="majorHAnsi" w:hAnsiTheme="majorHAnsi"/>
                <w:noProof/>
                <w:webHidden/>
                <w:sz w:val="20"/>
                <w:szCs w:val="20"/>
              </w:rPr>
              <w:fldChar w:fldCharType="end"/>
            </w:r>
          </w:hyperlink>
        </w:p>
        <w:p w14:paraId="443D7882"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63" w:history="1">
            <w:r w:rsidR="00A666FF" w:rsidRPr="00062C3F">
              <w:rPr>
                <w:rStyle w:val="Hyperlink"/>
                <w:rFonts w:asciiTheme="majorHAnsi" w:eastAsia="Times New Roman" w:hAnsiTheme="majorHAnsi"/>
                <w:noProof/>
                <w:sz w:val="20"/>
                <w:szCs w:val="20"/>
                <w:lang w:val="es-UY"/>
              </w:rPr>
              <w:t>1.</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The lack of judicial protection</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_Toc523998363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14</w:t>
            </w:r>
            <w:r w:rsidR="00A666FF" w:rsidRPr="00062C3F">
              <w:rPr>
                <w:rFonts w:asciiTheme="majorHAnsi" w:hAnsiTheme="majorHAnsi"/>
                <w:noProof/>
                <w:webHidden/>
                <w:sz w:val="20"/>
                <w:szCs w:val="20"/>
              </w:rPr>
              <w:fldChar w:fldCharType="end"/>
            </w:r>
          </w:hyperlink>
        </w:p>
        <w:p w14:paraId="0544DB89"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64" w:history="1">
            <w:r w:rsidR="00A666FF" w:rsidRPr="00062C3F">
              <w:rPr>
                <w:rStyle w:val="Hyperlink"/>
                <w:rFonts w:asciiTheme="majorHAnsi" w:eastAsia="Times New Roman" w:hAnsiTheme="majorHAnsi"/>
                <w:noProof/>
                <w:sz w:val="20"/>
                <w:szCs w:val="20"/>
                <w:lang w:val="es-UY"/>
              </w:rPr>
              <w:t>2.</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Reasonable time in relation to the remedy of labor appeal</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_Toc523998364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15</w:t>
            </w:r>
            <w:r w:rsidR="00A666FF" w:rsidRPr="00062C3F">
              <w:rPr>
                <w:rFonts w:asciiTheme="majorHAnsi" w:hAnsiTheme="majorHAnsi"/>
                <w:noProof/>
                <w:webHidden/>
                <w:sz w:val="20"/>
                <w:szCs w:val="20"/>
              </w:rPr>
              <w:fldChar w:fldCharType="end"/>
            </w:r>
          </w:hyperlink>
        </w:p>
        <w:p w14:paraId="3DA6D51C" w14:textId="77777777" w:rsidR="00A666FF" w:rsidRPr="00062C3F" w:rsidRDefault="00397E46" w:rsidP="00A666FF">
          <w:pPr>
            <w:pStyle w:val="TOC2"/>
            <w:tabs>
              <w:tab w:val="right" w:leader="dot" w:pos="9270"/>
            </w:tabs>
            <w:rPr>
              <w:rFonts w:asciiTheme="majorHAnsi" w:eastAsiaTheme="minorEastAsia" w:hAnsiTheme="majorHAnsi" w:cstheme="minorBidi"/>
              <w:noProof/>
              <w:sz w:val="20"/>
              <w:szCs w:val="20"/>
              <w:bdr w:val="none" w:sz="0" w:space="0" w:color="auto"/>
            </w:rPr>
          </w:pPr>
          <w:hyperlink w:anchor="_Toc523998365" w:history="1">
            <w:r w:rsidR="00A666FF" w:rsidRPr="00062C3F">
              <w:rPr>
                <w:rStyle w:val="Hyperlink"/>
                <w:rFonts w:asciiTheme="majorHAnsi" w:eastAsia="Times New Roman" w:hAnsiTheme="majorHAnsi"/>
                <w:noProof/>
                <w:sz w:val="20"/>
                <w:szCs w:val="20"/>
              </w:rPr>
              <w:t>C.</w:t>
            </w:r>
            <w:r w:rsidR="00A666FF" w:rsidRPr="00062C3F">
              <w:rPr>
                <w:rFonts w:asciiTheme="majorHAnsi" w:eastAsiaTheme="minorEastAsia" w:hAnsiTheme="majorHAnsi" w:cstheme="minorBidi"/>
                <w:noProof/>
                <w:sz w:val="20"/>
                <w:szCs w:val="20"/>
                <w:bdr w:val="none" w:sz="0" w:space="0" w:color="auto"/>
              </w:rPr>
              <w:tab/>
            </w:r>
            <w:r w:rsidR="00A666FF" w:rsidRPr="00062C3F">
              <w:rPr>
                <w:rStyle w:val="Hyperlink"/>
                <w:rFonts w:asciiTheme="majorHAnsi" w:eastAsia="Times New Roman" w:hAnsiTheme="majorHAnsi"/>
                <w:noProof/>
                <w:sz w:val="20"/>
                <w:szCs w:val="20"/>
              </w:rPr>
              <w:t>Political rights</w:t>
            </w:r>
            <w:r w:rsidR="00A666FF" w:rsidRPr="00062C3F">
              <w:rPr>
                <w:rFonts w:asciiTheme="majorHAnsi" w:hAnsiTheme="majorHAnsi"/>
                <w:noProof/>
                <w:webHidden/>
                <w:sz w:val="20"/>
                <w:szCs w:val="20"/>
              </w:rPr>
              <w:tab/>
            </w:r>
            <w:r w:rsidR="00A666FF" w:rsidRPr="00062C3F">
              <w:rPr>
                <w:rFonts w:asciiTheme="majorHAnsi" w:hAnsiTheme="majorHAnsi"/>
                <w:noProof/>
                <w:webHidden/>
                <w:sz w:val="20"/>
                <w:szCs w:val="20"/>
              </w:rPr>
              <w:fldChar w:fldCharType="begin"/>
            </w:r>
            <w:r w:rsidR="00A666FF" w:rsidRPr="00062C3F">
              <w:rPr>
                <w:rFonts w:asciiTheme="majorHAnsi" w:hAnsiTheme="majorHAnsi"/>
                <w:noProof/>
                <w:webHidden/>
                <w:sz w:val="20"/>
                <w:szCs w:val="20"/>
              </w:rPr>
              <w:instrText xml:space="preserve"> PAGEREF _Toc523998365 \h </w:instrText>
            </w:r>
            <w:r w:rsidR="00A666FF" w:rsidRPr="00062C3F">
              <w:rPr>
                <w:rFonts w:asciiTheme="majorHAnsi" w:hAnsiTheme="majorHAnsi"/>
                <w:noProof/>
                <w:webHidden/>
                <w:sz w:val="20"/>
                <w:szCs w:val="20"/>
              </w:rPr>
            </w:r>
            <w:r w:rsidR="00A666FF" w:rsidRPr="00062C3F">
              <w:rPr>
                <w:rFonts w:asciiTheme="majorHAnsi" w:hAnsiTheme="majorHAnsi"/>
                <w:noProof/>
                <w:webHidden/>
                <w:sz w:val="20"/>
                <w:szCs w:val="20"/>
              </w:rPr>
              <w:fldChar w:fldCharType="separate"/>
            </w:r>
            <w:r w:rsidR="00A666FF" w:rsidRPr="00062C3F">
              <w:rPr>
                <w:rFonts w:asciiTheme="majorHAnsi" w:hAnsiTheme="majorHAnsi"/>
                <w:noProof/>
                <w:webHidden/>
                <w:sz w:val="20"/>
                <w:szCs w:val="20"/>
              </w:rPr>
              <w:t>16</w:t>
            </w:r>
            <w:r w:rsidR="00A666FF" w:rsidRPr="00062C3F">
              <w:rPr>
                <w:rFonts w:asciiTheme="majorHAnsi" w:hAnsiTheme="majorHAnsi"/>
                <w:noProof/>
                <w:webHidden/>
                <w:sz w:val="20"/>
                <w:szCs w:val="20"/>
              </w:rPr>
              <w:fldChar w:fldCharType="end"/>
            </w:r>
          </w:hyperlink>
        </w:p>
        <w:p w14:paraId="444A71CE" w14:textId="77777777" w:rsidR="00A666FF" w:rsidRPr="00A666FF" w:rsidRDefault="00397E46" w:rsidP="00A666FF">
          <w:pPr>
            <w:pStyle w:val="TOC1"/>
            <w:tabs>
              <w:tab w:val="left" w:pos="1440"/>
              <w:tab w:val="right" w:leader="dot" w:pos="9270"/>
            </w:tabs>
            <w:rPr>
              <w:rFonts w:asciiTheme="majorHAnsi" w:eastAsiaTheme="minorEastAsia" w:hAnsiTheme="majorHAnsi" w:cstheme="minorBidi"/>
              <w:noProof/>
              <w:sz w:val="20"/>
              <w:szCs w:val="20"/>
              <w:bdr w:val="none" w:sz="0" w:space="0" w:color="auto"/>
            </w:rPr>
          </w:pPr>
          <w:hyperlink w:anchor="_Toc523998366" w:history="1">
            <w:r w:rsidR="00A666FF" w:rsidRPr="00A666FF">
              <w:rPr>
                <w:rStyle w:val="Hyperlink"/>
                <w:rFonts w:asciiTheme="majorHAnsi" w:eastAsia="Times New Roman" w:hAnsiTheme="majorHAnsi"/>
                <w:b/>
                <w:noProof/>
                <w:sz w:val="20"/>
                <w:szCs w:val="20"/>
              </w:rPr>
              <w:t>V.</w:t>
            </w:r>
            <w:r w:rsidR="00A666FF" w:rsidRPr="00A666FF">
              <w:rPr>
                <w:rFonts w:asciiTheme="majorHAnsi" w:eastAsiaTheme="minorEastAsia" w:hAnsiTheme="majorHAnsi" w:cstheme="minorBidi"/>
                <w:b/>
                <w:noProof/>
                <w:sz w:val="20"/>
                <w:szCs w:val="20"/>
                <w:bdr w:val="none" w:sz="0" w:space="0" w:color="auto"/>
              </w:rPr>
              <w:tab/>
            </w:r>
            <w:r w:rsidR="00A666FF" w:rsidRPr="00A666FF">
              <w:rPr>
                <w:rStyle w:val="Hyperlink"/>
                <w:rFonts w:asciiTheme="majorHAnsi" w:eastAsia="Times New Roman" w:hAnsiTheme="majorHAnsi"/>
                <w:b/>
                <w:noProof/>
                <w:sz w:val="20"/>
                <w:szCs w:val="20"/>
              </w:rPr>
              <w:t>CONCLUSIONS AND RECOMMENDATIONS</w:t>
            </w:r>
            <w:r w:rsidR="00A666FF" w:rsidRPr="00A666FF">
              <w:rPr>
                <w:rFonts w:asciiTheme="majorHAnsi" w:hAnsiTheme="majorHAnsi"/>
                <w:noProof/>
                <w:webHidden/>
                <w:sz w:val="20"/>
                <w:szCs w:val="20"/>
              </w:rPr>
              <w:tab/>
            </w:r>
            <w:r w:rsidR="00A666FF" w:rsidRPr="00A666FF">
              <w:rPr>
                <w:rFonts w:asciiTheme="majorHAnsi" w:hAnsiTheme="majorHAnsi"/>
                <w:noProof/>
                <w:webHidden/>
                <w:sz w:val="20"/>
                <w:szCs w:val="20"/>
              </w:rPr>
              <w:fldChar w:fldCharType="begin"/>
            </w:r>
            <w:r w:rsidR="00A666FF" w:rsidRPr="00A666FF">
              <w:rPr>
                <w:rFonts w:asciiTheme="majorHAnsi" w:hAnsiTheme="majorHAnsi"/>
                <w:noProof/>
                <w:webHidden/>
                <w:sz w:val="20"/>
                <w:szCs w:val="20"/>
              </w:rPr>
              <w:instrText xml:space="preserve"> PAGEREF _Toc523998366 \h </w:instrText>
            </w:r>
            <w:r w:rsidR="00A666FF" w:rsidRPr="00A666FF">
              <w:rPr>
                <w:rFonts w:asciiTheme="majorHAnsi" w:hAnsiTheme="majorHAnsi"/>
                <w:noProof/>
                <w:webHidden/>
                <w:sz w:val="20"/>
                <w:szCs w:val="20"/>
              </w:rPr>
            </w:r>
            <w:r w:rsidR="00A666FF" w:rsidRPr="00A666FF">
              <w:rPr>
                <w:rFonts w:asciiTheme="majorHAnsi" w:hAnsiTheme="majorHAnsi"/>
                <w:noProof/>
                <w:webHidden/>
                <w:sz w:val="20"/>
                <w:szCs w:val="20"/>
              </w:rPr>
              <w:fldChar w:fldCharType="separate"/>
            </w:r>
            <w:r w:rsidR="00A666FF" w:rsidRPr="00A666FF">
              <w:rPr>
                <w:rFonts w:asciiTheme="majorHAnsi" w:hAnsiTheme="majorHAnsi"/>
                <w:noProof/>
                <w:webHidden/>
                <w:sz w:val="20"/>
                <w:szCs w:val="20"/>
              </w:rPr>
              <w:t>16</w:t>
            </w:r>
            <w:r w:rsidR="00A666FF" w:rsidRPr="00A666FF">
              <w:rPr>
                <w:rFonts w:asciiTheme="majorHAnsi" w:hAnsiTheme="majorHAnsi"/>
                <w:noProof/>
                <w:webHidden/>
                <w:sz w:val="20"/>
                <w:szCs w:val="20"/>
              </w:rPr>
              <w:fldChar w:fldCharType="end"/>
            </w:r>
          </w:hyperlink>
        </w:p>
        <w:p w14:paraId="65F79DE7" w14:textId="7011AD6D" w:rsidR="00F63C54" w:rsidRDefault="00F63C54">
          <w:r w:rsidRPr="00F63C54">
            <w:rPr>
              <w:rFonts w:asciiTheme="majorHAnsi" w:hAnsiTheme="majorHAnsi"/>
              <w:b/>
              <w:bCs/>
              <w:noProof/>
              <w:sz w:val="20"/>
              <w:szCs w:val="20"/>
            </w:rPr>
            <w:fldChar w:fldCharType="end"/>
          </w:r>
        </w:p>
      </w:sdtContent>
    </w:sdt>
    <w:p w14:paraId="5D09D91B" w14:textId="77777777" w:rsidR="00F63C54" w:rsidRDefault="00F63C54" w:rsidP="00F63C54">
      <w:pPr>
        <w:tabs>
          <w:tab w:val="center" w:pos="5400"/>
        </w:tabs>
        <w:suppressAutoHyphens/>
        <w:spacing w:line="276" w:lineRule="auto"/>
        <w:rPr>
          <w:rFonts w:asciiTheme="majorHAnsi" w:hAnsiTheme="majorHAnsi"/>
          <w:b/>
          <w:sz w:val="18"/>
          <w:szCs w:val="20"/>
        </w:rPr>
      </w:pPr>
    </w:p>
    <w:p w14:paraId="5DDACF2D"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2E4AE08B"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3B12F3B0" w14:textId="77777777" w:rsidR="00A666FF" w:rsidRDefault="00A666FF" w:rsidP="00105D7F">
      <w:pPr>
        <w:tabs>
          <w:tab w:val="center" w:pos="5400"/>
        </w:tabs>
        <w:suppressAutoHyphens/>
        <w:spacing w:line="276" w:lineRule="auto"/>
        <w:jc w:val="center"/>
        <w:rPr>
          <w:rFonts w:asciiTheme="majorHAnsi" w:hAnsiTheme="majorHAnsi"/>
          <w:b/>
          <w:sz w:val="18"/>
          <w:szCs w:val="20"/>
        </w:rPr>
      </w:pPr>
    </w:p>
    <w:p w14:paraId="611B7277" w14:textId="77777777" w:rsidR="00A666FF" w:rsidRDefault="00A666FF" w:rsidP="00105D7F">
      <w:pPr>
        <w:tabs>
          <w:tab w:val="center" w:pos="5400"/>
        </w:tabs>
        <w:suppressAutoHyphens/>
        <w:spacing w:line="276" w:lineRule="auto"/>
        <w:jc w:val="center"/>
        <w:rPr>
          <w:rFonts w:asciiTheme="majorHAnsi" w:hAnsiTheme="majorHAnsi"/>
          <w:b/>
          <w:sz w:val="18"/>
          <w:szCs w:val="20"/>
        </w:rPr>
      </w:pPr>
    </w:p>
    <w:p w14:paraId="75031CAA" w14:textId="77777777" w:rsidR="00A666FF" w:rsidRDefault="00A666FF" w:rsidP="00105D7F">
      <w:pPr>
        <w:tabs>
          <w:tab w:val="center" w:pos="5400"/>
        </w:tabs>
        <w:suppressAutoHyphens/>
        <w:spacing w:line="276" w:lineRule="auto"/>
        <w:jc w:val="center"/>
        <w:rPr>
          <w:rFonts w:asciiTheme="majorHAnsi" w:hAnsiTheme="majorHAnsi"/>
          <w:b/>
          <w:sz w:val="18"/>
          <w:szCs w:val="20"/>
        </w:rPr>
      </w:pPr>
    </w:p>
    <w:p w14:paraId="136F9302" w14:textId="77777777" w:rsidR="00A666FF" w:rsidRDefault="00A666FF" w:rsidP="00105D7F">
      <w:pPr>
        <w:tabs>
          <w:tab w:val="center" w:pos="5400"/>
        </w:tabs>
        <w:suppressAutoHyphens/>
        <w:spacing w:line="276" w:lineRule="auto"/>
        <w:jc w:val="center"/>
        <w:rPr>
          <w:rFonts w:asciiTheme="majorHAnsi" w:hAnsiTheme="majorHAnsi"/>
          <w:b/>
          <w:sz w:val="18"/>
          <w:szCs w:val="20"/>
        </w:rPr>
      </w:pPr>
    </w:p>
    <w:p w14:paraId="2AFD926D" w14:textId="77777777" w:rsidR="00A666FF" w:rsidRDefault="00A666FF" w:rsidP="00105D7F">
      <w:pPr>
        <w:tabs>
          <w:tab w:val="center" w:pos="5400"/>
        </w:tabs>
        <w:suppressAutoHyphens/>
        <w:spacing w:line="276" w:lineRule="auto"/>
        <w:jc w:val="center"/>
        <w:rPr>
          <w:rFonts w:asciiTheme="majorHAnsi" w:hAnsiTheme="majorHAnsi"/>
          <w:b/>
          <w:sz w:val="18"/>
          <w:szCs w:val="20"/>
        </w:rPr>
      </w:pPr>
    </w:p>
    <w:p w14:paraId="0994FD41" w14:textId="77777777" w:rsidR="00F63C54" w:rsidRDefault="00F63C54" w:rsidP="00105D7F">
      <w:pPr>
        <w:tabs>
          <w:tab w:val="center" w:pos="5400"/>
        </w:tabs>
        <w:suppressAutoHyphens/>
        <w:spacing w:line="276" w:lineRule="auto"/>
        <w:jc w:val="center"/>
        <w:rPr>
          <w:rFonts w:asciiTheme="majorHAnsi" w:hAnsiTheme="majorHAnsi"/>
          <w:b/>
          <w:sz w:val="18"/>
          <w:szCs w:val="20"/>
        </w:rPr>
      </w:pPr>
    </w:p>
    <w:p w14:paraId="2ACF4084" w14:textId="77777777" w:rsidR="00F63C54" w:rsidRDefault="00F63C54" w:rsidP="00A506F6">
      <w:pPr>
        <w:tabs>
          <w:tab w:val="center" w:pos="5400"/>
        </w:tabs>
        <w:suppressAutoHyphens/>
        <w:spacing w:line="276" w:lineRule="auto"/>
        <w:rPr>
          <w:rFonts w:asciiTheme="majorHAnsi" w:hAnsiTheme="majorHAnsi"/>
          <w:b/>
          <w:sz w:val="18"/>
          <w:szCs w:val="20"/>
        </w:rPr>
      </w:pPr>
    </w:p>
    <w:p w14:paraId="013EBFE1" w14:textId="1868F47A" w:rsidR="00105D7F" w:rsidRPr="00D02D3C" w:rsidRDefault="00B153E5" w:rsidP="00105D7F">
      <w:pPr>
        <w:tabs>
          <w:tab w:val="center" w:pos="5400"/>
        </w:tabs>
        <w:suppressAutoHyphens/>
        <w:spacing w:line="276" w:lineRule="auto"/>
        <w:jc w:val="center"/>
        <w:rPr>
          <w:rFonts w:asciiTheme="majorHAnsi" w:hAnsiTheme="majorHAnsi"/>
          <w:b/>
          <w:sz w:val="18"/>
          <w:szCs w:val="20"/>
          <w:lang w:val="pt-BR"/>
        </w:rPr>
      </w:pPr>
      <w:r w:rsidRPr="00D02D3C">
        <w:rPr>
          <w:rFonts w:asciiTheme="majorHAnsi" w:hAnsiTheme="majorHAnsi"/>
          <w:b/>
          <w:sz w:val="18"/>
          <w:szCs w:val="20"/>
          <w:lang w:val="pt-BR"/>
        </w:rPr>
        <w:lastRenderedPageBreak/>
        <w:t xml:space="preserve">REPORT </w:t>
      </w:r>
      <w:r w:rsidR="00105D7F" w:rsidRPr="00D02D3C">
        <w:rPr>
          <w:rFonts w:asciiTheme="majorHAnsi" w:hAnsiTheme="majorHAnsi"/>
          <w:b/>
          <w:sz w:val="18"/>
          <w:szCs w:val="20"/>
          <w:lang w:val="pt-BR"/>
        </w:rPr>
        <w:t xml:space="preserve">No. </w:t>
      </w:r>
      <w:r w:rsidR="00DE4AA5">
        <w:rPr>
          <w:rFonts w:asciiTheme="majorHAnsi" w:hAnsiTheme="majorHAnsi"/>
          <w:b/>
          <w:sz w:val="18"/>
          <w:szCs w:val="20"/>
          <w:lang w:val="pt-BR"/>
        </w:rPr>
        <w:t>109</w:t>
      </w:r>
      <w:r w:rsidR="00105D7F" w:rsidRPr="00D02D3C">
        <w:rPr>
          <w:rFonts w:asciiTheme="majorHAnsi" w:hAnsiTheme="majorHAnsi"/>
          <w:b/>
          <w:sz w:val="18"/>
          <w:szCs w:val="20"/>
          <w:lang w:val="pt-BR"/>
        </w:rPr>
        <w:t>/18</w:t>
      </w:r>
    </w:p>
    <w:p w14:paraId="5F53CD2A" w14:textId="00F1B2CC" w:rsidR="00105D7F" w:rsidRPr="00D02D3C" w:rsidRDefault="00B153E5" w:rsidP="00105D7F">
      <w:pPr>
        <w:tabs>
          <w:tab w:val="center" w:pos="5400"/>
        </w:tabs>
        <w:suppressAutoHyphens/>
        <w:spacing w:line="276" w:lineRule="auto"/>
        <w:jc w:val="center"/>
        <w:rPr>
          <w:rFonts w:asciiTheme="majorHAnsi" w:hAnsiTheme="majorHAnsi"/>
          <w:b/>
          <w:sz w:val="18"/>
          <w:szCs w:val="20"/>
          <w:lang w:val="pt-BR"/>
        </w:rPr>
      </w:pPr>
      <w:r w:rsidRPr="00D02D3C">
        <w:rPr>
          <w:rFonts w:asciiTheme="majorHAnsi" w:hAnsiTheme="majorHAnsi"/>
          <w:b/>
          <w:sz w:val="18"/>
          <w:szCs w:val="20"/>
          <w:lang w:val="pt-BR"/>
        </w:rPr>
        <w:t>CASE</w:t>
      </w:r>
      <w:r w:rsidR="00D02D3C" w:rsidRPr="00D02D3C">
        <w:rPr>
          <w:rFonts w:asciiTheme="majorHAnsi" w:hAnsiTheme="majorHAnsi"/>
          <w:b/>
          <w:sz w:val="18"/>
          <w:szCs w:val="20"/>
          <w:lang w:val="pt-BR"/>
        </w:rPr>
        <w:t xml:space="preserve"> 12.870</w:t>
      </w:r>
    </w:p>
    <w:p w14:paraId="2CF2A777" w14:textId="77777777" w:rsidR="00105D7F" w:rsidRPr="00D02D3C" w:rsidRDefault="00B153E5" w:rsidP="00105D7F">
      <w:pPr>
        <w:tabs>
          <w:tab w:val="center" w:pos="5400"/>
        </w:tabs>
        <w:suppressAutoHyphens/>
        <w:spacing w:line="276" w:lineRule="auto"/>
        <w:jc w:val="center"/>
        <w:rPr>
          <w:rFonts w:asciiTheme="majorHAnsi" w:hAnsiTheme="majorHAnsi"/>
          <w:sz w:val="18"/>
          <w:szCs w:val="20"/>
          <w:lang w:val="pt-BR"/>
        </w:rPr>
      </w:pPr>
      <w:r w:rsidRPr="00D02D3C">
        <w:rPr>
          <w:rFonts w:asciiTheme="majorHAnsi" w:hAnsiTheme="majorHAnsi"/>
          <w:sz w:val="18"/>
          <w:szCs w:val="20"/>
          <w:lang w:val="pt-BR"/>
        </w:rPr>
        <w:t xml:space="preserve">MERITS </w:t>
      </w:r>
    </w:p>
    <w:p w14:paraId="740F520D" w14:textId="4FB2435B" w:rsidR="00105D7F" w:rsidRPr="00D02D3C" w:rsidRDefault="00D02D3C" w:rsidP="00105D7F">
      <w:pPr>
        <w:tabs>
          <w:tab w:val="center" w:pos="5400"/>
        </w:tabs>
        <w:suppressAutoHyphens/>
        <w:spacing w:line="276" w:lineRule="auto"/>
        <w:jc w:val="center"/>
        <w:rPr>
          <w:rFonts w:asciiTheme="majorHAnsi" w:hAnsiTheme="majorHAnsi"/>
          <w:sz w:val="18"/>
          <w:szCs w:val="20"/>
          <w:lang w:val="pt-BR"/>
        </w:rPr>
      </w:pPr>
      <w:r w:rsidRPr="00D02D3C">
        <w:rPr>
          <w:rFonts w:asciiTheme="majorHAnsi" w:hAnsiTheme="majorHAnsi"/>
          <w:sz w:val="18"/>
          <w:szCs w:val="20"/>
          <w:lang w:val="pt-BR"/>
        </w:rPr>
        <w:t>YENINA ESTHER MARTINEZ ESQUIVIA</w:t>
      </w:r>
    </w:p>
    <w:p w14:paraId="71B27E26" w14:textId="77777777" w:rsidR="00D02D3C" w:rsidRPr="00181F67"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181F67">
        <w:rPr>
          <w:rFonts w:asciiTheme="majorHAnsi" w:eastAsia="Times New Roman" w:hAnsiTheme="majorHAnsi"/>
          <w:sz w:val="20"/>
          <w:szCs w:val="20"/>
          <w:bdr w:val="none" w:sz="0" w:space="0" w:color="auto"/>
        </w:rPr>
        <w:t>COLOMBIA</w:t>
      </w:r>
      <w:r w:rsidRPr="00181F67">
        <w:rPr>
          <w:rStyle w:val="FootnoteReference"/>
          <w:rFonts w:asciiTheme="majorHAnsi" w:hAnsiTheme="majorHAnsi"/>
          <w:sz w:val="20"/>
          <w:szCs w:val="20"/>
        </w:rPr>
        <w:footnoteReference w:id="2"/>
      </w:r>
    </w:p>
    <w:p w14:paraId="679E6460" w14:textId="77777777" w:rsidR="00D02D3C" w:rsidRPr="00181F67"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r w:rsidRPr="00181F67">
        <w:rPr>
          <w:rFonts w:asciiTheme="majorHAnsi" w:eastAsia="Times New Roman" w:hAnsiTheme="majorHAnsi"/>
          <w:sz w:val="20"/>
          <w:szCs w:val="20"/>
          <w:bdr w:val="none" w:sz="0" w:space="0" w:color="auto"/>
        </w:rPr>
        <w:t>XXX XX, 2018</w:t>
      </w:r>
    </w:p>
    <w:p w14:paraId="7A793F2A" w14:textId="77777777" w:rsidR="00C55560" w:rsidRDefault="00C55560" w:rsidP="00D02D3C">
      <w:pPr>
        <w:tabs>
          <w:tab w:val="center" w:pos="5400"/>
        </w:tabs>
        <w:suppressAutoHyphens/>
        <w:spacing w:line="276" w:lineRule="auto"/>
        <w:rPr>
          <w:rFonts w:asciiTheme="majorHAnsi" w:eastAsiaTheme="majorEastAsia" w:hAnsiTheme="majorHAnsi" w:cstheme="majorBidi"/>
          <w:b/>
          <w:bCs/>
          <w:sz w:val="20"/>
          <w:szCs w:val="20"/>
        </w:rPr>
      </w:pPr>
    </w:p>
    <w:p w14:paraId="512EE24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14:paraId="0EABC784" w14:textId="77777777" w:rsidR="00D02D3C" w:rsidRPr="00D02D3C" w:rsidRDefault="00D02D3C" w:rsidP="000A566E">
      <w:pPr>
        <w:keepNext/>
        <w:keepLines/>
        <w:numPr>
          <w:ilvl w:val="0"/>
          <w:numId w:val="66"/>
        </w:numPr>
        <w:ind w:left="630" w:firstLine="0"/>
        <w:outlineLvl w:val="0"/>
        <w:rPr>
          <w:rFonts w:ascii="Cambria" w:eastAsiaTheme="majorEastAsia" w:hAnsi="Cambria" w:cstheme="majorBidi"/>
          <w:b/>
          <w:bCs/>
          <w:sz w:val="20"/>
          <w:szCs w:val="20"/>
        </w:rPr>
      </w:pPr>
      <w:bookmarkStart w:id="0" w:name="_Toc370840743"/>
      <w:bookmarkStart w:id="1" w:name="_Toc370840839"/>
      <w:bookmarkStart w:id="2" w:name="_Toc423514405"/>
      <w:bookmarkStart w:id="3" w:name="_Toc433115981"/>
      <w:bookmarkStart w:id="4" w:name="_Toc444958124"/>
      <w:bookmarkStart w:id="5" w:name="_Toc479004109"/>
      <w:bookmarkStart w:id="6" w:name="_Toc491078407"/>
      <w:bookmarkStart w:id="7" w:name="_Toc522484027"/>
      <w:bookmarkStart w:id="8" w:name="_Toc523998346"/>
      <w:r w:rsidRPr="00D02D3C">
        <w:rPr>
          <w:rFonts w:ascii="Cambria" w:eastAsiaTheme="majorEastAsia" w:hAnsi="Cambria" w:cstheme="majorBidi"/>
          <w:b/>
          <w:bCs/>
          <w:sz w:val="20"/>
          <w:szCs w:val="20"/>
        </w:rPr>
        <w:t>SU</w:t>
      </w:r>
      <w:bookmarkEnd w:id="0"/>
      <w:bookmarkEnd w:id="1"/>
      <w:bookmarkEnd w:id="2"/>
      <w:bookmarkEnd w:id="3"/>
      <w:bookmarkEnd w:id="4"/>
      <w:bookmarkEnd w:id="5"/>
      <w:bookmarkEnd w:id="6"/>
      <w:r w:rsidRPr="00D02D3C">
        <w:rPr>
          <w:rFonts w:ascii="Cambria" w:eastAsiaTheme="majorEastAsia" w:hAnsi="Cambria" w:cstheme="majorBidi"/>
          <w:b/>
          <w:bCs/>
          <w:sz w:val="20"/>
          <w:szCs w:val="20"/>
        </w:rPr>
        <w:t>MMARY</w:t>
      </w:r>
      <w:bookmarkEnd w:id="7"/>
      <w:bookmarkEnd w:id="8"/>
    </w:p>
    <w:p w14:paraId="6F11C0E2"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7218535"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On December </w:t>
      </w:r>
      <w:r w:rsidRPr="00D02D3C">
        <w:rPr>
          <w:rFonts w:ascii="Cambria" w:hAnsi="Cambria"/>
          <w:sz w:val="20"/>
          <w:szCs w:val="20"/>
        </w:rPr>
        <w:t>22, 2005, the Inter-American Commission on Human Rights (hereinafter “the Inter-American Commission,” “the Commission,” or “the IACHR”</w:t>
      </w:r>
      <w:r w:rsidRPr="00D02D3C">
        <w:rPr>
          <w:rFonts w:ascii="Cambria" w:hAnsi="Cambria"/>
          <w:color w:val="000000" w:themeColor="text1"/>
          <w:sz w:val="20"/>
          <w:szCs w:val="20"/>
        </w:rPr>
        <w:t xml:space="preserve">) received a petition lodged by </w:t>
      </w:r>
      <w:proofErr w:type="spellStart"/>
      <w:r w:rsidRPr="00D02D3C">
        <w:rPr>
          <w:rFonts w:ascii="Cambria" w:hAnsi="Cambria"/>
          <w:color w:val="000000" w:themeColor="text1"/>
          <w:sz w:val="20"/>
          <w:szCs w:val="20"/>
        </w:rPr>
        <w:t>Yenina</w:t>
      </w:r>
      <w:proofErr w:type="spellEnd"/>
      <w:r w:rsidRPr="00D02D3C">
        <w:rPr>
          <w:rFonts w:ascii="Cambria" w:hAnsi="Cambria"/>
          <w:color w:val="000000" w:themeColor="text1"/>
          <w:sz w:val="20"/>
          <w:szCs w:val="20"/>
        </w:rPr>
        <w:t xml:space="preserve"> Esther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xml:space="preserve"> (hereinafter “the petitioner”) alleging the international responsibility of the Republic of Colombia (hereinafter “the Colombian State,” “the State,” “or “Colombia”). </w:t>
      </w:r>
    </w:p>
    <w:p w14:paraId="7BFFF354"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2526DCB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The Commission adopted admissibility report No. </w:t>
      </w:r>
      <w:r w:rsidRPr="00D02D3C">
        <w:rPr>
          <w:rFonts w:ascii="Cambria" w:hAnsi="Cambria"/>
          <w:sz w:val="20"/>
          <w:szCs w:val="20"/>
        </w:rPr>
        <w:t>62/12 on March 20, 2012.</w:t>
      </w:r>
      <w:r w:rsidRPr="00D02D3C">
        <w:rPr>
          <w:rFonts w:ascii="Cambria" w:hAnsi="Cambria"/>
          <w:sz w:val="20"/>
          <w:szCs w:val="20"/>
          <w:vertAlign w:val="superscript"/>
        </w:rPr>
        <w:footnoteReference w:id="3"/>
      </w:r>
      <w:r w:rsidRPr="00D02D3C">
        <w:rPr>
          <w:rFonts w:ascii="Cambria" w:hAnsi="Cambria"/>
          <w:sz w:val="20"/>
          <w:szCs w:val="20"/>
        </w:rPr>
        <w:t xml:space="preserve"> On April 10, 2012 the Commission notified the parties of that report and placed itself at their disposal to pursue a friendly settlement, yet the parties did not agree to pursue such a settlement. The parties had the terms provided in the Commission’s Rules of Procedure for filing their additional observations on the merits. All the information received by one party was duly forwarded to the other. </w:t>
      </w:r>
    </w:p>
    <w:p w14:paraId="5EEF4F5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14:paraId="1DC3D982"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The petitioner alleged that she was terminated in her position as Delegate Prosecutor before the Criminal Courts of the Circuit of Cartagena, without any explanation or due process. She also indicated that her termination occurred after having participated in an investigation related to the criminal offense of breach of public duty (</w:t>
      </w:r>
      <w:proofErr w:type="spellStart"/>
      <w:r w:rsidRPr="00D02D3C">
        <w:rPr>
          <w:rFonts w:ascii="Cambria" w:hAnsi="Cambria"/>
          <w:i/>
          <w:iCs/>
          <w:color w:val="000000" w:themeColor="text1"/>
          <w:sz w:val="20"/>
          <w:szCs w:val="20"/>
        </w:rPr>
        <w:t>prevaricato</w:t>
      </w:r>
      <w:proofErr w:type="spellEnd"/>
      <w:r w:rsidRPr="00D02D3C">
        <w:rPr>
          <w:rFonts w:ascii="Cambria" w:hAnsi="Cambria"/>
          <w:color w:val="000000" w:themeColor="text1"/>
          <w:sz w:val="20"/>
          <w:szCs w:val="20"/>
        </w:rPr>
        <w:t>) that she was pursuing against an official who granted a license to build a sanitary landfill without carrying out the prior consultation with the communities affected.</w:t>
      </w:r>
    </w:p>
    <w:p w14:paraId="7D7C115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1BB20A8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The State argued that the Attorney General of the Nation has the power to remove prosecutors appointed provisionally at his discretion, that these acts do not require any explanation, and that they are presumably legal. It said that the presumption of legality may be refuted by the official affected in cases of abuse of authority, by filing a motion for nullity before the contentious-administrative jurisdiction, but that said remedy was filed after it was time-barred. It argued that the alleged victim’s rights to judicial guarantees and judicial protection were not violated.  </w:t>
      </w:r>
    </w:p>
    <w:p w14:paraId="184AA14E"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021AF30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color w:val="000000" w:themeColor="text1"/>
          <w:sz w:val="20"/>
          <w:szCs w:val="20"/>
        </w:rPr>
        <w:t xml:space="preserve">Based on the determinations of fact and law, the Inter-American Commission concluded that the Colombian State is responsible for violations of Article 8(1), 8(2)(b), 8(2)(c) (judicial guarantees), Article 9 (freedom from ex post facto laws), Article 23(1)(c) (political rights), and Article 25(1) (judicial protection) of the American Convention on Human Rights (hereinafter “the American Convention” or “the Convention”), in relation to the obligations established at Articles </w:t>
      </w:r>
      <w:r w:rsidRPr="00D02D3C">
        <w:rPr>
          <w:rFonts w:ascii="Cambria" w:hAnsi="Cambria"/>
          <w:sz w:val="20"/>
          <w:szCs w:val="20"/>
        </w:rPr>
        <w:t xml:space="preserve">1(1) and 2 of the same instrument. The Commission then made its recommendations. </w:t>
      </w:r>
    </w:p>
    <w:p w14:paraId="5EE9DDC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rPr>
      </w:pPr>
    </w:p>
    <w:p w14:paraId="4CEF239F" w14:textId="77777777" w:rsidR="00D02D3C" w:rsidRPr="00D02D3C" w:rsidRDefault="00D02D3C" w:rsidP="000A566E">
      <w:pPr>
        <w:keepNex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hanging="810"/>
        <w:outlineLvl w:val="0"/>
        <w:rPr>
          <w:rFonts w:asciiTheme="majorHAnsi" w:eastAsia="Times New Roman" w:hAnsiTheme="majorHAnsi"/>
          <w:b/>
          <w:sz w:val="20"/>
          <w:szCs w:val="20"/>
          <w:bdr w:val="none" w:sz="0" w:space="0" w:color="auto"/>
        </w:rPr>
      </w:pPr>
      <w:bookmarkStart w:id="9" w:name="_Toc522484028"/>
      <w:bookmarkStart w:id="10" w:name="_Toc523998347"/>
      <w:bookmarkStart w:id="11" w:name="_Toc491078408"/>
      <w:bookmarkStart w:id="12" w:name="_Toc370840745"/>
      <w:bookmarkStart w:id="13" w:name="_Toc370840841"/>
      <w:r w:rsidRPr="00D02D3C">
        <w:rPr>
          <w:rFonts w:asciiTheme="majorHAnsi" w:eastAsia="Times New Roman" w:hAnsiTheme="majorHAnsi"/>
          <w:b/>
          <w:sz w:val="20"/>
          <w:szCs w:val="20"/>
          <w:bdr w:val="none" w:sz="0" w:space="0" w:color="auto"/>
        </w:rPr>
        <w:t>ARGUMENTS OF THE PARTIES</w:t>
      </w:r>
      <w:bookmarkEnd w:id="9"/>
      <w:bookmarkEnd w:id="10"/>
      <w:r w:rsidRPr="00D02D3C">
        <w:rPr>
          <w:rFonts w:asciiTheme="majorHAnsi" w:eastAsia="Times New Roman" w:hAnsiTheme="majorHAnsi"/>
          <w:b/>
          <w:sz w:val="20"/>
          <w:szCs w:val="20"/>
          <w:bdr w:val="none" w:sz="0" w:space="0" w:color="auto"/>
        </w:rPr>
        <w:t xml:space="preserve"> </w:t>
      </w:r>
      <w:bookmarkEnd w:id="11"/>
      <w:bookmarkEnd w:id="12"/>
      <w:bookmarkEnd w:id="13"/>
    </w:p>
    <w:p w14:paraId="0D3657F1" w14:textId="77777777" w:rsidR="00D02D3C" w:rsidRPr="00D02D3C" w:rsidRDefault="00D02D3C" w:rsidP="00D02D3C">
      <w:pPr>
        <w:rPr>
          <w:rFonts w:asciiTheme="majorHAnsi" w:hAnsiTheme="majorHAnsi"/>
          <w:sz w:val="20"/>
          <w:szCs w:val="20"/>
        </w:rPr>
      </w:pPr>
    </w:p>
    <w:p w14:paraId="78D86F78" w14:textId="77777777" w:rsidR="00D02D3C" w:rsidRPr="00D02D3C" w:rsidRDefault="00D02D3C" w:rsidP="000A566E">
      <w:pPr>
        <w:keepNex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hanging="810"/>
        <w:jc w:val="both"/>
        <w:outlineLvl w:val="1"/>
        <w:rPr>
          <w:rFonts w:asciiTheme="majorHAnsi" w:eastAsia="Times New Roman" w:hAnsiTheme="majorHAnsi"/>
          <w:b/>
          <w:sz w:val="20"/>
          <w:szCs w:val="20"/>
          <w:bdr w:val="none" w:sz="0" w:space="0" w:color="auto"/>
        </w:rPr>
      </w:pPr>
      <w:bookmarkStart w:id="14" w:name="_Toc522484029"/>
      <w:bookmarkStart w:id="15" w:name="_Toc523998348"/>
      <w:bookmarkStart w:id="16" w:name="_Toc423514408"/>
      <w:bookmarkStart w:id="17" w:name="_Toc433115984"/>
      <w:bookmarkStart w:id="18" w:name="_Toc444958127"/>
      <w:bookmarkStart w:id="19" w:name="_Toc479004112"/>
      <w:bookmarkStart w:id="20" w:name="_Toc491078409"/>
      <w:r w:rsidRPr="00D02D3C">
        <w:rPr>
          <w:rFonts w:asciiTheme="majorHAnsi" w:eastAsia="Times New Roman" w:hAnsiTheme="majorHAnsi"/>
          <w:b/>
          <w:sz w:val="20"/>
          <w:szCs w:val="20"/>
          <w:bdr w:val="none" w:sz="0" w:space="0" w:color="auto"/>
        </w:rPr>
        <w:t>The petitioner</w:t>
      </w:r>
      <w:bookmarkEnd w:id="14"/>
      <w:bookmarkEnd w:id="15"/>
      <w:r w:rsidRPr="00D02D3C">
        <w:rPr>
          <w:rFonts w:asciiTheme="majorHAnsi" w:eastAsia="Times New Roman" w:hAnsiTheme="majorHAnsi"/>
          <w:b/>
          <w:sz w:val="20"/>
          <w:szCs w:val="20"/>
          <w:bdr w:val="none" w:sz="0" w:space="0" w:color="auto"/>
        </w:rPr>
        <w:t xml:space="preserve"> </w:t>
      </w:r>
      <w:bookmarkEnd w:id="16"/>
      <w:bookmarkEnd w:id="17"/>
      <w:bookmarkEnd w:id="18"/>
      <w:bookmarkEnd w:id="19"/>
      <w:bookmarkEnd w:id="20"/>
    </w:p>
    <w:p w14:paraId="22395445"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rPr>
      </w:pPr>
    </w:p>
    <w:p w14:paraId="0C629058" w14:textId="7DE2FF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lastRenderedPageBreak/>
        <w:t>The petitioner indicated that on March 9, 1992, she was designated as the 13</w:t>
      </w:r>
      <w:r w:rsidRPr="00D02D3C">
        <w:rPr>
          <w:rFonts w:ascii="Cambria" w:hAnsi="Cambria"/>
          <w:color w:val="000000" w:themeColor="text1"/>
          <w:sz w:val="20"/>
          <w:szCs w:val="20"/>
          <w:vertAlign w:val="superscript"/>
        </w:rPr>
        <w:t>th</w:t>
      </w:r>
      <w:r w:rsidRPr="00D02D3C">
        <w:rPr>
          <w:rFonts w:ascii="Cambria" w:hAnsi="Cambria"/>
          <w:color w:val="000000" w:themeColor="text1"/>
          <w:sz w:val="20"/>
          <w:szCs w:val="20"/>
        </w:rPr>
        <w:t xml:space="preserve"> Judge of Criminal Instruction in </w:t>
      </w:r>
      <w:proofErr w:type="spellStart"/>
      <w:r w:rsidRPr="00D02D3C">
        <w:rPr>
          <w:rFonts w:ascii="Cambria" w:hAnsi="Cambria"/>
          <w:color w:val="000000" w:themeColor="text1"/>
          <w:sz w:val="20"/>
          <w:szCs w:val="20"/>
        </w:rPr>
        <w:t>Mompox</w:t>
      </w:r>
      <w:proofErr w:type="spellEnd"/>
      <w:r w:rsidRPr="00D02D3C">
        <w:rPr>
          <w:rFonts w:ascii="Cambria" w:hAnsi="Cambria"/>
          <w:color w:val="000000" w:themeColor="text1"/>
          <w:sz w:val="20"/>
          <w:szCs w:val="20"/>
        </w:rPr>
        <w:t xml:space="preserve">, department of Bolívar, and </w:t>
      </w:r>
      <w:r w:rsidR="0069673C">
        <w:rPr>
          <w:rFonts w:ascii="Cambria" w:hAnsi="Cambria"/>
          <w:color w:val="000000" w:themeColor="text1"/>
          <w:sz w:val="20"/>
          <w:szCs w:val="20"/>
        </w:rPr>
        <w:t xml:space="preserve">subsequently, on July 1, 1992, </w:t>
      </w:r>
      <w:r w:rsidRPr="00D02D3C">
        <w:rPr>
          <w:rFonts w:ascii="Cambria" w:hAnsi="Cambria"/>
          <w:color w:val="000000" w:themeColor="text1"/>
          <w:sz w:val="20"/>
          <w:szCs w:val="20"/>
        </w:rPr>
        <w:t xml:space="preserve">she was incorporated to the staff of the Office of the Attorney General as a result of the change in the Colombian criminal justice system by virtue of which the courts of criminal investigation became part of the Office of the Attorney General. She indicated that on February 8, 2002, she was appointed on a provisional basis as Sectional Prosecutor No. 16 of Cartagena in the Unit of Crimes against the Public Administration. </w:t>
      </w:r>
    </w:p>
    <w:p w14:paraId="3C483911"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39C2046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She said that while she was in that position she pursued a criminal proceeding for the criminal offense of breach of public duty, for an action taken, against the Secretary of the Regional Autonomous Corporation of the Canal del </w:t>
      </w:r>
      <w:proofErr w:type="spellStart"/>
      <w:r w:rsidRPr="00D02D3C">
        <w:rPr>
          <w:rFonts w:ascii="Cambria" w:hAnsi="Cambria"/>
          <w:color w:val="000000" w:themeColor="text1"/>
          <w:sz w:val="20"/>
          <w:szCs w:val="20"/>
        </w:rPr>
        <w:t>Dique</w:t>
      </w:r>
      <w:proofErr w:type="spellEnd"/>
      <w:r w:rsidRPr="00D02D3C">
        <w:rPr>
          <w:rFonts w:ascii="Cambria" w:hAnsi="Cambria"/>
          <w:color w:val="000000" w:themeColor="text1"/>
          <w:sz w:val="20"/>
          <w:szCs w:val="20"/>
        </w:rPr>
        <w:t xml:space="preserve">, who had granted a license for trash collection to a construction company in violation of the legal requirement of prior consultation with the Black communities in settlements in the zone in which the construction of the sanitary landfill was planned.  </w:t>
      </w:r>
    </w:p>
    <w:p w14:paraId="632F212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2218CC09"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She also stated that in exercising her powers she handled the request for reestablishing the right of the representative of the Black communities who was the civil party in the proceeding and voided the administrative act that authorized the operation of the sanitary landfill. </w:t>
      </w:r>
    </w:p>
    <w:p w14:paraId="2C584572"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516CE78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She said that in July 2004 she made use of her vacations and that the person designated by the Director of the Office of the Attorney General as her temporary replacement proceeded immediately to revoke the measure that reestablished the right of the Black communities, and to close the criminal investigation into the criminal offense of breach of public duty before all of the evidence was collected. </w:t>
      </w:r>
    </w:p>
    <w:p w14:paraId="59FAF9F6"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0C543CFE"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She said that when she was reincorporated to her position the representatives of the Black communities and the Public Ministry requested revocation of the resolutions issued by the interim prosecutor. She indicated that after this, she received a call from the director of prosecutors, who told her that as prosecutor she should not get involved in administrative cases such as the case in question, and the director reminded her of the case of the other prosecutor who had taken cognizance of the proceeding and who, for not following instructions, was removed from his position. The director of prosecutors also told her that that message came directly from the Attorney General of the Nation. </w:t>
      </w:r>
    </w:p>
    <w:p w14:paraId="16B4A1F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2AB60AF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She said that despite that call she proceeded to revoke all the actions of the prosecutor who replaced her while she was on vacation and that as a result the director of prosecutors and the Attorney General took reprisals against her. </w:t>
      </w:r>
    </w:p>
    <w:p w14:paraId="24D0AE0F"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74B22B9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In particular, she indicated that on October 29, 2004, two simultaneous resolutions were handed down that negatively impacted her, one ordering her transfer to the Colombian island of Providencia, to work as sectional prosecutor, signed by the director of prosecutors, and another declaring that she was relieved of her duties as 16</w:t>
      </w:r>
      <w:r w:rsidRPr="00D02D3C">
        <w:rPr>
          <w:rFonts w:ascii="Cambria" w:hAnsi="Cambria"/>
          <w:color w:val="000000" w:themeColor="text1"/>
          <w:sz w:val="20"/>
          <w:szCs w:val="20"/>
          <w:vertAlign w:val="superscript"/>
        </w:rPr>
        <w:t>th</w:t>
      </w:r>
      <w:r w:rsidRPr="00D02D3C">
        <w:rPr>
          <w:rFonts w:ascii="Cambria" w:hAnsi="Cambria"/>
          <w:color w:val="000000" w:themeColor="text1"/>
          <w:sz w:val="20"/>
          <w:szCs w:val="20"/>
        </w:rPr>
        <w:t xml:space="preserve"> Sectional Prosecutor of Cartagena, signed by the Attorney General of the Nation, a resolution that had no explanation. She said that she received notice of the resolution transferring her on November 3, 2004, and the one removing her from the position of prosecutor on November 4, 2004, such that she was removed from a position she no longer held, as the second decree took effect the day after she was appointed Sectional Prosecutor of the island of Providencia.</w:t>
      </w:r>
    </w:p>
    <w:p w14:paraId="7240591C"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29A78C2C"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The petitioner indicated that she pursued a series of judicial actions to be reinstated in her position as 16</w:t>
      </w:r>
      <w:r w:rsidRPr="00D02D3C">
        <w:rPr>
          <w:rFonts w:ascii="Cambria" w:hAnsi="Cambria"/>
          <w:color w:val="000000" w:themeColor="text1"/>
          <w:sz w:val="20"/>
          <w:szCs w:val="20"/>
          <w:vertAlign w:val="superscript"/>
        </w:rPr>
        <w:t>th</w:t>
      </w:r>
      <w:r w:rsidRPr="00D02D3C">
        <w:rPr>
          <w:rFonts w:ascii="Cambria" w:hAnsi="Cambria"/>
          <w:color w:val="000000" w:themeColor="text1"/>
          <w:sz w:val="20"/>
          <w:szCs w:val="20"/>
        </w:rPr>
        <w:t xml:space="preserve"> Sectional Prosecutor of Cartagena. In particular, she indicated that on July 12, 2005, she filed an action for nullity and reestablishment of her rights against the act that removed her from her position, before the Administrative Tribunal of Cartagena. The action was dismissed on grounds that it was filed after the time for doing so had lapsed. </w:t>
      </w:r>
    </w:p>
    <w:p w14:paraId="1BB93759"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2B8D1020"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sidRPr="00D02D3C">
        <w:rPr>
          <w:rFonts w:asciiTheme="majorHAnsi" w:hAnsiTheme="majorHAnsi"/>
          <w:color w:val="000000" w:themeColor="text1"/>
          <w:sz w:val="20"/>
          <w:szCs w:val="20"/>
        </w:rPr>
        <w:t>She said that subsequently she filed an action in the labor union jurisdiction (</w:t>
      </w:r>
      <w:proofErr w:type="spellStart"/>
      <w:r w:rsidRPr="00D02D3C">
        <w:rPr>
          <w:rFonts w:asciiTheme="majorHAnsi" w:hAnsiTheme="majorHAnsi"/>
          <w:i/>
          <w:iCs/>
          <w:color w:val="000000" w:themeColor="text1"/>
          <w:sz w:val="20"/>
          <w:szCs w:val="20"/>
        </w:rPr>
        <w:t>acción</w:t>
      </w:r>
      <w:proofErr w:type="spellEnd"/>
      <w:r w:rsidRPr="00D02D3C">
        <w:rPr>
          <w:rFonts w:asciiTheme="majorHAnsi" w:hAnsiTheme="majorHAnsi"/>
          <w:i/>
          <w:iCs/>
          <w:color w:val="000000" w:themeColor="text1"/>
          <w:sz w:val="20"/>
          <w:szCs w:val="20"/>
        </w:rPr>
        <w:t xml:space="preserve"> de </w:t>
      </w:r>
      <w:proofErr w:type="spellStart"/>
      <w:r w:rsidRPr="00D02D3C">
        <w:rPr>
          <w:rFonts w:asciiTheme="majorHAnsi" w:hAnsiTheme="majorHAnsi"/>
          <w:i/>
          <w:iCs/>
          <w:color w:val="000000" w:themeColor="text1"/>
          <w:sz w:val="20"/>
          <w:szCs w:val="20"/>
        </w:rPr>
        <w:t>fuero</w:t>
      </w:r>
      <w:proofErr w:type="spellEnd"/>
      <w:r w:rsidRPr="00D02D3C">
        <w:rPr>
          <w:rFonts w:asciiTheme="majorHAnsi" w:hAnsiTheme="majorHAnsi"/>
          <w:i/>
          <w:iCs/>
          <w:color w:val="000000" w:themeColor="text1"/>
          <w:sz w:val="20"/>
          <w:szCs w:val="20"/>
        </w:rPr>
        <w:t xml:space="preserve"> </w:t>
      </w:r>
      <w:proofErr w:type="spellStart"/>
      <w:r w:rsidRPr="00D02D3C">
        <w:rPr>
          <w:rFonts w:asciiTheme="majorHAnsi" w:hAnsiTheme="majorHAnsi"/>
          <w:i/>
          <w:iCs/>
          <w:color w:val="000000" w:themeColor="text1"/>
          <w:sz w:val="20"/>
          <w:szCs w:val="20"/>
        </w:rPr>
        <w:t>sindical</w:t>
      </w:r>
      <w:proofErr w:type="spellEnd"/>
      <w:r w:rsidRPr="00D02D3C">
        <w:rPr>
          <w:rFonts w:asciiTheme="majorHAnsi" w:hAnsiTheme="majorHAnsi"/>
          <w:color w:val="000000" w:themeColor="text1"/>
          <w:sz w:val="20"/>
          <w:szCs w:val="20"/>
        </w:rPr>
        <w:t xml:space="preserve">) before the Seventh Labor Court of Cartagena, arguing that when she was removed from her position she was aspiring to become a director of the National Association of Officers and </w:t>
      </w:r>
      <w:r w:rsidRPr="00D02D3C">
        <w:rPr>
          <w:rFonts w:asciiTheme="majorHAnsi" w:hAnsiTheme="majorHAnsi"/>
          <w:color w:val="000000" w:themeColor="text1"/>
          <w:sz w:val="20"/>
          <w:szCs w:val="20"/>
        </w:rPr>
        <w:lastRenderedPageBreak/>
        <w:t>Employees of the Judicial Branch (</w:t>
      </w:r>
      <w:proofErr w:type="spellStart"/>
      <w:r w:rsidRPr="00D02D3C">
        <w:rPr>
          <w:rFonts w:asciiTheme="majorHAnsi" w:hAnsiTheme="majorHAnsi"/>
          <w:color w:val="000000" w:themeColor="text1"/>
          <w:sz w:val="20"/>
          <w:szCs w:val="20"/>
        </w:rPr>
        <w:t>Asociación</w:t>
      </w:r>
      <w:proofErr w:type="spellEnd"/>
      <w:r w:rsidRPr="00D02D3C">
        <w:rPr>
          <w:rFonts w:asciiTheme="majorHAnsi" w:hAnsiTheme="majorHAnsi"/>
          <w:color w:val="000000" w:themeColor="text1"/>
          <w:sz w:val="20"/>
          <w:szCs w:val="20"/>
        </w:rPr>
        <w:t xml:space="preserve"> Nacional de </w:t>
      </w:r>
      <w:proofErr w:type="spellStart"/>
      <w:r w:rsidRPr="00D02D3C">
        <w:rPr>
          <w:rFonts w:asciiTheme="majorHAnsi" w:hAnsiTheme="majorHAnsi"/>
          <w:color w:val="000000" w:themeColor="text1"/>
          <w:sz w:val="20"/>
          <w:szCs w:val="20"/>
        </w:rPr>
        <w:t>Funcionarios</w:t>
      </w:r>
      <w:proofErr w:type="spellEnd"/>
      <w:r w:rsidRPr="00D02D3C">
        <w:rPr>
          <w:rFonts w:asciiTheme="majorHAnsi" w:hAnsiTheme="majorHAnsi"/>
          <w:color w:val="000000" w:themeColor="text1"/>
          <w:sz w:val="20"/>
          <w:szCs w:val="20"/>
        </w:rPr>
        <w:t xml:space="preserve"> y </w:t>
      </w:r>
      <w:proofErr w:type="spellStart"/>
      <w:r w:rsidRPr="00D02D3C">
        <w:rPr>
          <w:rFonts w:asciiTheme="majorHAnsi" w:hAnsiTheme="majorHAnsi"/>
          <w:color w:val="000000" w:themeColor="text1"/>
          <w:sz w:val="20"/>
          <w:szCs w:val="20"/>
        </w:rPr>
        <w:t>Empleados</w:t>
      </w:r>
      <w:proofErr w:type="spellEnd"/>
      <w:r w:rsidRPr="00D02D3C">
        <w:rPr>
          <w:rFonts w:asciiTheme="majorHAnsi" w:hAnsiTheme="majorHAnsi"/>
          <w:color w:val="000000" w:themeColor="text1"/>
          <w:sz w:val="20"/>
          <w:szCs w:val="20"/>
        </w:rPr>
        <w:t xml:space="preserve"> de la Rama Judicial). She indicated that the Court ruled against her on December 13, 2006; accordingly, she appealed the ruling that same day, and the Superior Court of Bolívar, which heard the appeal, confirmed the judgment of first instance on December 22, 2010, four years after it was filed. </w:t>
      </w:r>
    </w:p>
    <w:p w14:paraId="5DB05757" w14:textId="77777777" w:rsidR="00D02D3C" w:rsidRPr="00D02D3C" w:rsidRDefault="00D02D3C" w:rsidP="00D02D3C">
      <w:pPr>
        <w:ind w:left="720"/>
        <w:rPr>
          <w:rFonts w:asciiTheme="majorHAnsi" w:eastAsia="Cambria" w:hAnsiTheme="majorHAnsi" w:cs="Cambria"/>
          <w:color w:val="000000" w:themeColor="text1"/>
          <w:sz w:val="20"/>
          <w:szCs w:val="20"/>
          <w:u w:color="000000"/>
          <w:lang w:eastAsia="es-ES"/>
        </w:rPr>
      </w:pPr>
    </w:p>
    <w:p w14:paraId="51139BE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sidRPr="00D02D3C">
        <w:rPr>
          <w:rFonts w:asciiTheme="majorHAnsi" w:hAnsiTheme="majorHAnsi"/>
          <w:color w:val="000000" w:themeColor="text1"/>
          <w:sz w:val="20"/>
          <w:szCs w:val="20"/>
        </w:rPr>
        <w:t xml:space="preserve">The petitioner further noted that she also filed two </w:t>
      </w:r>
      <w:proofErr w:type="spellStart"/>
      <w:r w:rsidRPr="00D02D3C">
        <w:rPr>
          <w:rFonts w:asciiTheme="majorHAnsi" w:hAnsiTheme="majorHAnsi"/>
          <w:i/>
          <w:iCs/>
          <w:color w:val="000000" w:themeColor="text1"/>
          <w:sz w:val="20"/>
          <w:szCs w:val="20"/>
        </w:rPr>
        <w:t>tutela</w:t>
      </w:r>
      <w:proofErr w:type="spellEnd"/>
      <w:r w:rsidRPr="00D02D3C">
        <w:rPr>
          <w:rFonts w:asciiTheme="majorHAnsi" w:hAnsiTheme="majorHAnsi"/>
          <w:color w:val="000000" w:themeColor="text1"/>
          <w:sz w:val="20"/>
          <w:szCs w:val="20"/>
        </w:rPr>
        <w:t xml:space="preserve"> actions. The first was before the Superior Court of the Judicial District of Cartagena, seeking protection of her right to association, right to work, and other rights, which was denied, as the Court considered that the petitioner was making use of a subsidiary mechanism without having exhausted the regular ones. She added that the ruling was upheld on appeal by the Supreme Court of Justice and that said decision was not selected for review by the Constitutional Court.</w:t>
      </w:r>
    </w:p>
    <w:p w14:paraId="78505A42"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3DA38D6A"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Theme="majorHAnsi" w:hAnsiTheme="majorHAnsi"/>
          <w:color w:val="000000" w:themeColor="text1"/>
          <w:sz w:val="20"/>
          <w:szCs w:val="20"/>
        </w:rPr>
        <w:t xml:space="preserve">As regards the second </w:t>
      </w:r>
      <w:proofErr w:type="spellStart"/>
      <w:r w:rsidRPr="00D02D3C">
        <w:rPr>
          <w:rFonts w:asciiTheme="majorHAnsi" w:hAnsiTheme="majorHAnsi"/>
          <w:i/>
          <w:iCs/>
          <w:color w:val="000000" w:themeColor="text1"/>
          <w:sz w:val="20"/>
          <w:szCs w:val="20"/>
        </w:rPr>
        <w:t>tutela</w:t>
      </w:r>
      <w:proofErr w:type="spellEnd"/>
      <w:r w:rsidRPr="00D02D3C">
        <w:rPr>
          <w:rFonts w:asciiTheme="majorHAnsi" w:hAnsiTheme="majorHAnsi"/>
          <w:color w:val="000000" w:themeColor="text1"/>
          <w:sz w:val="20"/>
          <w:szCs w:val="20"/>
        </w:rPr>
        <w:t>, she indicated that it was filed on July 12, 2005, before the Superior Judicial Council (</w:t>
      </w:r>
      <w:proofErr w:type="spellStart"/>
      <w:r w:rsidRPr="00D02D3C">
        <w:rPr>
          <w:rFonts w:ascii="Cambria" w:hAnsi="Cambria"/>
          <w:color w:val="000000" w:themeColor="text1"/>
          <w:sz w:val="20"/>
          <w:szCs w:val="20"/>
        </w:rPr>
        <w:t>Consejo</w:t>
      </w:r>
      <w:proofErr w:type="spellEnd"/>
      <w:r w:rsidRPr="00D02D3C">
        <w:rPr>
          <w:rFonts w:ascii="Cambria" w:hAnsi="Cambria"/>
          <w:color w:val="000000" w:themeColor="text1"/>
          <w:sz w:val="20"/>
          <w:szCs w:val="20"/>
        </w:rPr>
        <w:t xml:space="preserve"> Superior de la </w:t>
      </w:r>
      <w:proofErr w:type="spellStart"/>
      <w:r w:rsidRPr="00D02D3C">
        <w:rPr>
          <w:rFonts w:ascii="Cambria" w:hAnsi="Cambria"/>
          <w:color w:val="000000" w:themeColor="text1"/>
          <w:sz w:val="20"/>
          <w:szCs w:val="20"/>
        </w:rPr>
        <w:t>Judicatura</w:t>
      </w:r>
      <w:proofErr w:type="spellEnd"/>
      <w:r w:rsidRPr="00D02D3C">
        <w:rPr>
          <w:rFonts w:ascii="Cambria" w:hAnsi="Cambria"/>
          <w:color w:val="000000" w:themeColor="text1"/>
          <w:sz w:val="20"/>
          <w:szCs w:val="20"/>
        </w:rPr>
        <w:t>), Cartagena Section; in it she sought protection for her rights to due process, to equality, to the family, and to the vital minimum (</w:t>
      </w:r>
      <w:r w:rsidRPr="00D02D3C">
        <w:rPr>
          <w:rFonts w:ascii="Cambria" w:hAnsi="Cambria"/>
          <w:i/>
          <w:iCs/>
          <w:color w:val="000000" w:themeColor="text1"/>
          <w:sz w:val="20"/>
          <w:szCs w:val="20"/>
        </w:rPr>
        <w:t xml:space="preserve">el </w:t>
      </w:r>
      <w:proofErr w:type="spellStart"/>
      <w:r w:rsidRPr="00D02D3C">
        <w:rPr>
          <w:rFonts w:ascii="Cambria" w:hAnsi="Cambria"/>
          <w:i/>
          <w:iCs/>
          <w:color w:val="000000" w:themeColor="text1"/>
          <w:sz w:val="20"/>
          <w:szCs w:val="20"/>
        </w:rPr>
        <w:t>mínimo</w:t>
      </w:r>
      <w:proofErr w:type="spellEnd"/>
      <w:r w:rsidRPr="00D02D3C">
        <w:rPr>
          <w:rFonts w:ascii="Cambria" w:hAnsi="Cambria"/>
          <w:i/>
          <w:iCs/>
          <w:color w:val="000000" w:themeColor="text1"/>
          <w:sz w:val="20"/>
          <w:szCs w:val="20"/>
        </w:rPr>
        <w:t xml:space="preserve"> vital</w:t>
      </w:r>
      <w:r w:rsidRPr="00D02D3C">
        <w:rPr>
          <w:rFonts w:ascii="Cambria" w:hAnsi="Cambria"/>
          <w:color w:val="000000" w:themeColor="text1"/>
          <w:sz w:val="20"/>
          <w:szCs w:val="20"/>
        </w:rPr>
        <w:t xml:space="preserve">). She indicated that it was resolved in her favor in the first instance, as the Council considered that the lack of reasoning in the act that removed her from her position constituted a violation of due process. She indicated that nonetheless the ruling was challenged by the Office of Attorney General of the Nation and was overturned on appeal by the Superior Judicial Council of Bogotá, which found that the petitioner had already filed a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concerning the same facts, rights, and claims. She indicated that in contrast to the first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in the second she sought protection for the right to due process. </w:t>
      </w:r>
    </w:p>
    <w:p w14:paraId="4674E3AA"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0D4EC787" w14:textId="358C0198"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As regards the law, the petitioner argued that the State violated her </w:t>
      </w:r>
      <w:r w:rsidRPr="00D02D3C">
        <w:rPr>
          <w:rFonts w:ascii="Cambria" w:hAnsi="Cambria"/>
          <w:b/>
          <w:color w:val="000000" w:themeColor="text1"/>
          <w:sz w:val="20"/>
          <w:szCs w:val="20"/>
        </w:rPr>
        <w:t xml:space="preserve">right to judicial guarantees and to judicial protection. </w:t>
      </w:r>
      <w:r w:rsidRPr="00D02D3C">
        <w:rPr>
          <w:rFonts w:ascii="Cambria" w:hAnsi="Cambria"/>
          <w:color w:val="000000" w:themeColor="text1"/>
          <w:sz w:val="20"/>
          <w:szCs w:val="20"/>
        </w:rPr>
        <w:t xml:space="preserve">As for </w:t>
      </w:r>
      <w:r w:rsidRPr="00D02D3C">
        <w:rPr>
          <w:rFonts w:ascii="Cambria" w:hAnsi="Cambria"/>
          <w:b/>
          <w:color w:val="000000" w:themeColor="text1"/>
          <w:sz w:val="20"/>
          <w:szCs w:val="20"/>
        </w:rPr>
        <w:t xml:space="preserve">judicial guarantees, </w:t>
      </w:r>
      <w:r w:rsidRPr="00D02D3C">
        <w:rPr>
          <w:rFonts w:ascii="Cambria" w:hAnsi="Cambria"/>
          <w:color w:val="000000" w:themeColor="text1"/>
          <w:sz w:val="20"/>
          <w:szCs w:val="20"/>
        </w:rPr>
        <w:t>she noted that the duty to state the reasoning of the decision was violated because the act that declared that she was relieved of her duties as prosecutor was not explained, and that this was a guarantee to keep her from being dismisse</w:t>
      </w:r>
      <w:r w:rsidR="0069673C">
        <w:rPr>
          <w:rFonts w:ascii="Cambria" w:hAnsi="Cambria"/>
          <w:color w:val="000000" w:themeColor="text1"/>
          <w:sz w:val="20"/>
          <w:szCs w:val="20"/>
        </w:rPr>
        <w:t>d, in her provisional situation</w:t>
      </w:r>
      <w:r w:rsidRPr="00D02D3C">
        <w:rPr>
          <w:rFonts w:ascii="Cambria" w:hAnsi="Cambria"/>
          <w:color w:val="000000" w:themeColor="text1"/>
          <w:sz w:val="20"/>
          <w:szCs w:val="20"/>
        </w:rPr>
        <w:t xml:space="preserve">, as per the interests of whoever might be in power at a given moment, compromising the independence and impartiality of her function. </w:t>
      </w:r>
    </w:p>
    <w:p w14:paraId="2249468F"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70249E7C"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Moreover, she argued that the State violated the right to be heard within a reasonable time due to the unjustified delay of the Labor Chamber of the Superior Court of Bolívar in responding to the motion for appeal filed by the petitioner on December 13, 2006, which was resolved four days later, on September 22, 2010, even though it should have been resolved within five days under the applicable domestic legislation,. </w:t>
      </w:r>
    </w:p>
    <w:p w14:paraId="47E0E046"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1908C68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With respect to </w:t>
      </w:r>
      <w:r w:rsidRPr="00D02D3C">
        <w:rPr>
          <w:rFonts w:ascii="Cambria" w:hAnsi="Cambria"/>
          <w:b/>
          <w:color w:val="000000" w:themeColor="text1"/>
          <w:sz w:val="20"/>
          <w:szCs w:val="20"/>
        </w:rPr>
        <w:t>judicial protection</w:t>
      </w:r>
      <w:r w:rsidRPr="00D02D3C">
        <w:rPr>
          <w:rFonts w:ascii="Cambria" w:hAnsi="Cambria"/>
          <w:color w:val="000000" w:themeColor="text1"/>
          <w:sz w:val="20"/>
          <w:szCs w:val="20"/>
        </w:rPr>
        <w:t xml:space="preserve">, she indicated that the State violated this right because she did not have an adequate and effective judicial mechanism for challenging the decision that removed her from her position as prosecutor without any explanation. She added that even though the Colombian Constitutional Court has indicated that the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is an adequate remedy for resolving the petitioner’s legal situation, the judges who heard the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actions did not follow that precedent and rendered the remedy ineffective. </w:t>
      </w:r>
    </w:p>
    <w:p w14:paraId="00B6095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6291C4BE" w14:textId="77777777" w:rsidR="00D02D3C" w:rsidRPr="00D02D3C" w:rsidRDefault="00D02D3C" w:rsidP="000A566E">
      <w:pPr>
        <w:keepNex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hanging="810"/>
        <w:jc w:val="both"/>
        <w:outlineLvl w:val="1"/>
        <w:rPr>
          <w:rFonts w:asciiTheme="majorHAnsi" w:eastAsia="Times New Roman" w:hAnsiTheme="majorHAnsi"/>
          <w:b/>
          <w:sz w:val="20"/>
          <w:szCs w:val="20"/>
          <w:bdr w:val="none" w:sz="0" w:space="0" w:color="auto"/>
        </w:rPr>
      </w:pPr>
      <w:bookmarkStart w:id="21" w:name="_Toc522484030"/>
      <w:bookmarkStart w:id="22" w:name="_Toc523998349"/>
      <w:r w:rsidRPr="00D02D3C">
        <w:rPr>
          <w:rFonts w:asciiTheme="majorHAnsi" w:eastAsia="Times New Roman" w:hAnsiTheme="majorHAnsi"/>
          <w:b/>
          <w:sz w:val="20"/>
          <w:szCs w:val="20"/>
          <w:bdr w:val="none" w:sz="0" w:space="0" w:color="auto"/>
        </w:rPr>
        <w:t>The State</w:t>
      </w:r>
      <w:bookmarkEnd w:id="21"/>
      <w:bookmarkEnd w:id="22"/>
      <w:r w:rsidRPr="00D02D3C">
        <w:rPr>
          <w:rFonts w:asciiTheme="majorHAnsi" w:eastAsia="Times New Roman" w:hAnsiTheme="majorHAnsi"/>
          <w:b/>
          <w:sz w:val="20"/>
          <w:szCs w:val="20"/>
          <w:bdr w:val="none" w:sz="0" w:space="0" w:color="auto"/>
        </w:rPr>
        <w:t xml:space="preserve"> </w:t>
      </w:r>
    </w:p>
    <w:p w14:paraId="0D35A151"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14:paraId="5D7A5BC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The State indicated that by Decision No 9 of March 9, 1992 the Superior Court of Bolívar designated the petitioner as the 13</w:t>
      </w:r>
      <w:r w:rsidRPr="00D02D3C">
        <w:rPr>
          <w:rFonts w:ascii="Cambria" w:hAnsi="Cambria"/>
          <w:color w:val="000000" w:themeColor="text1"/>
          <w:sz w:val="20"/>
          <w:szCs w:val="20"/>
          <w:vertAlign w:val="superscript"/>
        </w:rPr>
        <w:t>th</w:t>
      </w:r>
      <w:r w:rsidRPr="00D02D3C">
        <w:rPr>
          <w:rFonts w:ascii="Cambria" w:hAnsi="Cambria"/>
          <w:color w:val="000000" w:themeColor="text1"/>
          <w:sz w:val="20"/>
          <w:szCs w:val="20"/>
        </w:rPr>
        <w:t xml:space="preserve"> Judge of Criminal Investigation, and subsequently she was designated by the Office of the Attorney General as Sectional Prosecutor. It noted that on February 9, 2002 she was appointed as Sectional Prosecutor No. 16.</w:t>
      </w:r>
    </w:p>
    <w:p w14:paraId="3A1F690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620C66C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It noted that on October 29, 2004, the Office of the Attorney General handed down a resolution ordering the petitioner’s transfer, due to needs of the service, to the Sectional Unit of Prosecutors of Providencia, as of November 2, 2004. It added that on that same date the Attorney General of the Nation issued a resolution relieving her of her duties as Sectional Prosecutor No. 16, effective November 4, 2004.  </w:t>
      </w:r>
    </w:p>
    <w:p w14:paraId="10CF3C68"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794D150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The State further indicated that the petitioner filed an initial </w:t>
      </w:r>
      <w:proofErr w:type="spellStart"/>
      <w:r w:rsidRPr="00D02D3C">
        <w:rPr>
          <w:rFonts w:ascii="Cambria" w:hAnsi="Cambria"/>
          <w:color w:val="000000" w:themeColor="text1"/>
          <w:sz w:val="20"/>
          <w:szCs w:val="20"/>
        </w:rPr>
        <w:t>tutela</w:t>
      </w:r>
      <w:proofErr w:type="spellEnd"/>
      <w:r w:rsidRPr="00D02D3C">
        <w:rPr>
          <w:rFonts w:ascii="Cambria" w:hAnsi="Cambria"/>
          <w:color w:val="000000" w:themeColor="text1"/>
          <w:sz w:val="20"/>
          <w:szCs w:val="20"/>
        </w:rPr>
        <w:t xml:space="preserve"> action before the Superior Court of the Judicial District of Cartagena, seeking protection for her right to work, right to freedom of association, and other rights, and that it was denied on February 25, 2005, considering that there were other means for annulling the administrative act. It added that the decision was challenged by the petitioner, but the Supreme Court of Justice upheld the decision of first instance. </w:t>
      </w:r>
    </w:p>
    <w:p w14:paraId="1D2CB70A"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14:paraId="5776BA19"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It indicated that on July 12, 2005 the petitioner filed an Action for Nullity of the Administrative Act and reestablishment of the right, in opposition to the resolution relieving her of her duties, and on October 4, 2005, the Administrative Tribunal of Cartagena rejected the action on grounds that it was time-barred.  </w:t>
      </w:r>
    </w:p>
    <w:p w14:paraId="00CE2528"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7F741B5C"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The State said that in July 2005, the petitioner filed a second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before the Sectional Judicial Council of Bolívar to protect her right to due process and other rights, based on the argument that the decision that declared she was relieved of her duties did not state its reasoning.  It indicated that in the first instance the Council ruled in favor of the petitioner, thus she was provisionally reinstated, but that on September 7, 2005, the Superior Judicial Council overturned the ruling on first instance, considering that the petitioner had previously filed a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for the same facts and claims. </w:t>
      </w:r>
    </w:p>
    <w:p w14:paraId="244AA298"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5E4C5E22"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It stated that on February 24, 2005, the petitioner filed a trade union action before the Seventh Labor Court of Cartagena, which denied the action on considering that the petitioner could not bring a claim in the trade union jurisdiction in view of her status as a Delegate Prosecutor. It further indicated that on January 26, 2007 the petitioner appealed that decision, and that the appeal was dismissed by the Superior Court of Cartagena on September 22, 2010, affirming the judgment of first instance. The State indicated that the duration of the proceeding meets the standard of reasonable time, in view of the number of matters before that Court. </w:t>
      </w:r>
    </w:p>
    <w:p w14:paraId="32C4320B"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2BC094DB"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The State said that the Attorney General of the Nation has the power to remove, at his or her discretion, the officials appointed on a provisional basis, that such acts do not need to state the reasoning, and that they are presumed to be legal. It noted that the presumption of legality may be refuted by the official affected, who may bring an action for nullity of the administrative act before administrative jurisdiction in cases of abuse of authority when the official considers that he or she was removed for reasons other than to guarantee a good service. It added that the alleged victim never proved that she was removed in an act involving abuse of authority in retaliation for her actions in the criminal proceeding against the Secretary of the Regional Autonomous Corporation of the Canal del </w:t>
      </w:r>
      <w:proofErr w:type="spellStart"/>
      <w:r w:rsidRPr="00D02D3C">
        <w:rPr>
          <w:rFonts w:ascii="Cambria" w:hAnsi="Cambria"/>
          <w:color w:val="000000" w:themeColor="text1"/>
          <w:sz w:val="20"/>
          <w:szCs w:val="20"/>
        </w:rPr>
        <w:t>Dique</w:t>
      </w:r>
      <w:proofErr w:type="spellEnd"/>
      <w:r w:rsidRPr="00D02D3C">
        <w:rPr>
          <w:rFonts w:ascii="Cambria" w:hAnsi="Cambria"/>
          <w:color w:val="000000" w:themeColor="text1"/>
          <w:sz w:val="20"/>
          <w:szCs w:val="20"/>
        </w:rPr>
        <w:t>.</w:t>
      </w:r>
    </w:p>
    <w:p w14:paraId="161B6CA1"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3523128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b/>
          <w:color w:val="000000" w:themeColor="text1"/>
          <w:sz w:val="20"/>
          <w:szCs w:val="20"/>
        </w:rPr>
      </w:pPr>
      <w:r w:rsidRPr="00D02D3C">
        <w:rPr>
          <w:rFonts w:ascii="Cambria" w:hAnsi="Cambria"/>
          <w:color w:val="000000" w:themeColor="text1"/>
          <w:sz w:val="20"/>
          <w:szCs w:val="20"/>
        </w:rPr>
        <w:t xml:space="preserve">As regards the law, the State indicated that it did not </w:t>
      </w:r>
      <w:proofErr w:type="gramStart"/>
      <w:r w:rsidRPr="00D02D3C">
        <w:rPr>
          <w:rFonts w:ascii="Cambria" w:hAnsi="Cambria"/>
          <w:color w:val="000000" w:themeColor="text1"/>
          <w:sz w:val="20"/>
          <w:szCs w:val="20"/>
        </w:rPr>
        <w:t>violated</w:t>
      </w:r>
      <w:proofErr w:type="gramEnd"/>
      <w:r w:rsidRPr="00D02D3C">
        <w:rPr>
          <w:rFonts w:ascii="Cambria" w:hAnsi="Cambria"/>
          <w:color w:val="000000" w:themeColor="text1"/>
          <w:sz w:val="20"/>
          <w:szCs w:val="20"/>
        </w:rPr>
        <w:t xml:space="preserve"> the </w:t>
      </w:r>
      <w:r w:rsidRPr="00D02D3C">
        <w:rPr>
          <w:rFonts w:ascii="Cambria" w:hAnsi="Cambria"/>
          <w:b/>
          <w:color w:val="000000" w:themeColor="text1"/>
          <w:sz w:val="20"/>
          <w:szCs w:val="20"/>
        </w:rPr>
        <w:t xml:space="preserve">rights to judicial guarantees and judicial protection. </w:t>
      </w:r>
      <w:r w:rsidRPr="00D02D3C">
        <w:rPr>
          <w:rFonts w:ascii="Cambria" w:hAnsi="Cambria"/>
          <w:color w:val="000000" w:themeColor="text1"/>
          <w:sz w:val="20"/>
          <w:szCs w:val="20"/>
        </w:rPr>
        <w:t xml:space="preserve">It argued that the action for nullity and reestablishment of the right was an adequate and effective remedy that made it possible to review the legality of the administrative act that removed the petitioner, yet that action was rejected in the instant case because it was filed several months after the term established by law. </w:t>
      </w:r>
    </w:p>
    <w:p w14:paraId="1D8A0402" w14:textId="77777777" w:rsidR="00D02D3C" w:rsidRPr="00D02D3C" w:rsidRDefault="00D02D3C" w:rsidP="00D02D3C">
      <w:pPr>
        <w:ind w:left="720"/>
        <w:rPr>
          <w:rFonts w:ascii="Cambria" w:eastAsia="Cambria" w:hAnsi="Cambria" w:cs="Cambria"/>
          <w:b/>
          <w:color w:val="000000" w:themeColor="text1"/>
          <w:sz w:val="20"/>
          <w:szCs w:val="20"/>
          <w:u w:color="000000"/>
          <w:lang w:eastAsia="es-ES"/>
        </w:rPr>
      </w:pPr>
    </w:p>
    <w:p w14:paraId="52C8811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Moreover, it indicated that the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may go forward when what one seeks is the reasoning of the administrative act, yet it is not suitable for attaining reinstatement or the payment of benefits for the official concerned, which was what the petitioner was seeking with her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actions. In this regard, it explained that the first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 was denied, as it was considered that inappropriate use was being made of said remedy. </w:t>
      </w:r>
    </w:p>
    <w:p w14:paraId="710D2A51"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211D52E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sidRPr="00D02D3C">
        <w:rPr>
          <w:rFonts w:ascii="Cambria" w:hAnsi="Cambria"/>
          <w:color w:val="000000" w:themeColor="text1"/>
          <w:sz w:val="20"/>
          <w:szCs w:val="20"/>
        </w:rPr>
        <w:t xml:space="preserve">In addition, it argued that the Superior Judicial Council denied the second </w:t>
      </w:r>
      <w:proofErr w:type="spellStart"/>
      <w:r w:rsidRPr="00D02D3C">
        <w:rPr>
          <w:rFonts w:ascii="Cambria" w:hAnsi="Cambria"/>
          <w:color w:val="000000" w:themeColor="text1"/>
          <w:sz w:val="20"/>
          <w:szCs w:val="20"/>
        </w:rPr>
        <w:t>tutela</w:t>
      </w:r>
      <w:proofErr w:type="spellEnd"/>
      <w:r w:rsidRPr="00D02D3C">
        <w:rPr>
          <w:rFonts w:ascii="Cambria" w:hAnsi="Cambria"/>
          <w:color w:val="000000" w:themeColor="text1"/>
          <w:sz w:val="20"/>
          <w:szCs w:val="20"/>
        </w:rPr>
        <w:t xml:space="preserve"> action since it was based on the same facts and put forth the same claims. It added that arguing violation of the right to due process did not break the identity between the two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actions.  </w:t>
      </w:r>
    </w:p>
    <w:p w14:paraId="7D020390" w14:textId="77777777" w:rsidR="00D02D3C" w:rsidRPr="00D02D3C" w:rsidRDefault="00D02D3C" w:rsidP="00D02D3C">
      <w:pPr>
        <w:ind w:left="720"/>
        <w:rPr>
          <w:rFonts w:ascii="Cambria" w:eastAsia="Cambria" w:hAnsi="Cambria" w:cs="Cambria"/>
          <w:color w:val="000000" w:themeColor="text1"/>
          <w:sz w:val="20"/>
          <w:szCs w:val="20"/>
          <w:u w:color="000000"/>
          <w:lang w:eastAsia="es-ES"/>
        </w:rPr>
      </w:pPr>
    </w:p>
    <w:p w14:paraId="514FAC7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libri" w:hAnsi="Cambria"/>
          <w:sz w:val="20"/>
          <w:szCs w:val="20"/>
          <w:bdr w:val="none" w:sz="0" w:space="0" w:color="auto"/>
        </w:rPr>
      </w:pPr>
      <w:r w:rsidRPr="00D02D3C">
        <w:rPr>
          <w:rFonts w:ascii="Cambria" w:hAnsi="Cambria"/>
          <w:color w:val="000000" w:themeColor="text1"/>
          <w:sz w:val="20"/>
          <w:szCs w:val="20"/>
        </w:rPr>
        <w:lastRenderedPageBreak/>
        <w:t xml:space="preserve">The State concluded by indicating that the alleged victim had adequate and effective remedies by which she obtained an in-depth study and expeditious responses to her claims, in keeping with the national legislation. </w:t>
      </w:r>
    </w:p>
    <w:p w14:paraId="789916F1" w14:textId="77777777" w:rsidR="00D02D3C" w:rsidRPr="00D02D3C" w:rsidRDefault="00D02D3C" w:rsidP="00D02D3C">
      <w:pPr>
        <w:rPr>
          <w:rFonts w:asciiTheme="majorHAnsi" w:eastAsia="Times New Roman" w:hAnsiTheme="majorHAnsi"/>
          <w:sz w:val="20"/>
          <w:szCs w:val="20"/>
          <w:bdr w:val="none" w:sz="0" w:space="0" w:color="auto"/>
        </w:rPr>
      </w:pPr>
    </w:p>
    <w:p w14:paraId="24120C18" w14:textId="77777777" w:rsidR="00D02D3C" w:rsidRPr="00D02D3C" w:rsidRDefault="00D02D3C" w:rsidP="000A566E">
      <w:pPr>
        <w:keepNex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hanging="810"/>
        <w:outlineLvl w:val="0"/>
        <w:rPr>
          <w:rFonts w:asciiTheme="majorHAnsi" w:eastAsia="Times New Roman" w:hAnsiTheme="majorHAnsi"/>
          <w:b/>
          <w:sz w:val="20"/>
          <w:szCs w:val="20"/>
          <w:bdr w:val="none" w:sz="0" w:space="0" w:color="auto"/>
        </w:rPr>
      </w:pPr>
      <w:bookmarkStart w:id="23" w:name="_Toc522484031"/>
      <w:bookmarkStart w:id="24" w:name="_Toc523998350"/>
      <w:bookmarkStart w:id="25" w:name="_Toc370840748"/>
      <w:bookmarkStart w:id="26" w:name="_Toc370840844"/>
      <w:bookmarkStart w:id="27" w:name="_Toc423514410"/>
      <w:bookmarkStart w:id="28" w:name="_Toc433115986"/>
      <w:bookmarkStart w:id="29" w:name="_Toc444958129"/>
      <w:bookmarkStart w:id="30" w:name="_Toc479004114"/>
      <w:bookmarkStart w:id="31" w:name="_Toc491078411"/>
      <w:r w:rsidRPr="00D02D3C">
        <w:rPr>
          <w:rFonts w:asciiTheme="majorHAnsi" w:eastAsia="Times New Roman" w:hAnsiTheme="majorHAnsi"/>
          <w:b/>
          <w:sz w:val="20"/>
          <w:szCs w:val="20"/>
          <w:bdr w:val="none" w:sz="0" w:space="0" w:color="auto"/>
        </w:rPr>
        <w:t>FACTS PROVEN</w:t>
      </w:r>
      <w:bookmarkEnd w:id="23"/>
      <w:bookmarkEnd w:id="24"/>
      <w:r w:rsidRPr="00D02D3C">
        <w:rPr>
          <w:rFonts w:asciiTheme="majorHAnsi" w:eastAsia="Times New Roman" w:hAnsiTheme="majorHAnsi"/>
          <w:b/>
          <w:sz w:val="20"/>
          <w:szCs w:val="20"/>
          <w:bdr w:val="none" w:sz="0" w:space="0" w:color="auto"/>
        </w:rPr>
        <w:t xml:space="preserve"> </w:t>
      </w:r>
      <w:bookmarkStart w:id="32" w:name="_Toc491078412"/>
      <w:bookmarkEnd w:id="25"/>
      <w:bookmarkEnd w:id="26"/>
      <w:bookmarkEnd w:id="27"/>
      <w:bookmarkEnd w:id="28"/>
      <w:bookmarkEnd w:id="29"/>
      <w:bookmarkEnd w:id="30"/>
      <w:bookmarkEnd w:id="31"/>
    </w:p>
    <w:bookmarkEnd w:id="32"/>
    <w:p w14:paraId="6366C7F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9122100" w14:textId="77777777" w:rsidR="00D02D3C" w:rsidRPr="00D02D3C" w:rsidRDefault="00D02D3C" w:rsidP="000A566E">
      <w:pPr>
        <w:keepNex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hanging="810"/>
        <w:jc w:val="both"/>
        <w:outlineLvl w:val="1"/>
        <w:rPr>
          <w:rFonts w:asciiTheme="majorHAnsi" w:eastAsia="Times New Roman" w:hAnsiTheme="majorHAnsi"/>
          <w:b/>
          <w:sz w:val="20"/>
          <w:szCs w:val="20"/>
          <w:bdr w:val="none" w:sz="0" w:space="0" w:color="auto"/>
        </w:rPr>
      </w:pPr>
      <w:bookmarkStart w:id="33" w:name="_Toc522484032"/>
      <w:bookmarkStart w:id="34" w:name="_Toc523998351"/>
      <w:r w:rsidRPr="00D02D3C">
        <w:rPr>
          <w:rFonts w:asciiTheme="majorHAnsi" w:eastAsia="Times New Roman" w:hAnsiTheme="majorHAnsi"/>
          <w:b/>
          <w:sz w:val="20"/>
          <w:szCs w:val="20"/>
          <w:bdr w:val="none" w:sz="0" w:space="0" w:color="auto"/>
        </w:rPr>
        <w:t>Appointment</w:t>
      </w:r>
      <w:bookmarkEnd w:id="33"/>
      <w:bookmarkEnd w:id="34"/>
      <w:r w:rsidRPr="00D02D3C">
        <w:rPr>
          <w:rFonts w:asciiTheme="majorHAnsi" w:eastAsia="Times New Roman" w:hAnsiTheme="majorHAnsi"/>
          <w:b/>
          <w:sz w:val="20"/>
          <w:szCs w:val="20"/>
          <w:bdr w:val="none" w:sz="0" w:space="0" w:color="auto"/>
        </w:rPr>
        <w:t xml:space="preserve"> </w:t>
      </w:r>
    </w:p>
    <w:p w14:paraId="4788E7C6" w14:textId="77777777" w:rsidR="00D02D3C" w:rsidRPr="00D02D3C" w:rsidRDefault="00D02D3C" w:rsidP="00D02D3C"/>
    <w:p w14:paraId="6A306A9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pPr>
      <w:r w:rsidRPr="00D02D3C">
        <w:rPr>
          <w:rFonts w:ascii="Cambria" w:hAnsi="Cambria"/>
          <w:sz w:val="20"/>
          <w:szCs w:val="20"/>
        </w:rPr>
        <w:t xml:space="preserve">As appears in the record, on March 12, 1992 the Superior Court of the Judicial District of Cartagena designated </w:t>
      </w:r>
      <w:proofErr w:type="spellStart"/>
      <w:r w:rsidRPr="00D02D3C">
        <w:rPr>
          <w:rFonts w:ascii="Cambria" w:hAnsi="Cambria"/>
          <w:sz w:val="20"/>
          <w:szCs w:val="20"/>
        </w:rPr>
        <w:t>Yenina</w:t>
      </w:r>
      <w:proofErr w:type="spellEnd"/>
      <w:r w:rsidRPr="00D02D3C">
        <w:rPr>
          <w:rFonts w:ascii="Cambria" w:hAnsi="Cambria"/>
          <w:sz w:val="20"/>
          <w:szCs w:val="20"/>
        </w:rPr>
        <w:t xml:space="preserve">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by 10 votes, as the 13</w:t>
      </w:r>
      <w:r w:rsidRPr="00D02D3C">
        <w:rPr>
          <w:rFonts w:ascii="Cambria" w:hAnsi="Cambria"/>
          <w:sz w:val="20"/>
          <w:szCs w:val="20"/>
          <w:vertAlign w:val="superscript"/>
        </w:rPr>
        <w:t>th</w:t>
      </w:r>
      <w:r w:rsidRPr="00D02D3C">
        <w:rPr>
          <w:rFonts w:ascii="Cambria" w:hAnsi="Cambria"/>
          <w:sz w:val="20"/>
          <w:szCs w:val="20"/>
        </w:rPr>
        <w:t xml:space="preserve"> Judge of Criminal Investigation of </w:t>
      </w:r>
      <w:proofErr w:type="spellStart"/>
      <w:r w:rsidRPr="00D02D3C">
        <w:rPr>
          <w:rFonts w:ascii="Cambria" w:hAnsi="Cambria"/>
          <w:sz w:val="20"/>
          <w:szCs w:val="20"/>
        </w:rPr>
        <w:t>Mompox</w:t>
      </w:r>
      <w:proofErr w:type="spellEnd"/>
      <w:r w:rsidRPr="00D02D3C">
        <w:rPr>
          <w:rFonts w:ascii="Cambria" w:hAnsi="Cambria"/>
          <w:sz w:val="20"/>
          <w:szCs w:val="20"/>
        </w:rPr>
        <w:t>, on a provisional basis. The resolution indicated that “Ms. YENINA MARTÍNEZ ESQUIVIA Esq. is put in charge of the 13</w:t>
      </w:r>
      <w:r w:rsidRPr="00D02D3C">
        <w:rPr>
          <w:rFonts w:ascii="Cambria" w:hAnsi="Cambria"/>
          <w:sz w:val="20"/>
          <w:szCs w:val="20"/>
          <w:vertAlign w:val="superscript"/>
        </w:rPr>
        <w:t>th</w:t>
      </w:r>
      <w:r w:rsidRPr="00D02D3C">
        <w:rPr>
          <w:rFonts w:ascii="Cambria" w:hAnsi="Cambria"/>
          <w:sz w:val="20"/>
          <w:szCs w:val="20"/>
        </w:rPr>
        <w:t xml:space="preserve"> Court of Criminal Instruction, situated in </w:t>
      </w:r>
      <w:proofErr w:type="spellStart"/>
      <w:r w:rsidRPr="00D02D3C">
        <w:rPr>
          <w:rFonts w:ascii="Cambria" w:hAnsi="Cambria"/>
          <w:sz w:val="20"/>
          <w:szCs w:val="20"/>
        </w:rPr>
        <w:t>Mompox</w:t>
      </w:r>
      <w:proofErr w:type="spellEnd"/>
      <w:r w:rsidRPr="00D02D3C">
        <w:rPr>
          <w:rFonts w:ascii="Cambria" w:hAnsi="Cambria"/>
          <w:sz w:val="20"/>
          <w:szCs w:val="20"/>
        </w:rPr>
        <w:t>, while she submits the documentation for confirmation of the position.”</w:t>
      </w:r>
      <w:r w:rsidRPr="00D02D3C">
        <w:rPr>
          <w:rFonts w:asciiTheme="majorHAnsi" w:hAnsiTheme="majorHAnsi"/>
          <w:sz w:val="20"/>
          <w:szCs w:val="20"/>
          <w:vertAlign w:val="superscript"/>
        </w:rPr>
        <w:footnoteReference w:id="4"/>
      </w:r>
    </w:p>
    <w:p w14:paraId="5E7751D7"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228B9D8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On July 1, 1992, the Office of the Sectional Director of Prosecutors of Cartagena assigned the alleged victim, “currently the 13</w:t>
      </w:r>
      <w:r w:rsidRPr="00D02D3C">
        <w:rPr>
          <w:rFonts w:ascii="Cambria" w:hAnsi="Cambria"/>
          <w:sz w:val="20"/>
          <w:szCs w:val="20"/>
          <w:vertAlign w:val="superscript"/>
        </w:rPr>
        <w:t>th</w:t>
      </w:r>
      <w:r w:rsidRPr="00D02D3C">
        <w:rPr>
          <w:rFonts w:ascii="Cambria" w:hAnsi="Cambria"/>
          <w:sz w:val="20"/>
          <w:szCs w:val="20"/>
        </w:rPr>
        <w:t xml:space="preserve"> Judge of Criminal Instruction, Grade 17, to the position of Sectional Prosecutor Grade 18 in </w:t>
      </w:r>
      <w:proofErr w:type="spellStart"/>
      <w:r w:rsidRPr="00D02D3C">
        <w:rPr>
          <w:rFonts w:ascii="Cambria" w:hAnsi="Cambria"/>
          <w:sz w:val="20"/>
          <w:szCs w:val="20"/>
        </w:rPr>
        <w:t>Mompox</w:t>
      </w:r>
      <w:proofErr w:type="spellEnd"/>
      <w:r w:rsidRPr="00D02D3C">
        <w:rPr>
          <w:rFonts w:ascii="Cambria" w:hAnsi="Cambria"/>
          <w:sz w:val="20"/>
          <w:szCs w:val="20"/>
        </w:rPr>
        <w:t xml:space="preserve"> (Bolívar).”</w:t>
      </w:r>
      <w:r w:rsidRPr="00D02D3C">
        <w:rPr>
          <w:rFonts w:asciiTheme="majorHAnsi" w:hAnsiTheme="majorHAnsi"/>
          <w:sz w:val="20"/>
          <w:szCs w:val="20"/>
          <w:vertAlign w:val="superscript"/>
        </w:rPr>
        <w:footnoteReference w:id="5"/>
      </w:r>
      <w:r w:rsidRPr="00D02D3C">
        <w:rPr>
          <w:rFonts w:ascii="Cambria" w:hAnsi="Cambria"/>
          <w:sz w:val="20"/>
          <w:szCs w:val="20"/>
        </w:rPr>
        <w:t xml:space="preserve"> The Commission underscores that said resolution does not indicate the type of appointment nor its conditions. </w:t>
      </w:r>
    </w:p>
    <w:p w14:paraId="6126A6D2" w14:textId="77777777" w:rsidR="00D02D3C" w:rsidRPr="00D02D3C" w:rsidRDefault="00D02D3C" w:rsidP="00D02D3C">
      <w:pPr>
        <w:ind w:left="720"/>
        <w:rPr>
          <w:rFonts w:ascii="Cambria" w:eastAsia="Cambria" w:hAnsi="Cambria" w:cs="Cambria"/>
          <w:color w:val="000000"/>
          <w:sz w:val="20"/>
          <w:szCs w:val="20"/>
          <w:u w:color="000000"/>
          <w:lang w:eastAsia="es-ES"/>
        </w:rPr>
      </w:pPr>
    </w:p>
    <w:p w14:paraId="22DAA64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On September 28, 1992 the Sectional Director of Prosecutors ruled to transfer the alleged victim, Sectional Prosecutor 25 based on </w:t>
      </w:r>
      <w:proofErr w:type="spellStart"/>
      <w:r w:rsidRPr="00D02D3C">
        <w:rPr>
          <w:rFonts w:ascii="Cambria" w:hAnsi="Cambria"/>
          <w:sz w:val="20"/>
          <w:szCs w:val="20"/>
        </w:rPr>
        <w:t>Mompox</w:t>
      </w:r>
      <w:proofErr w:type="spellEnd"/>
      <w:r w:rsidRPr="00D02D3C">
        <w:rPr>
          <w:rFonts w:ascii="Cambria" w:hAnsi="Cambria"/>
          <w:sz w:val="20"/>
          <w:szCs w:val="20"/>
        </w:rPr>
        <w:t xml:space="preserve"> to the Unit of Prosecutors of El Carmen de Bolívar, taking into account the alleged victim’s request, for family reasons, “since it is quite far from her family.”</w:t>
      </w:r>
      <w:r w:rsidRPr="00D02D3C">
        <w:rPr>
          <w:rFonts w:asciiTheme="majorHAnsi" w:hAnsiTheme="majorHAnsi"/>
          <w:sz w:val="20"/>
          <w:szCs w:val="20"/>
          <w:vertAlign w:val="superscript"/>
        </w:rPr>
        <w:footnoteReference w:id="6"/>
      </w:r>
      <w:r w:rsidRPr="00D02D3C">
        <w:rPr>
          <w:rFonts w:ascii="Cambria" w:hAnsi="Cambria"/>
          <w:sz w:val="20"/>
          <w:szCs w:val="20"/>
        </w:rPr>
        <w:t xml:space="preserve">  </w:t>
      </w:r>
    </w:p>
    <w:p w14:paraId="3929990E" w14:textId="77777777" w:rsidR="00D02D3C" w:rsidRPr="00D02D3C" w:rsidRDefault="00D02D3C" w:rsidP="00D02D3C">
      <w:pPr>
        <w:ind w:left="720"/>
        <w:rPr>
          <w:rFonts w:ascii="Cambria" w:eastAsia="Cambria" w:hAnsi="Cambria" w:cs="Cambria"/>
          <w:color w:val="000000"/>
          <w:sz w:val="20"/>
          <w:szCs w:val="20"/>
          <w:u w:color="000000"/>
          <w:lang w:eastAsia="es-ES"/>
        </w:rPr>
      </w:pPr>
    </w:p>
    <w:p w14:paraId="0BE18ED2"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In 1996 the Office of the Administrative and Financial Sectional Bureau of the Office of the Attorney General of the Nation ruled to transfer the alleged victim to the Specialized Unit of Crimes against Economic Property (</w:t>
      </w:r>
      <w:proofErr w:type="spellStart"/>
      <w:r w:rsidRPr="00D02D3C">
        <w:rPr>
          <w:rFonts w:ascii="Cambria" w:hAnsi="Cambria"/>
          <w:sz w:val="20"/>
          <w:szCs w:val="20"/>
        </w:rPr>
        <w:t>Unidad</w:t>
      </w:r>
      <w:proofErr w:type="spellEnd"/>
      <w:r w:rsidRPr="00D02D3C">
        <w:rPr>
          <w:rFonts w:ascii="Cambria" w:hAnsi="Cambria"/>
          <w:sz w:val="20"/>
          <w:szCs w:val="20"/>
        </w:rPr>
        <w:t xml:space="preserve"> </w:t>
      </w:r>
      <w:proofErr w:type="spellStart"/>
      <w:r w:rsidRPr="00D02D3C">
        <w:rPr>
          <w:rFonts w:ascii="Cambria" w:hAnsi="Cambria"/>
          <w:sz w:val="20"/>
          <w:szCs w:val="20"/>
        </w:rPr>
        <w:t>Especializada</w:t>
      </w:r>
      <w:proofErr w:type="spellEnd"/>
      <w:r w:rsidRPr="00D02D3C">
        <w:rPr>
          <w:rFonts w:ascii="Cambria" w:hAnsi="Cambria"/>
          <w:sz w:val="20"/>
          <w:szCs w:val="20"/>
        </w:rPr>
        <w:t xml:space="preserve"> de </w:t>
      </w:r>
      <w:proofErr w:type="spellStart"/>
      <w:r w:rsidRPr="00D02D3C">
        <w:rPr>
          <w:rFonts w:ascii="Cambria" w:hAnsi="Cambria"/>
          <w:sz w:val="20"/>
          <w:szCs w:val="20"/>
        </w:rPr>
        <w:t>Delitos</w:t>
      </w:r>
      <w:proofErr w:type="spellEnd"/>
      <w:r w:rsidRPr="00D02D3C">
        <w:rPr>
          <w:rFonts w:ascii="Cambria" w:hAnsi="Cambria"/>
          <w:sz w:val="20"/>
          <w:szCs w:val="20"/>
        </w:rPr>
        <w:t xml:space="preserve"> contra el </w:t>
      </w:r>
      <w:proofErr w:type="spellStart"/>
      <w:r w:rsidRPr="00D02D3C">
        <w:rPr>
          <w:rFonts w:ascii="Cambria" w:hAnsi="Cambria"/>
          <w:sz w:val="20"/>
          <w:szCs w:val="20"/>
        </w:rPr>
        <w:t>Patrimonio</w:t>
      </w:r>
      <w:proofErr w:type="spellEnd"/>
      <w:r w:rsidRPr="00D02D3C">
        <w:rPr>
          <w:rFonts w:ascii="Cambria" w:hAnsi="Cambria"/>
          <w:sz w:val="20"/>
          <w:szCs w:val="20"/>
        </w:rPr>
        <w:t xml:space="preserve"> </w:t>
      </w:r>
      <w:proofErr w:type="spellStart"/>
      <w:r w:rsidRPr="00D02D3C">
        <w:rPr>
          <w:rFonts w:ascii="Cambria" w:hAnsi="Cambria"/>
          <w:sz w:val="20"/>
          <w:szCs w:val="20"/>
        </w:rPr>
        <w:t>Económico</w:t>
      </w:r>
      <w:proofErr w:type="spellEnd"/>
      <w:r w:rsidRPr="00D02D3C">
        <w:rPr>
          <w:rFonts w:ascii="Cambria" w:hAnsi="Cambria"/>
          <w:sz w:val="20"/>
          <w:szCs w:val="20"/>
        </w:rPr>
        <w:t>).</w:t>
      </w:r>
      <w:r w:rsidRPr="00D02D3C">
        <w:rPr>
          <w:rFonts w:asciiTheme="majorHAnsi" w:hAnsiTheme="majorHAnsi"/>
          <w:sz w:val="20"/>
          <w:szCs w:val="20"/>
          <w:vertAlign w:val="superscript"/>
        </w:rPr>
        <w:footnoteReference w:id="7"/>
      </w:r>
    </w:p>
    <w:p w14:paraId="6730D4DF" w14:textId="77777777" w:rsidR="00D02D3C" w:rsidRPr="00D02D3C" w:rsidRDefault="00D02D3C" w:rsidP="00D02D3C">
      <w:pPr>
        <w:ind w:left="720"/>
        <w:rPr>
          <w:rFonts w:ascii="Cambria" w:eastAsia="Cambria" w:hAnsi="Cambria" w:cs="Cambria"/>
          <w:color w:val="000000"/>
          <w:sz w:val="20"/>
          <w:szCs w:val="20"/>
          <w:u w:color="000000"/>
          <w:lang w:eastAsia="es-ES"/>
        </w:rPr>
      </w:pPr>
    </w:p>
    <w:p w14:paraId="57634CE5"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On November 25, 1997 the alleged victim was transferred to the Sectional Unit of Crimes against the Public Administration of Cartagena.</w:t>
      </w:r>
      <w:r w:rsidRPr="00D02D3C">
        <w:rPr>
          <w:rFonts w:asciiTheme="majorHAnsi" w:hAnsiTheme="majorHAnsi"/>
          <w:sz w:val="20"/>
          <w:szCs w:val="20"/>
          <w:vertAlign w:val="superscript"/>
        </w:rPr>
        <w:footnoteReference w:id="8"/>
      </w:r>
    </w:p>
    <w:p w14:paraId="1789DDE3" w14:textId="77777777" w:rsidR="00D02D3C" w:rsidRPr="00D02D3C" w:rsidRDefault="00D02D3C" w:rsidP="00D02D3C">
      <w:pPr>
        <w:ind w:left="720"/>
        <w:rPr>
          <w:rFonts w:ascii="Cambria" w:eastAsia="Cambria" w:hAnsi="Cambria" w:cs="Cambria"/>
          <w:color w:val="000000"/>
          <w:sz w:val="20"/>
          <w:szCs w:val="20"/>
          <w:u w:color="000000"/>
          <w:lang w:eastAsia="es-ES"/>
        </w:rPr>
      </w:pPr>
    </w:p>
    <w:p w14:paraId="1F12082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On September 1, 1999, the alleged victim was transferred to the 48</w:t>
      </w:r>
      <w:r w:rsidRPr="00D02D3C">
        <w:rPr>
          <w:rFonts w:ascii="Cambria" w:hAnsi="Cambria"/>
          <w:sz w:val="20"/>
          <w:szCs w:val="20"/>
          <w:vertAlign w:val="superscript"/>
        </w:rPr>
        <w:t>th</w:t>
      </w:r>
      <w:r w:rsidRPr="00D02D3C">
        <w:rPr>
          <w:rFonts w:ascii="Cambria" w:hAnsi="Cambria"/>
          <w:sz w:val="20"/>
          <w:szCs w:val="20"/>
        </w:rPr>
        <w:t xml:space="preserve"> Prosecutorial Office under the Unit of Law 30 of 1996-Automotive Vehicles of Cartagena.</w:t>
      </w:r>
      <w:r w:rsidRPr="00D02D3C">
        <w:rPr>
          <w:rFonts w:asciiTheme="majorHAnsi" w:hAnsiTheme="majorHAnsi"/>
          <w:sz w:val="20"/>
          <w:szCs w:val="20"/>
          <w:vertAlign w:val="superscript"/>
        </w:rPr>
        <w:footnoteReference w:id="9"/>
      </w:r>
      <w:r w:rsidRPr="00D02D3C">
        <w:rPr>
          <w:rFonts w:ascii="Cambria" w:hAnsi="Cambria"/>
          <w:sz w:val="20"/>
          <w:szCs w:val="20"/>
        </w:rPr>
        <w:t xml:space="preserve"> </w:t>
      </w:r>
    </w:p>
    <w:p w14:paraId="11CEE2C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8DFEC9A" w14:textId="77777777" w:rsidR="00D02D3C" w:rsidRPr="00D02D3C" w:rsidRDefault="00D02D3C" w:rsidP="000A566E">
      <w:pPr>
        <w:keepNex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hanging="810"/>
        <w:jc w:val="both"/>
        <w:outlineLvl w:val="1"/>
        <w:rPr>
          <w:rFonts w:asciiTheme="majorHAnsi" w:eastAsia="Times New Roman" w:hAnsiTheme="majorHAnsi"/>
          <w:b/>
          <w:sz w:val="20"/>
          <w:szCs w:val="20"/>
          <w:bdr w:val="none" w:sz="0" w:space="0" w:color="auto"/>
        </w:rPr>
      </w:pPr>
      <w:bookmarkStart w:id="35" w:name="_Toc522484033"/>
      <w:bookmarkStart w:id="36" w:name="_Toc523998352"/>
      <w:r w:rsidRPr="00D02D3C">
        <w:rPr>
          <w:rFonts w:asciiTheme="majorHAnsi" w:eastAsia="Times New Roman" w:hAnsiTheme="majorHAnsi"/>
          <w:b/>
          <w:sz w:val="20"/>
          <w:szCs w:val="20"/>
          <w:bdr w:val="none" w:sz="0" w:space="0" w:color="auto"/>
        </w:rPr>
        <w:t xml:space="preserve">Petitioner relieved of her duties and </w:t>
      </w:r>
      <w:proofErr w:type="spellStart"/>
      <w:r w:rsidRPr="00D02D3C">
        <w:rPr>
          <w:rFonts w:asciiTheme="majorHAnsi" w:eastAsia="Times New Roman" w:hAnsiTheme="majorHAnsi"/>
          <w:b/>
          <w:i/>
          <w:iCs/>
          <w:sz w:val="20"/>
          <w:szCs w:val="20"/>
          <w:bdr w:val="none" w:sz="0" w:space="0" w:color="auto"/>
        </w:rPr>
        <w:t>tutela</w:t>
      </w:r>
      <w:proofErr w:type="spellEnd"/>
      <w:r w:rsidRPr="00D02D3C">
        <w:rPr>
          <w:rFonts w:asciiTheme="majorHAnsi" w:eastAsia="Times New Roman" w:hAnsiTheme="majorHAnsi"/>
          <w:b/>
          <w:sz w:val="20"/>
          <w:szCs w:val="20"/>
          <w:bdr w:val="none" w:sz="0" w:space="0" w:color="auto"/>
        </w:rPr>
        <w:t xml:space="preserve"> actions</w:t>
      </w:r>
      <w:bookmarkEnd w:id="35"/>
      <w:bookmarkEnd w:id="36"/>
      <w:r w:rsidRPr="00D02D3C">
        <w:rPr>
          <w:rFonts w:asciiTheme="majorHAnsi" w:eastAsia="Times New Roman" w:hAnsiTheme="majorHAnsi"/>
          <w:b/>
          <w:sz w:val="20"/>
          <w:szCs w:val="20"/>
          <w:bdr w:val="none" w:sz="0" w:space="0" w:color="auto"/>
        </w:rPr>
        <w:t xml:space="preserve"> </w:t>
      </w:r>
    </w:p>
    <w:p w14:paraId="51849BC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758CDE0"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On October 29, 2004, the Attorney General of the Nation issued a resolution in which he determined “to declare YENINA MARTÍNEZ ESQUIVIA, with national ID number 33,152,897, relieved of her duties as DELEGATE PROSECUTOR BEFORE CIRCUIT JUDGES, of the Sectional Bureau of Prosecutors of Cartagena.”</w:t>
      </w:r>
      <w:r w:rsidRPr="00D02D3C">
        <w:rPr>
          <w:rFonts w:asciiTheme="majorHAnsi" w:hAnsiTheme="majorHAnsi"/>
          <w:sz w:val="20"/>
          <w:szCs w:val="20"/>
          <w:vertAlign w:val="superscript"/>
        </w:rPr>
        <w:footnoteReference w:id="10"/>
      </w:r>
      <w:r w:rsidRPr="00D02D3C">
        <w:rPr>
          <w:rFonts w:ascii="Cambria" w:hAnsi="Cambria"/>
          <w:sz w:val="20"/>
          <w:szCs w:val="20"/>
        </w:rPr>
        <w:t xml:space="preserve"> The resolution indicates that “this resolution enters into force as of the date </w:t>
      </w:r>
      <w:r w:rsidRPr="00D02D3C">
        <w:rPr>
          <w:rFonts w:ascii="Cambria" w:hAnsi="Cambria"/>
          <w:sz w:val="20"/>
          <w:szCs w:val="20"/>
        </w:rPr>
        <w:lastRenderedPageBreak/>
        <w:t>of its communication and no remedy whatsoever against it may be admitted.”</w:t>
      </w:r>
      <w:r w:rsidRPr="00D02D3C">
        <w:rPr>
          <w:rFonts w:asciiTheme="majorHAnsi" w:hAnsiTheme="majorHAnsi"/>
          <w:sz w:val="20"/>
          <w:szCs w:val="20"/>
          <w:vertAlign w:val="superscript"/>
        </w:rPr>
        <w:footnoteReference w:id="11"/>
      </w:r>
      <w:r w:rsidRPr="00D02D3C">
        <w:rPr>
          <w:rFonts w:ascii="Cambria" w:hAnsi="Cambria"/>
          <w:sz w:val="20"/>
          <w:szCs w:val="20"/>
        </w:rPr>
        <w:t xml:space="preserve"> The Commission observes that the decision is not reasoned. </w:t>
      </w:r>
    </w:p>
    <w:p w14:paraId="54DEE72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0655FE9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color w:val="000000" w:themeColor="text1"/>
          <w:sz w:val="20"/>
          <w:szCs w:val="20"/>
        </w:rPr>
        <w:t xml:space="preserve">On that same date the Office of the Attorney General of the Nation issued another resolution in which it ordered the “transfer, as of November 2 of this year, </w:t>
      </w:r>
      <w:r w:rsidRPr="00D02D3C">
        <w:rPr>
          <w:rFonts w:ascii="Cambria" w:hAnsi="Cambria"/>
          <w:sz w:val="20"/>
          <w:szCs w:val="20"/>
        </w:rPr>
        <w:t>YENINA MARTÍNEZ ESQUIVIA … Delegate Prosecutor before the Criminal Judges of Circuit No. 16 of the Unit of Crimes against the Public Administration to the Sectional Unit of Prosecutors of Providencia-Sectional No. 50,” taking into account the request of the Sectional Director of Prosecutors of Cartagena.</w:t>
      </w:r>
      <w:r w:rsidRPr="00D02D3C">
        <w:rPr>
          <w:rFonts w:asciiTheme="majorHAnsi" w:hAnsiTheme="majorHAnsi"/>
          <w:sz w:val="20"/>
          <w:szCs w:val="20"/>
          <w:vertAlign w:val="superscript"/>
        </w:rPr>
        <w:footnoteReference w:id="12"/>
      </w:r>
      <w:r w:rsidRPr="00D02D3C">
        <w:rPr>
          <w:rFonts w:ascii="Cambria" w:hAnsi="Cambria"/>
          <w:sz w:val="20"/>
          <w:szCs w:val="20"/>
        </w:rPr>
        <w:t xml:space="preserve"> </w:t>
      </w:r>
    </w:p>
    <w:p w14:paraId="2C1578CB"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EC7E095"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As appears in the record, the alleged victim filed a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against the Office of the Attorney General of the Nation with the aim of protecting “the rights to free association, to work, to the vital minimum, to health, to life, and to special protection for women heads of household” and asked to be reinstated, and for recognition and payment of the salaries no received from the date of her removal up until her reinstatement.”</w:t>
      </w:r>
      <w:r w:rsidRPr="00D02D3C">
        <w:rPr>
          <w:rFonts w:asciiTheme="majorHAnsi" w:hAnsiTheme="majorHAnsi"/>
          <w:sz w:val="20"/>
          <w:szCs w:val="20"/>
          <w:vertAlign w:val="superscript"/>
        </w:rPr>
        <w:footnoteReference w:id="13"/>
      </w:r>
    </w:p>
    <w:p w14:paraId="64FF8FFD" w14:textId="77777777" w:rsidR="00D02D3C" w:rsidRPr="00D02D3C" w:rsidRDefault="00D02D3C" w:rsidP="00D02D3C">
      <w:pPr>
        <w:ind w:left="720"/>
        <w:rPr>
          <w:rFonts w:ascii="Cambria" w:eastAsia="Cambria" w:hAnsi="Cambria" w:cs="Cambria"/>
          <w:color w:val="000000"/>
          <w:sz w:val="20"/>
          <w:szCs w:val="20"/>
          <w:u w:color="000000"/>
          <w:lang w:eastAsia="es-ES"/>
        </w:rPr>
      </w:pPr>
    </w:p>
    <w:p w14:paraId="3B43D14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On February 25, 2005, the Superior Court of the Judicial District of Cartagena denied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filed by the alleged victim. Among its considerations, the Court considered that:</w:t>
      </w:r>
    </w:p>
    <w:p w14:paraId="33C047A4" w14:textId="77777777" w:rsidR="00D02D3C" w:rsidRPr="00D02D3C" w:rsidRDefault="00D02D3C" w:rsidP="00D02D3C">
      <w:pPr>
        <w:ind w:left="720"/>
        <w:rPr>
          <w:rFonts w:ascii="Cambria" w:eastAsia="Cambria" w:hAnsi="Cambria" w:cs="Cambria"/>
          <w:color w:val="000000"/>
          <w:sz w:val="20"/>
          <w:szCs w:val="20"/>
          <w:u w:color="000000"/>
          <w:lang w:eastAsia="es-ES"/>
        </w:rPr>
      </w:pPr>
    </w:p>
    <w:p w14:paraId="728936EA"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r w:rsidRPr="00D02D3C">
        <w:rPr>
          <w:rFonts w:ascii="Cambria" w:hAnsi="Cambria"/>
          <w:sz w:val="20"/>
          <w:szCs w:val="20"/>
        </w:rPr>
        <w:t xml:space="preserve">The party filing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cannot claim by the residual and subsidiary mechanism of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to have the administrative act that relieved her of her duties as Delegate Prosecutor before the Criminal Judges of the Circuit of the Sectional Bureau of Prosecutors of Cartagena, which she held, annulled, insofar as that administrative act enjoys a presumption of legality that the law recognizes for such acts, since the legal review of such acts corresponds to the contentious-administrative jurisdiction, and not to the constitutional </w:t>
      </w:r>
      <w:proofErr w:type="spellStart"/>
      <w:r w:rsidRPr="00D02D3C">
        <w:rPr>
          <w:rFonts w:ascii="Cambria" w:hAnsi="Cambria"/>
          <w:i/>
          <w:iCs/>
          <w:sz w:val="20"/>
          <w:szCs w:val="20"/>
        </w:rPr>
        <w:t>tutela</w:t>
      </w:r>
      <w:proofErr w:type="spellEnd"/>
      <w:r w:rsidRPr="00D02D3C">
        <w:rPr>
          <w:rFonts w:ascii="Cambria" w:hAnsi="Cambria"/>
          <w:sz w:val="20"/>
          <w:szCs w:val="20"/>
        </w:rPr>
        <w:t xml:space="preserve"> judge, as the moving party claims.</w:t>
      </w:r>
      <w:r w:rsidRPr="00D02D3C">
        <w:rPr>
          <w:rFonts w:asciiTheme="majorHAnsi" w:hAnsiTheme="majorHAnsi"/>
          <w:sz w:val="20"/>
          <w:szCs w:val="20"/>
          <w:vertAlign w:val="superscript"/>
        </w:rPr>
        <w:footnoteReference w:id="14"/>
      </w:r>
      <w:r w:rsidRPr="00D02D3C">
        <w:rPr>
          <w:rFonts w:ascii="Cambria" w:hAnsi="Cambria"/>
          <w:sz w:val="20"/>
          <w:szCs w:val="20"/>
        </w:rPr>
        <w:t xml:space="preserve"> </w:t>
      </w:r>
    </w:p>
    <w:p w14:paraId="150CB522" w14:textId="77777777" w:rsidR="00D02D3C" w:rsidRPr="00D02D3C" w:rsidRDefault="00D02D3C" w:rsidP="00D02D3C">
      <w:pPr>
        <w:rPr>
          <w:rFonts w:ascii="Cambria" w:hAnsi="Cambria"/>
          <w:sz w:val="20"/>
          <w:szCs w:val="20"/>
        </w:rPr>
      </w:pPr>
    </w:p>
    <w:p w14:paraId="238D9239"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Subsequently, the alleged victim filed a second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arguing the violation of the rights to equality, due process, a vital minimum, and the family.</w:t>
      </w:r>
      <w:r w:rsidRPr="00D02D3C">
        <w:rPr>
          <w:rFonts w:asciiTheme="majorHAnsi" w:hAnsiTheme="majorHAnsi"/>
          <w:sz w:val="20"/>
          <w:szCs w:val="20"/>
          <w:vertAlign w:val="superscript"/>
        </w:rPr>
        <w:footnoteReference w:id="15"/>
      </w:r>
      <w:r w:rsidRPr="00D02D3C">
        <w:rPr>
          <w:rFonts w:ascii="Cambria" w:hAnsi="Cambria"/>
          <w:sz w:val="20"/>
          <w:szCs w:val="20"/>
        </w:rPr>
        <w:t xml:space="preserve">  </w:t>
      </w:r>
    </w:p>
    <w:p w14:paraId="092F6961"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7AEA6B7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On July 26, 2005 the Sectional Judicial Council of Bolívar granted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sought by the alleged victim and ordered the Attorney General to reinstate her within 48 hours. Among its considerations: </w:t>
      </w:r>
    </w:p>
    <w:p w14:paraId="0E292A58" w14:textId="77777777" w:rsidR="00D02D3C" w:rsidRPr="00D02D3C" w:rsidRDefault="00D02D3C" w:rsidP="00D02D3C">
      <w:pPr>
        <w:ind w:left="720"/>
        <w:rPr>
          <w:rFonts w:ascii="Cambria" w:eastAsia="Cambria" w:hAnsi="Cambria" w:cs="Cambria"/>
          <w:color w:val="000000"/>
          <w:sz w:val="20"/>
          <w:szCs w:val="20"/>
          <w:u w:color="000000"/>
          <w:lang w:eastAsia="es-ES"/>
        </w:rPr>
      </w:pPr>
    </w:p>
    <w:p w14:paraId="5C4A265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sidRPr="00D02D3C">
        <w:rPr>
          <w:rFonts w:ascii="Cambria" w:hAnsi="Cambria"/>
          <w:sz w:val="20"/>
          <w:szCs w:val="20"/>
        </w:rPr>
        <w:t>The respondent entity – OFFICE OF THE ATTORNEY GENERAL OF THE NATION – violated the fundamental right of due administrative process in respect of Prosecutor YENINA MARTÍNEZ ESQUIVIA, as it was shown that the moving party had been serving in a career-service position on a provisional basis, that she was relieved of her duties by resolution No. 001048 of October 29, 2004, an administrative act that did not state reasons, without the Office of the Attorney General having given sufficient reasons, to this day, for the removal of said officer.</w:t>
      </w:r>
    </w:p>
    <w:p w14:paraId="23ADD689"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p>
    <w:p w14:paraId="5F0C1411"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sidRPr="00D02D3C">
        <w:rPr>
          <w:rFonts w:ascii="Cambria" w:hAnsi="Cambria"/>
          <w:sz w:val="20"/>
          <w:szCs w:val="20"/>
        </w:rPr>
        <w:t>In addition, the vital minimum of the moving party and her family is compromised, for it should be borne in mind that she was a woman head of household…</w:t>
      </w:r>
      <w:r w:rsidRPr="00D02D3C">
        <w:rPr>
          <w:rFonts w:asciiTheme="majorHAnsi" w:hAnsiTheme="majorHAnsi"/>
          <w:sz w:val="20"/>
          <w:szCs w:val="20"/>
          <w:vertAlign w:val="superscript"/>
        </w:rPr>
        <w:footnoteReference w:id="16"/>
      </w:r>
      <w:r w:rsidRPr="00D02D3C">
        <w:rPr>
          <w:rFonts w:ascii="Cambria" w:hAnsi="Cambria"/>
          <w:sz w:val="20"/>
          <w:szCs w:val="20"/>
        </w:rPr>
        <w:t xml:space="preserve"> </w:t>
      </w:r>
    </w:p>
    <w:p w14:paraId="6D6AC942" w14:textId="77777777" w:rsidR="00D02D3C" w:rsidRPr="00D02D3C" w:rsidRDefault="00D02D3C" w:rsidP="00D02D3C">
      <w:pPr>
        <w:rPr>
          <w:rFonts w:ascii="Cambria" w:hAnsi="Cambria"/>
          <w:sz w:val="20"/>
          <w:szCs w:val="20"/>
        </w:rPr>
      </w:pPr>
    </w:p>
    <w:p w14:paraId="34B7D732"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lastRenderedPageBreak/>
        <w:t xml:space="preserve">On September 7, 2005, the Superior Judicial Council decided to overturn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ruling of July 26, 2005, arguing the existence of threefold identity of claims, parties, and facts with the first </w:t>
      </w:r>
      <w:proofErr w:type="spellStart"/>
      <w:r w:rsidRPr="00D02D3C">
        <w:rPr>
          <w:rFonts w:ascii="Cambria" w:hAnsi="Cambria"/>
          <w:i/>
          <w:iCs/>
          <w:sz w:val="20"/>
          <w:szCs w:val="20"/>
        </w:rPr>
        <w:t>tutela</w:t>
      </w:r>
      <w:proofErr w:type="spellEnd"/>
      <w:r w:rsidRPr="00D02D3C">
        <w:rPr>
          <w:rFonts w:ascii="Cambria" w:hAnsi="Cambria"/>
          <w:sz w:val="20"/>
          <w:szCs w:val="20"/>
        </w:rPr>
        <w:t xml:space="preserve"> filed, and ordered a criminal investigation into the alleged victim for abusive use of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The Council considered: </w:t>
      </w:r>
    </w:p>
    <w:p w14:paraId="0BC77A80"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7EB33219"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r w:rsidRPr="00D02D3C">
        <w:rPr>
          <w:rFonts w:ascii="Cambria" w:hAnsi="Cambria"/>
          <w:sz w:val="20"/>
          <w:szCs w:val="20"/>
        </w:rPr>
        <w:t xml:space="preserve">It is evident that there is factual identity of both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actions filed, of the parties, and of claims, the first before the Chamber of Labor Decisions of the Superior Court of the Judicial District of Cartagena, by her attorney, and the second before the Sectional Judicial Council of Bolívar….</w:t>
      </w:r>
    </w:p>
    <w:p w14:paraId="3B95F2BA"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p>
    <w:p w14:paraId="028D96FA"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r w:rsidRPr="00D02D3C">
        <w:rPr>
          <w:rFonts w:ascii="Cambria" w:hAnsi="Cambria"/>
          <w:sz w:val="20"/>
          <w:szCs w:val="20"/>
        </w:rPr>
        <w:t xml:space="preserve">The moving party in the action filed … swore that she had not filed any other action for the same facts and rights … she was untruthful and acted contrary to the principle of morality in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w:t>
      </w:r>
      <w:r w:rsidRPr="00D02D3C">
        <w:rPr>
          <w:rFonts w:asciiTheme="majorHAnsi" w:hAnsiTheme="majorHAnsi"/>
          <w:sz w:val="20"/>
          <w:szCs w:val="20"/>
          <w:vertAlign w:val="superscript"/>
        </w:rPr>
        <w:footnoteReference w:id="17"/>
      </w:r>
      <w:r w:rsidRPr="00D02D3C">
        <w:rPr>
          <w:rFonts w:ascii="Cambria" w:hAnsi="Cambria"/>
          <w:sz w:val="20"/>
          <w:szCs w:val="20"/>
        </w:rPr>
        <w:t xml:space="preserve"> </w:t>
      </w:r>
    </w:p>
    <w:p w14:paraId="0CE59A4A" w14:textId="77777777" w:rsidR="00D02D3C" w:rsidRPr="00D02D3C" w:rsidRDefault="00D02D3C" w:rsidP="00D02D3C">
      <w:pPr>
        <w:rPr>
          <w:rFonts w:ascii="Cambria" w:hAnsi="Cambria"/>
          <w:sz w:val="20"/>
          <w:szCs w:val="20"/>
        </w:rPr>
      </w:pPr>
    </w:p>
    <w:p w14:paraId="5F5CB57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The Commission takes note that two judges cast dissenting votes with respect to the decision that denied the previous </w:t>
      </w:r>
      <w:proofErr w:type="spellStart"/>
      <w:r w:rsidRPr="00D02D3C">
        <w:rPr>
          <w:rFonts w:ascii="Cambria" w:hAnsi="Cambria"/>
          <w:i/>
          <w:iCs/>
          <w:sz w:val="20"/>
          <w:szCs w:val="20"/>
        </w:rPr>
        <w:t>tutela</w:t>
      </w:r>
      <w:proofErr w:type="spellEnd"/>
      <w:r w:rsidRPr="00D02D3C">
        <w:rPr>
          <w:rFonts w:ascii="Cambria" w:hAnsi="Cambria"/>
          <w:sz w:val="20"/>
          <w:szCs w:val="20"/>
        </w:rPr>
        <w:t xml:space="preserve">. Judge </w:t>
      </w:r>
      <w:proofErr w:type="spellStart"/>
      <w:r w:rsidRPr="00D02D3C">
        <w:rPr>
          <w:rFonts w:ascii="Cambria" w:hAnsi="Cambria"/>
          <w:sz w:val="20"/>
          <w:szCs w:val="20"/>
        </w:rPr>
        <w:t>Flechas</w:t>
      </w:r>
      <w:proofErr w:type="spellEnd"/>
      <w:r w:rsidRPr="00D02D3C">
        <w:rPr>
          <w:rFonts w:ascii="Cambria" w:hAnsi="Cambria"/>
          <w:sz w:val="20"/>
          <w:szCs w:val="20"/>
        </w:rPr>
        <w:t xml:space="preserve"> </w:t>
      </w:r>
      <w:proofErr w:type="spellStart"/>
      <w:r w:rsidRPr="00D02D3C">
        <w:rPr>
          <w:rFonts w:ascii="Cambria" w:hAnsi="Cambria"/>
          <w:sz w:val="20"/>
          <w:szCs w:val="20"/>
        </w:rPr>
        <w:t>Díaz</w:t>
      </w:r>
      <w:proofErr w:type="spellEnd"/>
      <w:r w:rsidRPr="00D02D3C">
        <w:rPr>
          <w:rFonts w:ascii="Cambria" w:hAnsi="Cambria"/>
          <w:sz w:val="20"/>
          <w:szCs w:val="20"/>
        </w:rPr>
        <w:t xml:space="preserve"> indicated that: </w:t>
      </w:r>
    </w:p>
    <w:p w14:paraId="02AA89FD"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637C6B7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r w:rsidRPr="00D02D3C">
        <w:rPr>
          <w:rFonts w:ascii="Cambria" w:hAnsi="Cambria"/>
          <w:sz w:val="20"/>
          <w:szCs w:val="20"/>
        </w:rPr>
        <w:t>This chamber has decided cases similar to the one that now occupies our attention and has considered that administrative acts relieving judicial officers and public servants of other entities of their duties should be reasoned lest they violate the fundamental right to due process and the right to the vital minimum of persons who, on being removed, are seriously impacted….</w:t>
      </w:r>
      <w:r w:rsidRPr="00D02D3C">
        <w:rPr>
          <w:rFonts w:asciiTheme="majorHAnsi" w:hAnsiTheme="majorHAnsi"/>
          <w:sz w:val="20"/>
          <w:szCs w:val="20"/>
          <w:vertAlign w:val="superscript"/>
        </w:rPr>
        <w:footnoteReference w:id="18"/>
      </w:r>
      <w:r w:rsidRPr="00D02D3C">
        <w:rPr>
          <w:rFonts w:ascii="Cambria" w:hAnsi="Cambria"/>
          <w:sz w:val="20"/>
          <w:szCs w:val="20"/>
        </w:rPr>
        <w:t xml:space="preserve"> </w:t>
      </w:r>
    </w:p>
    <w:p w14:paraId="373311F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3D460761"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In addition, Judge </w:t>
      </w:r>
      <w:proofErr w:type="spellStart"/>
      <w:r w:rsidRPr="00D02D3C">
        <w:rPr>
          <w:rFonts w:ascii="Cambria" w:hAnsi="Cambria"/>
          <w:sz w:val="20"/>
          <w:szCs w:val="20"/>
        </w:rPr>
        <w:t>Henao</w:t>
      </w:r>
      <w:proofErr w:type="spellEnd"/>
      <w:r w:rsidRPr="00D02D3C">
        <w:rPr>
          <w:rFonts w:ascii="Cambria" w:hAnsi="Cambria"/>
          <w:sz w:val="20"/>
          <w:szCs w:val="20"/>
        </w:rPr>
        <w:t xml:space="preserve"> Orozco indicated that it should have been taken into account that: </w:t>
      </w:r>
    </w:p>
    <w:p w14:paraId="4295E05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0ACD3E9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rPr>
      </w:pPr>
      <w:r w:rsidRPr="00D02D3C">
        <w:rPr>
          <w:rFonts w:ascii="Cambria" w:hAnsi="Cambria"/>
          <w:sz w:val="20"/>
          <w:szCs w:val="20"/>
        </w:rPr>
        <w:t xml:space="preserve">The Labor Chamber of the Superior Court of the Judicial District of Cartagena, before which the first action for special relief was filed, on February 25, 2002, found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to be inadmissible on procedural grounds, adducing that there were other mechanisms of judicial defense, thereby ignoring the abundant case-law of the highest Constitutional Court, which preceded that determination.</w:t>
      </w:r>
      <w:r w:rsidRPr="00D02D3C">
        <w:rPr>
          <w:rFonts w:asciiTheme="majorHAnsi" w:hAnsiTheme="majorHAnsi"/>
          <w:sz w:val="20"/>
          <w:szCs w:val="20"/>
          <w:vertAlign w:val="superscript"/>
        </w:rPr>
        <w:footnoteReference w:id="19"/>
      </w:r>
      <w:r w:rsidRPr="00D02D3C">
        <w:rPr>
          <w:rFonts w:ascii="Cambria" w:hAnsi="Cambria"/>
          <w:sz w:val="20"/>
          <w:szCs w:val="20"/>
        </w:rPr>
        <w:t xml:space="preserve">  </w:t>
      </w:r>
    </w:p>
    <w:p w14:paraId="7EE78C95"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14092CE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The Commission notes that subsequently the alleged victim requested a review of the ruling of the Superior Judicial Council by the Constitutional Court, yet it was not selected for review by that court. </w:t>
      </w:r>
    </w:p>
    <w:p w14:paraId="3F0BC49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41811983" w14:textId="77777777" w:rsidR="00D02D3C" w:rsidRPr="00D02D3C" w:rsidRDefault="00D02D3C" w:rsidP="000A566E">
      <w:pPr>
        <w:keepNex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hanging="810"/>
        <w:jc w:val="both"/>
        <w:outlineLvl w:val="1"/>
        <w:rPr>
          <w:rFonts w:asciiTheme="majorHAnsi" w:eastAsia="Times New Roman" w:hAnsiTheme="majorHAnsi"/>
          <w:b/>
          <w:sz w:val="20"/>
          <w:szCs w:val="20"/>
          <w:bdr w:val="none" w:sz="0" w:space="0" w:color="auto"/>
        </w:rPr>
      </w:pPr>
      <w:bookmarkStart w:id="37" w:name="_Toc522484034"/>
      <w:bookmarkStart w:id="38" w:name="_Toc523998353"/>
      <w:r w:rsidRPr="00D02D3C">
        <w:rPr>
          <w:rFonts w:asciiTheme="majorHAnsi" w:eastAsia="Times New Roman" w:hAnsiTheme="majorHAnsi"/>
          <w:b/>
          <w:sz w:val="20"/>
          <w:szCs w:val="20"/>
          <w:bdr w:val="none" w:sz="0" w:space="0" w:color="auto"/>
        </w:rPr>
        <w:t>Other mechanisms for bringing challenges</w:t>
      </w:r>
      <w:bookmarkEnd w:id="37"/>
      <w:bookmarkEnd w:id="38"/>
      <w:r w:rsidRPr="00D02D3C">
        <w:rPr>
          <w:rFonts w:asciiTheme="majorHAnsi" w:eastAsia="Times New Roman" w:hAnsiTheme="majorHAnsi"/>
          <w:b/>
          <w:sz w:val="20"/>
          <w:szCs w:val="20"/>
          <w:bdr w:val="none" w:sz="0" w:space="0" w:color="auto"/>
        </w:rPr>
        <w:t xml:space="preserve"> </w:t>
      </w:r>
    </w:p>
    <w:p w14:paraId="10BC95D4"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2DCC945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 xml:space="preserve">The Commission takes note that in addition to the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actions described in the previous section, the alleged victim also filed an action for nullity and reestablishment of the right, which was rejected by the Administrative Tribunal of Cartagena on October 4, 2005, as it considered that the action had prescribed, taking into account that such actions must be filed within four months from the day after notification of the ruling; and in this case notice of the decision to relieve her of her duties was given to the alleged victim on November 4, 2004, and the action was filed on July 12, 2005.</w:t>
      </w:r>
      <w:r w:rsidRPr="00D02D3C">
        <w:rPr>
          <w:rFonts w:asciiTheme="majorHAnsi" w:hAnsiTheme="majorHAnsi"/>
          <w:sz w:val="20"/>
          <w:szCs w:val="20"/>
          <w:vertAlign w:val="superscript"/>
        </w:rPr>
        <w:footnoteReference w:id="20"/>
      </w:r>
    </w:p>
    <w:p w14:paraId="1C62F15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14:paraId="1AD28C5A"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lastRenderedPageBreak/>
        <w:t xml:space="preserve">Finally, the alleged victim filed a special action in the trade union jurisdiction against the Office of the Attorney General of the Nation before the Seventh Labor Court of Cartagena.  On December 13, 2006, said court rejected the action, considering: </w:t>
      </w:r>
    </w:p>
    <w:p w14:paraId="1A5F0D13" w14:textId="77777777" w:rsidR="00D02D3C" w:rsidRPr="00D02D3C" w:rsidRDefault="00D02D3C" w:rsidP="00D02D3C">
      <w:pPr>
        <w:ind w:left="720"/>
        <w:rPr>
          <w:rFonts w:ascii="Cambria" w:eastAsia="Cambria" w:hAnsi="Cambria" w:cs="Cambria"/>
          <w:color w:val="000000"/>
          <w:sz w:val="20"/>
          <w:szCs w:val="20"/>
          <w:u w:color="000000"/>
          <w:lang w:eastAsia="es-ES"/>
        </w:rPr>
      </w:pPr>
    </w:p>
    <w:p w14:paraId="4B85441B"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ight="810"/>
        <w:jc w:val="both"/>
        <w:rPr>
          <w:rFonts w:ascii="Cambria" w:hAnsi="Cambria"/>
          <w:sz w:val="20"/>
          <w:szCs w:val="20"/>
        </w:rPr>
      </w:pPr>
      <w:r w:rsidRPr="00D02D3C">
        <w:rPr>
          <w:rFonts w:ascii="Cambria" w:hAnsi="Cambria"/>
          <w:sz w:val="20"/>
          <w:szCs w:val="20"/>
        </w:rPr>
        <w:t>On studying Article 406 of the CST [Substantive Labor Code], we find which workers are covered by the jurisdiction, in the first place it would be considered that Ms. MARTÍNEZ has the right to the TRADE UNION JURISDICTION yet as she is a PROSECUTOR OF THE REPUBLIC BEFORE THE CIRCUIT JUDGES she cannot enjoy the guarantee of Trade Union Jurisdiction as per Paragraph 1 of Article 406 of the CST.</w:t>
      </w:r>
      <w:r w:rsidRPr="00D02D3C">
        <w:rPr>
          <w:rFonts w:asciiTheme="majorHAnsi" w:hAnsiTheme="majorHAnsi"/>
          <w:sz w:val="20"/>
          <w:szCs w:val="20"/>
          <w:vertAlign w:val="superscript"/>
        </w:rPr>
        <w:footnoteReference w:id="21"/>
      </w:r>
      <w:r w:rsidRPr="00D02D3C">
        <w:rPr>
          <w:rFonts w:ascii="Cambria" w:hAnsi="Cambria"/>
          <w:sz w:val="20"/>
          <w:szCs w:val="20"/>
        </w:rPr>
        <w:t xml:space="preserve">  </w:t>
      </w:r>
    </w:p>
    <w:p w14:paraId="52928E1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810"/>
        <w:jc w:val="both"/>
        <w:rPr>
          <w:rFonts w:ascii="Cambria" w:hAnsi="Cambria"/>
          <w:sz w:val="20"/>
          <w:szCs w:val="20"/>
        </w:rPr>
      </w:pPr>
    </w:p>
    <w:p w14:paraId="5B629AE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D02D3C">
        <w:rPr>
          <w:rFonts w:ascii="Cambria" w:hAnsi="Cambria"/>
          <w:sz w:val="20"/>
          <w:szCs w:val="20"/>
        </w:rPr>
        <w:t>As the alleged victim indicated, on that same date she filed an appeal; it was resolved on December 22, 2010, four years after it was filed.</w:t>
      </w:r>
      <w:r w:rsidRPr="00D02D3C">
        <w:rPr>
          <w:rFonts w:asciiTheme="majorHAnsi" w:hAnsiTheme="majorHAnsi"/>
          <w:sz w:val="20"/>
          <w:szCs w:val="20"/>
          <w:vertAlign w:val="superscript"/>
        </w:rPr>
        <w:footnoteReference w:id="22"/>
      </w:r>
      <w:r w:rsidRPr="00D02D3C">
        <w:rPr>
          <w:rFonts w:ascii="Cambria" w:hAnsi="Cambria"/>
          <w:sz w:val="20"/>
          <w:szCs w:val="20"/>
        </w:rPr>
        <w:t xml:space="preserve">  The State indicated that said delay was due to the number of matters pending before the court that took cognizance of the appeal. </w:t>
      </w:r>
    </w:p>
    <w:p w14:paraId="70DD0B0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bookmarkStart w:id="39" w:name="_Toc477355360"/>
      <w:bookmarkStart w:id="40" w:name="_Toc480897202"/>
      <w:bookmarkStart w:id="41" w:name="_Toc484439858"/>
      <w:bookmarkStart w:id="42" w:name="_Toc511310263"/>
    </w:p>
    <w:p w14:paraId="6AFDAC9D" w14:textId="77777777" w:rsidR="00D02D3C" w:rsidRPr="00D02D3C" w:rsidRDefault="00D02D3C" w:rsidP="000A566E">
      <w:pPr>
        <w:keepNex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hanging="810"/>
        <w:outlineLvl w:val="0"/>
        <w:rPr>
          <w:rFonts w:asciiTheme="majorHAnsi" w:eastAsia="Times New Roman" w:hAnsiTheme="majorHAnsi"/>
          <w:b/>
          <w:sz w:val="20"/>
          <w:szCs w:val="20"/>
          <w:bdr w:val="none" w:sz="0" w:space="0" w:color="auto"/>
        </w:rPr>
      </w:pPr>
      <w:bookmarkStart w:id="43" w:name="_Toc522484035"/>
      <w:bookmarkStart w:id="44" w:name="_Toc523998354"/>
      <w:r w:rsidRPr="00D02D3C">
        <w:rPr>
          <w:rFonts w:asciiTheme="majorHAnsi" w:eastAsia="Times New Roman" w:hAnsiTheme="majorHAnsi"/>
          <w:b/>
          <w:sz w:val="20"/>
          <w:szCs w:val="20"/>
          <w:bdr w:val="none" w:sz="0" w:space="0" w:color="auto"/>
        </w:rPr>
        <w:t>LEGAL ANALYSIS</w:t>
      </w:r>
      <w:bookmarkEnd w:id="43"/>
      <w:bookmarkEnd w:id="44"/>
      <w:r w:rsidRPr="00D02D3C">
        <w:rPr>
          <w:rFonts w:asciiTheme="majorHAnsi" w:eastAsia="Times New Roman" w:hAnsiTheme="majorHAnsi"/>
          <w:b/>
          <w:sz w:val="20"/>
          <w:szCs w:val="20"/>
          <w:bdr w:val="none" w:sz="0" w:space="0" w:color="auto"/>
        </w:rPr>
        <w:t xml:space="preserve"> </w:t>
      </w:r>
      <w:bookmarkStart w:id="45" w:name="_Toc511310264"/>
      <w:bookmarkEnd w:id="39"/>
      <w:bookmarkEnd w:id="40"/>
      <w:bookmarkEnd w:id="41"/>
      <w:bookmarkEnd w:id="42"/>
    </w:p>
    <w:p w14:paraId="20D3FA8C" w14:textId="77777777" w:rsidR="00D02D3C" w:rsidRPr="00D02D3C" w:rsidRDefault="00D02D3C" w:rsidP="00D02D3C"/>
    <w:p w14:paraId="7F3F9BE8" w14:textId="77777777" w:rsidR="00D02D3C" w:rsidRPr="00D02D3C" w:rsidRDefault="00D02D3C" w:rsidP="000A566E">
      <w:pPr>
        <w:keepNex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sz w:val="20"/>
          <w:szCs w:val="20"/>
          <w:bdr w:val="none" w:sz="0" w:space="0" w:color="auto"/>
        </w:rPr>
      </w:pPr>
      <w:bookmarkStart w:id="46" w:name="_Toc395277579"/>
      <w:bookmarkStart w:id="47" w:name="_Toc522484036"/>
      <w:bookmarkStart w:id="48" w:name="_Toc523998355"/>
      <w:bookmarkEnd w:id="45"/>
      <w:r w:rsidRPr="00D02D3C">
        <w:rPr>
          <w:rFonts w:asciiTheme="majorHAnsi" w:eastAsia="Times New Roman" w:hAnsiTheme="majorHAnsi"/>
          <w:b/>
          <w:sz w:val="20"/>
          <w:szCs w:val="20"/>
          <w:bdr w:val="none" w:sz="0" w:space="0" w:color="auto"/>
        </w:rPr>
        <w:t>Right to judicial guarantees</w:t>
      </w:r>
      <w:r w:rsidRPr="00D02D3C">
        <w:rPr>
          <w:rFonts w:ascii="Cambria" w:eastAsia="Times New Roman" w:hAnsi="Cambria"/>
          <w:b/>
          <w:sz w:val="20"/>
          <w:szCs w:val="20"/>
          <w:bdr w:val="none" w:sz="0" w:space="0" w:color="auto"/>
          <w:vertAlign w:val="superscript"/>
        </w:rPr>
        <w:footnoteReference w:id="23"/>
      </w:r>
      <w:r w:rsidRPr="00D02D3C">
        <w:rPr>
          <w:rFonts w:asciiTheme="majorHAnsi" w:eastAsia="Times New Roman" w:hAnsiTheme="majorHAnsi"/>
          <w:b/>
          <w:sz w:val="20"/>
          <w:szCs w:val="20"/>
          <w:bdr w:val="none" w:sz="0" w:space="0" w:color="auto"/>
        </w:rPr>
        <w:t xml:space="preserve"> and freedom from ex post facto laws</w:t>
      </w:r>
      <w:r w:rsidRPr="00D02D3C">
        <w:rPr>
          <w:rFonts w:ascii="Cambria" w:eastAsiaTheme="majorEastAsia" w:hAnsi="Cambria"/>
          <w:b/>
          <w:sz w:val="20"/>
          <w:szCs w:val="20"/>
          <w:bdr w:val="none" w:sz="0" w:space="0" w:color="auto"/>
          <w:vertAlign w:val="superscript"/>
        </w:rPr>
        <w:footnoteReference w:id="24"/>
      </w:r>
      <w:bookmarkEnd w:id="46"/>
      <w:bookmarkEnd w:id="47"/>
      <w:bookmarkEnd w:id="48"/>
      <w:r w:rsidRPr="00D02D3C">
        <w:rPr>
          <w:rFonts w:asciiTheme="majorHAnsi" w:eastAsia="Times New Roman" w:hAnsiTheme="majorHAnsi"/>
          <w:b/>
          <w:sz w:val="20"/>
          <w:szCs w:val="20"/>
          <w:bdr w:val="none" w:sz="0" w:space="0" w:color="auto"/>
        </w:rPr>
        <w:t xml:space="preserve"> </w:t>
      </w:r>
    </w:p>
    <w:p w14:paraId="464D0552" w14:textId="77777777" w:rsidR="00D02D3C" w:rsidRPr="00D02D3C" w:rsidRDefault="00D02D3C" w:rsidP="00D02D3C"/>
    <w:p w14:paraId="13D20650" w14:textId="77777777" w:rsidR="00D02D3C" w:rsidRPr="00D02D3C" w:rsidRDefault="00D02D3C" w:rsidP="000A566E">
      <w:pPr>
        <w:keepN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sz w:val="20"/>
          <w:szCs w:val="20"/>
          <w:bdr w:val="none" w:sz="0" w:space="0" w:color="auto"/>
        </w:rPr>
      </w:pPr>
      <w:bookmarkStart w:id="49" w:name="_Toc522484037"/>
      <w:bookmarkStart w:id="50" w:name="_Toc523998356"/>
      <w:bookmarkStart w:id="51" w:name="_Toc395277580"/>
      <w:r w:rsidRPr="00D02D3C">
        <w:rPr>
          <w:rFonts w:asciiTheme="majorHAnsi" w:eastAsia="Times New Roman" w:hAnsiTheme="majorHAnsi"/>
          <w:b/>
          <w:sz w:val="20"/>
          <w:szCs w:val="20"/>
          <w:bdr w:val="none" w:sz="0" w:space="0" w:color="auto"/>
        </w:rPr>
        <w:t>General considerations on the guarantees applicable to proceedings for imposing sanctions for determining rights</w:t>
      </w:r>
      <w:bookmarkEnd w:id="49"/>
      <w:bookmarkEnd w:id="50"/>
      <w:r w:rsidRPr="00D02D3C">
        <w:rPr>
          <w:rFonts w:asciiTheme="majorHAnsi" w:eastAsia="Times New Roman" w:hAnsiTheme="majorHAnsi"/>
          <w:b/>
          <w:sz w:val="20"/>
          <w:szCs w:val="20"/>
          <w:bdr w:val="none" w:sz="0" w:space="0" w:color="auto"/>
        </w:rPr>
        <w:t xml:space="preserve"> </w:t>
      </w:r>
      <w:bookmarkEnd w:id="51"/>
    </w:p>
    <w:p w14:paraId="7B48F7A3" w14:textId="77777777" w:rsidR="00D02D3C" w:rsidRPr="00D02D3C" w:rsidRDefault="00D02D3C" w:rsidP="00D02D3C">
      <w:pPr>
        <w:ind w:left="1440"/>
        <w:rPr>
          <w:rFonts w:asciiTheme="majorHAnsi" w:eastAsia="Cambria" w:hAnsiTheme="majorHAnsi" w:cs="Cambria"/>
          <w:b/>
          <w:color w:val="000000" w:themeColor="text1"/>
          <w:sz w:val="20"/>
          <w:szCs w:val="20"/>
          <w:u w:color="000000"/>
          <w:lang w:eastAsia="es-ES"/>
        </w:rPr>
      </w:pPr>
    </w:p>
    <w:p w14:paraId="7771BAAB" w14:textId="296EA5AC" w:rsidR="00D02D3C" w:rsidRPr="000A566E"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sidRPr="00D02D3C">
        <w:rPr>
          <w:rFonts w:ascii="Cambria" w:hAnsi="Cambria"/>
          <w:sz w:val="20"/>
          <w:szCs w:val="20"/>
        </w:rPr>
        <w:t>The Commission recalls that both organs of the inter-American system have indicated that the guarantees established in Article 8 of the American Convention are not limited to criminal proceedings, but also apply to other types of proceedings.</w:t>
      </w:r>
      <w:r w:rsidRPr="00D02D3C">
        <w:rPr>
          <w:rFonts w:ascii="Cambria" w:hAnsi="Cambria"/>
          <w:sz w:val="20"/>
          <w:szCs w:val="20"/>
          <w:vertAlign w:val="superscript"/>
          <w:lang w:eastAsia="es-ES"/>
        </w:rPr>
        <w:footnoteReference w:id="25"/>
      </w:r>
      <w:r w:rsidRPr="00D02D3C">
        <w:rPr>
          <w:rFonts w:ascii="Cambria" w:hAnsi="Cambria"/>
          <w:sz w:val="20"/>
          <w:szCs w:val="20"/>
          <w:lang w:eastAsia="es-ES"/>
        </w:rPr>
        <w:t xml:space="preserve"> Specifically, both organs of the system have indicated that by analogy the guarantees established in Article 8(2) of the American Convention apply to sanction-imposing proceedings.</w:t>
      </w:r>
      <w:r w:rsidRPr="00D02D3C">
        <w:rPr>
          <w:rFonts w:ascii="Cambria" w:hAnsi="Cambria"/>
          <w:sz w:val="20"/>
          <w:szCs w:val="20"/>
          <w:vertAlign w:val="superscript"/>
          <w:lang w:eastAsia="es-ES"/>
        </w:rPr>
        <w:footnoteReference w:id="26"/>
      </w:r>
      <w:r w:rsidRPr="00D02D3C">
        <w:rPr>
          <w:rFonts w:ascii="Cambria" w:hAnsi="Cambria"/>
          <w:sz w:val="20"/>
          <w:szCs w:val="20"/>
          <w:lang w:eastAsia="es-ES"/>
        </w:rPr>
        <w:t xml:space="preserve"> In proceedings in which rights or interests are in play, the “due guarantees” established at Article 8(1) of the American Convention apply, including the right to sufficient reasoning.</w:t>
      </w:r>
      <w:r w:rsidRPr="00D02D3C">
        <w:rPr>
          <w:rFonts w:ascii="Cambria" w:hAnsi="Cambria"/>
          <w:sz w:val="20"/>
          <w:szCs w:val="20"/>
          <w:vertAlign w:val="superscript"/>
        </w:rPr>
        <w:footnoteReference w:id="27"/>
      </w:r>
      <w:r w:rsidRPr="00D02D3C">
        <w:rPr>
          <w:rFonts w:ascii="Cambria" w:hAnsi="Cambria"/>
          <w:sz w:val="20"/>
          <w:szCs w:val="20"/>
          <w:lang w:eastAsia="es-ES"/>
        </w:rPr>
        <w:t xml:space="preserve"> In addition, the European Court of Human Rights has ruled that due process guarantees must be respected and ensured in the context of administrative proceedings that conclude in the dismissal of a public servant.</w:t>
      </w:r>
      <w:r w:rsidRPr="00D02D3C">
        <w:rPr>
          <w:rFonts w:ascii="Cambria" w:hAnsi="Cambria"/>
          <w:sz w:val="20"/>
          <w:szCs w:val="20"/>
          <w:vertAlign w:val="superscript"/>
          <w:lang w:eastAsia="es-ES"/>
        </w:rPr>
        <w:footnoteReference w:id="28"/>
      </w:r>
    </w:p>
    <w:p w14:paraId="61133817"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eastAsia="es-ES"/>
        </w:rPr>
      </w:pPr>
      <w:r w:rsidRPr="00D02D3C">
        <w:rPr>
          <w:rFonts w:ascii="Cambria" w:hAnsi="Cambria"/>
          <w:sz w:val="20"/>
          <w:szCs w:val="20"/>
          <w:lang w:eastAsia="es-ES"/>
        </w:rPr>
        <w:lastRenderedPageBreak/>
        <w:t>Accordingly, the determination of what are the due guarantees in a specific proceeding for the determination of rights must be made taking into account the nature of the proceeding and the legal interests at stake.</w:t>
      </w:r>
      <w:r w:rsidRPr="00D02D3C">
        <w:rPr>
          <w:rFonts w:ascii="Cambria" w:hAnsi="Cambria"/>
          <w:sz w:val="20"/>
          <w:szCs w:val="20"/>
          <w:vertAlign w:val="superscript"/>
        </w:rPr>
        <w:footnoteReference w:id="29"/>
      </w:r>
      <w:r w:rsidRPr="00D02D3C">
        <w:rPr>
          <w:rFonts w:ascii="Cambria" w:hAnsi="Cambria"/>
          <w:sz w:val="20"/>
          <w:szCs w:val="20"/>
          <w:lang w:eastAsia="es-ES"/>
        </w:rPr>
        <w:t xml:space="preserve"> </w:t>
      </w:r>
    </w:p>
    <w:p w14:paraId="395BC1D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102930A0" w14:textId="77777777" w:rsidR="00D02D3C" w:rsidRPr="00D02D3C" w:rsidRDefault="00D02D3C" w:rsidP="000A566E">
      <w:pPr>
        <w:keepN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sz w:val="20"/>
          <w:szCs w:val="20"/>
          <w:bdr w:val="none" w:sz="0" w:space="0" w:color="auto"/>
        </w:rPr>
      </w:pPr>
      <w:bookmarkStart w:id="52" w:name="_Toc522484038"/>
      <w:bookmarkStart w:id="53" w:name="_Toc523998357"/>
      <w:bookmarkStart w:id="54" w:name="_Toc395277581"/>
      <w:r w:rsidRPr="00D02D3C">
        <w:rPr>
          <w:rFonts w:asciiTheme="majorHAnsi" w:eastAsia="Times New Roman" w:hAnsiTheme="majorHAnsi"/>
          <w:b/>
          <w:sz w:val="20"/>
          <w:szCs w:val="20"/>
          <w:bdr w:val="none" w:sz="0" w:space="0" w:color="auto"/>
        </w:rPr>
        <w:t>General considerations on the guarantees applicable to judicial officers, including prosecutors</w:t>
      </w:r>
      <w:bookmarkEnd w:id="52"/>
      <w:bookmarkEnd w:id="53"/>
      <w:r w:rsidRPr="00D02D3C">
        <w:rPr>
          <w:rFonts w:asciiTheme="majorHAnsi" w:eastAsia="Times New Roman" w:hAnsiTheme="majorHAnsi"/>
          <w:b/>
          <w:sz w:val="20"/>
          <w:szCs w:val="20"/>
          <w:bdr w:val="none" w:sz="0" w:space="0" w:color="auto"/>
        </w:rPr>
        <w:t xml:space="preserve"> </w:t>
      </w:r>
      <w:bookmarkEnd w:id="54"/>
    </w:p>
    <w:p w14:paraId="173B2ED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eastAsia="es-ES"/>
        </w:rPr>
      </w:pPr>
    </w:p>
    <w:p w14:paraId="548090DF" w14:textId="77777777" w:rsidR="00D02D3C" w:rsidRPr="00D02D3C" w:rsidRDefault="00D02D3C" w:rsidP="000A566E">
      <w:pPr>
        <w:keepNext/>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rPr>
          <w:rFonts w:ascii="Cambria" w:eastAsiaTheme="majorEastAsia" w:hAnsi="Cambria" w:cstheme="majorBidi"/>
          <w:b/>
          <w:bCs/>
          <w:sz w:val="20"/>
          <w:szCs w:val="20"/>
        </w:rPr>
      </w:pPr>
      <w:bookmarkStart w:id="55" w:name="_Toc522484039"/>
      <w:bookmarkStart w:id="56" w:name="_Toc523998358"/>
      <w:bookmarkStart w:id="57" w:name="_Toc395277582"/>
      <w:r w:rsidRPr="00D02D3C">
        <w:rPr>
          <w:rFonts w:ascii="Cambria" w:eastAsiaTheme="majorEastAsia" w:hAnsi="Cambria" w:cstheme="majorBidi"/>
          <w:b/>
          <w:bCs/>
          <w:sz w:val="20"/>
          <w:szCs w:val="20"/>
        </w:rPr>
        <w:t>The principle of judicial independence and the removal of judicial officers</w:t>
      </w:r>
      <w:bookmarkEnd w:id="55"/>
      <w:bookmarkEnd w:id="56"/>
      <w:r w:rsidRPr="00D02D3C">
        <w:rPr>
          <w:rFonts w:ascii="Cambria" w:eastAsiaTheme="majorEastAsia" w:hAnsi="Cambria" w:cstheme="majorBidi"/>
          <w:b/>
          <w:bCs/>
          <w:sz w:val="20"/>
          <w:szCs w:val="20"/>
        </w:rPr>
        <w:t xml:space="preserve"> </w:t>
      </w:r>
      <w:bookmarkEnd w:id="57"/>
    </w:p>
    <w:p w14:paraId="63429FA3" w14:textId="77777777" w:rsidR="00D02D3C" w:rsidRPr="00D02D3C" w:rsidRDefault="00D02D3C" w:rsidP="00D02D3C"/>
    <w:p w14:paraId="0DF32E3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lang w:eastAsia="es-ES"/>
        </w:rPr>
        <w:t>The IACHR has indicated that the principle of judicial independence is a requirement inherent to a democratic form of government and a fundamental prerequisite for the protection of human rights.</w:t>
      </w:r>
      <w:r w:rsidRPr="00D02D3C">
        <w:rPr>
          <w:rFonts w:ascii="Cambria" w:hAnsi="Cambria"/>
          <w:sz w:val="20"/>
          <w:szCs w:val="20"/>
          <w:vertAlign w:val="superscript"/>
        </w:rPr>
        <w:footnoteReference w:id="30"/>
      </w:r>
      <w:r w:rsidRPr="00D02D3C">
        <w:rPr>
          <w:rFonts w:ascii="Cambria" w:hAnsi="Cambria"/>
          <w:sz w:val="20"/>
          <w:szCs w:val="20"/>
        </w:rPr>
        <w:t xml:space="preserve"> It is enshrined as one of the guarantees of due process protected by Article 8(1) of the American Convention and, moreover, the principle gives rise to the “reinforced”</w:t>
      </w:r>
      <w:r w:rsidRPr="00D02D3C">
        <w:rPr>
          <w:rFonts w:ascii="Cambria" w:hAnsi="Cambria"/>
          <w:sz w:val="20"/>
          <w:szCs w:val="20"/>
          <w:vertAlign w:val="superscript"/>
        </w:rPr>
        <w:footnoteReference w:id="31"/>
      </w:r>
      <w:r w:rsidRPr="00D02D3C">
        <w:rPr>
          <w:rFonts w:ascii="Cambria" w:hAnsi="Cambria"/>
          <w:sz w:val="20"/>
          <w:szCs w:val="20"/>
        </w:rPr>
        <w:t xml:space="preserve"> guarantees that states must offer judges to ensure their independence.</w:t>
      </w:r>
      <w:r w:rsidRPr="00D02D3C">
        <w:rPr>
          <w:rFonts w:ascii="Cambria" w:hAnsi="Cambria"/>
          <w:sz w:val="20"/>
          <w:szCs w:val="20"/>
          <w:vertAlign w:val="superscript"/>
        </w:rPr>
        <w:footnoteReference w:id="32"/>
      </w:r>
      <w:r w:rsidRPr="00D02D3C">
        <w:rPr>
          <w:rFonts w:ascii="Cambria" w:hAnsi="Cambria"/>
          <w:sz w:val="20"/>
          <w:szCs w:val="20"/>
        </w:rPr>
        <w:t xml:space="preserve"> The organs of the inter-American system have interpreted the principle of judicial independence so as to incorporate the following guarantees: adequate appointment process, tenure in the position, and guarantees against external pressures.</w:t>
      </w:r>
      <w:r w:rsidRPr="00D02D3C">
        <w:rPr>
          <w:rFonts w:ascii="Cambria" w:hAnsi="Cambria"/>
          <w:sz w:val="20"/>
          <w:szCs w:val="20"/>
          <w:vertAlign w:val="superscript"/>
        </w:rPr>
        <w:footnoteReference w:id="33"/>
      </w:r>
    </w:p>
    <w:p w14:paraId="4541EE4B"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D5F910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Specifically, with respect to the guarantees for ensuring tenure, the Court has indicated that proceedings that may culminate in the separation of a judicial officer should unfold in a manner compatible with the principle of judicial independence. This implies that the states should ensure that all persons who perform judicial functions have guarantees of reinforced stability, understanding this to mean that the dismissal or removal of a judge </w:t>
      </w:r>
      <w:r w:rsidRPr="00D02D3C">
        <w:rPr>
          <w:rFonts w:asciiTheme="majorHAnsi" w:hAnsiTheme="majorHAnsi"/>
          <w:sz w:val="20"/>
          <w:szCs w:val="20"/>
          <w:bdr w:val="none" w:sz="0" w:space="0" w:color="auto"/>
        </w:rPr>
        <w:t>from his or her position may proceed on two fundamental grounds: (</w:t>
      </w:r>
      <w:proofErr w:type="spellStart"/>
      <w:r w:rsidRPr="00D02D3C">
        <w:rPr>
          <w:rFonts w:asciiTheme="majorHAnsi" w:hAnsiTheme="majorHAnsi"/>
          <w:sz w:val="20"/>
          <w:szCs w:val="20"/>
          <w:bdr w:val="none" w:sz="0" w:space="0" w:color="auto"/>
        </w:rPr>
        <w:t>i</w:t>
      </w:r>
      <w:proofErr w:type="spellEnd"/>
      <w:r w:rsidRPr="00D02D3C">
        <w:rPr>
          <w:rFonts w:asciiTheme="majorHAnsi" w:hAnsiTheme="majorHAnsi"/>
          <w:sz w:val="20"/>
          <w:szCs w:val="20"/>
          <w:bdr w:val="none" w:sz="0" w:space="0" w:color="auto"/>
        </w:rPr>
        <w:t>) for engaging in “clearly punishable” conduct</w:t>
      </w:r>
      <w:r w:rsidRPr="00D02D3C">
        <w:rPr>
          <w:rFonts w:ascii="Cambria" w:hAnsi="Cambria" w:cs="Verdana"/>
          <w:sz w:val="20"/>
          <w:szCs w:val="20"/>
        </w:rPr>
        <w:t>, “based on the most serious grounds of misconduct or incompetence,”</w:t>
      </w:r>
      <w:r w:rsidRPr="00D02D3C">
        <w:rPr>
          <w:rFonts w:ascii="Cambria" w:hAnsi="Cambria"/>
          <w:sz w:val="20"/>
          <w:szCs w:val="20"/>
          <w:vertAlign w:val="superscript"/>
        </w:rPr>
        <w:footnoteReference w:id="34"/>
      </w:r>
      <w:r w:rsidRPr="00D02D3C">
        <w:rPr>
          <w:rFonts w:ascii="Cambria" w:hAnsi="Cambria" w:cs="Verdana"/>
          <w:sz w:val="20"/>
          <w:szCs w:val="20"/>
        </w:rPr>
        <w:t xml:space="preserve"> or (ii) due to completing the term or satisfying the condition established in the designation. Provisional status is not equivalent to free removal and should not mean any alteration whatsoever of the regime of guarantees for the sound performance of the judge and safeguard of parties who come before the courts.</w:t>
      </w:r>
      <w:r w:rsidRPr="00D02D3C">
        <w:rPr>
          <w:rFonts w:asciiTheme="majorHAnsi" w:hAnsiTheme="majorHAnsi"/>
          <w:sz w:val="20"/>
          <w:vertAlign w:val="superscript"/>
        </w:rPr>
        <w:footnoteReference w:id="35"/>
      </w:r>
      <w:r w:rsidRPr="00D02D3C">
        <w:rPr>
          <w:rFonts w:ascii="Cambria" w:hAnsi="Cambria" w:cs="Verdana"/>
          <w:sz w:val="20"/>
          <w:szCs w:val="20"/>
        </w:rPr>
        <w:t xml:space="preserve"> </w:t>
      </w:r>
    </w:p>
    <w:p w14:paraId="264CAFD0"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7017D5A"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t xml:space="preserve">Stability of judicial officers in their positions is closely tied to the guarantee against external and internal pressures, since if they do not have security of tenure during a given period they would be vulnerable to pressures from different sectors, mainly from those who have the power to decide on their removal. </w:t>
      </w:r>
    </w:p>
    <w:p w14:paraId="3F32C7C7"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A26EE38"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lastRenderedPageBreak/>
        <w:t>Accordingly, the Commission reiterates that the states must ensure that all persons who exercise a judicial function have reinforced guarantees of stability in the understanding that except for committing serious disciplinary breaches, stability in the position should be respected for the term or until satisfaction of the condition established in the designation, without any distinction between career service judges and those who perform the judicial function temporarily or provisionally. Such temporary or provisional nature should be determined by a term or a specific condition for the exercise of the judicial function, so as to ensure that these judges will not be removed from their positions due to the rulings they adopt or by virtue of arbitrary decisions by administrative or judicial entities. The appointment of temporary judicial officers with no defined term or condition in their appointment should be considered incompatible with the international obligations of a state as regards judicial independence and cannot be argued as an excuse for not granting due process guarantees in a decision on removal.</w:t>
      </w:r>
      <w:r w:rsidRPr="00D02D3C">
        <w:rPr>
          <w:rFonts w:ascii="Cambria" w:hAnsi="Cambria"/>
          <w:sz w:val="20"/>
          <w:szCs w:val="20"/>
          <w:vertAlign w:val="superscript"/>
        </w:rPr>
        <w:footnoteReference w:id="36"/>
      </w:r>
      <w:r w:rsidRPr="00D02D3C">
        <w:rPr>
          <w:rFonts w:asciiTheme="majorHAnsi" w:hAnsiTheme="majorHAnsi"/>
          <w:sz w:val="20"/>
          <w:szCs w:val="20"/>
        </w:rPr>
        <w:t xml:space="preserve"> </w:t>
      </w:r>
      <w:r w:rsidRPr="00D02D3C">
        <w:rPr>
          <w:rFonts w:ascii="Cambria" w:hAnsi="Cambria"/>
          <w:sz w:val="20"/>
          <w:szCs w:val="20"/>
        </w:rPr>
        <w:t>The IACHR has indicated that the independence of the judicial system is undermined when provisional judges can be dismissed without any statement regarding the cause.</w:t>
      </w:r>
      <w:r w:rsidRPr="00D02D3C">
        <w:rPr>
          <w:rFonts w:ascii="Cambria" w:hAnsi="Cambria"/>
          <w:sz w:val="20"/>
          <w:szCs w:val="20"/>
          <w:vertAlign w:val="superscript"/>
        </w:rPr>
        <w:footnoteReference w:id="37"/>
      </w:r>
      <w:r w:rsidRPr="00D02D3C">
        <w:rPr>
          <w:rFonts w:ascii="Cambria" w:hAnsi="Cambria"/>
          <w:sz w:val="20"/>
          <w:szCs w:val="20"/>
        </w:rPr>
        <w:t xml:space="preserve"> </w:t>
      </w:r>
    </w:p>
    <w:p w14:paraId="628D9469"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Verdana"/>
          <w:sz w:val="20"/>
          <w:szCs w:val="20"/>
        </w:rPr>
      </w:pPr>
    </w:p>
    <w:p w14:paraId="6C83779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bdr w:val="none" w:sz="0" w:space="0" w:color="auto"/>
        </w:rPr>
      </w:pPr>
      <w:r w:rsidRPr="00D02D3C">
        <w:rPr>
          <w:rFonts w:ascii="Cambria" w:hAnsi="Cambria" w:cs="Verdana"/>
          <w:sz w:val="20"/>
          <w:szCs w:val="20"/>
        </w:rPr>
        <w:t xml:space="preserve">In sum, even when the “needs of the service” may </w:t>
      </w:r>
      <w:proofErr w:type="gramStart"/>
      <w:r w:rsidRPr="00D02D3C">
        <w:rPr>
          <w:rFonts w:ascii="Cambria" w:hAnsi="Cambria" w:cs="Verdana"/>
          <w:sz w:val="20"/>
          <w:szCs w:val="20"/>
        </w:rPr>
        <w:t>justify  an</w:t>
      </w:r>
      <w:proofErr w:type="gramEnd"/>
      <w:r w:rsidRPr="00D02D3C">
        <w:rPr>
          <w:rFonts w:ascii="Cambria" w:hAnsi="Cambria" w:cs="Verdana"/>
          <w:sz w:val="20"/>
          <w:szCs w:val="20"/>
        </w:rPr>
        <w:t xml:space="preserve"> appointment of a judicial officer on a temporary basis or to fulfill a specific function, that period or condition should be clearly established in the act of the appointment and should also be part of the explanation of the eventual act of separation. Only in this way can one protect the independence of the judicial function and avoid the provisional nature of judicial officers from being used arbitrarily to undermine such independence. </w:t>
      </w:r>
    </w:p>
    <w:p w14:paraId="0A8F572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bdr w:val="none" w:sz="0" w:space="0" w:color="auto"/>
        </w:rPr>
      </w:pPr>
    </w:p>
    <w:p w14:paraId="380EA29F" w14:textId="77777777" w:rsidR="00D02D3C" w:rsidRPr="00D02D3C" w:rsidRDefault="00D02D3C" w:rsidP="000A566E">
      <w:pPr>
        <w:keepNext/>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rPr>
          <w:rFonts w:ascii="Cambria" w:eastAsiaTheme="majorEastAsia" w:hAnsi="Cambria" w:cstheme="majorBidi"/>
          <w:b/>
          <w:bCs/>
          <w:sz w:val="20"/>
          <w:szCs w:val="20"/>
        </w:rPr>
      </w:pPr>
      <w:bookmarkStart w:id="58" w:name="_Toc522484040"/>
      <w:bookmarkStart w:id="59" w:name="_Toc523998359"/>
      <w:bookmarkStart w:id="60" w:name="_Toc395277583"/>
      <w:r w:rsidRPr="00D02D3C">
        <w:rPr>
          <w:rFonts w:ascii="Cambria" w:eastAsiaTheme="majorEastAsia" w:hAnsi="Cambria" w:cstheme="majorBidi"/>
          <w:b/>
          <w:bCs/>
          <w:sz w:val="20"/>
          <w:szCs w:val="20"/>
        </w:rPr>
        <w:t>General considerations about the reinforced stability of prosecutors</w:t>
      </w:r>
      <w:bookmarkEnd w:id="58"/>
      <w:bookmarkEnd w:id="59"/>
      <w:r w:rsidRPr="00D02D3C">
        <w:rPr>
          <w:rFonts w:ascii="Cambria" w:eastAsiaTheme="majorEastAsia" w:hAnsi="Cambria" w:cstheme="majorBidi"/>
          <w:b/>
          <w:bCs/>
          <w:sz w:val="20"/>
          <w:szCs w:val="20"/>
        </w:rPr>
        <w:t xml:space="preserve"> </w:t>
      </w:r>
      <w:bookmarkEnd w:id="60"/>
    </w:p>
    <w:p w14:paraId="24817D7D"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bdr w:val="none" w:sz="0" w:space="0" w:color="auto"/>
        </w:rPr>
      </w:pPr>
    </w:p>
    <w:p w14:paraId="16B7E21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The Commission considers that the principle of reinforced stability of judges also applies to prosecutors insofar as they play a complementary role to that of judges in the administration of justice, on bringing criminal proceedings, investigating crimes, as well as performing other functions of public interest, which in the absence of sufficient guarantees may contribute to them becoming subject to internal and external pressures in relation to the decisions they make.</w:t>
      </w:r>
      <w:r w:rsidRPr="00D02D3C">
        <w:rPr>
          <w:rFonts w:ascii="Verdana" w:hAnsi="Verdana"/>
          <w:sz w:val="20"/>
          <w:szCs w:val="20"/>
          <w:vertAlign w:val="superscript"/>
        </w:rPr>
        <w:footnoteReference w:id="38"/>
      </w:r>
      <w:r w:rsidRPr="00D02D3C">
        <w:rPr>
          <w:rFonts w:ascii="Cambria" w:hAnsi="Cambria"/>
          <w:sz w:val="20"/>
          <w:szCs w:val="20"/>
        </w:rPr>
        <w:t xml:space="preserve"> </w:t>
      </w:r>
    </w:p>
    <w:p w14:paraId="2768DF8D"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D54E63B"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In this respect the United Nations Guidelines on the Role of Prosecutors establish that “States shall ensure that prosecutors are able to perform their professional functions without intimidation, hindrance, harassment, improper interference or unjustified exposure to civil, penal or other liability.”</w:t>
      </w:r>
      <w:r w:rsidRPr="00D02D3C">
        <w:rPr>
          <w:rFonts w:ascii="Verdana" w:hAnsi="Verdana"/>
          <w:sz w:val="20"/>
          <w:szCs w:val="20"/>
          <w:vertAlign w:val="superscript"/>
        </w:rPr>
        <w:footnoteReference w:id="39"/>
      </w:r>
      <w:r w:rsidRPr="00D02D3C">
        <w:rPr>
          <w:rFonts w:ascii="Cambria" w:hAnsi="Cambria"/>
          <w:sz w:val="20"/>
          <w:szCs w:val="20"/>
        </w:rPr>
        <w:t xml:space="preserve"> </w:t>
      </w:r>
    </w:p>
    <w:p w14:paraId="3D11669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F9A4E34"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In addition, the Bordeaux Declaration on judges and prosecutors in a democratic society establishes:</w:t>
      </w:r>
    </w:p>
    <w:p w14:paraId="3DB7116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324A26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rPr>
      </w:pPr>
      <w:r w:rsidRPr="00D02D3C">
        <w:rPr>
          <w:rFonts w:ascii="Cambria" w:hAnsi="Cambria"/>
          <w:sz w:val="20"/>
          <w:szCs w:val="20"/>
        </w:rPr>
        <w:t xml:space="preserve">The independence of the public prosecution service constitutes an indispensable corollary to the independence of the judiciary.… The independence of public prosecutors is indispensable for enabling them to carry out their mission.… Thus, akin to the independence secured to judges, the independence of public prosecutors is not a prerogative or privilege conferred in the interest of the prosecutors, but a guarantee in the interest of a fair, impartial and effective justice that protects both public and private interests of the persons concerned. </w:t>
      </w:r>
    </w:p>
    <w:p w14:paraId="1F77CD92"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rPr>
      </w:pPr>
    </w:p>
    <w:p w14:paraId="521626B1" w14:textId="06AEAD89" w:rsidR="00D02D3C" w:rsidRPr="00D02D3C" w:rsidRDefault="000A566E"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180"/>
        <w:jc w:val="both"/>
        <w:rPr>
          <w:rFonts w:ascii="Cambria" w:hAnsi="Cambria"/>
          <w:sz w:val="20"/>
          <w:szCs w:val="20"/>
        </w:rPr>
      </w:pPr>
      <w:r>
        <w:rPr>
          <w:rFonts w:ascii="Cambria" w:hAnsi="Cambria"/>
          <w:sz w:val="20"/>
          <w:szCs w:val="20"/>
        </w:rPr>
        <w:t>(</w:t>
      </w:r>
      <w:r w:rsidR="00D02D3C" w:rsidRPr="00D02D3C">
        <w:rPr>
          <w:rFonts w:ascii="Cambria" w:hAnsi="Cambria"/>
          <w:sz w:val="20"/>
          <w:szCs w:val="20"/>
        </w:rPr>
        <w:t>…</w:t>
      </w:r>
      <w:r>
        <w:rPr>
          <w:rFonts w:ascii="Cambria" w:hAnsi="Cambria"/>
          <w:sz w:val="20"/>
          <w:szCs w:val="20"/>
        </w:rPr>
        <w:t>)</w:t>
      </w:r>
      <w:r w:rsidR="00D02D3C" w:rsidRPr="00D02D3C">
        <w:rPr>
          <w:rFonts w:ascii="Cambria" w:hAnsi="Cambria"/>
          <w:sz w:val="20"/>
          <w:szCs w:val="20"/>
        </w:rPr>
        <w:t xml:space="preserve"> The proximity and complementary nature of the missions of judges and prosecutors create similar requirements and guarantees in terms of their status and conditions of service, namely regarding   recruitment, training, career development, discipline, transfer </w:t>
      </w:r>
      <w:r w:rsidR="00D02D3C" w:rsidRPr="00D02D3C">
        <w:rPr>
          <w:rFonts w:ascii="Cambria" w:hAnsi="Cambria"/>
          <w:sz w:val="20"/>
          <w:szCs w:val="20"/>
        </w:rPr>
        <w:lastRenderedPageBreak/>
        <w:t xml:space="preserve">(which shall be </w:t>
      </w:r>
      <w:proofErr w:type="gramStart"/>
      <w:r w:rsidR="00D02D3C" w:rsidRPr="00D02D3C">
        <w:rPr>
          <w:rFonts w:ascii="Cambria" w:hAnsi="Cambria"/>
          <w:sz w:val="20"/>
          <w:szCs w:val="20"/>
        </w:rPr>
        <w:t>effected</w:t>
      </w:r>
      <w:proofErr w:type="gramEnd"/>
      <w:r w:rsidR="00D02D3C" w:rsidRPr="00D02D3C">
        <w:rPr>
          <w:rFonts w:ascii="Cambria" w:hAnsi="Cambria"/>
          <w:sz w:val="20"/>
          <w:szCs w:val="20"/>
        </w:rPr>
        <w:t xml:space="preserve"> only according to the law or by their consent), remuneration, termination of functions and freedom to create professional associations.</w:t>
      </w:r>
      <w:r w:rsidR="00D02D3C" w:rsidRPr="00D02D3C">
        <w:rPr>
          <w:rFonts w:ascii="Verdana" w:hAnsi="Verdana"/>
          <w:sz w:val="20"/>
          <w:szCs w:val="20"/>
          <w:vertAlign w:val="superscript"/>
        </w:rPr>
        <w:footnoteReference w:id="40"/>
      </w:r>
      <w:r w:rsidR="00D02D3C" w:rsidRPr="00D02D3C">
        <w:rPr>
          <w:rFonts w:ascii="Cambria" w:hAnsi="Cambria"/>
          <w:sz w:val="20"/>
          <w:szCs w:val="20"/>
        </w:rPr>
        <w:t xml:space="preserve"> </w:t>
      </w:r>
    </w:p>
    <w:p w14:paraId="36D7272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70698C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rPr>
      </w:pPr>
      <w:r w:rsidRPr="00D02D3C">
        <w:rPr>
          <w:rFonts w:asciiTheme="majorHAnsi" w:hAnsiTheme="majorHAnsi"/>
          <w:sz w:val="20"/>
          <w:szCs w:val="20"/>
        </w:rPr>
        <w:t xml:space="preserve">In addition, the Consultative Council of European Prosecutors of the Council of Europe indicated in its Opinion No. 9: </w:t>
      </w:r>
    </w:p>
    <w:p w14:paraId="531FE34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09601F7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sidRPr="00D02D3C">
        <w:rPr>
          <w:rFonts w:asciiTheme="majorHAnsi" w:eastAsia="Times New Roman" w:hAnsiTheme="majorHAnsi" w:cs="Courier New"/>
          <w:sz w:val="20"/>
          <w:szCs w:val="20"/>
          <w:bdr w:val="none" w:sz="0" w:space="0" w:color="auto"/>
        </w:rPr>
        <w:t>The independence and autonomy of the prosecution services constitute an indispensable corollary to the independence of the judiciary. Therefore, the general tendency to enhance the independence and effective autonomy of the prosecution services should be encouraged.</w:t>
      </w:r>
    </w:p>
    <w:p w14:paraId="47A338C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eastAsia="Times New Roman" w:hAnsiTheme="majorHAnsi" w:cs="Courier New"/>
          <w:sz w:val="20"/>
          <w:szCs w:val="20"/>
          <w:bdr w:val="none" w:sz="0" w:space="0" w:color="auto"/>
        </w:rPr>
      </w:pPr>
      <w:r w:rsidRPr="00D02D3C">
        <w:rPr>
          <w:rFonts w:asciiTheme="majorHAnsi" w:eastAsia="Times New Roman" w:hAnsiTheme="majorHAnsi" w:cs="Courier New"/>
          <w:sz w:val="20"/>
          <w:szCs w:val="20"/>
          <w:bdr w:val="none" w:sz="0" w:space="0" w:color="auto"/>
        </w:rPr>
        <w:t xml:space="preserve"> </w:t>
      </w:r>
    </w:p>
    <w:p w14:paraId="5BC5CE0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460"/>
        </w:tabs>
        <w:ind w:left="720" w:right="720"/>
        <w:jc w:val="both"/>
        <w:rPr>
          <w:rFonts w:asciiTheme="majorHAnsi" w:hAnsiTheme="majorHAnsi"/>
          <w:sz w:val="20"/>
          <w:szCs w:val="20"/>
        </w:rPr>
      </w:pPr>
      <w:r w:rsidRPr="00D02D3C">
        <w:rPr>
          <w:rFonts w:asciiTheme="majorHAnsi" w:eastAsia="Times New Roman" w:hAnsiTheme="majorHAnsi" w:cs="Courier New"/>
          <w:sz w:val="20"/>
          <w:szCs w:val="20"/>
          <w:bdr w:val="none" w:sz="0" w:space="0" w:color="auto"/>
        </w:rPr>
        <w:t>Prosecutors should be autonomous in their decision-making and should perform their duties free from external pressure or interference, having regard to the principles of separation of powers and accountability.</w:t>
      </w:r>
      <w:r w:rsidRPr="007D08F9">
        <w:rPr>
          <w:rFonts w:asciiTheme="majorHAnsi" w:hAnsiTheme="majorHAnsi" w:cs="Courier New"/>
          <w:sz w:val="20"/>
          <w:szCs w:val="20"/>
          <w:vertAlign w:val="superscript"/>
        </w:rPr>
        <w:footnoteReference w:id="41"/>
      </w:r>
      <w:r w:rsidRPr="007D08F9">
        <w:rPr>
          <w:rFonts w:asciiTheme="majorHAnsi" w:eastAsia="Times New Roman" w:hAnsiTheme="majorHAnsi" w:cs="Courier New"/>
          <w:sz w:val="20"/>
          <w:szCs w:val="20"/>
          <w:bdr w:val="none" w:sz="0" w:space="0" w:color="auto"/>
        </w:rPr>
        <w:t xml:space="preserve"> </w:t>
      </w:r>
    </w:p>
    <w:p w14:paraId="4E7DFB65"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14:paraId="52224082"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In view of the foregoing considerations, the IACHR considers that the standards cited in the previous section are applicable to prosecutors, who by the nature of the function they perform should enjoy the reinforced stability in their position as a guarantee for independence in their work and should only be replaced for grave breaches or because the term or condition established in their designation has been completed or fulfilled, similar to judges. As was indicated in the previous section, the foregoing is applicable to officers appointed provisionally, insofar as they perform the same function as those will full appointments, and it is that function that is protected under the principle of judicial independence. </w:t>
      </w:r>
    </w:p>
    <w:p w14:paraId="0711ADD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C47F40A" w14:textId="77777777" w:rsidR="00D02D3C" w:rsidRPr="00D02D3C" w:rsidRDefault="00D02D3C" w:rsidP="000A566E">
      <w:pPr>
        <w:keepN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i/>
          <w:sz w:val="20"/>
          <w:szCs w:val="20"/>
          <w:bdr w:val="none" w:sz="0" w:space="0" w:color="auto"/>
        </w:rPr>
      </w:pPr>
      <w:bookmarkStart w:id="61" w:name="_Toc522484041"/>
      <w:bookmarkStart w:id="62" w:name="_Toc523998360"/>
      <w:bookmarkStart w:id="63" w:name="_Toc395277584"/>
      <w:r w:rsidRPr="00D02D3C">
        <w:rPr>
          <w:rFonts w:ascii="Cambria" w:eastAsia="Times New Roman" w:hAnsi="Cambria"/>
          <w:b/>
          <w:sz w:val="20"/>
          <w:szCs w:val="20"/>
          <w:bdr w:val="none" w:sz="0" w:space="0" w:color="auto"/>
        </w:rPr>
        <w:t>Analysis of the instant case</w:t>
      </w:r>
      <w:bookmarkEnd w:id="61"/>
      <w:bookmarkEnd w:id="62"/>
      <w:r w:rsidRPr="00D02D3C">
        <w:rPr>
          <w:rFonts w:ascii="Cambria" w:eastAsia="Times New Roman" w:hAnsi="Cambria"/>
          <w:b/>
          <w:sz w:val="20"/>
          <w:szCs w:val="20"/>
          <w:bdr w:val="none" w:sz="0" w:space="0" w:color="auto"/>
        </w:rPr>
        <w:t xml:space="preserve"> </w:t>
      </w:r>
      <w:bookmarkEnd w:id="63"/>
    </w:p>
    <w:p w14:paraId="7F6A0E07" w14:textId="77777777" w:rsidR="00D02D3C" w:rsidRPr="00D02D3C" w:rsidRDefault="00D02D3C" w:rsidP="00D02D3C">
      <w:pPr>
        <w:ind w:left="1440"/>
        <w:rPr>
          <w:rFonts w:asciiTheme="majorHAnsi" w:eastAsia="Cambria" w:hAnsiTheme="majorHAnsi" w:cs="Cambria"/>
          <w:b/>
          <w:color w:val="000000"/>
          <w:sz w:val="20"/>
          <w:szCs w:val="20"/>
          <w:u w:color="000000"/>
          <w:lang w:eastAsia="es-ES"/>
        </w:rPr>
      </w:pPr>
    </w:p>
    <w:p w14:paraId="22A9200D" w14:textId="77777777" w:rsidR="00D02D3C" w:rsidRPr="00D02D3C" w:rsidRDefault="00D02D3C" w:rsidP="000A566E">
      <w:pPr>
        <w:keepNext/>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rPr>
          <w:rFonts w:ascii="Cambria" w:eastAsiaTheme="majorEastAsia" w:hAnsi="Cambria" w:cstheme="majorBidi"/>
          <w:b/>
          <w:bCs/>
          <w:color w:val="000000" w:themeColor="text1"/>
          <w:sz w:val="20"/>
          <w:szCs w:val="20"/>
        </w:rPr>
      </w:pPr>
      <w:bookmarkStart w:id="64" w:name="_Toc522484042"/>
      <w:bookmarkStart w:id="65" w:name="_Toc523998361"/>
      <w:bookmarkStart w:id="66" w:name="_Toc395277585"/>
      <w:r w:rsidRPr="00D02D3C">
        <w:rPr>
          <w:rFonts w:asciiTheme="majorHAnsi" w:eastAsiaTheme="majorEastAsia" w:hAnsiTheme="majorHAnsi" w:cstheme="majorBidi"/>
          <w:b/>
          <w:bCs/>
          <w:color w:val="000000" w:themeColor="text1"/>
          <w:sz w:val="20"/>
          <w:szCs w:val="20"/>
        </w:rPr>
        <w:t>As per the right to be heard, the right to defense, and the freedom from ex post facto laws</w:t>
      </w:r>
      <w:bookmarkEnd w:id="64"/>
      <w:bookmarkEnd w:id="65"/>
      <w:r w:rsidRPr="00D02D3C">
        <w:rPr>
          <w:rFonts w:asciiTheme="majorHAnsi" w:eastAsiaTheme="majorEastAsia" w:hAnsiTheme="majorHAnsi" w:cstheme="majorBidi"/>
          <w:b/>
          <w:bCs/>
          <w:color w:val="000000" w:themeColor="text1"/>
          <w:sz w:val="20"/>
          <w:szCs w:val="20"/>
        </w:rPr>
        <w:t xml:space="preserve"> </w:t>
      </w:r>
      <w:bookmarkEnd w:id="66"/>
    </w:p>
    <w:p w14:paraId="4D3F4FCA" w14:textId="77777777" w:rsidR="00D02D3C" w:rsidRPr="00D02D3C" w:rsidRDefault="00D02D3C" w:rsidP="00D02D3C">
      <w:pPr>
        <w:ind w:left="1440"/>
        <w:rPr>
          <w:rFonts w:asciiTheme="majorHAnsi" w:eastAsia="Cambria" w:hAnsiTheme="majorHAnsi" w:cs="Cambria"/>
          <w:b/>
          <w:color w:val="000000"/>
          <w:sz w:val="20"/>
          <w:szCs w:val="20"/>
          <w:u w:color="000000"/>
          <w:lang w:eastAsia="es-ES"/>
        </w:rPr>
      </w:pPr>
    </w:p>
    <w:p w14:paraId="10E4D3A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lang w:eastAsia="es-ES"/>
        </w:rPr>
        <w:t xml:space="preserve">Applying what has been indicated, the Commission observes that in the instant case two resolutions were issued with respect to </w:t>
      </w:r>
      <w:proofErr w:type="spellStart"/>
      <w:r w:rsidRPr="00D02D3C">
        <w:rPr>
          <w:rFonts w:ascii="Cambria" w:hAnsi="Cambria"/>
          <w:sz w:val="20"/>
          <w:szCs w:val="20"/>
          <w:lang w:eastAsia="es-ES"/>
        </w:rPr>
        <w:t>Yenina</w:t>
      </w:r>
      <w:proofErr w:type="spellEnd"/>
      <w:r w:rsidRPr="00D02D3C">
        <w:rPr>
          <w:rFonts w:ascii="Cambria" w:hAnsi="Cambria"/>
          <w:sz w:val="20"/>
          <w:szCs w:val="20"/>
          <w:lang w:eastAsia="es-ES"/>
        </w:rPr>
        <w:t xml:space="preserve"> Esther </w:t>
      </w:r>
      <w:proofErr w:type="spellStart"/>
      <w:r w:rsidRPr="00D02D3C">
        <w:rPr>
          <w:rFonts w:ascii="Cambria" w:hAnsi="Cambria"/>
          <w:sz w:val="20"/>
          <w:szCs w:val="20"/>
          <w:lang w:eastAsia="es-ES"/>
        </w:rPr>
        <w:t>Martínez</w:t>
      </w:r>
      <w:proofErr w:type="spellEnd"/>
      <w:r w:rsidRPr="00D02D3C">
        <w:rPr>
          <w:rFonts w:ascii="Cambria" w:hAnsi="Cambria"/>
          <w:sz w:val="20"/>
          <w:szCs w:val="20"/>
          <w:lang w:eastAsia="es-ES"/>
        </w:rPr>
        <w:t xml:space="preserve"> </w:t>
      </w:r>
      <w:proofErr w:type="spellStart"/>
      <w:r w:rsidRPr="00D02D3C">
        <w:rPr>
          <w:rFonts w:ascii="Cambria" w:hAnsi="Cambria"/>
          <w:sz w:val="20"/>
          <w:szCs w:val="20"/>
          <w:lang w:eastAsia="es-ES"/>
        </w:rPr>
        <w:t>Esquivia</w:t>
      </w:r>
      <w:proofErr w:type="spellEnd"/>
      <w:r w:rsidRPr="00D02D3C">
        <w:rPr>
          <w:rFonts w:ascii="Cambria" w:hAnsi="Cambria"/>
          <w:sz w:val="20"/>
          <w:szCs w:val="20"/>
          <w:lang w:eastAsia="es-ES"/>
        </w:rPr>
        <w:t xml:space="preserve">. In one her appointment was terminated and in the other she was transferred to a place far from where she had been serving. The Commission considers that both resolutions constituted state acts that determine rights and that therefore at the very least the due guarantees established at Article 8(1) of the American Convention are applicable, including the right to be heard and the duty to state the reasons in a judicial decision. In addition, taking into account that one of the resolutions had the effect of terminating her in her position as prosecutor, for the reasons stated just below, the Commission considers that the case should also be analyzed in light of the applicable guarantees at Articles 8(2) and 9 of the Convention. </w:t>
      </w:r>
    </w:p>
    <w:p w14:paraId="359843E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heme="majorEastAsia" w:hAnsi="Cambria" w:cstheme="majorBidi"/>
          <w:b/>
          <w:bCs/>
          <w:sz w:val="20"/>
          <w:szCs w:val="20"/>
        </w:rPr>
      </w:pPr>
    </w:p>
    <w:p w14:paraId="2D728C8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As indicated in the section on factual determinations, the IACHR recalls that the alleged victim was appointed in 1992 as Provisional Judge of Criminal Investigation of </w:t>
      </w:r>
      <w:proofErr w:type="spellStart"/>
      <w:r w:rsidRPr="00D02D3C">
        <w:rPr>
          <w:rFonts w:ascii="Cambria" w:hAnsi="Cambria"/>
          <w:sz w:val="20"/>
          <w:szCs w:val="20"/>
        </w:rPr>
        <w:t>Mompox</w:t>
      </w:r>
      <w:proofErr w:type="spellEnd"/>
      <w:r w:rsidRPr="00D02D3C">
        <w:rPr>
          <w:rFonts w:ascii="Cambria" w:hAnsi="Cambria"/>
          <w:sz w:val="20"/>
          <w:szCs w:val="20"/>
        </w:rPr>
        <w:t xml:space="preserve"> and as of July 1, 1992, she was brought on as Sectional Prosecutor Grade 18, and served as a prosecutor as of that date. On October 29, 2004 the Attorney General of the Nation declared that the alleged victim was relieved of her duties, without stating any reasons. </w:t>
      </w:r>
    </w:p>
    <w:p w14:paraId="1E86D291"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3548DA3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The Commission observes that the original appointment of the alleged victim in her capacity as judge indicated that she was appointed provisionally, while she presented the documentation for confirmation in the position. Subsequently she was incorporated to the position of prosecutor, provisionally, without any term or condition. </w:t>
      </w:r>
    </w:p>
    <w:p w14:paraId="46E966F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32122C0"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lastRenderedPageBreak/>
        <w:t xml:space="preserve"> The State indicated that the Attorney General of the Nation has the power to remove, at his or her discretion, the officials appointed provisionally, that these acts need not state reasons, and that they are presumed to be legal. </w:t>
      </w:r>
    </w:p>
    <w:p w14:paraId="293ED89F" w14:textId="77777777" w:rsidR="00D02D3C" w:rsidRPr="00D02D3C" w:rsidRDefault="00D02D3C" w:rsidP="00D02D3C">
      <w:pPr>
        <w:rPr>
          <w:sz w:val="20"/>
          <w:szCs w:val="20"/>
        </w:rPr>
      </w:pPr>
    </w:p>
    <w:p w14:paraId="6B09206E"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The IACHR considers that the free removal of provisional prosecutors has a negative impact on their independence, which should be guaranteed, insofar as it renders them vulnerable to being removed because of the decisions they make, or by virtue of arbitrary decisions by the administrative or judicial entities.  </w:t>
      </w:r>
    </w:p>
    <w:p w14:paraId="582E168B" w14:textId="77777777" w:rsidR="00D02D3C" w:rsidRPr="00D02D3C" w:rsidRDefault="00D02D3C" w:rsidP="00D02D3C">
      <w:pPr>
        <w:rPr>
          <w:sz w:val="20"/>
          <w:szCs w:val="20"/>
        </w:rPr>
      </w:pPr>
    </w:p>
    <w:p w14:paraId="7B23B2A0" w14:textId="6827CFA6"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The IACHR reiterates</w:t>
      </w:r>
      <w:r w:rsidR="000A566E" w:rsidRPr="00D02D3C">
        <w:rPr>
          <w:rFonts w:ascii="Cambria" w:hAnsi="Cambria"/>
          <w:sz w:val="20"/>
          <w:szCs w:val="20"/>
        </w:rPr>
        <w:t>,</w:t>
      </w:r>
      <w:r w:rsidR="000A566E" w:rsidRPr="00D02D3C" w:rsidDel="00A955A4">
        <w:rPr>
          <w:rFonts w:ascii="Cambria" w:hAnsi="Cambria"/>
          <w:sz w:val="20"/>
          <w:szCs w:val="20"/>
        </w:rPr>
        <w:t xml:space="preserve"> </w:t>
      </w:r>
      <w:r w:rsidR="000A566E" w:rsidRPr="00D02D3C">
        <w:rPr>
          <w:rFonts w:ascii="Cambria" w:hAnsi="Cambria"/>
          <w:sz w:val="20"/>
          <w:szCs w:val="20"/>
        </w:rPr>
        <w:t>taking</w:t>
      </w:r>
      <w:r w:rsidRPr="00D02D3C">
        <w:rPr>
          <w:rFonts w:ascii="Cambria" w:hAnsi="Cambria"/>
          <w:sz w:val="20"/>
          <w:szCs w:val="20"/>
        </w:rPr>
        <w:t xml:space="preserve"> into account what is indicated in the previous section on the nature of the function they perform, that prosecutors should have guarantees of reinforced stability and should only be separated from their positions for incurring in serious disciplinary breaches or for completing the term or satisfying the condition established in their designation. Along these lines, the Commission considers that in the instant case the appointment of the alleged victim without any term or condition was incompatible with the Convention. </w:t>
      </w:r>
    </w:p>
    <w:p w14:paraId="2388A60D"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heme="majorEastAsia" w:hAnsi="Cambria" w:cstheme="majorBidi"/>
          <w:b/>
          <w:bCs/>
          <w:sz w:val="20"/>
          <w:szCs w:val="20"/>
        </w:rPr>
      </w:pPr>
    </w:p>
    <w:p w14:paraId="4C57195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D02D3C">
        <w:rPr>
          <w:rFonts w:ascii="Cambria" w:hAnsi="Cambria"/>
          <w:sz w:val="20"/>
          <w:szCs w:val="20"/>
        </w:rPr>
        <w:t xml:space="preserve">The IACHR further recalls that the lack of reasoning of the decision did not allow one to understand the reasons that resulted in the termination of the alleged victim’s appointment, so as to clear up </w:t>
      </w:r>
      <w:r w:rsidRPr="00D02D3C">
        <w:rPr>
          <w:rFonts w:ascii="Cambria" w:hAnsi="Cambria" w:cs="Verdana"/>
          <w:sz w:val="20"/>
          <w:szCs w:val="20"/>
        </w:rPr>
        <w:t xml:space="preserve">the suspicions and allegations that it was in retaliation for the decisions made in her capacity as prosecutor in the context of a criminal investigation for breach of public duty. The IACHR considers that the act of appointment of Ms. </w:t>
      </w:r>
      <w:proofErr w:type="spellStart"/>
      <w:r w:rsidRPr="00D02D3C">
        <w:rPr>
          <w:rFonts w:ascii="Cambria" w:hAnsi="Cambria" w:cs="Verdana"/>
          <w:sz w:val="20"/>
          <w:szCs w:val="20"/>
        </w:rPr>
        <w:t>Martínez</w:t>
      </w:r>
      <w:proofErr w:type="spellEnd"/>
      <w:r w:rsidRPr="00D02D3C">
        <w:rPr>
          <w:rFonts w:ascii="Cambria" w:hAnsi="Cambria" w:cs="Verdana"/>
          <w:sz w:val="20"/>
          <w:szCs w:val="20"/>
        </w:rPr>
        <w:t xml:space="preserve"> </w:t>
      </w:r>
      <w:proofErr w:type="spellStart"/>
      <w:r w:rsidRPr="00D02D3C">
        <w:rPr>
          <w:rFonts w:ascii="Cambria" w:hAnsi="Cambria" w:cs="Verdana"/>
          <w:sz w:val="20"/>
          <w:szCs w:val="20"/>
        </w:rPr>
        <w:t>Esquivia</w:t>
      </w:r>
      <w:proofErr w:type="spellEnd"/>
      <w:r w:rsidRPr="00D02D3C">
        <w:rPr>
          <w:rFonts w:ascii="Cambria" w:hAnsi="Cambria" w:cs="Verdana"/>
          <w:sz w:val="20"/>
          <w:szCs w:val="20"/>
        </w:rPr>
        <w:t xml:space="preserve"> does not offer the minimal safeguards in terms of time frame or condition subsequent such that it would be possible to understand the service-related reasons that were the basis of her provisional designation. This, together with the lack of reasoning in the decision to separate her from her position, underscores the </w:t>
      </w:r>
      <w:proofErr w:type="spellStart"/>
      <w:r w:rsidRPr="00D02D3C">
        <w:rPr>
          <w:rFonts w:ascii="Cambria" w:hAnsi="Cambria" w:cs="Verdana"/>
          <w:sz w:val="20"/>
          <w:szCs w:val="20"/>
        </w:rPr>
        <w:t>precarity</w:t>
      </w:r>
      <w:proofErr w:type="spellEnd"/>
      <w:r w:rsidRPr="00D02D3C">
        <w:rPr>
          <w:rFonts w:ascii="Cambria" w:hAnsi="Cambria" w:cs="Verdana"/>
          <w:sz w:val="20"/>
          <w:szCs w:val="20"/>
        </w:rPr>
        <w:t xml:space="preserve"> in which the alleged victim performed her key function in a State under the rule of law, which found its highest expression in the removal from her position without any reasons being given, a position that she had held for a considerable period, in this case more than a decade. </w:t>
      </w:r>
    </w:p>
    <w:p w14:paraId="4474DA0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1DE19A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In this scenario, in which the State has not succeeded in showing that the provisional status of the alleged victim had a specific aim associated with a delimited time frame or a condition subsequent, under the international standards cited, the alleged victim had the right to the separation from her position being consistent with the only other acceptable option under those standards, i.e. a procedure in which the duty to present reasons, the right of defense, and the freedom from ex post facto laws were respected, insofar as it should have been a formal disciplinary procedure. </w:t>
      </w:r>
    </w:p>
    <w:p w14:paraId="508C3D2B"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F13785C"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From the facts proven it is clear that due to the nature of the act by which the alleged victim was separated, she did not have a procedure with the minimal guarantees that arise from the right of defense and the freedom from ex post facto laws. </w:t>
      </w:r>
    </w:p>
    <w:p w14:paraId="18FD1DD1" w14:textId="77777777" w:rsidR="00D02D3C" w:rsidRPr="00D02D3C" w:rsidRDefault="00D02D3C" w:rsidP="00D02D3C">
      <w:pPr>
        <w:ind w:left="720"/>
        <w:rPr>
          <w:rFonts w:ascii="Cambria" w:eastAsia="Cambria" w:hAnsi="Cambria" w:cs="Cambria"/>
          <w:color w:val="000000"/>
          <w:sz w:val="20"/>
          <w:szCs w:val="20"/>
          <w:u w:color="000000"/>
          <w:lang w:eastAsia="es-ES"/>
        </w:rPr>
      </w:pPr>
    </w:p>
    <w:p w14:paraId="416D9DD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By virtue of the foregoing reasons, the IACHR considers that the State violated Articles 8(1), 8(2)(b), 8(2)(c), and 9 of the American Convention in relation to Articles 1(1) and  2, to the detriment of </w:t>
      </w:r>
      <w:proofErr w:type="spellStart"/>
      <w:r w:rsidRPr="00D02D3C">
        <w:rPr>
          <w:rFonts w:ascii="Cambria" w:hAnsi="Cambria"/>
          <w:sz w:val="20"/>
          <w:szCs w:val="20"/>
        </w:rPr>
        <w:t>Yenina</w:t>
      </w:r>
      <w:proofErr w:type="spellEnd"/>
      <w:r w:rsidRPr="00D02D3C">
        <w:rPr>
          <w:rFonts w:ascii="Cambria" w:hAnsi="Cambria"/>
          <w:sz w:val="20"/>
          <w:szCs w:val="20"/>
        </w:rPr>
        <w:t xml:space="preserve"> Esther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xml:space="preserve">. </w:t>
      </w:r>
    </w:p>
    <w:p w14:paraId="254CFC7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bookmarkStart w:id="67" w:name="_Toc515543708"/>
    </w:p>
    <w:p w14:paraId="157D9C39" w14:textId="77777777" w:rsidR="00D02D3C" w:rsidRPr="00D02D3C" w:rsidRDefault="00D02D3C" w:rsidP="000A566E">
      <w:pPr>
        <w:keepNex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i/>
          <w:sz w:val="20"/>
          <w:szCs w:val="20"/>
          <w:bdr w:val="none" w:sz="0" w:space="0" w:color="auto"/>
        </w:rPr>
      </w:pPr>
      <w:bookmarkStart w:id="68" w:name="_Toc395277587"/>
      <w:bookmarkStart w:id="69" w:name="_Toc522484043"/>
      <w:bookmarkStart w:id="70" w:name="_Toc523998362"/>
      <w:bookmarkEnd w:id="67"/>
      <w:r w:rsidRPr="00D02D3C">
        <w:rPr>
          <w:rFonts w:ascii="Cambria" w:eastAsia="Times New Roman" w:hAnsi="Cambria"/>
          <w:b/>
          <w:sz w:val="20"/>
          <w:szCs w:val="20"/>
          <w:bdr w:val="none" w:sz="0" w:space="0" w:color="auto"/>
        </w:rPr>
        <w:t>The rights to judicial protection</w:t>
      </w:r>
      <w:r w:rsidRPr="00D02D3C">
        <w:rPr>
          <w:rFonts w:ascii="Cambria" w:eastAsia="Times New Roman" w:hAnsi="Cambria"/>
          <w:b/>
          <w:sz w:val="20"/>
          <w:szCs w:val="20"/>
          <w:bdr w:val="none" w:sz="0" w:space="0" w:color="auto"/>
          <w:vertAlign w:val="superscript"/>
        </w:rPr>
        <w:footnoteReference w:id="42"/>
      </w:r>
      <w:bookmarkEnd w:id="68"/>
      <w:r w:rsidRPr="00D02D3C">
        <w:rPr>
          <w:rFonts w:ascii="Cambria" w:eastAsia="Times New Roman" w:hAnsi="Cambria"/>
          <w:b/>
          <w:sz w:val="20"/>
          <w:szCs w:val="20"/>
          <w:bdr w:val="none" w:sz="0" w:space="0" w:color="auto"/>
        </w:rPr>
        <w:t xml:space="preserve"> and judicial guarantees</w:t>
      </w:r>
      <w:bookmarkEnd w:id="69"/>
      <w:bookmarkEnd w:id="70"/>
      <w:r w:rsidRPr="00D02D3C">
        <w:rPr>
          <w:rFonts w:ascii="Cambria" w:eastAsia="Times New Roman" w:hAnsi="Cambria"/>
          <w:b/>
          <w:sz w:val="20"/>
          <w:szCs w:val="20"/>
          <w:bdr w:val="none" w:sz="0" w:space="0" w:color="auto"/>
        </w:rPr>
        <w:t xml:space="preserve"> </w:t>
      </w:r>
    </w:p>
    <w:p w14:paraId="0EDF056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CDE4FCE" w14:textId="77777777" w:rsidR="00D02D3C" w:rsidRPr="00D02D3C" w:rsidRDefault="00D02D3C" w:rsidP="000A566E">
      <w:pPr>
        <w:keepNex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outlineLvl w:val="1"/>
        <w:rPr>
          <w:rFonts w:asciiTheme="majorHAnsi" w:eastAsia="Times New Roman" w:hAnsiTheme="majorHAnsi"/>
          <w:b/>
          <w:sz w:val="20"/>
          <w:szCs w:val="20"/>
          <w:bdr w:val="none" w:sz="0" w:space="0" w:color="auto"/>
        </w:rPr>
      </w:pPr>
      <w:r w:rsidRPr="00D02D3C">
        <w:rPr>
          <w:rFonts w:asciiTheme="majorHAnsi" w:eastAsia="Times New Roman" w:hAnsiTheme="majorHAnsi"/>
          <w:b/>
          <w:sz w:val="20"/>
          <w:szCs w:val="20"/>
          <w:bdr w:val="none" w:sz="0" w:space="0" w:color="auto"/>
        </w:rPr>
        <w:t xml:space="preserve">         </w:t>
      </w:r>
      <w:bookmarkStart w:id="71" w:name="_Toc522484044"/>
      <w:bookmarkStart w:id="72" w:name="_Toc523998363"/>
      <w:r w:rsidRPr="00D02D3C">
        <w:rPr>
          <w:rFonts w:asciiTheme="majorHAnsi" w:eastAsia="Times New Roman" w:hAnsiTheme="majorHAnsi"/>
          <w:b/>
          <w:sz w:val="20"/>
          <w:szCs w:val="20"/>
          <w:bdr w:val="none" w:sz="0" w:space="0" w:color="auto"/>
        </w:rPr>
        <w:t>The lack of judicial protection</w:t>
      </w:r>
      <w:bookmarkEnd w:id="71"/>
      <w:bookmarkEnd w:id="72"/>
    </w:p>
    <w:p w14:paraId="17A84517"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D6F4020"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The IACHR recalls that the State is under a general obligation to provide effective judicial remedies to persons who allege that they are victims of human rights violations (Article 25), which should be substantiated in keeping with the rules of due process (Article 8(1)). Effective </w:t>
      </w:r>
      <w:r w:rsidRPr="00D02D3C">
        <w:rPr>
          <w:rFonts w:ascii="Cambria" w:hAnsi="Cambria"/>
          <w:sz w:val="20"/>
          <w:szCs w:val="20"/>
        </w:rPr>
        <w:lastRenderedPageBreak/>
        <w:t>recourse requires not only that it be provided for by law, but that it must be genuinely suitable to establish whether there has been a violation of human rights and provide as necessary to remedy it.</w:t>
      </w:r>
      <w:r w:rsidRPr="00D02D3C">
        <w:rPr>
          <w:rFonts w:ascii="Cambria" w:hAnsi="Cambria"/>
          <w:sz w:val="20"/>
          <w:szCs w:val="20"/>
          <w:vertAlign w:val="superscript"/>
        </w:rPr>
        <w:footnoteReference w:id="43"/>
      </w:r>
      <w:r w:rsidRPr="00D02D3C">
        <w:rPr>
          <w:rFonts w:ascii="Cambria" w:hAnsi="Cambria"/>
          <w:sz w:val="20"/>
          <w:szCs w:val="20"/>
        </w:rPr>
        <w:t xml:space="preserve"> On evaluating the effectiveness of remedies one must examine whether the decisions in judicial proceedings have contributed effectively to putting an end to a situation </w:t>
      </w:r>
      <w:proofErr w:type="spellStart"/>
      <w:r w:rsidRPr="00D02D3C">
        <w:rPr>
          <w:rFonts w:ascii="Cambria" w:hAnsi="Cambria"/>
          <w:sz w:val="20"/>
          <w:szCs w:val="20"/>
        </w:rPr>
        <w:t>violative</w:t>
      </w:r>
      <w:proofErr w:type="spellEnd"/>
      <w:r w:rsidRPr="00D02D3C">
        <w:rPr>
          <w:rFonts w:ascii="Cambria" w:hAnsi="Cambria"/>
          <w:sz w:val="20"/>
          <w:szCs w:val="20"/>
        </w:rPr>
        <w:t xml:space="preserve"> of rights, and ensuring the non-repetition of harmful acts and ensuring the free and full exercise of the rights protected by the Convention.</w:t>
      </w:r>
      <w:r w:rsidRPr="00D02D3C">
        <w:rPr>
          <w:rFonts w:ascii="Cambria" w:hAnsi="Cambria"/>
          <w:sz w:val="20"/>
          <w:szCs w:val="20"/>
          <w:vertAlign w:val="superscript"/>
        </w:rPr>
        <w:footnoteReference w:id="44"/>
      </w:r>
      <w:r w:rsidRPr="00D02D3C">
        <w:rPr>
          <w:rFonts w:ascii="Cambria" w:hAnsi="Cambria"/>
          <w:sz w:val="20"/>
          <w:szCs w:val="20"/>
        </w:rPr>
        <w:t xml:space="preserve"> </w:t>
      </w:r>
    </w:p>
    <w:p w14:paraId="1FFBCB04"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9A8258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In the instant case the IACHR recalls that in the resolution that declared the petitioner relieved of her duties as Delegate Prosecutor before the Criminal Courts of the Circuit of the Sectional Bureau of Prosecutors of Cartagena it was specifically indicated that “no remedy whatsoever against it may be admitted.” Even so, the Commission takes note that the alleged victim made use of judicial remedies in the labor, administrative, and constitutional jurisdictions.  </w:t>
      </w:r>
    </w:p>
    <w:p w14:paraId="62B58EE7"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A381758"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With respect to the action for nullity and reestablishment of the right, the Commission takes note that it was filed by the alleged victim after they time for filing had lapsed, and the State indicated that this was the suitable action for annulling an administrative act at odds with the law and attaining the reintegration of whoever’s rights were impaired. Nonetheless, the Commission takes note that as of 2003 some of the case-law of the Council of State has established that "an employee appointed provisionally has no stability whatsoever; accordingly, he or she may be removed without it being necessary to state the reasons,”</w:t>
      </w:r>
      <w:r w:rsidRPr="00D02D3C">
        <w:rPr>
          <w:rFonts w:ascii="Cambria" w:hAnsi="Cambria"/>
          <w:sz w:val="20"/>
          <w:szCs w:val="20"/>
          <w:vertAlign w:val="superscript"/>
        </w:rPr>
        <w:footnoteReference w:id="45"/>
      </w:r>
      <w:r w:rsidRPr="00D02D3C">
        <w:rPr>
          <w:rFonts w:ascii="Cambria" w:hAnsi="Cambria"/>
          <w:sz w:val="20"/>
          <w:szCs w:val="20"/>
        </w:rPr>
        <w:t xml:space="preserve"> this being one of the alleged victim’s claims. In view of the foregoing, the IACHR considers that said remedy did not actually address the alleged victim’s claims. </w:t>
      </w:r>
    </w:p>
    <w:p w14:paraId="04E48C99"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EF28633"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The Commission observes that the arguments put forth by Ms.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xml:space="preserve"> were related to violations of fundamental rights in the context of her being relieved of her duties, which were set forth in the two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actions. The first was denied as it was considered that “the administrative act enjoys the presumption of legality that the law recognizes in such acts” and that the legal review corresponds to the contentious-administrative jurisdiction. And the second </w:t>
      </w:r>
      <w:proofErr w:type="spellStart"/>
      <w:r w:rsidRPr="00D02D3C">
        <w:rPr>
          <w:rFonts w:ascii="Cambria" w:hAnsi="Cambria"/>
          <w:i/>
          <w:iCs/>
          <w:sz w:val="20"/>
          <w:szCs w:val="20"/>
        </w:rPr>
        <w:t>tutela</w:t>
      </w:r>
      <w:proofErr w:type="spellEnd"/>
      <w:r w:rsidRPr="00D02D3C">
        <w:rPr>
          <w:rFonts w:ascii="Cambria" w:hAnsi="Cambria"/>
          <w:sz w:val="20"/>
          <w:szCs w:val="20"/>
        </w:rPr>
        <w:t xml:space="preserve"> was granted initially, but the ruling was overturned on appeal, as it was considered that it was identical to the first, even though the violation of due process had not been alleged in the first </w:t>
      </w:r>
      <w:proofErr w:type="spellStart"/>
      <w:r w:rsidRPr="00D02D3C">
        <w:rPr>
          <w:rFonts w:ascii="Cambria" w:hAnsi="Cambria"/>
          <w:i/>
          <w:iCs/>
          <w:sz w:val="20"/>
          <w:szCs w:val="20"/>
        </w:rPr>
        <w:t>tutela</w:t>
      </w:r>
      <w:proofErr w:type="spellEnd"/>
      <w:r w:rsidRPr="00D02D3C">
        <w:rPr>
          <w:rFonts w:ascii="Cambria" w:hAnsi="Cambria"/>
          <w:sz w:val="20"/>
          <w:szCs w:val="20"/>
        </w:rPr>
        <w:t xml:space="preserve">. The Commission further notes that two judges of the Superior Judicial Council cast dissenting votes, one of which referred to the first </w:t>
      </w:r>
      <w:proofErr w:type="spellStart"/>
      <w:r w:rsidRPr="00D02D3C">
        <w:rPr>
          <w:rFonts w:ascii="Cambria" w:hAnsi="Cambria"/>
          <w:i/>
          <w:iCs/>
          <w:sz w:val="20"/>
          <w:szCs w:val="20"/>
        </w:rPr>
        <w:t>tutela</w:t>
      </w:r>
      <w:proofErr w:type="spellEnd"/>
      <w:r w:rsidRPr="00D02D3C">
        <w:rPr>
          <w:rFonts w:ascii="Cambria" w:hAnsi="Cambria"/>
          <w:sz w:val="20"/>
          <w:szCs w:val="20"/>
        </w:rPr>
        <w:t xml:space="preserve"> action, indicated that the argument of that court with respect to there being other mechanisms for judicial defense repudiates the case-law of the Constitutional Court, which has taken cognizance of this type of case. </w:t>
      </w:r>
    </w:p>
    <w:p w14:paraId="49132A5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7F4C474F"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In light of the foregoing, the Commission considers that in none of the legal initiatives taken by the alleged victim did she have an effective remedy to challenge the decision that terminated her appointment as Delegate Prosecutor before Circuit Judges of the Sectional Bureau of Prosecutors of Cartagena and to review the violations of due process, of the freedom from ex post facto laws, </w:t>
      </w:r>
      <w:r w:rsidRPr="00D02D3C">
        <w:rPr>
          <w:rFonts w:ascii="Cambria" w:hAnsi="Cambria"/>
          <w:color w:val="000000" w:themeColor="text1"/>
          <w:sz w:val="20"/>
          <w:szCs w:val="20"/>
        </w:rPr>
        <w:t xml:space="preserve">and other arguments regarding fundamental constitutional rights that were put forth in these </w:t>
      </w:r>
      <w:proofErr w:type="spellStart"/>
      <w:r w:rsidRPr="00D02D3C">
        <w:rPr>
          <w:rFonts w:ascii="Cambria" w:hAnsi="Cambria"/>
          <w:i/>
          <w:iCs/>
          <w:color w:val="000000" w:themeColor="text1"/>
          <w:sz w:val="20"/>
          <w:szCs w:val="20"/>
        </w:rPr>
        <w:t>tutela</w:t>
      </w:r>
      <w:proofErr w:type="spellEnd"/>
      <w:r w:rsidRPr="00D02D3C">
        <w:rPr>
          <w:rFonts w:ascii="Cambria" w:hAnsi="Cambria"/>
          <w:color w:val="000000" w:themeColor="text1"/>
          <w:sz w:val="20"/>
          <w:szCs w:val="20"/>
        </w:rPr>
        <w:t xml:space="preserve"> actions.  </w:t>
      </w:r>
    </w:p>
    <w:p w14:paraId="2C589DA2" w14:textId="77777777" w:rsidR="00D02D3C" w:rsidRPr="00D02D3C" w:rsidRDefault="00D02D3C" w:rsidP="00D02D3C">
      <w:pPr>
        <w:ind w:left="720"/>
        <w:rPr>
          <w:rFonts w:ascii="Cambria" w:eastAsia="Cambria" w:hAnsi="Cambria" w:cs="Cambria"/>
          <w:color w:val="000000"/>
          <w:sz w:val="20"/>
          <w:szCs w:val="20"/>
          <w:u w:color="000000"/>
          <w:lang w:eastAsia="es-ES"/>
        </w:rPr>
      </w:pPr>
    </w:p>
    <w:p w14:paraId="5EA4141C"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hAnsi="Cambria"/>
          <w:sz w:val="20"/>
          <w:szCs w:val="20"/>
        </w:rPr>
        <w:t xml:space="preserve">In addition, the Commission notes that one of the arguments put forth by Ms.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xml:space="preserve"> had to do with the decisions adopted by the Office of the Attorney General of the Nation against her having constituted retaliation for a series of acts in her capacity as prosecutor in the context of an investigation she was pursuing into breach of duty. The Commission observes that in the face of </w:t>
      </w:r>
      <w:r w:rsidRPr="00D02D3C">
        <w:rPr>
          <w:rFonts w:ascii="Cambria" w:hAnsi="Cambria"/>
          <w:sz w:val="20"/>
          <w:szCs w:val="20"/>
        </w:rPr>
        <w:lastRenderedPageBreak/>
        <w:t xml:space="preserve">that argument the response of the judicial authorities was that the act was covered by a presumption of legality, and that the alleged victim did not succeed in refuting that presumption. On this type of judicial response in the face of an allegation of a possible reprisal or abuse of authority, the Inter-American Court has indicated as follows:  </w:t>
      </w:r>
    </w:p>
    <w:p w14:paraId="57A46238"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mbria" w:hAnsi="Cambria" w:cs="Cambria"/>
          <w:color w:val="000000"/>
          <w:sz w:val="20"/>
          <w:szCs w:val="20"/>
          <w:u w:color="000000"/>
          <w:lang w:eastAsia="es-ES"/>
        </w:rPr>
      </w:pPr>
    </w:p>
    <w:p w14:paraId="5858D55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t>While the actions of the state authorities are covered by a presumption of lawful conduct, in cases in which arbitrary action or abuse of authority is argued the authority called upon to oversee that action should verify, by all means available, whether there is a reason or purpose different from the one in the provision that grants the powers to the state authority that would formally justify its action.</w:t>
      </w:r>
      <w:r w:rsidRPr="00D02D3C">
        <w:rPr>
          <w:rFonts w:asciiTheme="majorHAnsi" w:hAnsiTheme="majorHAnsi"/>
          <w:sz w:val="20"/>
          <w:szCs w:val="20"/>
          <w:vertAlign w:val="superscript"/>
        </w:rPr>
        <w:footnoteReference w:id="46"/>
      </w:r>
      <w:r w:rsidRPr="00D02D3C">
        <w:rPr>
          <w:rFonts w:asciiTheme="majorHAnsi" w:hAnsiTheme="majorHAnsi" w:cs="Arial"/>
          <w:sz w:val="20"/>
          <w:szCs w:val="20"/>
        </w:rPr>
        <w:t xml:space="preserve"> Accordingly, the Commission concludes that the Colombian State violated the right to judicial protection established at Article </w:t>
      </w:r>
      <w:r w:rsidRPr="00D02D3C">
        <w:rPr>
          <w:rFonts w:ascii="Cambria" w:hAnsi="Cambria"/>
          <w:sz w:val="20"/>
          <w:szCs w:val="20"/>
        </w:rPr>
        <w:t xml:space="preserve">25(1) of the American Convention in relation to the obligations established at Article 1(1) of the same instrument, to the detriment of </w:t>
      </w:r>
      <w:proofErr w:type="spellStart"/>
      <w:r w:rsidRPr="00D02D3C">
        <w:rPr>
          <w:rFonts w:ascii="Cambria" w:hAnsi="Cambria"/>
          <w:sz w:val="20"/>
          <w:szCs w:val="20"/>
        </w:rPr>
        <w:t>Yenina</w:t>
      </w:r>
      <w:proofErr w:type="spellEnd"/>
      <w:r w:rsidRPr="00D02D3C">
        <w:rPr>
          <w:rFonts w:ascii="Cambria" w:hAnsi="Cambria"/>
          <w:sz w:val="20"/>
          <w:szCs w:val="20"/>
        </w:rPr>
        <w:t xml:space="preserve"> Esther </w:t>
      </w:r>
      <w:proofErr w:type="spellStart"/>
      <w:r w:rsidRPr="00D02D3C">
        <w:rPr>
          <w:rFonts w:ascii="Cambria" w:hAnsi="Cambria"/>
          <w:sz w:val="20"/>
          <w:szCs w:val="20"/>
        </w:rPr>
        <w:t>Martínez</w:t>
      </w:r>
      <w:proofErr w:type="spellEnd"/>
      <w:r w:rsidRPr="00D02D3C">
        <w:rPr>
          <w:rFonts w:ascii="Cambria" w:hAnsi="Cambria"/>
          <w:sz w:val="20"/>
          <w:szCs w:val="20"/>
        </w:rPr>
        <w:t xml:space="preserve"> </w:t>
      </w:r>
      <w:proofErr w:type="spellStart"/>
      <w:r w:rsidRPr="00D02D3C">
        <w:rPr>
          <w:rFonts w:ascii="Cambria" w:hAnsi="Cambria"/>
          <w:sz w:val="20"/>
          <w:szCs w:val="20"/>
        </w:rPr>
        <w:t>Esquivia</w:t>
      </w:r>
      <w:proofErr w:type="spellEnd"/>
      <w:r w:rsidRPr="00D02D3C">
        <w:rPr>
          <w:rFonts w:ascii="Cambria" w:hAnsi="Cambria"/>
          <w:sz w:val="20"/>
          <w:szCs w:val="20"/>
        </w:rPr>
        <w:t xml:space="preserve">. </w:t>
      </w:r>
    </w:p>
    <w:p w14:paraId="62FD19A9"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22CE44EF" w14:textId="77777777" w:rsidR="00D02D3C" w:rsidRPr="00D02D3C" w:rsidRDefault="00D02D3C" w:rsidP="000A566E">
      <w:pPr>
        <w:keepNex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
          <w:sz w:val="20"/>
          <w:szCs w:val="20"/>
          <w:bdr w:val="none" w:sz="0" w:space="0" w:color="auto"/>
        </w:rPr>
      </w:pPr>
      <w:bookmarkStart w:id="73" w:name="_Toc477355364"/>
      <w:bookmarkStart w:id="74" w:name="_Toc480897210"/>
      <w:bookmarkStart w:id="75" w:name="_Toc515543709"/>
      <w:r w:rsidRPr="00D02D3C">
        <w:rPr>
          <w:rFonts w:asciiTheme="majorHAnsi" w:eastAsia="Times New Roman" w:hAnsiTheme="majorHAnsi"/>
          <w:b/>
          <w:sz w:val="20"/>
          <w:szCs w:val="20"/>
          <w:bdr w:val="none" w:sz="0" w:space="0" w:color="auto"/>
        </w:rPr>
        <w:t xml:space="preserve">       </w:t>
      </w:r>
      <w:bookmarkStart w:id="76" w:name="_Toc522484045"/>
      <w:bookmarkStart w:id="77" w:name="_Toc523998364"/>
      <w:r w:rsidRPr="00D02D3C">
        <w:rPr>
          <w:rFonts w:asciiTheme="majorHAnsi" w:eastAsia="Times New Roman" w:hAnsiTheme="majorHAnsi"/>
          <w:b/>
          <w:sz w:val="20"/>
          <w:szCs w:val="20"/>
          <w:bdr w:val="none" w:sz="0" w:space="0" w:color="auto"/>
        </w:rPr>
        <w:t>Reasonable time in relation to the remedy of labor appeal</w:t>
      </w:r>
      <w:bookmarkEnd w:id="76"/>
      <w:bookmarkEnd w:id="77"/>
      <w:r w:rsidRPr="00D02D3C">
        <w:rPr>
          <w:rFonts w:asciiTheme="majorHAnsi" w:eastAsia="Times New Roman" w:hAnsiTheme="majorHAnsi"/>
          <w:b/>
          <w:sz w:val="20"/>
          <w:szCs w:val="20"/>
          <w:bdr w:val="none" w:sz="0" w:space="0" w:color="auto"/>
        </w:rPr>
        <w:t xml:space="preserve"> </w:t>
      </w:r>
    </w:p>
    <w:p w14:paraId="5E3744D0" w14:textId="77777777" w:rsidR="00D02D3C" w:rsidRPr="00D02D3C" w:rsidRDefault="00D02D3C" w:rsidP="00D02D3C"/>
    <w:p w14:paraId="0957BE0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Cambria" w:eastAsia="Times New Roman" w:hAnsi="Cambria"/>
          <w:sz w:val="20"/>
          <w:szCs w:val="20"/>
          <w:lang w:eastAsia="es-ES"/>
        </w:rPr>
        <w:t xml:space="preserve">The Commission recalls that Article </w:t>
      </w:r>
      <w:r w:rsidRPr="00D02D3C">
        <w:rPr>
          <w:rFonts w:ascii="Cambria" w:hAnsi="Cambria"/>
          <w:sz w:val="20"/>
          <w:szCs w:val="20"/>
        </w:rPr>
        <w:t>8(1) of the American Convention establishes, as one of the elements of due process, that the courts are to decide the cases submitted to them in a reasonable time. According to the terms of that provision, the Commission shall take into consideration, in light of the specific circumstances of the case, the following elements: (</w:t>
      </w:r>
      <w:proofErr w:type="spellStart"/>
      <w:r w:rsidRPr="00D02D3C">
        <w:rPr>
          <w:rFonts w:ascii="Cambria" w:hAnsi="Cambria"/>
          <w:sz w:val="20"/>
          <w:szCs w:val="20"/>
        </w:rPr>
        <w:t>i</w:t>
      </w:r>
      <w:proofErr w:type="spellEnd"/>
      <w:r w:rsidRPr="00D02D3C">
        <w:rPr>
          <w:rFonts w:ascii="Cambria" w:hAnsi="Cambria"/>
          <w:sz w:val="20"/>
          <w:szCs w:val="20"/>
        </w:rPr>
        <w:t>) the complexity of the matter; (ii) the procedural activity of the interested party; (iii) the conduct of the judicial authorities; and (iv) the impact on the legal situation of the person involved in the proceeding.</w:t>
      </w:r>
      <w:r w:rsidRPr="00D02D3C">
        <w:rPr>
          <w:rFonts w:ascii="Cambria" w:hAnsi="Cambria"/>
          <w:sz w:val="20"/>
          <w:szCs w:val="20"/>
          <w:vertAlign w:val="superscript"/>
        </w:rPr>
        <w:footnoteReference w:id="47"/>
      </w:r>
      <w:r w:rsidRPr="00D02D3C">
        <w:rPr>
          <w:rFonts w:ascii="Cambria" w:hAnsi="Cambria"/>
          <w:sz w:val="20"/>
          <w:szCs w:val="20"/>
        </w:rPr>
        <w:t xml:space="preserve"> The Inter-American Court has established that a prolonged delay may constitute, in itself, a violation of judicial guarantees</w:t>
      </w:r>
      <w:r w:rsidRPr="00D02D3C">
        <w:rPr>
          <w:rFonts w:ascii="Cambria" w:hAnsi="Cambria"/>
          <w:sz w:val="20"/>
          <w:szCs w:val="20"/>
          <w:vertAlign w:val="superscript"/>
        </w:rPr>
        <w:footnoteReference w:id="48"/>
      </w:r>
      <w:r w:rsidRPr="00D02D3C">
        <w:rPr>
          <w:rFonts w:ascii="Cambria" w:hAnsi="Cambria"/>
          <w:sz w:val="20"/>
          <w:szCs w:val="20"/>
        </w:rPr>
        <w:t>; accordingly, it is up to the State to set forth and prove why more than a reasonable time has been required to issue a final judgment in a particular case.</w:t>
      </w:r>
      <w:r w:rsidRPr="00D02D3C">
        <w:rPr>
          <w:rFonts w:ascii="Cambria" w:hAnsi="Cambria"/>
          <w:sz w:val="20"/>
          <w:szCs w:val="20"/>
          <w:vertAlign w:val="superscript"/>
        </w:rPr>
        <w:footnoteReference w:id="49"/>
      </w:r>
    </w:p>
    <w:p w14:paraId="0622AE13"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B7CCEF6"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t xml:space="preserve">The IACHR recalls that in the instant case, on December 13, 2006, the petitioner appealed the decision that denied her action in the trade union jurisdiction, which was resolved on December 22, 2010 by the Superior Court of Cartagena, i.e. more than four years after </w:t>
      </w:r>
      <w:proofErr w:type="gramStart"/>
      <w:r w:rsidRPr="00D02D3C">
        <w:rPr>
          <w:rFonts w:asciiTheme="majorHAnsi" w:hAnsiTheme="majorHAnsi"/>
          <w:sz w:val="20"/>
          <w:szCs w:val="20"/>
        </w:rPr>
        <w:t>it</w:t>
      </w:r>
      <w:proofErr w:type="gramEnd"/>
      <w:r w:rsidRPr="00D02D3C">
        <w:rPr>
          <w:rFonts w:asciiTheme="majorHAnsi" w:hAnsiTheme="majorHAnsi"/>
          <w:sz w:val="20"/>
          <w:szCs w:val="20"/>
        </w:rPr>
        <w:t xml:space="preserve"> was filed. The State indicated that the delay was due to the number of matters before the Court.  </w:t>
      </w:r>
    </w:p>
    <w:p w14:paraId="7E1CBF2E"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2FDF45D1"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t xml:space="preserve">The Commission notes that the matter was not at all complex, as it had to do only with determining whether the alleged victim was protected by the right to form and join trade unions and the petitioner set the proceeding in motion through the remedy, thus the delay was due to the actions of the State. The IACHR further considers that the State’s generic argument that the delay was due to the large number of matters before the Court is not sufficient to excuse it from its obligation to decide the remedy pursued in a reasonable time. </w:t>
      </w:r>
    </w:p>
    <w:p w14:paraId="23863161"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p>
    <w:p w14:paraId="6E211088"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D02D3C">
        <w:rPr>
          <w:rFonts w:asciiTheme="majorHAnsi" w:hAnsiTheme="majorHAnsi"/>
          <w:sz w:val="20"/>
          <w:szCs w:val="20"/>
        </w:rPr>
        <w:t xml:space="preserve">In view of the foregoing considerations, the Commission concludes that the State violated the guarantee of a reasonable time established at Article 8(1) of the American Convention in relation to the obligation established at Article 1(1) of the same instrument, to the detriment of </w:t>
      </w:r>
      <w:proofErr w:type="spellStart"/>
      <w:r w:rsidRPr="00D02D3C">
        <w:rPr>
          <w:rFonts w:asciiTheme="majorHAnsi" w:hAnsiTheme="majorHAnsi"/>
          <w:sz w:val="20"/>
          <w:szCs w:val="20"/>
        </w:rPr>
        <w:t>Yenina</w:t>
      </w:r>
      <w:proofErr w:type="spellEnd"/>
      <w:r w:rsidRPr="00D02D3C">
        <w:rPr>
          <w:rFonts w:asciiTheme="majorHAnsi" w:hAnsiTheme="majorHAnsi"/>
          <w:sz w:val="20"/>
          <w:szCs w:val="20"/>
        </w:rPr>
        <w:t xml:space="preserve"> </w:t>
      </w:r>
      <w:proofErr w:type="spellStart"/>
      <w:r w:rsidRPr="00D02D3C">
        <w:rPr>
          <w:rFonts w:asciiTheme="majorHAnsi" w:hAnsiTheme="majorHAnsi"/>
          <w:sz w:val="20"/>
          <w:szCs w:val="20"/>
        </w:rPr>
        <w:t>Martínez</w:t>
      </w:r>
      <w:proofErr w:type="spellEnd"/>
      <w:r w:rsidRPr="00D02D3C">
        <w:rPr>
          <w:rFonts w:asciiTheme="majorHAnsi" w:hAnsiTheme="majorHAnsi"/>
          <w:sz w:val="20"/>
          <w:szCs w:val="20"/>
        </w:rPr>
        <w:t xml:space="preserve"> </w:t>
      </w:r>
      <w:proofErr w:type="spellStart"/>
      <w:r w:rsidRPr="00D02D3C">
        <w:rPr>
          <w:rFonts w:asciiTheme="majorHAnsi" w:hAnsiTheme="majorHAnsi"/>
          <w:sz w:val="20"/>
          <w:szCs w:val="20"/>
        </w:rPr>
        <w:t>Esquivia</w:t>
      </w:r>
      <w:proofErr w:type="spellEnd"/>
      <w:r w:rsidRPr="00D02D3C">
        <w:rPr>
          <w:rFonts w:asciiTheme="majorHAnsi" w:hAnsiTheme="majorHAnsi"/>
          <w:sz w:val="20"/>
          <w:szCs w:val="20"/>
        </w:rPr>
        <w:t xml:space="preserve">. </w:t>
      </w:r>
    </w:p>
    <w:p w14:paraId="05841763" w14:textId="77777777" w:rsidR="00D02D3C" w:rsidRPr="00D02D3C" w:rsidRDefault="00D02D3C" w:rsidP="00D02D3C"/>
    <w:p w14:paraId="3781ECAF" w14:textId="77777777" w:rsidR="00D02D3C" w:rsidRPr="00D02D3C" w:rsidRDefault="00D02D3C" w:rsidP="000A566E">
      <w:pPr>
        <w:keepNext/>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Times New Roman" w:hAnsi="Cambria"/>
          <w:b/>
          <w:i/>
          <w:sz w:val="20"/>
          <w:szCs w:val="20"/>
          <w:bdr w:val="none" w:sz="0" w:space="0" w:color="auto"/>
        </w:rPr>
      </w:pPr>
      <w:bookmarkStart w:id="78" w:name="_Toc395277588"/>
      <w:bookmarkStart w:id="79" w:name="_Toc522484046"/>
      <w:bookmarkStart w:id="80" w:name="_Toc523998365"/>
      <w:bookmarkStart w:id="81" w:name="_Toc484439867"/>
      <w:r w:rsidRPr="00D02D3C">
        <w:rPr>
          <w:rFonts w:ascii="Cambria" w:eastAsia="Times New Roman" w:hAnsi="Cambria"/>
          <w:b/>
          <w:sz w:val="20"/>
          <w:szCs w:val="20"/>
          <w:bdr w:val="none" w:sz="0" w:space="0" w:color="auto"/>
        </w:rPr>
        <w:lastRenderedPageBreak/>
        <w:t>Political rights</w:t>
      </w:r>
      <w:r w:rsidRPr="00D02D3C">
        <w:rPr>
          <w:rFonts w:ascii="Cambria" w:eastAsia="Times New Roman" w:hAnsi="Cambria"/>
          <w:b/>
          <w:sz w:val="20"/>
          <w:szCs w:val="20"/>
          <w:bdr w:val="none" w:sz="0" w:space="0" w:color="auto"/>
          <w:vertAlign w:val="superscript"/>
        </w:rPr>
        <w:footnoteReference w:id="50"/>
      </w:r>
      <w:bookmarkEnd w:id="78"/>
      <w:bookmarkEnd w:id="79"/>
      <w:bookmarkEnd w:id="80"/>
      <w:r w:rsidRPr="00D02D3C">
        <w:rPr>
          <w:rFonts w:ascii="Cambria" w:eastAsia="Times New Roman" w:hAnsi="Cambria"/>
          <w:b/>
          <w:sz w:val="20"/>
          <w:szCs w:val="20"/>
          <w:bdr w:val="none" w:sz="0" w:space="0" w:color="auto"/>
        </w:rPr>
        <w:t xml:space="preserve"> </w:t>
      </w:r>
      <w:bookmarkEnd w:id="81"/>
    </w:p>
    <w:p w14:paraId="0E61C680"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Times New Roman"/>
          <w:sz w:val="20"/>
          <w:szCs w:val="20"/>
        </w:rPr>
      </w:pPr>
    </w:p>
    <w:p w14:paraId="5808D691"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D02D3C">
        <w:rPr>
          <w:rFonts w:ascii="Cambria" w:hAnsi="Cambria"/>
          <w:bCs/>
          <w:sz w:val="20"/>
          <w:szCs w:val="20"/>
        </w:rPr>
        <w:t>Article 23(1</w:t>
      </w:r>
      <w:proofErr w:type="gramStart"/>
      <w:r w:rsidRPr="00D02D3C">
        <w:rPr>
          <w:rFonts w:ascii="Cambria" w:hAnsi="Cambria"/>
          <w:bCs/>
          <w:sz w:val="20"/>
          <w:szCs w:val="20"/>
        </w:rPr>
        <w:t>)(</w:t>
      </w:r>
      <w:proofErr w:type="gramEnd"/>
      <w:r w:rsidRPr="00D02D3C">
        <w:rPr>
          <w:rFonts w:ascii="Cambria" w:hAnsi="Cambria"/>
          <w:bCs/>
          <w:sz w:val="20"/>
          <w:szCs w:val="20"/>
        </w:rPr>
        <w:t xml:space="preserve">c) established the right to gain access to public office “under general conditions of equality.” The Court has interpreted this article indicating that “when a judge’s tenure is arbitrarily impaired, the right to judicial independence recognized in Article </w:t>
      </w:r>
      <w:r w:rsidRPr="00D02D3C">
        <w:rPr>
          <w:rFonts w:ascii="Cambria" w:eastAsia="Times New Roman" w:hAnsi="Cambria"/>
          <w:sz w:val="20"/>
          <w:szCs w:val="20"/>
        </w:rPr>
        <w:t>8(1) of the American Convention is violated, as is the right to access to public service and tenure, under general conditions of equality, established in Article 23(1</w:t>
      </w:r>
      <w:proofErr w:type="gramStart"/>
      <w:r w:rsidRPr="00D02D3C">
        <w:rPr>
          <w:rFonts w:ascii="Cambria" w:eastAsia="Times New Roman" w:hAnsi="Cambria"/>
          <w:sz w:val="20"/>
          <w:szCs w:val="20"/>
        </w:rPr>
        <w:t>)(</w:t>
      </w:r>
      <w:proofErr w:type="gramEnd"/>
      <w:r w:rsidRPr="00D02D3C">
        <w:rPr>
          <w:rFonts w:ascii="Cambria" w:eastAsia="Times New Roman" w:hAnsi="Cambria"/>
          <w:sz w:val="20"/>
          <w:szCs w:val="20"/>
        </w:rPr>
        <w:t>c)….”</w:t>
      </w:r>
      <w:r w:rsidRPr="00D02D3C">
        <w:rPr>
          <w:rFonts w:ascii="Cambria" w:hAnsi="Cambria"/>
          <w:sz w:val="20"/>
          <w:szCs w:val="20"/>
          <w:vertAlign w:val="superscript"/>
        </w:rPr>
        <w:footnoteReference w:id="51"/>
      </w:r>
      <w:r w:rsidRPr="00D02D3C">
        <w:rPr>
          <w:rFonts w:ascii="Cambria" w:eastAsia="Times New Roman" w:hAnsi="Cambria"/>
          <w:sz w:val="20"/>
          <w:szCs w:val="20"/>
        </w:rPr>
        <w:t xml:space="preserve"> </w:t>
      </w:r>
    </w:p>
    <w:p w14:paraId="661C701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rPr>
      </w:pPr>
    </w:p>
    <w:p w14:paraId="6C05D08A"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D02D3C">
        <w:rPr>
          <w:rFonts w:ascii="Cambria" w:hAnsi="Cambria"/>
          <w:bCs/>
          <w:sz w:val="20"/>
          <w:szCs w:val="20"/>
        </w:rPr>
        <w:t xml:space="preserve">The Commission considers that the standard indicated is also applicable to prosecutors, in light of what is indicated in this report, i.e. that the reinforced guarantees of stability of judges are also applicable to and should protect prosecutors to ensure independence in the performance of their duties. </w:t>
      </w:r>
    </w:p>
    <w:p w14:paraId="361E2D54" w14:textId="77777777" w:rsidR="00D02D3C" w:rsidRPr="00D02D3C" w:rsidRDefault="00D02D3C" w:rsidP="00D02D3C">
      <w:pPr>
        <w:ind w:left="720"/>
        <w:rPr>
          <w:rFonts w:ascii="Cambria" w:eastAsia="Cambria" w:hAnsi="Cambria" w:cs="Cambria"/>
          <w:bCs/>
          <w:color w:val="000000"/>
          <w:sz w:val="20"/>
          <w:szCs w:val="20"/>
          <w:u w:color="000000"/>
          <w:lang w:eastAsia="es-ES"/>
        </w:rPr>
      </w:pPr>
    </w:p>
    <w:p w14:paraId="3EBDB845"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D02D3C">
        <w:rPr>
          <w:rFonts w:ascii="Cambria" w:hAnsi="Cambria"/>
          <w:bCs/>
          <w:sz w:val="20"/>
          <w:szCs w:val="20"/>
        </w:rPr>
        <w:t xml:space="preserve">In the instant case it has been established that Ms. </w:t>
      </w:r>
      <w:proofErr w:type="spellStart"/>
      <w:r w:rsidRPr="00D02D3C">
        <w:rPr>
          <w:rFonts w:ascii="Cambria" w:hAnsi="Cambria"/>
          <w:bCs/>
          <w:sz w:val="20"/>
          <w:szCs w:val="20"/>
        </w:rPr>
        <w:t>Martínez</w:t>
      </w:r>
      <w:proofErr w:type="spellEnd"/>
      <w:r w:rsidRPr="00D02D3C">
        <w:rPr>
          <w:rFonts w:ascii="Cambria" w:hAnsi="Cambria"/>
          <w:bCs/>
          <w:sz w:val="20"/>
          <w:szCs w:val="20"/>
        </w:rPr>
        <w:t xml:space="preserve"> </w:t>
      </w:r>
      <w:proofErr w:type="spellStart"/>
      <w:r w:rsidRPr="00D02D3C">
        <w:rPr>
          <w:rFonts w:ascii="Cambria" w:hAnsi="Cambria"/>
          <w:bCs/>
          <w:sz w:val="20"/>
          <w:szCs w:val="20"/>
        </w:rPr>
        <w:t>Esquivia</w:t>
      </w:r>
      <w:proofErr w:type="spellEnd"/>
      <w:r w:rsidRPr="00D02D3C">
        <w:rPr>
          <w:rFonts w:ascii="Cambria" w:hAnsi="Cambria"/>
          <w:bCs/>
          <w:sz w:val="20"/>
          <w:szCs w:val="20"/>
        </w:rPr>
        <w:t xml:space="preserve"> was separated from her position as provisional prosecutor in a procedure in which the minimal guarantees required were not respected, in the terms described throughout this report. In those circumstances and consistent with the criterion mentioned in the previous paragraph, the Commission considers that the State also violated Article 23(1)(c) of the American Convention, in relation to Article 1(1) of the same instrument, to the detriment of </w:t>
      </w:r>
      <w:proofErr w:type="spellStart"/>
      <w:r w:rsidRPr="00D02D3C">
        <w:rPr>
          <w:rFonts w:ascii="Cambria" w:hAnsi="Cambria"/>
          <w:bCs/>
          <w:sz w:val="20"/>
          <w:szCs w:val="20"/>
        </w:rPr>
        <w:t>Yenina</w:t>
      </w:r>
      <w:proofErr w:type="spellEnd"/>
      <w:r w:rsidRPr="00D02D3C">
        <w:rPr>
          <w:rFonts w:ascii="Cambria" w:hAnsi="Cambria"/>
          <w:bCs/>
          <w:sz w:val="20"/>
          <w:szCs w:val="20"/>
        </w:rPr>
        <w:t xml:space="preserve"> Esther </w:t>
      </w:r>
      <w:proofErr w:type="spellStart"/>
      <w:r w:rsidRPr="00D02D3C">
        <w:rPr>
          <w:rFonts w:ascii="Cambria" w:hAnsi="Cambria"/>
          <w:bCs/>
          <w:sz w:val="20"/>
          <w:szCs w:val="20"/>
        </w:rPr>
        <w:t>Martínez</w:t>
      </w:r>
      <w:proofErr w:type="spellEnd"/>
      <w:r w:rsidRPr="00D02D3C">
        <w:rPr>
          <w:rFonts w:ascii="Cambria" w:hAnsi="Cambria"/>
          <w:bCs/>
          <w:sz w:val="20"/>
          <w:szCs w:val="20"/>
        </w:rPr>
        <w:t xml:space="preserve"> </w:t>
      </w:r>
      <w:proofErr w:type="spellStart"/>
      <w:r w:rsidRPr="00D02D3C">
        <w:rPr>
          <w:rFonts w:ascii="Cambria" w:hAnsi="Cambria"/>
          <w:bCs/>
          <w:sz w:val="20"/>
          <w:szCs w:val="20"/>
        </w:rPr>
        <w:t>Esquivia</w:t>
      </w:r>
      <w:proofErr w:type="spellEnd"/>
      <w:r w:rsidRPr="00D02D3C">
        <w:rPr>
          <w:rFonts w:ascii="Cambria" w:hAnsi="Cambria"/>
          <w:bCs/>
          <w:sz w:val="20"/>
          <w:szCs w:val="20"/>
        </w:rPr>
        <w:t xml:space="preserve">. </w:t>
      </w:r>
    </w:p>
    <w:p w14:paraId="0F531738" w14:textId="77777777" w:rsidR="00D02D3C" w:rsidRPr="00D02D3C" w:rsidRDefault="00D02D3C" w:rsidP="00D02D3C"/>
    <w:p w14:paraId="01AE8542" w14:textId="77777777" w:rsidR="00D02D3C" w:rsidRPr="00D02D3C" w:rsidRDefault="00D02D3C" w:rsidP="000A566E">
      <w:pPr>
        <w:keepNex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hanging="810"/>
        <w:outlineLvl w:val="0"/>
        <w:rPr>
          <w:rFonts w:ascii="Cambria" w:eastAsia="Times New Roman" w:hAnsi="Cambria"/>
          <w:b/>
          <w:sz w:val="20"/>
          <w:szCs w:val="20"/>
          <w:bdr w:val="none" w:sz="0" w:space="0" w:color="auto"/>
        </w:rPr>
      </w:pPr>
      <w:bookmarkStart w:id="82" w:name="_Toc522484047"/>
      <w:bookmarkStart w:id="83" w:name="_Toc523998366"/>
      <w:r w:rsidRPr="00D02D3C">
        <w:rPr>
          <w:rFonts w:asciiTheme="majorHAnsi" w:eastAsia="Times New Roman" w:hAnsiTheme="majorHAnsi"/>
          <w:b/>
          <w:sz w:val="20"/>
          <w:szCs w:val="20"/>
          <w:bdr w:val="none" w:sz="0" w:space="0" w:color="auto"/>
        </w:rPr>
        <w:t>CONCLUSIONS</w:t>
      </w:r>
      <w:bookmarkEnd w:id="73"/>
      <w:bookmarkEnd w:id="74"/>
      <w:r w:rsidRPr="00D02D3C">
        <w:rPr>
          <w:rFonts w:ascii="Cambria" w:eastAsia="Times New Roman" w:hAnsi="Cambria"/>
          <w:b/>
          <w:sz w:val="20"/>
          <w:szCs w:val="20"/>
          <w:bdr w:val="none" w:sz="0" w:space="0" w:color="auto"/>
        </w:rPr>
        <w:t xml:space="preserve"> AND RECOMMENDATIONS</w:t>
      </w:r>
      <w:bookmarkEnd w:id="82"/>
      <w:bookmarkEnd w:id="83"/>
      <w:r w:rsidRPr="00D02D3C">
        <w:rPr>
          <w:rFonts w:ascii="Cambria" w:eastAsia="Times New Roman" w:hAnsi="Cambria"/>
          <w:b/>
          <w:sz w:val="20"/>
          <w:szCs w:val="20"/>
          <w:bdr w:val="none" w:sz="0" w:space="0" w:color="auto"/>
        </w:rPr>
        <w:t xml:space="preserve"> </w:t>
      </w:r>
      <w:bookmarkEnd w:id="75"/>
    </w:p>
    <w:p w14:paraId="1F3AD426" w14:textId="77777777" w:rsidR="00D02D3C" w:rsidRPr="00D02D3C" w:rsidRDefault="00D02D3C" w:rsidP="00D02D3C">
      <w:pPr>
        <w:jc w:val="both"/>
        <w:rPr>
          <w:rFonts w:ascii="Cambria" w:eastAsia="Times New Roman" w:hAnsi="Cambria"/>
          <w:sz w:val="20"/>
          <w:szCs w:val="20"/>
        </w:rPr>
      </w:pPr>
    </w:p>
    <w:p w14:paraId="2EE97EDD"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D02D3C">
        <w:rPr>
          <w:rFonts w:ascii="Cambria" w:eastAsia="Times New Roman" w:hAnsi="Cambria"/>
          <w:sz w:val="20"/>
          <w:szCs w:val="20"/>
          <w:lang w:eastAsia="es-ES"/>
        </w:rPr>
        <w:t xml:space="preserve">The Commission concludes that the Colombian State is responsible for violating the right to judicial guarantees, the freedom from ex post facto laws, </w:t>
      </w:r>
      <w:r w:rsidRPr="00D02D3C">
        <w:rPr>
          <w:rFonts w:ascii="Cambria" w:hAnsi="Cambria" w:cs="Arial"/>
          <w:sz w:val="20"/>
          <w:szCs w:val="20"/>
        </w:rPr>
        <w:t xml:space="preserve">and the right to judicial protection, enshrined in Articles 8(1), 8(2)(b), 8(2)(c), 9, 23(1)(c), and 25(1) of the American Convention, in relation to the obligations established at Articles 1(1) and 2 of the same instrument, to the detriment of </w:t>
      </w:r>
      <w:proofErr w:type="spellStart"/>
      <w:r w:rsidRPr="00D02D3C">
        <w:rPr>
          <w:rFonts w:ascii="Cambria" w:hAnsi="Cambria" w:cs="Arial"/>
          <w:sz w:val="20"/>
          <w:szCs w:val="20"/>
        </w:rPr>
        <w:t>Yenina</w:t>
      </w:r>
      <w:proofErr w:type="spellEnd"/>
      <w:r w:rsidRPr="00D02D3C">
        <w:rPr>
          <w:rFonts w:ascii="Cambria" w:hAnsi="Cambria" w:cs="Arial"/>
          <w:sz w:val="20"/>
          <w:szCs w:val="20"/>
        </w:rPr>
        <w:t xml:space="preserve"> </w:t>
      </w:r>
      <w:proofErr w:type="spellStart"/>
      <w:r w:rsidRPr="00D02D3C">
        <w:rPr>
          <w:rFonts w:ascii="Cambria" w:hAnsi="Cambria" w:cs="Arial"/>
          <w:sz w:val="20"/>
          <w:szCs w:val="20"/>
        </w:rPr>
        <w:t>Martínez</w:t>
      </w:r>
      <w:proofErr w:type="spellEnd"/>
      <w:r w:rsidRPr="00D02D3C">
        <w:rPr>
          <w:rFonts w:ascii="Cambria" w:hAnsi="Cambria" w:cs="Arial"/>
          <w:sz w:val="20"/>
          <w:szCs w:val="20"/>
        </w:rPr>
        <w:t xml:space="preserve"> </w:t>
      </w:r>
      <w:proofErr w:type="spellStart"/>
      <w:r w:rsidRPr="00D02D3C">
        <w:rPr>
          <w:rFonts w:ascii="Cambria" w:hAnsi="Cambria" w:cs="Arial"/>
          <w:sz w:val="20"/>
          <w:szCs w:val="20"/>
        </w:rPr>
        <w:t>Esquivia</w:t>
      </w:r>
      <w:proofErr w:type="spellEnd"/>
      <w:r w:rsidRPr="00D02D3C">
        <w:rPr>
          <w:rFonts w:ascii="Cambria" w:hAnsi="Cambria" w:cs="Arial"/>
          <w:sz w:val="20"/>
          <w:szCs w:val="20"/>
        </w:rPr>
        <w:t>.</w:t>
      </w:r>
    </w:p>
    <w:p w14:paraId="4EB4B296"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rPr>
      </w:pPr>
    </w:p>
    <w:p w14:paraId="0533F738" w14:textId="77777777" w:rsidR="00D02D3C" w:rsidRPr="00D02D3C" w:rsidRDefault="00D02D3C" w:rsidP="000A566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rPr>
      </w:pPr>
      <w:r w:rsidRPr="00D02D3C">
        <w:rPr>
          <w:rFonts w:ascii="Cambria" w:hAnsi="Cambria" w:cs="Verdana"/>
          <w:sz w:val="20"/>
          <w:szCs w:val="20"/>
        </w:rPr>
        <w:t xml:space="preserve">Based on the analysis and conclusions set forth in this report, </w:t>
      </w:r>
    </w:p>
    <w:p w14:paraId="359FC0D6" w14:textId="77777777" w:rsidR="00D02D3C" w:rsidRPr="00D02D3C" w:rsidRDefault="00D02D3C" w:rsidP="00D02D3C">
      <w:pPr>
        <w:ind w:left="720"/>
        <w:rPr>
          <w:rFonts w:ascii="Cambria" w:eastAsia="Cambria" w:hAnsi="Cambria" w:cs="Cambria"/>
          <w:b/>
          <w:color w:val="000000"/>
          <w:sz w:val="20"/>
          <w:szCs w:val="20"/>
          <w:u w:color="000000"/>
          <w:lang w:eastAsia="es-ES"/>
        </w:rPr>
      </w:pPr>
    </w:p>
    <w:p w14:paraId="4CB5B300" w14:textId="08900B1E"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s="Verdana"/>
          <w:sz w:val="20"/>
          <w:szCs w:val="20"/>
        </w:rPr>
      </w:pPr>
      <w:r w:rsidRPr="00D02D3C">
        <w:rPr>
          <w:rFonts w:ascii="Cambria" w:hAnsi="Cambria"/>
          <w:b/>
          <w:sz w:val="20"/>
          <w:szCs w:val="20"/>
        </w:rPr>
        <w:t xml:space="preserve">THE INTER-AMERICAN COMMISSION ON HUMAN RIGHTS RECOMMENDS TO THE STATE OF COLOMBIA, </w:t>
      </w:r>
    </w:p>
    <w:p w14:paraId="71A0D7FF"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15"/>
          <w:szCs w:val="15"/>
          <w:bdr w:val="none" w:sz="0" w:space="0" w:color="auto"/>
        </w:rPr>
      </w:pPr>
    </w:p>
    <w:p w14:paraId="04909FD7" w14:textId="77777777" w:rsidR="000A566E" w:rsidRPr="006271B7" w:rsidRDefault="000A566E" w:rsidP="000A566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cs="Verdana"/>
          <w:sz w:val="20"/>
          <w:szCs w:val="20"/>
        </w:rPr>
      </w:pPr>
      <w:r w:rsidRPr="006271B7">
        <w:rPr>
          <w:rFonts w:ascii="Helvetica" w:eastAsia="Times New Roman" w:hAnsi="Helvetica"/>
          <w:color w:val="666666"/>
          <w:sz w:val="15"/>
          <w:szCs w:val="15"/>
          <w:bdr w:val="none" w:sz="0" w:space="0" w:color="auto"/>
        </w:rPr>
        <w:t> </w:t>
      </w:r>
      <w:r>
        <w:rPr>
          <w:spacing w:val="-2"/>
          <w:sz w:val="20"/>
          <w:szCs w:val="20"/>
        </w:rPr>
        <w:t>To reinstate the victim in a similar position to the one he served in, with the same remuneration, social benefits and a comparable rank to the one he would be entitled to today had he not been removed</w:t>
      </w:r>
      <w:r w:rsidRPr="006271B7">
        <w:rPr>
          <w:spacing w:val="-2"/>
          <w:sz w:val="20"/>
          <w:szCs w:val="20"/>
        </w:rPr>
        <w:t xml:space="preserve">. </w:t>
      </w:r>
      <w:r>
        <w:rPr>
          <w:spacing w:val="-2"/>
          <w:sz w:val="20"/>
          <w:szCs w:val="20"/>
        </w:rPr>
        <w:t xml:space="preserve">In the event that the victim should not wish to be reinstated or there are objective reasons preventing his reinstatement, the State shall pay compensation for this reason, which is independent from reparations relating to the material or moral damages included in recommendation number two. </w:t>
      </w:r>
    </w:p>
    <w:p w14:paraId="3B50A07F" w14:textId="77777777" w:rsidR="000A566E" w:rsidRPr="006271B7" w:rsidRDefault="000A566E" w:rsidP="000A56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cs="Verdana"/>
          <w:sz w:val="20"/>
          <w:szCs w:val="20"/>
        </w:rPr>
      </w:pPr>
    </w:p>
    <w:p w14:paraId="1F29F41E" w14:textId="77777777" w:rsidR="000A566E" w:rsidRPr="006271B7" w:rsidRDefault="000A566E" w:rsidP="000A566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cs="Verdana"/>
          <w:sz w:val="20"/>
          <w:szCs w:val="20"/>
        </w:rPr>
      </w:pPr>
      <w:r>
        <w:rPr>
          <w:spacing w:val="-2"/>
          <w:sz w:val="20"/>
          <w:szCs w:val="20"/>
        </w:rPr>
        <w:t>To provide full reparation for the consequences of the violations declared in the instant report, including both tangible and intangible damages</w:t>
      </w:r>
      <w:r w:rsidRPr="006271B7">
        <w:rPr>
          <w:spacing w:val="-2"/>
          <w:sz w:val="20"/>
          <w:szCs w:val="20"/>
        </w:rPr>
        <w:t xml:space="preserve">. </w:t>
      </w:r>
    </w:p>
    <w:p w14:paraId="2786DD6B" w14:textId="77777777" w:rsidR="000A566E" w:rsidRPr="006271B7" w:rsidRDefault="000A566E" w:rsidP="000A566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cs="Verdana"/>
          <w:sz w:val="20"/>
          <w:szCs w:val="20"/>
        </w:rPr>
      </w:pPr>
    </w:p>
    <w:p w14:paraId="7BE92663" w14:textId="77777777" w:rsidR="000A566E" w:rsidRPr="006271B7" w:rsidRDefault="000A566E" w:rsidP="000A566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spacing w:val="-2"/>
          <w:sz w:val="20"/>
          <w:szCs w:val="20"/>
        </w:rPr>
      </w:pPr>
      <w:r>
        <w:rPr>
          <w:spacing w:val="-2"/>
          <w:sz w:val="20"/>
          <w:szCs w:val="20"/>
        </w:rPr>
        <w:t xml:space="preserve">To adopt necessary measures of non-repetition to prevent similar events from taking place in the future. In particular, ensure application of the rules of due process in the context of the proceedings for the dismissal or removal of prosecutors, regardless of whether or not they are provisional. </w:t>
      </w:r>
    </w:p>
    <w:p w14:paraId="3A729FF9" w14:textId="77777777" w:rsidR="000A566E" w:rsidRPr="006271B7" w:rsidRDefault="000A566E" w:rsidP="000A566E">
      <w:pPr>
        <w:pStyle w:val="ListParagraph"/>
        <w:ind w:left="0" w:firstLine="720"/>
        <w:rPr>
          <w:spacing w:val="-2"/>
          <w:sz w:val="20"/>
          <w:szCs w:val="20"/>
        </w:rPr>
      </w:pPr>
    </w:p>
    <w:p w14:paraId="5A6FDE9C" w14:textId="77777777" w:rsidR="000A566E" w:rsidRPr="006271B7" w:rsidRDefault="000A566E" w:rsidP="000A566E">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spacing w:val="-2"/>
          <w:sz w:val="20"/>
          <w:szCs w:val="20"/>
        </w:rPr>
      </w:pPr>
      <w:r>
        <w:rPr>
          <w:spacing w:val="-2"/>
          <w:sz w:val="20"/>
          <w:szCs w:val="20"/>
        </w:rPr>
        <w:lastRenderedPageBreak/>
        <w:t xml:space="preserve">To adopt the necessary measures so that domestic law and relevant practice conform to clear criteria and ensure guarantees in the appointment, tenure and removal of prosecutors, pursuant to the criteria set forth in the instant report. </w:t>
      </w:r>
    </w:p>
    <w:p w14:paraId="10BBE7A2" w14:textId="77777777" w:rsidR="000A566E" w:rsidRPr="006271B7" w:rsidRDefault="000A566E" w:rsidP="000A566E">
      <w:pPr>
        <w:pStyle w:val="ListParagraph"/>
        <w:rPr>
          <w:spacing w:val="-2"/>
          <w:sz w:val="20"/>
          <w:szCs w:val="20"/>
        </w:rPr>
      </w:pPr>
    </w:p>
    <w:p w14:paraId="281C563C" w14:textId="77777777" w:rsidR="00D02D3C" w:rsidRPr="00D02D3C"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674AC0F6" w14:textId="77777777" w:rsidR="00D02D3C" w:rsidRPr="006271B7" w:rsidRDefault="00D02D3C" w:rsidP="00D02D3C">
      <w:pPr>
        <w:tabs>
          <w:tab w:val="center" w:pos="5400"/>
        </w:tabs>
        <w:suppressAutoHyphens/>
        <w:spacing w:line="276" w:lineRule="auto"/>
        <w:rPr>
          <w:rFonts w:asciiTheme="majorHAnsi" w:hAnsiTheme="majorHAnsi"/>
          <w:sz w:val="20"/>
          <w:szCs w:val="20"/>
        </w:rPr>
      </w:pPr>
      <w:bookmarkStart w:id="84" w:name="_GoBack"/>
      <w:bookmarkEnd w:id="84"/>
    </w:p>
    <w:sectPr w:rsidR="00D02D3C" w:rsidRPr="006271B7" w:rsidSect="00105D7F">
      <w:headerReference w:type="even" r:id="rId17"/>
      <w:headerReference w:type="default" r:id="rId18"/>
      <w:footerReference w:type="default" r:id="rId19"/>
      <w:headerReference w:type="first" r:id="rId20"/>
      <w:footerReference w:type="first" r:id="rId21"/>
      <w:pgSz w:w="12240" w:h="15840"/>
      <w:pgMar w:top="1440" w:right="1440" w:bottom="1440" w:left="19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25005" w14:textId="77777777" w:rsidR="00397E46" w:rsidRDefault="00397E46" w:rsidP="00036A8A">
      <w:r>
        <w:separator/>
      </w:r>
    </w:p>
  </w:endnote>
  <w:endnote w:type="continuationSeparator" w:id="0">
    <w:p w14:paraId="659FC731" w14:textId="77777777" w:rsidR="00397E46" w:rsidRDefault="00397E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78D8DAC" w14:textId="77777777" w:rsidR="00D02D3C" w:rsidRPr="006311DA" w:rsidRDefault="00D02D3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sdtContent>
  </w:sdt>
  <w:p w14:paraId="7C80B847" w14:textId="77777777" w:rsidR="00D02D3C" w:rsidRDefault="00D02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0C57" w14:textId="77777777" w:rsidR="00D02D3C" w:rsidRDefault="00D02D3C">
    <w:pPr>
      <w:pStyle w:val="Footer"/>
      <w:jc w:val="center"/>
    </w:pPr>
  </w:p>
  <w:p w14:paraId="437008BF" w14:textId="77777777" w:rsidR="00D02D3C" w:rsidRDefault="00D02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0E592B4" w14:textId="77777777" w:rsidR="00D02D3C" w:rsidRPr="00934A2C" w:rsidRDefault="00D02D3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4AA5">
          <w:rPr>
            <w:noProof/>
            <w:sz w:val="16"/>
            <w:szCs w:val="22"/>
          </w:rPr>
          <w:t>17</w:t>
        </w:r>
        <w:r w:rsidRPr="00934A2C">
          <w:rPr>
            <w:noProof/>
            <w:sz w:val="16"/>
            <w:szCs w:val="22"/>
          </w:rPr>
          <w:fldChar w:fldCharType="end"/>
        </w:r>
      </w:p>
    </w:sdtContent>
  </w:sdt>
  <w:p w14:paraId="3239EC5E" w14:textId="77777777" w:rsidR="00D02D3C" w:rsidRDefault="00D02D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BB18" w14:textId="77777777" w:rsidR="00D02D3C" w:rsidRPr="00934A2C" w:rsidRDefault="00D02D3C">
    <w:pPr>
      <w:pStyle w:val="Footer"/>
      <w:jc w:val="center"/>
      <w:rPr>
        <w:sz w:val="16"/>
        <w:szCs w:val="22"/>
      </w:rPr>
    </w:pPr>
  </w:p>
  <w:p w14:paraId="71A67530" w14:textId="77777777" w:rsidR="00D02D3C" w:rsidRDefault="00D02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6EC21" w14:textId="77777777" w:rsidR="00397E46" w:rsidRPr="00036A8A" w:rsidRDefault="00397E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C1553DE" w14:textId="77777777" w:rsidR="00397E46" w:rsidRPr="00036A8A" w:rsidRDefault="00397E46" w:rsidP="00036A8A">
      <w:pPr>
        <w:rPr>
          <w:rFonts w:asciiTheme="majorHAnsi" w:hAnsiTheme="majorHAnsi"/>
          <w:sz w:val="16"/>
          <w:szCs w:val="16"/>
        </w:rPr>
      </w:pPr>
      <w:r w:rsidRPr="00036A8A">
        <w:rPr>
          <w:rFonts w:asciiTheme="majorHAnsi" w:hAnsiTheme="majorHAnsi"/>
          <w:sz w:val="16"/>
          <w:szCs w:val="16"/>
        </w:rPr>
        <w:separator/>
      </w:r>
    </w:p>
    <w:p w14:paraId="793F38BF" w14:textId="77777777" w:rsidR="00397E46" w:rsidRPr="00036A8A" w:rsidRDefault="00397E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D50139B" w14:textId="77777777" w:rsidR="00397E46" w:rsidRPr="0093441A" w:rsidRDefault="00397E4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27D985B" w14:textId="77777777" w:rsidR="00D02D3C" w:rsidRPr="00875A0D" w:rsidRDefault="00D02D3C" w:rsidP="00D02D3C">
      <w:pPr>
        <w:pStyle w:val="FootnoteText"/>
        <w:spacing w:after="120"/>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In keeping with Article </w:t>
      </w:r>
      <w:r w:rsidRPr="00875A0D">
        <w:rPr>
          <w:rFonts w:asciiTheme="majorHAnsi" w:hAnsiTheme="majorHAnsi"/>
          <w:sz w:val="16"/>
          <w:szCs w:val="16"/>
        </w:rPr>
        <w:t>17</w:t>
      </w:r>
      <w:r>
        <w:rPr>
          <w:rFonts w:asciiTheme="majorHAnsi" w:hAnsiTheme="majorHAnsi"/>
          <w:sz w:val="16"/>
          <w:szCs w:val="16"/>
        </w:rPr>
        <w:t>(</w:t>
      </w:r>
      <w:r w:rsidRPr="00875A0D">
        <w:rPr>
          <w:rFonts w:asciiTheme="majorHAnsi" w:hAnsiTheme="majorHAnsi"/>
          <w:sz w:val="16"/>
          <w:szCs w:val="16"/>
        </w:rPr>
        <w:t>2</w:t>
      </w:r>
      <w:r>
        <w:rPr>
          <w:rFonts w:asciiTheme="majorHAnsi" w:hAnsiTheme="majorHAnsi"/>
          <w:sz w:val="16"/>
          <w:szCs w:val="16"/>
        </w:rPr>
        <w:t xml:space="preserve">) of the Commission’s Rules of Procedure, Commissioner </w:t>
      </w:r>
      <w:r w:rsidRPr="00875A0D">
        <w:rPr>
          <w:rFonts w:asciiTheme="majorHAnsi" w:hAnsiTheme="majorHAnsi"/>
          <w:sz w:val="16"/>
          <w:szCs w:val="16"/>
        </w:rPr>
        <w:t xml:space="preserve">Luis Ernesto Vargas Silva, </w:t>
      </w:r>
      <w:r>
        <w:rPr>
          <w:rFonts w:asciiTheme="majorHAnsi" w:hAnsiTheme="majorHAnsi"/>
          <w:sz w:val="16"/>
          <w:szCs w:val="16"/>
        </w:rPr>
        <w:t xml:space="preserve">of Colombian nationality, did not participate in the deliberations bate or decision on the instant case. </w:t>
      </w:r>
    </w:p>
  </w:footnote>
  <w:footnote w:id="3">
    <w:p w14:paraId="6E1C4C38" w14:textId="77777777" w:rsidR="00D02D3C" w:rsidRPr="00875A0D" w:rsidRDefault="00D02D3C" w:rsidP="00D02D3C">
      <w:pPr>
        <w:pStyle w:val="FootnoteText"/>
        <w:spacing w:after="120"/>
        <w:jc w:val="both"/>
        <w:rPr>
          <w:rFonts w:asciiTheme="majorHAnsi" w:hAnsiTheme="majorHAnsi"/>
          <w:color w:val="auto"/>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color w:val="auto"/>
          <w:sz w:val="16"/>
          <w:szCs w:val="16"/>
        </w:rPr>
        <w:t>IACHR</w:t>
      </w:r>
      <w:r w:rsidRPr="00875A0D">
        <w:rPr>
          <w:rFonts w:asciiTheme="majorHAnsi" w:hAnsiTheme="majorHAnsi"/>
          <w:color w:val="auto"/>
          <w:sz w:val="16"/>
          <w:szCs w:val="16"/>
        </w:rPr>
        <w:t>.</w:t>
      </w:r>
      <w:proofErr w:type="gramEnd"/>
      <w:r w:rsidRPr="00875A0D">
        <w:rPr>
          <w:rFonts w:asciiTheme="majorHAnsi" w:hAnsiTheme="majorHAnsi"/>
          <w:color w:val="auto"/>
          <w:sz w:val="16"/>
          <w:szCs w:val="16"/>
        </w:rPr>
        <w:t xml:space="preserve"> </w:t>
      </w:r>
      <w:r>
        <w:rPr>
          <w:rFonts w:asciiTheme="majorHAnsi" w:hAnsiTheme="majorHAnsi"/>
          <w:color w:val="auto"/>
          <w:sz w:val="16"/>
          <w:szCs w:val="16"/>
        </w:rPr>
        <w:t>Report No.</w:t>
      </w:r>
      <w:r w:rsidRPr="00875A0D">
        <w:rPr>
          <w:rFonts w:asciiTheme="majorHAnsi" w:hAnsiTheme="majorHAnsi"/>
          <w:color w:val="auto"/>
          <w:sz w:val="16"/>
          <w:szCs w:val="16"/>
        </w:rPr>
        <w:t xml:space="preserve"> 62/12. </w:t>
      </w:r>
      <w:proofErr w:type="gramStart"/>
      <w:r>
        <w:rPr>
          <w:rFonts w:asciiTheme="majorHAnsi" w:hAnsiTheme="majorHAnsi"/>
          <w:color w:val="auto"/>
          <w:sz w:val="16"/>
          <w:szCs w:val="16"/>
        </w:rPr>
        <w:t>Petition</w:t>
      </w:r>
      <w:r w:rsidRPr="00875A0D">
        <w:rPr>
          <w:rFonts w:asciiTheme="majorHAnsi" w:hAnsiTheme="majorHAnsi"/>
          <w:color w:val="auto"/>
          <w:sz w:val="16"/>
          <w:szCs w:val="16"/>
        </w:rPr>
        <w:t xml:space="preserve"> 1471-05.</w:t>
      </w:r>
      <w:proofErr w:type="gramEnd"/>
      <w:r w:rsidRPr="00875A0D">
        <w:rPr>
          <w:rFonts w:asciiTheme="majorHAnsi" w:hAnsiTheme="majorHAnsi"/>
          <w:color w:val="auto"/>
          <w:sz w:val="16"/>
          <w:szCs w:val="16"/>
        </w:rPr>
        <w:t xml:space="preserve"> </w:t>
      </w:r>
      <w:proofErr w:type="spellStart"/>
      <w:r w:rsidRPr="00875A0D">
        <w:rPr>
          <w:rFonts w:asciiTheme="majorHAnsi" w:hAnsiTheme="majorHAnsi"/>
          <w:color w:val="auto"/>
          <w:sz w:val="16"/>
          <w:szCs w:val="16"/>
        </w:rPr>
        <w:t>Yenina</w:t>
      </w:r>
      <w:proofErr w:type="spellEnd"/>
      <w:r w:rsidRPr="00875A0D">
        <w:rPr>
          <w:rFonts w:asciiTheme="majorHAnsi" w:hAnsiTheme="majorHAnsi"/>
          <w:color w:val="auto"/>
          <w:sz w:val="16"/>
          <w:szCs w:val="16"/>
        </w:rPr>
        <w:t xml:space="preserve"> Esther </w:t>
      </w:r>
      <w:proofErr w:type="spellStart"/>
      <w:r w:rsidRPr="00875A0D">
        <w:rPr>
          <w:rFonts w:asciiTheme="majorHAnsi" w:hAnsiTheme="majorHAnsi"/>
          <w:color w:val="auto"/>
          <w:sz w:val="16"/>
          <w:szCs w:val="16"/>
        </w:rPr>
        <w:t>Martínez</w:t>
      </w:r>
      <w:proofErr w:type="spellEnd"/>
      <w:r w:rsidRPr="00875A0D">
        <w:rPr>
          <w:rFonts w:asciiTheme="majorHAnsi" w:hAnsiTheme="majorHAnsi"/>
          <w:color w:val="auto"/>
          <w:sz w:val="16"/>
          <w:szCs w:val="16"/>
        </w:rPr>
        <w:t xml:space="preserve"> </w:t>
      </w:r>
      <w:proofErr w:type="spellStart"/>
      <w:r w:rsidRPr="00875A0D">
        <w:rPr>
          <w:rFonts w:asciiTheme="majorHAnsi" w:hAnsiTheme="majorHAnsi"/>
          <w:color w:val="auto"/>
          <w:sz w:val="16"/>
          <w:szCs w:val="16"/>
        </w:rPr>
        <w:t>Esquivia</w:t>
      </w:r>
      <w:proofErr w:type="spellEnd"/>
      <w:r w:rsidRPr="00875A0D">
        <w:rPr>
          <w:rFonts w:asciiTheme="majorHAnsi" w:hAnsiTheme="majorHAnsi"/>
          <w:color w:val="auto"/>
          <w:sz w:val="16"/>
          <w:szCs w:val="16"/>
        </w:rPr>
        <w:t xml:space="preserve">. Colombia. </w:t>
      </w:r>
      <w:r>
        <w:rPr>
          <w:rFonts w:asciiTheme="majorHAnsi" w:hAnsiTheme="majorHAnsi"/>
          <w:color w:val="auto"/>
          <w:sz w:val="16"/>
          <w:szCs w:val="16"/>
        </w:rPr>
        <w:t xml:space="preserve">March </w:t>
      </w:r>
      <w:r w:rsidRPr="00875A0D">
        <w:rPr>
          <w:rFonts w:asciiTheme="majorHAnsi" w:hAnsiTheme="majorHAnsi"/>
          <w:color w:val="auto"/>
          <w:sz w:val="16"/>
          <w:szCs w:val="16"/>
        </w:rPr>
        <w:t>20</w:t>
      </w:r>
      <w:r>
        <w:rPr>
          <w:rFonts w:asciiTheme="majorHAnsi" w:hAnsiTheme="majorHAnsi"/>
          <w:color w:val="auto"/>
          <w:sz w:val="16"/>
          <w:szCs w:val="16"/>
        </w:rPr>
        <w:t>,</w:t>
      </w:r>
      <w:r w:rsidRPr="00875A0D">
        <w:rPr>
          <w:rFonts w:asciiTheme="majorHAnsi" w:hAnsiTheme="majorHAnsi"/>
          <w:color w:val="auto"/>
          <w:sz w:val="16"/>
          <w:szCs w:val="16"/>
        </w:rPr>
        <w:t xml:space="preserve"> 2012.  </w:t>
      </w:r>
      <w:r>
        <w:rPr>
          <w:rFonts w:asciiTheme="majorHAnsi" w:hAnsiTheme="majorHAnsi"/>
          <w:color w:val="auto"/>
          <w:sz w:val="16"/>
          <w:szCs w:val="16"/>
        </w:rPr>
        <w:t>In that report, the IACHR</w:t>
      </w:r>
      <w:r w:rsidRPr="00875A0D">
        <w:rPr>
          <w:rFonts w:asciiTheme="majorHAnsi" w:hAnsiTheme="majorHAnsi"/>
          <w:color w:val="auto"/>
          <w:sz w:val="16"/>
          <w:szCs w:val="16"/>
        </w:rPr>
        <w:t xml:space="preserve"> </w:t>
      </w:r>
      <w:r>
        <w:rPr>
          <w:rFonts w:asciiTheme="majorHAnsi" w:hAnsiTheme="majorHAnsi"/>
          <w:color w:val="auto"/>
          <w:sz w:val="16"/>
          <w:szCs w:val="16"/>
        </w:rPr>
        <w:t xml:space="preserve">found admissible the claims related to Articles </w:t>
      </w:r>
      <w:r w:rsidRPr="00875A0D">
        <w:rPr>
          <w:rFonts w:asciiTheme="majorHAnsi" w:hAnsiTheme="majorHAnsi"/>
          <w:color w:val="auto"/>
          <w:sz w:val="16"/>
          <w:szCs w:val="16"/>
        </w:rPr>
        <w:t xml:space="preserve">8 </w:t>
      </w:r>
      <w:r>
        <w:rPr>
          <w:rFonts w:asciiTheme="majorHAnsi" w:hAnsiTheme="majorHAnsi"/>
          <w:color w:val="auto"/>
          <w:sz w:val="16"/>
          <w:szCs w:val="16"/>
        </w:rPr>
        <w:t xml:space="preserve">and </w:t>
      </w:r>
      <w:r w:rsidRPr="00875A0D">
        <w:rPr>
          <w:rFonts w:asciiTheme="majorHAnsi" w:hAnsiTheme="majorHAnsi"/>
          <w:color w:val="auto"/>
          <w:sz w:val="16"/>
          <w:szCs w:val="16"/>
        </w:rPr>
        <w:t xml:space="preserve">25 </w:t>
      </w:r>
      <w:r>
        <w:rPr>
          <w:rFonts w:asciiTheme="majorHAnsi" w:hAnsiTheme="majorHAnsi"/>
          <w:color w:val="auto"/>
          <w:sz w:val="16"/>
          <w:szCs w:val="16"/>
        </w:rPr>
        <w:t xml:space="preserve">in relation to Article </w:t>
      </w:r>
      <w:r w:rsidRPr="00875A0D">
        <w:rPr>
          <w:rFonts w:asciiTheme="majorHAnsi" w:hAnsiTheme="majorHAnsi"/>
          <w:color w:val="auto"/>
          <w:sz w:val="16"/>
          <w:szCs w:val="16"/>
        </w:rPr>
        <w:t>1</w:t>
      </w:r>
      <w:r>
        <w:rPr>
          <w:rFonts w:asciiTheme="majorHAnsi" w:hAnsiTheme="majorHAnsi"/>
          <w:color w:val="auto"/>
          <w:sz w:val="16"/>
          <w:szCs w:val="16"/>
        </w:rPr>
        <w:t>(</w:t>
      </w:r>
      <w:r w:rsidRPr="00875A0D">
        <w:rPr>
          <w:rFonts w:asciiTheme="majorHAnsi" w:hAnsiTheme="majorHAnsi"/>
          <w:color w:val="auto"/>
          <w:sz w:val="16"/>
          <w:szCs w:val="16"/>
        </w:rPr>
        <w:t>1</w:t>
      </w:r>
      <w:r>
        <w:rPr>
          <w:rFonts w:asciiTheme="majorHAnsi" w:hAnsiTheme="majorHAnsi"/>
          <w:color w:val="auto"/>
          <w:sz w:val="16"/>
          <w:szCs w:val="16"/>
        </w:rPr>
        <w:t xml:space="preserve">) of the American Convention, and found inadmissible the claims related to Articles </w:t>
      </w:r>
      <w:r w:rsidRPr="00875A0D">
        <w:rPr>
          <w:rFonts w:asciiTheme="majorHAnsi" w:hAnsiTheme="majorHAnsi"/>
          <w:color w:val="auto"/>
          <w:sz w:val="16"/>
          <w:szCs w:val="16"/>
        </w:rPr>
        <w:t>19, 24</w:t>
      </w:r>
      <w:r>
        <w:rPr>
          <w:rFonts w:asciiTheme="majorHAnsi" w:hAnsiTheme="majorHAnsi"/>
          <w:color w:val="auto"/>
          <w:sz w:val="16"/>
          <w:szCs w:val="16"/>
        </w:rPr>
        <w:t xml:space="preserve">, and </w:t>
      </w:r>
      <w:r w:rsidRPr="00875A0D">
        <w:rPr>
          <w:rFonts w:asciiTheme="majorHAnsi" w:hAnsiTheme="majorHAnsi"/>
          <w:color w:val="auto"/>
          <w:sz w:val="16"/>
          <w:szCs w:val="16"/>
        </w:rPr>
        <w:t xml:space="preserve">26 </w:t>
      </w:r>
      <w:r>
        <w:rPr>
          <w:rFonts w:asciiTheme="majorHAnsi" w:hAnsiTheme="majorHAnsi"/>
          <w:color w:val="auto"/>
          <w:sz w:val="16"/>
          <w:szCs w:val="16"/>
        </w:rPr>
        <w:t>of the same instrument</w:t>
      </w:r>
      <w:r w:rsidRPr="00875A0D">
        <w:rPr>
          <w:rFonts w:asciiTheme="majorHAnsi" w:hAnsiTheme="majorHAnsi"/>
          <w:color w:val="auto"/>
          <w:sz w:val="16"/>
          <w:szCs w:val="16"/>
        </w:rPr>
        <w:t xml:space="preserve">. </w:t>
      </w:r>
    </w:p>
    <w:p w14:paraId="4EA4E2E0" w14:textId="77777777" w:rsidR="00D02D3C" w:rsidRPr="00875A0D" w:rsidRDefault="00D02D3C" w:rsidP="00D02D3C">
      <w:pPr>
        <w:pStyle w:val="FootnoteText"/>
        <w:spacing w:after="120"/>
        <w:jc w:val="both"/>
        <w:rPr>
          <w:rFonts w:asciiTheme="majorHAnsi" w:hAnsiTheme="majorHAnsi"/>
          <w:sz w:val="16"/>
          <w:szCs w:val="16"/>
        </w:rPr>
      </w:pPr>
    </w:p>
  </w:footnote>
  <w:footnote w:id="4">
    <w:p w14:paraId="26A07FD2" w14:textId="0FB4E531"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w:t>
      </w:r>
      <w:r w:rsidRPr="00875A0D">
        <w:rPr>
          <w:rFonts w:asciiTheme="majorHAnsi" w:hAnsiTheme="majorHAnsi"/>
          <w:sz w:val="16"/>
          <w:szCs w:val="16"/>
        </w:rPr>
        <w:t xml:space="preserve">.  </w:t>
      </w:r>
      <w:proofErr w:type="gramStart"/>
      <w:r w:rsidRPr="00875A0D">
        <w:rPr>
          <w:rFonts w:asciiTheme="majorHAnsi" w:hAnsiTheme="majorHAnsi"/>
          <w:sz w:val="16"/>
          <w:szCs w:val="16"/>
        </w:rPr>
        <w:t>Cop</w:t>
      </w:r>
      <w:r>
        <w:rPr>
          <w:rFonts w:asciiTheme="majorHAnsi" w:hAnsiTheme="majorHAnsi"/>
          <w:sz w:val="16"/>
          <w:szCs w:val="16"/>
        </w:rPr>
        <w:t xml:space="preserve">y of the act of assuming office of March </w:t>
      </w:r>
      <w:r w:rsidRPr="00875A0D">
        <w:rPr>
          <w:rFonts w:asciiTheme="majorHAnsi" w:hAnsiTheme="majorHAnsi"/>
          <w:sz w:val="16"/>
          <w:szCs w:val="16"/>
        </w:rPr>
        <w:t>16</w:t>
      </w:r>
      <w:r>
        <w:rPr>
          <w:rFonts w:asciiTheme="majorHAnsi" w:hAnsiTheme="majorHAnsi"/>
          <w:sz w:val="16"/>
          <w:szCs w:val="16"/>
        </w:rPr>
        <w:t>,</w:t>
      </w:r>
      <w:r w:rsidRPr="00875A0D">
        <w:rPr>
          <w:rFonts w:asciiTheme="majorHAnsi" w:hAnsiTheme="majorHAnsi"/>
          <w:sz w:val="16"/>
          <w:szCs w:val="16"/>
        </w:rPr>
        <w:t xml:space="preserve"> 1992.</w:t>
      </w:r>
      <w:proofErr w:type="gramEnd"/>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5">
    <w:p w14:paraId="765469F6" w14:textId="4499D19A"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2</w:t>
      </w:r>
      <w:r w:rsidRPr="00875A0D">
        <w:rPr>
          <w:rFonts w:asciiTheme="majorHAnsi" w:hAnsiTheme="majorHAnsi"/>
          <w:sz w:val="16"/>
          <w:szCs w:val="16"/>
        </w:rPr>
        <w:t xml:space="preserve">.  </w:t>
      </w:r>
      <w:r>
        <w:rPr>
          <w:rFonts w:asciiTheme="majorHAnsi" w:hAnsiTheme="majorHAnsi"/>
          <w:sz w:val="16"/>
          <w:szCs w:val="16"/>
        </w:rPr>
        <w:t>Resolution</w:t>
      </w:r>
      <w:r w:rsidRPr="00875A0D">
        <w:rPr>
          <w:rFonts w:asciiTheme="majorHAnsi" w:hAnsiTheme="majorHAnsi"/>
          <w:sz w:val="16"/>
          <w:szCs w:val="16"/>
        </w:rPr>
        <w:t xml:space="preserve"> 000004 </w:t>
      </w:r>
      <w:r>
        <w:rPr>
          <w:rFonts w:asciiTheme="majorHAnsi" w:hAnsiTheme="majorHAnsi"/>
          <w:sz w:val="16"/>
          <w:szCs w:val="16"/>
        </w:rPr>
        <w:t xml:space="preserve">of the Sectional </w:t>
      </w:r>
      <w:r w:rsidRPr="00875A0D">
        <w:rPr>
          <w:rFonts w:asciiTheme="majorHAnsi" w:hAnsiTheme="majorHAnsi"/>
          <w:sz w:val="16"/>
          <w:szCs w:val="16"/>
        </w:rPr>
        <w:t xml:space="preserve">Director </w:t>
      </w:r>
      <w:r>
        <w:rPr>
          <w:rFonts w:asciiTheme="majorHAnsi" w:hAnsiTheme="majorHAnsi"/>
          <w:sz w:val="16"/>
          <w:szCs w:val="16"/>
        </w:rPr>
        <w:t xml:space="preserve">of Prosecutors, July </w:t>
      </w:r>
      <w:r w:rsidRPr="00875A0D">
        <w:rPr>
          <w:rFonts w:asciiTheme="majorHAnsi" w:hAnsiTheme="majorHAnsi"/>
          <w:sz w:val="16"/>
          <w:szCs w:val="16"/>
        </w:rPr>
        <w:t>1</w:t>
      </w:r>
      <w:r>
        <w:rPr>
          <w:rFonts w:asciiTheme="majorHAnsi" w:hAnsiTheme="majorHAnsi"/>
          <w:sz w:val="16"/>
          <w:szCs w:val="16"/>
        </w:rPr>
        <w:t>,</w:t>
      </w:r>
      <w:r w:rsidRPr="00875A0D">
        <w:rPr>
          <w:rFonts w:asciiTheme="majorHAnsi" w:hAnsiTheme="majorHAnsi"/>
          <w:sz w:val="16"/>
          <w:szCs w:val="16"/>
        </w:rPr>
        <w:t xml:space="preserve"> 1992. </w:t>
      </w:r>
      <w:r>
        <w:rPr>
          <w:rFonts w:asciiTheme="majorHAnsi" w:hAnsiTheme="majorHAnsi"/>
          <w:sz w:val="16"/>
          <w:szCs w:val="16"/>
        </w:rPr>
        <w:t>Annex to the initial petition of December 22, 2005.</w:t>
      </w:r>
    </w:p>
  </w:footnote>
  <w:footnote w:id="6">
    <w:p w14:paraId="1F71F7EF" w14:textId="17B396F4"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3</w:t>
      </w:r>
      <w:r w:rsidRPr="00875A0D">
        <w:rPr>
          <w:rFonts w:asciiTheme="majorHAnsi" w:hAnsiTheme="majorHAnsi"/>
          <w:sz w:val="16"/>
          <w:szCs w:val="16"/>
        </w:rPr>
        <w:t xml:space="preserve">. </w:t>
      </w:r>
      <w:r>
        <w:rPr>
          <w:rFonts w:asciiTheme="majorHAnsi" w:hAnsiTheme="majorHAnsi"/>
          <w:sz w:val="16"/>
          <w:szCs w:val="16"/>
        </w:rPr>
        <w:t>Resolution</w:t>
      </w:r>
      <w:r w:rsidRPr="00875A0D">
        <w:rPr>
          <w:rFonts w:asciiTheme="majorHAnsi" w:hAnsiTheme="majorHAnsi"/>
          <w:sz w:val="16"/>
          <w:szCs w:val="16"/>
        </w:rPr>
        <w:t xml:space="preserve"> 000158 </w:t>
      </w:r>
      <w:r>
        <w:rPr>
          <w:rFonts w:asciiTheme="majorHAnsi" w:hAnsiTheme="majorHAnsi"/>
          <w:sz w:val="16"/>
          <w:szCs w:val="16"/>
        </w:rPr>
        <w:t xml:space="preserve">of the Sectional Bureau of Prosecutors, September </w:t>
      </w:r>
      <w:r w:rsidRPr="00875A0D">
        <w:rPr>
          <w:rFonts w:asciiTheme="majorHAnsi" w:hAnsiTheme="majorHAnsi"/>
          <w:sz w:val="16"/>
          <w:szCs w:val="16"/>
        </w:rPr>
        <w:t>28</w:t>
      </w:r>
      <w:r>
        <w:rPr>
          <w:rFonts w:asciiTheme="majorHAnsi" w:hAnsiTheme="majorHAnsi"/>
          <w:sz w:val="16"/>
          <w:szCs w:val="16"/>
        </w:rPr>
        <w:t>,</w:t>
      </w:r>
      <w:r w:rsidRPr="00875A0D">
        <w:rPr>
          <w:rFonts w:asciiTheme="majorHAnsi" w:hAnsiTheme="majorHAnsi"/>
          <w:sz w:val="16"/>
          <w:szCs w:val="16"/>
        </w:rPr>
        <w:t xml:space="preserve"> 1992.</w:t>
      </w:r>
      <w:r>
        <w:rPr>
          <w:rFonts w:asciiTheme="majorHAnsi" w:hAnsiTheme="majorHAnsi"/>
          <w:sz w:val="16"/>
          <w:szCs w:val="16"/>
        </w:rPr>
        <w:t xml:space="preserve"> Annex to the initial petition</w:t>
      </w:r>
      <w:r w:rsidRPr="00875A0D">
        <w:rPr>
          <w:rFonts w:asciiTheme="majorHAnsi" w:hAnsiTheme="majorHAnsi"/>
          <w:sz w:val="16"/>
          <w:szCs w:val="16"/>
        </w:rPr>
        <w:t xml:space="preserve"> </w:t>
      </w:r>
      <w:r>
        <w:rPr>
          <w:rFonts w:asciiTheme="majorHAnsi" w:hAnsiTheme="majorHAnsi"/>
          <w:sz w:val="16"/>
          <w:szCs w:val="16"/>
        </w:rPr>
        <w:t xml:space="preserve">of December </w:t>
      </w:r>
      <w:r w:rsidRPr="00875A0D">
        <w:rPr>
          <w:rFonts w:asciiTheme="majorHAnsi" w:hAnsiTheme="majorHAnsi"/>
          <w:sz w:val="16"/>
          <w:szCs w:val="16"/>
        </w:rPr>
        <w:t>22</w:t>
      </w:r>
      <w:r>
        <w:rPr>
          <w:rFonts w:asciiTheme="majorHAnsi" w:hAnsiTheme="majorHAnsi"/>
          <w:sz w:val="16"/>
          <w:szCs w:val="16"/>
        </w:rPr>
        <w:t>,</w:t>
      </w:r>
      <w:r w:rsidRPr="00875A0D">
        <w:rPr>
          <w:rFonts w:asciiTheme="majorHAnsi" w:hAnsiTheme="majorHAnsi"/>
          <w:sz w:val="16"/>
          <w:szCs w:val="16"/>
        </w:rPr>
        <w:t xml:space="preserve"> 2005.</w:t>
      </w:r>
    </w:p>
  </w:footnote>
  <w:footnote w:id="7">
    <w:p w14:paraId="72413F26" w14:textId="1C6A8272"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4</w:t>
      </w:r>
      <w:r w:rsidRPr="00875A0D">
        <w:rPr>
          <w:rFonts w:asciiTheme="majorHAnsi" w:hAnsiTheme="majorHAnsi"/>
          <w:sz w:val="16"/>
          <w:szCs w:val="16"/>
        </w:rPr>
        <w:t xml:space="preserve">.  </w:t>
      </w:r>
      <w:proofErr w:type="gramStart"/>
      <w:r>
        <w:rPr>
          <w:rFonts w:asciiTheme="majorHAnsi" w:hAnsiTheme="majorHAnsi"/>
          <w:sz w:val="16"/>
          <w:szCs w:val="16"/>
        </w:rPr>
        <w:t>Resolution</w:t>
      </w:r>
      <w:r w:rsidRPr="00875A0D">
        <w:rPr>
          <w:rFonts w:asciiTheme="majorHAnsi" w:hAnsiTheme="majorHAnsi"/>
          <w:sz w:val="16"/>
          <w:szCs w:val="16"/>
        </w:rPr>
        <w:t xml:space="preserve">  000946</w:t>
      </w:r>
      <w:proofErr w:type="gramEnd"/>
      <w:r w:rsidRPr="00875A0D">
        <w:rPr>
          <w:rFonts w:asciiTheme="majorHAnsi" w:hAnsiTheme="majorHAnsi"/>
          <w:sz w:val="16"/>
          <w:szCs w:val="16"/>
        </w:rPr>
        <w:t xml:space="preserve"> </w:t>
      </w:r>
      <w:r>
        <w:rPr>
          <w:rFonts w:asciiTheme="majorHAnsi" w:hAnsiTheme="majorHAnsi"/>
          <w:sz w:val="16"/>
          <w:szCs w:val="16"/>
        </w:rPr>
        <w:t xml:space="preserve">of the Sectional Administrative and Financial Bureau of the Office of the Attorney General of the Nation of </w:t>
      </w:r>
      <w:r w:rsidRPr="00875A0D">
        <w:rPr>
          <w:rFonts w:asciiTheme="majorHAnsi" w:hAnsiTheme="majorHAnsi"/>
          <w:sz w:val="16"/>
          <w:szCs w:val="16"/>
        </w:rPr>
        <w:t xml:space="preserve">1996. </w:t>
      </w:r>
      <w:r>
        <w:rPr>
          <w:rFonts w:asciiTheme="majorHAnsi" w:hAnsiTheme="majorHAnsi"/>
          <w:sz w:val="16"/>
          <w:szCs w:val="16"/>
        </w:rPr>
        <w:t>Annex to the initial petition</w:t>
      </w:r>
      <w:r w:rsidRPr="00875A0D">
        <w:rPr>
          <w:rFonts w:asciiTheme="majorHAnsi" w:hAnsiTheme="majorHAnsi"/>
          <w:sz w:val="16"/>
          <w:szCs w:val="16"/>
        </w:rPr>
        <w:t xml:space="preserve"> </w:t>
      </w:r>
      <w:r>
        <w:rPr>
          <w:rFonts w:asciiTheme="majorHAnsi" w:hAnsiTheme="majorHAnsi"/>
          <w:sz w:val="16"/>
          <w:szCs w:val="16"/>
        </w:rPr>
        <w:t xml:space="preserve">of December </w:t>
      </w:r>
      <w:r w:rsidRPr="00875A0D">
        <w:rPr>
          <w:rFonts w:asciiTheme="majorHAnsi" w:hAnsiTheme="majorHAnsi"/>
          <w:sz w:val="16"/>
          <w:szCs w:val="16"/>
        </w:rPr>
        <w:t>22</w:t>
      </w:r>
      <w:r>
        <w:rPr>
          <w:rFonts w:asciiTheme="majorHAnsi" w:hAnsiTheme="majorHAnsi"/>
          <w:sz w:val="16"/>
          <w:szCs w:val="16"/>
        </w:rPr>
        <w:t>,</w:t>
      </w:r>
      <w:r w:rsidRPr="00875A0D">
        <w:rPr>
          <w:rFonts w:asciiTheme="majorHAnsi" w:hAnsiTheme="majorHAnsi"/>
          <w:sz w:val="16"/>
          <w:szCs w:val="16"/>
        </w:rPr>
        <w:t xml:space="preserve"> 2005.</w:t>
      </w:r>
    </w:p>
  </w:footnote>
  <w:footnote w:id="8">
    <w:p w14:paraId="4C207EE7" w14:textId="67F9843E"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5</w:t>
      </w:r>
      <w:r w:rsidRPr="00875A0D">
        <w:rPr>
          <w:rFonts w:asciiTheme="majorHAnsi" w:hAnsiTheme="majorHAnsi"/>
          <w:sz w:val="16"/>
          <w:szCs w:val="16"/>
        </w:rPr>
        <w:t xml:space="preserve">.  </w:t>
      </w:r>
      <w:proofErr w:type="gramStart"/>
      <w:r>
        <w:rPr>
          <w:rFonts w:asciiTheme="majorHAnsi" w:hAnsiTheme="majorHAnsi"/>
          <w:sz w:val="16"/>
          <w:szCs w:val="16"/>
        </w:rPr>
        <w:t>Resolution</w:t>
      </w:r>
      <w:r w:rsidRPr="00875A0D">
        <w:rPr>
          <w:rFonts w:asciiTheme="majorHAnsi" w:hAnsiTheme="majorHAnsi"/>
          <w:sz w:val="16"/>
          <w:szCs w:val="16"/>
        </w:rPr>
        <w:t xml:space="preserve">  001742</w:t>
      </w:r>
      <w:proofErr w:type="gramEnd"/>
      <w:r w:rsidRPr="00875A0D">
        <w:rPr>
          <w:rFonts w:asciiTheme="majorHAnsi" w:hAnsiTheme="majorHAnsi"/>
          <w:sz w:val="16"/>
          <w:szCs w:val="16"/>
        </w:rPr>
        <w:t xml:space="preserve"> </w:t>
      </w:r>
      <w:r>
        <w:rPr>
          <w:rFonts w:asciiTheme="majorHAnsi" w:hAnsiTheme="majorHAnsi"/>
          <w:sz w:val="16"/>
          <w:szCs w:val="16"/>
        </w:rPr>
        <w:t>of the Sectional Administrative and Financial Bureau of the Office of the Attorney General,</w:t>
      </w:r>
      <w:r w:rsidRPr="00875A0D">
        <w:rPr>
          <w:rFonts w:asciiTheme="majorHAnsi" w:hAnsiTheme="majorHAnsi"/>
          <w:sz w:val="16"/>
          <w:szCs w:val="16"/>
        </w:rPr>
        <w:t xml:space="preserve"> </w:t>
      </w:r>
      <w:r>
        <w:rPr>
          <w:rFonts w:asciiTheme="majorHAnsi" w:hAnsiTheme="majorHAnsi"/>
          <w:sz w:val="16"/>
          <w:szCs w:val="16"/>
        </w:rPr>
        <w:t xml:space="preserve">November </w:t>
      </w:r>
      <w:r w:rsidRPr="00875A0D">
        <w:rPr>
          <w:rFonts w:asciiTheme="majorHAnsi" w:hAnsiTheme="majorHAnsi"/>
          <w:sz w:val="16"/>
          <w:szCs w:val="16"/>
        </w:rPr>
        <w:t>25</w:t>
      </w:r>
      <w:r>
        <w:rPr>
          <w:rFonts w:asciiTheme="majorHAnsi" w:hAnsiTheme="majorHAnsi"/>
          <w:sz w:val="16"/>
          <w:szCs w:val="16"/>
        </w:rPr>
        <w:t>,</w:t>
      </w:r>
      <w:r w:rsidRPr="00875A0D">
        <w:rPr>
          <w:rFonts w:asciiTheme="majorHAnsi" w:hAnsiTheme="majorHAnsi"/>
          <w:sz w:val="16"/>
          <w:szCs w:val="16"/>
        </w:rPr>
        <w:t xml:space="preserve"> 1997</w:t>
      </w:r>
      <w:r>
        <w:rPr>
          <w:rFonts w:asciiTheme="majorHAnsi" w:hAnsiTheme="majorHAnsi"/>
          <w:sz w:val="16"/>
          <w:szCs w:val="16"/>
        </w:rPr>
        <w:t>. Annex to the initial petition</w:t>
      </w:r>
      <w:r w:rsidRPr="00875A0D">
        <w:rPr>
          <w:rFonts w:asciiTheme="majorHAnsi" w:hAnsiTheme="majorHAnsi"/>
          <w:sz w:val="16"/>
          <w:szCs w:val="16"/>
        </w:rPr>
        <w:t xml:space="preserve"> </w:t>
      </w:r>
      <w:r>
        <w:rPr>
          <w:rFonts w:asciiTheme="majorHAnsi" w:hAnsiTheme="majorHAnsi"/>
          <w:sz w:val="16"/>
          <w:szCs w:val="16"/>
        </w:rPr>
        <w:t xml:space="preserve">of December </w:t>
      </w:r>
      <w:r w:rsidRPr="00875A0D">
        <w:rPr>
          <w:rFonts w:asciiTheme="majorHAnsi" w:hAnsiTheme="majorHAnsi"/>
          <w:sz w:val="16"/>
          <w:szCs w:val="16"/>
        </w:rPr>
        <w:t>22</w:t>
      </w:r>
      <w:r>
        <w:rPr>
          <w:rFonts w:asciiTheme="majorHAnsi" w:hAnsiTheme="majorHAnsi"/>
          <w:sz w:val="16"/>
          <w:szCs w:val="16"/>
        </w:rPr>
        <w:t>,</w:t>
      </w:r>
      <w:r w:rsidRPr="00875A0D">
        <w:rPr>
          <w:rFonts w:asciiTheme="majorHAnsi" w:hAnsiTheme="majorHAnsi"/>
          <w:sz w:val="16"/>
          <w:szCs w:val="16"/>
        </w:rPr>
        <w:t xml:space="preserve"> 2005.</w:t>
      </w:r>
    </w:p>
  </w:footnote>
  <w:footnote w:id="9">
    <w:p w14:paraId="15B1458D" w14:textId="6E2CCE7A"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Annex</w:t>
      </w:r>
      <w:r w:rsidR="002F2DAC">
        <w:rPr>
          <w:rFonts w:asciiTheme="majorHAnsi" w:hAnsiTheme="majorHAnsi"/>
          <w:sz w:val="16"/>
          <w:szCs w:val="16"/>
        </w:rPr>
        <w:t xml:space="preserve"> 6</w:t>
      </w:r>
      <w:r w:rsidRPr="00875A0D">
        <w:rPr>
          <w:rFonts w:asciiTheme="majorHAnsi" w:hAnsiTheme="majorHAnsi"/>
          <w:sz w:val="16"/>
          <w:szCs w:val="16"/>
        </w:rPr>
        <w:t xml:space="preserve">. </w:t>
      </w:r>
      <w:r>
        <w:rPr>
          <w:rFonts w:asciiTheme="majorHAnsi" w:hAnsiTheme="majorHAnsi"/>
          <w:sz w:val="16"/>
          <w:szCs w:val="16"/>
        </w:rPr>
        <w:t>Resolution</w:t>
      </w:r>
      <w:r w:rsidRPr="00875A0D">
        <w:rPr>
          <w:rFonts w:asciiTheme="majorHAnsi" w:hAnsiTheme="majorHAnsi"/>
          <w:sz w:val="16"/>
          <w:szCs w:val="16"/>
        </w:rPr>
        <w:t xml:space="preserve"> 001048 </w:t>
      </w:r>
      <w:r>
        <w:rPr>
          <w:rFonts w:asciiTheme="majorHAnsi" w:hAnsiTheme="majorHAnsi"/>
          <w:sz w:val="16"/>
          <w:szCs w:val="16"/>
        </w:rPr>
        <w:t xml:space="preserve">of the Sectional Administrative and Financial Bureau of the Office of the Attorney General, August </w:t>
      </w:r>
      <w:r w:rsidRPr="00875A0D">
        <w:rPr>
          <w:rFonts w:asciiTheme="majorHAnsi" w:hAnsiTheme="majorHAnsi"/>
          <w:sz w:val="16"/>
          <w:szCs w:val="16"/>
        </w:rPr>
        <w:t>1999.</w:t>
      </w:r>
    </w:p>
  </w:footnote>
  <w:footnote w:id="10">
    <w:p w14:paraId="4CC5FFB3" w14:textId="591B3DE6"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7</w:t>
      </w:r>
      <w:r w:rsidRPr="00875A0D">
        <w:rPr>
          <w:rFonts w:asciiTheme="majorHAnsi" w:hAnsiTheme="majorHAnsi"/>
          <w:sz w:val="16"/>
          <w:szCs w:val="16"/>
        </w:rPr>
        <w:t xml:space="preserve">.  </w:t>
      </w:r>
      <w:proofErr w:type="gramStart"/>
      <w:r>
        <w:rPr>
          <w:rFonts w:asciiTheme="majorHAnsi" w:hAnsiTheme="majorHAnsi"/>
          <w:sz w:val="16"/>
          <w:szCs w:val="16"/>
        </w:rPr>
        <w:t>Resolution</w:t>
      </w:r>
      <w:r w:rsidRPr="00875A0D">
        <w:rPr>
          <w:rFonts w:asciiTheme="majorHAnsi" w:hAnsiTheme="majorHAnsi"/>
          <w:sz w:val="16"/>
          <w:szCs w:val="16"/>
        </w:rPr>
        <w:t xml:space="preserve">  0</w:t>
      </w:r>
      <w:proofErr w:type="gramEnd"/>
      <w:r w:rsidRPr="00875A0D">
        <w:rPr>
          <w:rFonts w:asciiTheme="majorHAnsi" w:hAnsiTheme="majorHAnsi"/>
          <w:sz w:val="16"/>
          <w:szCs w:val="16"/>
        </w:rPr>
        <w:t xml:space="preserve">-5213 </w:t>
      </w:r>
      <w:r>
        <w:rPr>
          <w:rFonts w:asciiTheme="majorHAnsi" w:hAnsiTheme="majorHAnsi"/>
          <w:sz w:val="16"/>
          <w:szCs w:val="16"/>
        </w:rPr>
        <w:t>of the Office of the Attorney General of the Nation, October 29, 2004</w:t>
      </w:r>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11">
    <w:p w14:paraId="62EF48D2" w14:textId="7E988E5F"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7</w:t>
      </w:r>
      <w:r w:rsidRPr="00875A0D">
        <w:rPr>
          <w:rFonts w:asciiTheme="majorHAnsi" w:hAnsiTheme="majorHAnsi"/>
          <w:sz w:val="16"/>
          <w:szCs w:val="16"/>
        </w:rPr>
        <w:t xml:space="preserve">.  </w:t>
      </w:r>
      <w:proofErr w:type="gramStart"/>
      <w:r>
        <w:rPr>
          <w:rFonts w:asciiTheme="majorHAnsi" w:hAnsiTheme="majorHAnsi"/>
          <w:sz w:val="16"/>
          <w:szCs w:val="16"/>
        </w:rPr>
        <w:t>Resolution</w:t>
      </w:r>
      <w:r w:rsidRPr="00875A0D">
        <w:rPr>
          <w:rFonts w:asciiTheme="majorHAnsi" w:hAnsiTheme="majorHAnsi"/>
          <w:sz w:val="16"/>
          <w:szCs w:val="16"/>
        </w:rPr>
        <w:t xml:space="preserve">  0</w:t>
      </w:r>
      <w:proofErr w:type="gramEnd"/>
      <w:r w:rsidRPr="00875A0D">
        <w:rPr>
          <w:rFonts w:asciiTheme="majorHAnsi" w:hAnsiTheme="majorHAnsi"/>
          <w:sz w:val="16"/>
          <w:szCs w:val="16"/>
        </w:rPr>
        <w:t xml:space="preserve">-5213 </w:t>
      </w:r>
      <w:r>
        <w:rPr>
          <w:rFonts w:asciiTheme="majorHAnsi" w:hAnsiTheme="majorHAnsi"/>
          <w:sz w:val="16"/>
          <w:szCs w:val="16"/>
        </w:rPr>
        <w:t>of the Office of the Attorney General of the Nation, October 29, 2004</w:t>
      </w:r>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12">
    <w:p w14:paraId="10C9957B" w14:textId="7498F4CB"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8</w:t>
      </w:r>
      <w:r w:rsidRPr="00875A0D">
        <w:rPr>
          <w:rFonts w:asciiTheme="majorHAnsi" w:hAnsiTheme="majorHAnsi"/>
          <w:sz w:val="16"/>
          <w:szCs w:val="16"/>
        </w:rPr>
        <w:t xml:space="preserve">.  </w:t>
      </w:r>
      <w:r>
        <w:rPr>
          <w:rFonts w:asciiTheme="majorHAnsi" w:hAnsiTheme="majorHAnsi"/>
          <w:sz w:val="16"/>
          <w:szCs w:val="16"/>
        </w:rPr>
        <w:t>Resolution</w:t>
      </w:r>
      <w:r w:rsidRPr="00875A0D">
        <w:rPr>
          <w:rFonts w:asciiTheme="majorHAnsi" w:hAnsiTheme="majorHAnsi"/>
          <w:sz w:val="16"/>
          <w:szCs w:val="16"/>
        </w:rPr>
        <w:t xml:space="preserve"> 2215 </w:t>
      </w:r>
      <w:r>
        <w:rPr>
          <w:rFonts w:asciiTheme="majorHAnsi" w:hAnsiTheme="majorHAnsi"/>
          <w:sz w:val="16"/>
          <w:szCs w:val="16"/>
        </w:rPr>
        <w:t>of the Office of the Attorney General of the Nation, October 29, 2004</w:t>
      </w:r>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13">
    <w:p w14:paraId="20784675" w14:textId="7DA42F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9</w:t>
      </w:r>
      <w:r w:rsidRPr="00875A0D">
        <w:rPr>
          <w:rFonts w:asciiTheme="majorHAnsi" w:hAnsiTheme="majorHAnsi"/>
          <w:sz w:val="16"/>
          <w:szCs w:val="16"/>
        </w:rPr>
        <w:t xml:space="preserve">. </w:t>
      </w:r>
      <w:proofErr w:type="gramStart"/>
      <w:r w:rsidRPr="00875A0D">
        <w:rPr>
          <w:rFonts w:asciiTheme="majorHAnsi" w:hAnsiTheme="majorHAnsi"/>
          <w:sz w:val="16"/>
          <w:szCs w:val="16"/>
        </w:rPr>
        <w:t>Decisi</w:t>
      </w:r>
      <w:r>
        <w:rPr>
          <w:rFonts w:asciiTheme="majorHAnsi" w:hAnsiTheme="majorHAnsi"/>
          <w:sz w:val="16"/>
          <w:szCs w:val="16"/>
        </w:rPr>
        <w:t>o</w:t>
      </w:r>
      <w:r w:rsidRPr="00875A0D">
        <w:rPr>
          <w:rFonts w:asciiTheme="majorHAnsi" w:hAnsiTheme="majorHAnsi"/>
          <w:sz w:val="16"/>
          <w:szCs w:val="16"/>
        </w:rPr>
        <w:t xml:space="preserve">n </w:t>
      </w:r>
      <w:r>
        <w:rPr>
          <w:rFonts w:asciiTheme="majorHAnsi" w:hAnsiTheme="majorHAnsi"/>
          <w:sz w:val="16"/>
          <w:szCs w:val="16"/>
        </w:rPr>
        <w:t xml:space="preserve">of the Superior Court of the Judicial District of </w:t>
      </w:r>
      <w:r w:rsidRPr="00875A0D">
        <w:rPr>
          <w:rFonts w:asciiTheme="majorHAnsi" w:hAnsiTheme="majorHAnsi"/>
          <w:sz w:val="16"/>
          <w:szCs w:val="16"/>
        </w:rPr>
        <w:t>Cartagena</w:t>
      </w:r>
      <w:r>
        <w:rPr>
          <w:rFonts w:asciiTheme="majorHAnsi" w:hAnsiTheme="majorHAnsi"/>
          <w:sz w:val="16"/>
          <w:szCs w:val="16"/>
        </w:rPr>
        <w:t>, February</w:t>
      </w:r>
      <w:r w:rsidRPr="00875A0D">
        <w:rPr>
          <w:rFonts w:asciiTheme="majorHAnsi" w:hAnsiTheme="majorHAnsi"/>
          <w:sz w:val="16"/>
          <w:szCs w:val="16"/>
        </w:rPr>
        <w:t xml:space="preserve"> 25</w:t>
      </w:r>
      <w:r>
        <w:rPr>
          <w:rFonts w:asciiTheme="majorHAnsi" w:hAnsiTheme="majorHAnsi"/>
          <w:sz w:val="16"/>
          <w:szCs w:val="16"/>
        </w:rPr>
        <w:t>,</w:t>
      </w:r>
      <w:r w:rsidRPr="00875A0D">
        <w:rPr>
          <w:rFonts w:asciiTheme="majorHAnsi" w:hAnsiTheme="majorHAnsi"/>
          <w:sz w:val="16"/>
          <w:szCs w:val="16"/>
        </w:rPr>
        <w:t xml:space="preserve"> 2005</w:t>
      </w:r>
      <w:r>
        <w:rPr>
          <w:rFonts w:asciiTheme="majorHAnsi" w:hAnsiTheme="majorHAnsi"/>
          <w:sz w:val="16"/>
          <w:szCs w:val="16"/>
        </w:rPr>
        <w:t xml:space="preserve">, denying the </w:t>
      </w:r>
      <w:proofErr w:type="spellStart"/>
      <w:r w:rsidRPr="00D0718A">
        <w:rPr>
          <w:rFonts w:asciiTheme="majorHAnsi" w:hAnsiTheme="majorHAnsi"/>
          <w:i/>
          <w:iCs/>
          <w:sz w:val="16"/>
          <w:szCs w:val="16"/>
        </w:rPr>
        <w:t>tutela</w:t>
      </w:r>
      <w:proofErr w:type="spellEnd"/>
      <w:r w:rsidRPr="00875A0D">
        <w:rPr>
          <w:rFonts w:asciiTheme="majorHAnsi" w:hAnsiTheme="majorHAnsi"/>
          <w:sz w:val="16"/>
          <w:szCs w:val="16"/>
        </w:rPr>
        <w:t xml:space="preserve"> </w:t>
      </w:r>
      <w:r>
        <w:rPr>
          <w:rFonts w:asciiTheme="majorHAnsi" w:hAnsiTheme="majorHAnsi"/>
          <w:sz w:val="16"/>
          <w:szCs w:val="16"/>
        </w:rPr>
        <w:t>action brought by the alleged victim.</w:t>
      </w:r>
      <w:proofErr w:type="gramEnd"/>
      <w:r>
        <w:rPr>
          <w:rFonts w:asciiTheme="majorHAnsi" w:hAnsiTheme="majorHAnsi"/>
          <w:sz w:val="16"/>
          <w:szCs w:val="16"/>
        </w:rPr>
        <w:t xml:space="preserve"> Annex to the initial petition of December 22, 2005.</w:t>
      </w:r>
    </w:p>
  </w:footnote>
  <w:footnote w:id="14">
    <w:p w14:paraId="4133C7E0" w14:textId="16C4832F"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9</w:t>
      </w:r>
      <w:r w:rsidRPr="00875A0D">
        <w:rPr>
          <w:rFonts w:asciiTheme="majorHAnsi" w:hAnsiTheme="majorHAnsi"/>
          <w:sz w:val="16"/>
          <w:szCs w:val="16"/>
        </w:rPr>
        <w:t xml:space="preserve">. </w:t>
      </w:r>
      <w:proofErr w:type="gramStart"/>
      <w:r w:rsidRPr="00875A0D">
        <w:rPr>
          <w:rFonts w:asciiTheme="majorHAnsi" w:hAnsiTheme="majorHAnsi"/>
          <w:sz w:val="16"/>
          <w:szCs w:val="16"/>
        </w:rPr>
        <w:t>Decisi</w:t>
      </w:r>
      <w:r>
        <w:rPr>
          <w:rFonts w:asciiTheme="majorHAnsi" w:hAnsiTheme="majorHAnsi"/>
          <w:sz w:val="16"/>
          <w:szCs w:val="16"/>
        </w:rPr>
        <w:t>o</w:t>
      </w:r>
      <w:r w:rsidRPr="00875A0D">
        <w:rPr>
          <w:rFonts w:asciiTheme="majorHAnsi" w:hAnsiTheme="majorHAnsi"/>
          <w:sz w:val="16"/>
          <w:szCs w:val="16"/>
        </w:rPr>
        <w:t xml:space="preserve">n </w:t>
      </w:r>
      <w:r>
        <w:rPr>
          <w:rFonts w:asciiTheme="majorHAnsi" w:hAnsiTheme="majorHAnsi"/>
          <w:sz w:val="16"/>
          <w:szCs w:val="16"/>
        </w:rPr>
        <w:t xml:space="preserve">of the Superior Court of the Judicial District of </w:t>
      </w:r>
      <w:r w:rsidRPr="00875A0D">
        <w:rPr>
          <w:rFonts w:asciiTheme="majorHAnsi" w:hAnsiTheme="majorHAnsi"/>
          <w:sz w:val="16"/>
          <w:szCs w:val="16"/>
        </w:rPr>
        <w:t>Cartagena</w:t>
      </w:r>
      <w:r>
        <w:rPr>
          <w:rFonts w:asciiTheme="majorHAnsi" w:hAnsiTheme="majorHAnsi"/>
          <w:sz w:val="16"/>
          <w:szCs w:val="16"/>
        </w:rPr>
        <w:t>, February</w:t>
      </w:r>
      <w:r w:rsidRPr="00875A0D">
        <w:rPr>
          <w:rFonts w:asciiTheme="majorHAnsi" w:hAnsiTheme="majorHAnsi"/>
          <w:sz w:val="16"/>
          <w:szCs w:val="16"/>
        </w:rPr>
        <w:t xml:space="preserve"> 25</w:t>
      </w:r>
      <w:r>
        <w:rPr>
          <w:rFonts w:asciiTheme="majorHAnsi" w:hAnsiTheme="majorHAnsi"/>
          <w:sz w:val="16"/>
          <w:szCs w:val="16"/>
        </w:rPr>
        <w:t>,</w:t>
      </w:r>
      <w:r w:rsidRPr="00875A0D">
        <w:rPr>
          <w:rFonts w:asciiTheme="majorHAnsi" w:hAnsiTheme="majorHAnsi"/>
          <w:sz w:val="16"/>
          <w:szCs w:val="16"/>
        </w:rPr>
        <w:t xml:space="preserve"> 2005</w:t>
      </w:r>
      <w:r>
        <w:rPr>
          <w:rFonts w:asciiTheme="majorHAnsi" w:hAnsiTheme="majorHAnsi"/>
          <w:sz w:val="16"/>
          <w:szCs w:val="16"/>
        </w:rPr>
        <w:t xml:space="preserve">, denying the </w:t>
      </w:r>
      <w:proofErr w:type="spellStart"/>
      <w:r w:rsidRPr="00D0718A">
        <w:rPr>
          <w:rFonts w:asciiTheme="majorHAnsi" w:hAnsiTheme="majorHAnsi"/>
          <w:i/>
          <w:iCs/>
          <w:sz w:val="16"/>
          <w:szCs w:val="16"/>
        </w:rPr>
        <w:t>tutela</w:t>
      </w:r>
      <w:proofErr w:type="spellEnd"/>
      <w:r w:rsidRPr="00875A0D">
        <w:rPr>
          <w:rFonts w:asciiTheme="majorHAnsi" w:hAnsiTheme="majorHAnsi"/>
          <w:sz w:val="16"/>
          <w:szCs w:val="16"/>
        </w:rPr>
        <w:t xml:space="preserve"> </w:t>
      </w:r>
      <w:r>
        <w:rPr>
          <w:rFonts w:asciiTheme="majorHAnsi" w:hAnsiTheme="majorHAnsi"/>
          <w:sz w:val="16"/>
          <w:szCs w:val="16"/>
        </w:rPr>
        <w:t>action brought by the alleged victim.</w:t>
      </w:r>
      <w:proofErr w:type="gramEnd"/>
      <w:r>
        <w:rPr>
          <w:rFonts w:asciiTheme="majorHAnsi" w:hAnsiTheme="majorHAnsi"/>
          <w:sz w:val="16"/>
          <w:szCs w:val="16"/>
        </w:rPr>
        <w:t xml:space="preserve"> Annex to the initial petition of December 22, 2005.</w:t>
      </w:r>
    </w:p>
  </w:footnote>
  <w:footnote w:id="15">
    <w:p w14:paraId="7A87C040" w14:textId="0734A17F"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10</w:t>
      </w:r>
      <w:r w:rsidRPr="00875A0D">
        <w:rPr>
          <w:rFonts w:asciiTheme="majorHAnsi" w:hAnsiTheme="majorHAnsi"/>
          <w:sz w:val="16"/>
          <w:szCs w:val="16"/>
        </w:rPr>
        <w:t xml:space="preserve">. </w:t>
      </w:r>
      <w:proofErr w:type="gramStart"/>
      <w:r>
        <w:rPr>
          <w:rFonts w:asciiTheme="majorHAnsi" w:hAnsiTheme="majorHAnsi"/>
          <w:sz w:val="16"/>
          <w:szCs w:val="16"/>
        </w:rPr>
        <w:t xml:space="preserve">Decision of the Sectional Judicial Council of </w:t>
      </w:r>
      <w:r w:rsidRPr="00875A0D">
        <w:rPr>
          <w:rFonts w:asciiTheme="majorHAnsi" w:hAnsiTheme="majorHAnsi"/>
          <w:sz w:val="16"/>
          <w:szCs w:val="16"/>
        </w:rPr>
        <w:t>Bolívar</w:t>
      </w:r>
      <w:r>
        <w:rPr>
          <w:rFonts w:asciiTheme="majorHAnsi" w:hAnsiTheme="majorHAnsi"/>
          <w:sz w:val="16"/>
          <w:szCs w:val="16"/>
        </w:rPr>
        <w:t>, July</w:t>
      </w:r>
      <w:r w:rsidRPr="00875A0D">
        <w:rPr>
          <w:rFonts w:asciiTheme="majorHAnsi" w:hAnsiTheme="majorHAnsi"/>
          <w:sz w:val="16"/>
          <w:szCs w:val="16"/>
        </w:rPr>
        <w:t xml:space="preserve"> 26</w:t>
      </w:r>
      <w:r>
        <w:rPr>
          <w:rFonts w:asciiTheme="majorHAnsi" w:hAnsiTheme="majorHAnsi"/>
          <w:sz w:val="16"/>
          <w:szCs w:val="16"/>
        </w:rPr>
        <w:t>,</w:t>
      </w:r>
      <w:r w:rsidRPr="00875A0D">
        <w:rPr>
          <w:rFonts w:asciiTheme="majorHAnsi" w:hAnsiTheme="majorHAnsi"/>
          <w:sz w:val="16"/>
          <w:szCs w:val="16"/>
        </w:rPr>
        <w:t xml:space="preserve"> 2005</w:t>
      </w:r>
      <w:r>
        <w:rPr>
          <w:rFonts w:asciiTheme="majorHAnsi" w:hAnsiTheme="majorHAnsi"/>
          <w:sz w:val="16"/>
          <w:szCs w:val="16"/>
        </w:rPr>
        <w:t xml:space="preserve">, granting the </w:t>
      </w:r>
      <w:proofErr w:type="spellStart"/>
      <w:r w:rsidRPr="00D0718A">
        <w:rPr>
          <w:rFonts w:asciiTheme="majorHAnsi" w:hAnsiTheme="majorHAnsi"/>
          <w:i/>
          <w:iCs/>
          <w:sz w:val="16"/>
          <w:szCs w:val="16"/>
        </w:rPr>
        <w:t>tutela</w:t>
      </w:r>
      <w:proofErr w:type="spellEnd"/>
      <w:r w:rsidRPr="00875A0D">
        <w:rPr>
          <w:rFonts w:asciiTheme="majorHAnsi" w:hAnsiTheme="majorHAnsi"/>
          <w:sz w:val="16"/>
          <w:szCs w:val="16"/>
        </w:rPr>
        <w:t xml:space="preserve"> </w:t>
      </w:r>
      <w:r>
        <w:rPr>
          <w:rFonts w:asciiTheme="majorHAnsi" w:hAnsiTheme="majorHAnsi"/>
          <w:sz w:val="16"/>
          <w:szCs w:val="16"/>
        </w:rPr>
        <w:t>action filed by the alleged victim.</w:t>
      </w:r>
      <w:proofErr w:type="gramEnd"/>
      <w:r>
        <w:rPr>
          <w:rFonts w:asciiTheme="majorHAnsi" w:hAnsiTheme="majorHAnsi"/>
          <w:sz w:val="16"/>
          <w:szCs w:val="16"/>
        </w:rPr>
        <w:t xml:space="preserve"> Annex to the initial petition of December 22, 2005.</w:t>
      </w:r>
    </w:p>
  </w:footnote>
  <w:footnote w:id="16">
    <w:p w14:paraId="44E75C53" w14:textId="347BFF26"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10</w:t>
      </w:r>
      <w:r w:rsidRPr="00875A0D">
        <w:rPr>
          <w:rFonts w:asciiTheme="majorHAnsi" w:hAnsiTheme="majorHAnsi"/>
          <w:sz w:val="16"/>
          <w:szCs w:val="16"/>
        </w:rPr>
        <w:t xml:space="preserve">. </w:t>
      </w:r>
      <w:proofErr w:type="gramStart"/>
      <w:r>
        <w:rPr>
          <w:rFonts w:asciiTheme="majorHAnsi" w:hAnsiTheme="majorHAnsi"/>
          <w:sz w:val="16"/>
          <w:szCs w:val="16"/>
        </w:rPr>
        <w:t xml:space="preserve">Decision of the Sectional Judicial Council of </w:t>
      </w:r>
      <w:r w:rsidRPr="00875A0D">
        <w:rPr>
          <w:rFonts w:asciiTheme="majorHAnsi" w:hAnsiTheme="majorHAnsi"/>
          <w:sz w:val="16"/>
          <w:szCs w:val="16"/>
        </w:rPr>
        <w:t>Bolívar</w:t>
      </w:r>
      <w:r>
        <w:rPr>
          <w:rFonts w:asciiTheme="majorHAnsi" w:hAnsiTheme="majorHAnsi"/>
          <w:sz w:val="16"/>
          <w:szCs w:val="16"/>
        </w:rPr>
        <w:t>, July</w:t>
      </w:r>
      <w:r w:rsidRPr="00875A0D">
        <w:rPr>
          <w:rFonts w:asciiTheme="majorHAnsi" w:hAnsiTheme="majorHAnsi"/>
          <w:sz w:val="16"/>
          <w:szCs w:val="16"/>
        </w:rPr>
        <w:t xml:space="preserve"> 26</w:t>
      </w:r>
      <w:r>
        <w:rPr>
          <w:rFonts w:asciiTheme="majorHAnsi" w:hAnsiTheme="majorHAnsi"/>
          <w:sz w:val="16"/>
          <w:szCs w:val="16"/>
        </w:rPr>
        <w:t>,</w:t>
      </w:r>
      <w:r w:rsidRPr="00875A0D">
        <w:rPr>
          <w:rFonts w:asciiTheme="majorHAnsi" w:hAnsiTheme="majorHAnsi"/>
          <w:sz w:val="16"/>
          <w:szCs w:val="16"/>
        </w:rPr>
        <w:t xml:space="preserve"> 2005</w:t>
      </w:r>
      <w:r>
        <w:rPr>
          <w:rFonts w:asciiTheme="majorHAnsi" w:hAnsiTheme="majorHAnsi"/>
          <w:sz w:val="16"/>
          <w:szCs w:val="16"/>
        </w:rPr>
        <w:t xml:space="preserve">, granting the </w:t>
      </w:r>
      <w:proofErr w:type="spellStart"/>
      <w:r w:rsidRPr="00D0718A">
        <w:rPr>
          <w:rFonts w:asciiTheme="majorHAnsi" w:hAnsiTheme="majorHAnsi"/>
          <w:i/>
          <w:iCs/>
          <w:sz w:val="16"/>
          <w:szCs w:val="16"/>
        </w:rPr>
        <w:t>tutela</w:t>
      </w:r>
      <w:proofErr w:type="spellEnd"/>
      <w:r w:rsidRPr="00875A0D">
        <w:rPr>
          <w:rFonts w:asciiTheme="majorHAnsi" w:hAnsiTheme="majorHAnsi"/>
          <w:sz w:val="16"/>
          <w:szCs w:val="16"/>
        </w:rPr>
        <w:t xml:space="preserve"> </w:t>
      </w:r>
      <w:r>
        <w:rPr>
          <w:rFonts w:asciiTheme="majorHAnsi" w:hAnsiTheme="majorHAnsi"/>
          <w:sz w:val="16"/>
          <w:szCs w:val="16"/>
        </w:rPr>
        <w:t>action filed by the alleged victim.</w:t>
      </w:r>
      <w:proofErr w:type="gramEnd"/>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17">
    <w:p w14:paraId="7ACDA667" w14:textId="6182C56B" w:rsidR="00D02D3C" w:rsidRPr="00875A0D" w:rsidRDefault="00D02D3C" w:rsidP="00D02D3C">
      <w:pPr>
        <w:pStyle w:val="FootnoteText"/>
        <w:rPr>
          <w:rFonts w:asciiTheme="majorHAnsi" w:hAnsiTheme="majorHAnsi"/>
          <w:sz w:val="16"/>
          <w:szCs w:val="16"/>
          <w:highlight w:val="yellow"/>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11</w:t>
      </w:r>
      <w:r w:rsidRPr="00875A0D">
        <w:rPr>
          <w:rFonts w:asciiTheme="majorHAnsi" w:hAnsiTheme="majorHAnsi"/>
          <w:sz w:val="16"/>
          <w:szCs w:val="16"/>
        </w:rPr>
        <w:t xml:space="preserve">. </w:t>
      </w:r>
      <w:proofErr w:type="gramStart"/>
      <w:r w:rsidRPr="00875A0D">
        <w:rPr>
          <w:rFonts w:asciiTheme="majorHAnsi" w:hAnsiTheme="majorHAnsi"/>
          <w:sz w:val="16"/>
          <w:szCs w:val="16"/>
        </w:rPr>
        <w:t>Decisi</w:t>
      </w:r>
      <w:r>
        <w:rPr>
          <w:rFonts w:asciiTheme="majorHAnsi" w:hAnsiTheme="majorHAnsi"/>
          <w:sz w:val="16"/>
          <w:szCs w:val="16"/>
        </w:rPr>
        <w:t>o</w:t>
      </w:r>
      <w:r w:rsidRPr="00875A0D">
        <w:rPr>
          <w:rFonts w:asciiTheme="majorHAnsi" w:hAnsiTheme="majorHAnsi"/>
          <w:sz w:val="16"/>
          <w:szCs w:val="16"/>
        </w:rPr>
        <w:t xml:space="preserve">n </w:t>
      </w:r>
      <w:r>
        <w:rPr>
          <w:rFonts w:asciiTheme="majorHAnsi" w:hAnsiTheme="majorHAnsi"/>
          <w:sz w:val="16"/>
          <w:szCs w:val="16"/>
        </w:rPr>
        <w:t xml:space="preserve">of the Superior Judicial Council, September 7, </w:t>
      </w:r>
      <w:r w:rsidRPr="00875A0D">
        <w:rPr>
          <w:rFonts w:asciiTheme="majorHAnsi" w:hAnsiTheme="majorHAnsi"/>
          <w:sz w:val="16"/>
          <w:szCs w:val="16"/>
        </w:rPr>
        <w:t>2005</w:t>
      </w:r>
      <w:r>
        <w:rPr>
          <w:rFonts w:asciiTheme="majorHAnsi" w:hAnsiTheme="majorHAnsi"/>
          <w:sz w:val="16"/>
          <w:szCs w:val="16"/>
        </w:rPr>
        <w:t xml:space="preserve">, revoking the </w:t>
      </w:r>
      <w:proofErr w:type="spellStart"/>
      <w:r w:rsidRPr="00D0718A">
        <w:rPr>
          <w:rFonts w:asciiTheme="majorHAnsi" w:hAnsiTheme="majorHAnsi"/>
          <w:i/>
          <w:iCs/>
          <w:sz w:val="16"/>
          <w:szCs w:val="16"/>
        </w:rPr>
        <w:t>tutela</w:t>
      </w:r>
      <w:proofErr w:type="spellEnd"/>
      <w:r>
        <w:rPr>
          <w:rFonts w:asciiTheme="majorHAnsi" w:hAnsiTheme="majorHAnsi"/>
          <w:sz w:val="16"/>
          <w:szCs w:val="16"/>
        </w:rPr>
        <w:t xml:space="preserve"> action</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Pr>
          <w:rFonts w:asciiTheme="majorHAnsi" w:hAnsiTheme="majorHAnsi"/>
          <w:sz w:val="16"/>
          <w:szCs w:val="16"/>
        </w:rPr>
        <w:t>Annex to the initial petition of December 22, 2005.</w:t>
      </w:r>
    </w:p>
  </w:footnote>
  <w:footnote w:id="18">
    <w:p w14:paraId="3E75BDD8" w14:textId="25BF3555" w:rsidR="00D02D3C" w:rsidRPr="00875A0D" w:rsidRDefault="00D02D3C" w:rsidP="00D02D3C">
      <w:pPr>
        <w:pStyle w:val="FootnoteText"/>
        <w:rPr>
          <w:rFonts w:asciiTheme="majorHAnsi" w:hAnsiTheme="majorHAnsi"/>
          <w:sz w:val="16"/>
          <w:szCs w:val="16"/>
          <w:highlight w:val="yellow"/>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12</w:t>
      </w:r>
      <w:r w:rsidRPr="00875A0D">
        <w:rPr>
          <w:rFonts w:asciiTheme="majorHAnsi" w:hAnsiTheme="majorHAnsi"/>
          <w:sz w:val="16"/>
          <w:szCs w:val="16"/>
        </w:rPr>
        <w:t xml:space="preserve">. </w:t>
      </w:r>
      <w:proofErr w:type="gramStart"/>
      <w:r>
        <w:rPr>
          <w:rFonts w:asciiTheme="majorHAnsi" w:hAnsiTheme="majorHAnsi"/>
          <w:sz w:val="16"/>
          <w:szCs w:val="16"/>
        </w:rPr>
        <w:t xml:space="preserve">Dissenting vote of Judge </w:t>
      </w:r>
      <w:r w:rsidRPr="00875A0D">
        <w:rPr>
          <w:rFonts w:asciiTheme="majorHAnsi" w:hAnsiTheme="majorHAnsi"/>
          <w:sz w:val="16"/>
          <w:szCs w:val="16"/>
        </w:rPr>
        <w:t xml:space="preserve">Jorge Alonso </w:t>
      </w:r>
      <w:proofErr w:type="spellStart"/>
      <w:r w:rsidRPr="00875A0D">
        <w:rPr>
          <w:rFonts w:asciiTheme="majorHAnsi" w:hAnsiTheme="majorHAnsi"/>
          <w:sz w:val="16"/>
          <w:szCs w:val="16"/>
        </w:rPr>
        <w:t>Flechas</w:t>
      </w:r>
      <w:proofErr w:type="spellEnd"/>
      <w:r w:rsidRPr="00875A0D">
        <w:rPr>
          <w:rFonts w:asciiTheme="majorHAnsi" w:hAnsiTheme="majorHAnsi"/>
          <w:sz w:val="16"/>
          <w:szCs w:val="16"/>
        </w:rPr>
        <w:t xml:space="preserve"> </w:t>
      </w:r>
      <w:proofErr w:type="spellStart"/>
      <w:r w:rsidRPr="00875A0D">
        <w:rPr>
          <w:rFonts w:asciiTheme="majorHAnsi" w:hAnsiTheme="majorHAnsi"/>
          <w:sz w:val="16"/>
          <w:szCs w:val="16"/>
        </w:rPr>
        <w:t>Díaz</w:t>
      </w:r>
      <w:proofErr w:type="spellEnd"/>
      <w:r>
        <w:rPr>
          <w:rFonts w:asciiTheme="majorHAnsi" w:hAnsiTheme="majorHAnsi"/>
          <w:sz w:val="16"/>
          <w:szCs w:val="16"/>
        </w:rPr>
        <w:t xml:space="preserve">, in relation to the decision of the Superior Judicial Council of September 7, </w:t>
      </w:r>
      <w:r w:rsidRPr="00875A0D">
        <w:rPr>
          <w:rFonts w:asciiTheme="majorHAnsi" w:hAnsiTheme="majorHAnsi"/>
          <w:sz w:val="16"/>
          <w:szCs w:val="16"/>
        </w:rPr>
        <w:t>2005</w:t>
      </w:r>
      <w:r>
        <w:rPr>
          <w:rFonts w:asciiTheme="majorHAnsi" w:hAnsiTheme="majorHAnsi"/>
          <w:sz w:val="16"/>
          <w:szCs w:val="16"/>
        </w:rPr>
        <w:t xml:space="preserve">, revoking the </w:t>
      </w:r>
      <w:proofErr w:type="spellStart"/>
      <w:r w:rsidRPr="00D0718A">
        <w:rPr>
          <w:rFonts w:asciiTheme="majorHAnsi" w:hAnsiTheme="majorHAnsi"/>
          <w:i/>
          <w:iCs/>
          <w:sz w:val="16"/>
          <w:szCs w:val="16"/>
        </w:rPr>
        <w:t>tutela</w:t>
      </w:r>
      <w:proofErr w:type="spellEnd"/>
      <w:r>
        <w:rPr>
          <w:rFonts w:asciiTheme="majorHAnsi" w:hAnsiTheme="majorHAnsi"/>
          <w:sz w:val="16"/>
          <w:szCs w:val="16"/>
        </w:rPr>
        <w:t xml:space="preserve"> action</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Pr>
          <w:rFonts w:asciiTheme="majorHAnsi" w:hAnsiTheme="majorHAnsi"/>
          <w:sz w:val="16"/>
          <w:szCs w:val="16"/>
        </w:rPr>
        <w:t>Annex to the communication from the petitioner, September 30, 2009.</w:t>
      </w:r>
    </w:p>
  </w:footnote>
  <w:footnote w:id="19">
    <w:p w14:paraId="4600EE32" w14:textId="0D8D932B" w:rsidR="00D02D3C" w:rsidRPr="00875A0D" w:rsidRDefault="00D02D3C" w:rsidP="00D02D3C">
      <w:pPr>
        <w:pStyle w:val="FootnoteText"/>
        <w:rPr>
          <w:rFonts w:asciiTheme="majorHAnsi" w:hAnsiTheme="majorHAnsi"/>
          <w:sz w:val="16"/>
          <w:szCs w:val="16"/>
          <w:highlight w:val="yellow"/>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A</w:t>
      </w:r>
      <w:r w:rsidR="002F2DAC">
        <w:rPr>
          <w:rFonts w:asciiTheme="majorHAnsi" w:hAnsiTheme="majorHAnsi"/>
          <w:sz w:val="16"/>
          <w:szCs w:val="16"/>
        </w:rPr>
        <w:t>nnex 12</w:t>
      </w:r>
      <w:r w:rsidRPr="00875A0D">
        <w:rPr>
          <w:rFonts w:asciiTheme="majorHAnsi" w:hAnsiTheme="majorHAnsi"/>
          <w:sz w:val="16"/>
          <w:szCs w:val="16"/>
        </w:rPr>
        <w:t xml:space="preserve">. </w:t>
      </w:r>
      <w:proofErr w:type="gramStart"/>
      <w:r>
        <w:rPr>
          <w:rFonts w:asciiTheme="majorHAnsi" w:hAnsiTheme="majorHAnsi"/>
          <w:sz w:val="16"/>
          <w:szCs w:val="16"/>
        </w:rPr>
        <w:t xml:space="preserve">Dissenting vote of Judge </w:t>
      </w:r>
      <w:r w:rsidRPr="00875A0D">
        <w:rPr>
          <w:rFonts w:asciiTheme="majorHAnsi" w:hAnsiTheme="majorHAnsi"/>
          <w:sz w:val="16"/>
          <w:szCs w:val="16"/>
        </w:rPr>
        <w:t xml:space="preserve">Ruben Darío </w:t>
      </w:r>
      <w:proofErr w:type="spellStart"/>
      <w:r w:rsidRPr="00875A0D">
        <w:rPr>
          <w:rFonts w:asciiTheme="majorHAnsi" w:hAnsiTheme="majorHAnsi"/>
          <w:sz w:val="16"/>
          <w:szCs w:val="16"/>
        </w:rPr>
        <w:t>Henao</w:t>
      </w:r>
      <w:proofErr w:type="spellEnd"/>
      <w:r w:rsidRPr="00875A0D">
        <w:rPr>
          <w:rFonts w:asciiTheme="majorHAnsi" w:hAnsiTheme="majorHAnsi"/>
          <w:sz w:val="16"/>
          <w:szCs w:val="16"/>
        </w:rPr>
        <w:t xml:space="preserve"> Orozco</w:t>
      </w:r>
      <w:r>
        <w:rPr>
          <w:rFonts w:asciiTheme="majorHAnsi" w:hAnsiTheme="majorHAnsi"/>
          <w:sz w:val="16"/>
          <w:szCs w:val="16"/>
        </w:rPr>
        <w:t xml:space="preserve">, in relation to the decision of the Superior Judicial Council of September 7, </w:t>
      </w:r>
      <w:r w:rsidRPr="00875A0D">
        <w:rPr>
          <w:rFonts w:asciiTheme="majorHAnsi" w:hAnsiTheme="majorHAnsi"/>
          <w:sz w:val="16"/>
          <w:szCs w:val="16"/>
        </w:rPr>
        <w:t>2005</w:t>
      </w:r>
      <w:r>
        <w:rPr>
          <w:rFonts w:asciiTheme="majorHAnsi" w:hAnsiTheme="majorHAnsi"/>
          <w:sz w:val="16"/>
          <w:szCs w:val="16"/>
        </w:rPr>
        <w:t xml:space="preserve">, revoking the </w:t>
      </w:r>
      <w:proofErr w:type="spellStart"/>
      <w:r w:rsidRPr="00D0718A">
        <w:rPr>
          <w:rFonts w:asciiTheme="majorHAnsi" w:hAnsiTheme="majorHAnsi"/>
          <w:i/>
          <w:iCs/>
          <w:sz w:val="16"/>
          <w:szCs w:val="16"/>
        </w:rPr>
        <w:t>tutela</w:t>
      </w:r>
      <w:proofErr w:type="spellEnd"/>
      <w:r>
        <w:rPr>
          <w:rFonts w:asciiTheme="majorHAnsi" w:hAnsiTheme="majorHAnsi"/>
          <w:sz w:val="16"/>
          <w:szCs w:val="16"/>
        </w:rPr>
        <w:t xml:space="preserve"> action</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Pr>
          <w:rFonts w:asciiTheme="majorHAnsi" w:hAnsiTheme="majorHAnsi"/>
          <w:sz w:val="16"/>
          <w:szCs w:val="16"/>
        </w:rPr>
        <w:t>Annex to the communication from the petitioner, September 30, 2009.</w:t>
      </w:r>
    </w:p>
  </w:footnote>
  <w:footnote w:id="20">
    <w:p w14:paraId="2CBECF21" w14:textId="0E5CCE50"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sidR="002F2DAC">
        <w:rPr>
          <w:rFonts w:asciiTheme="majorHAnsi" w:hAnsiTheme="majorHAnsi"/>
          <w:sz w:val="16"/>
          <w:szCs w:val="16"/>
        </w:rPr>
        <w:t>Annex 13</w:t>
      </w:r>
      <w:r w:rsidRPr="00875A0D">
        <w:rPr>
          <w:rFonts w:asciiTheme="majorHAnsi" w:hAnsiTheme="majorHAnsi"/>
          <w:sz w:val="16"/>
          <w:szCs w:val="16"/>
        </w:rPr>
        <w:t xml:space="preserve">. </w:t>
      </w:r>
      <w:proofErr w:type="gramStart"/>
      <w:r w:rsidRPr="00875A0D">
        <w:rPr>
          <w:rFonts w:asciiTheme="majorHAnsi" w:hAnsiTheme="majorHAnsi"/>
          <w:sz w:val="16"/>
          <w:szCs w:val="16"/>
        </w:rPr>
        <w:t>Decisi</w:t>
      </w:r>
      <w:r>
        <w:rPr>
          <w:rFonts w:asciiTheme="majorHAnsi" w:hAnsiTheme="majorHAnsi"/>
          <w:sz w:val="16"/>
          <w:szCs w:val="16"/>
        </w:rPr>
        <w:t>o</w:t>
      </w:r>
      <w:r w:rsidRPr="00875A0D">
        <w:rPr>
          <w:rFonts w:asciiTheme="majorHAnsi" w:hAnsiTheme="majorHAnsi"/>
          <w:sz w:val="16"/>
          <w:szCs w:val="16"/>
        </w:rPr>
        <w:t xml:space="preserve">n </w:t>
      </w:r>
      <w:r>
        <w:rPr>
          <w:rFonts w:asciiTheme="majorHAnsi" w:hAnsiTheme="majorHAnsi"/>
          <w:sz w:val="16"/>
          <w:szCs w:val="16"/>
        </w:rPr>
        <w:t xml:space="preserve">of the Administrative </w:t>
      </w:r>
      <w:r w:rsidRPr="00875A0D">
        <w:rPr>
          <w:rFonts w:asciiTheme="majorHAnsi" w:hAnsiTheme="majorHAnsi"/>
          <w:sz w:val="16"/>
          <w:szCs w:val="16"/>
        </w:rPr>
        <w:t xml:space="preserve">Tribunal </w:t>
      </w:r>
      <w:r>
        <w:rPr>
          <w:rFonts w:asciiTheme="majorHAnsi" w:hAnsiTheme="majorHAnsi"/>
          <w:sz w:val="16"/>
          <w:szCs w:val="16"/>
        </w:rPr>
        <w:t xml:space="preserve">of </w:t>
      </w:r>
      <w:r w:rsidRPr="00875A0D">
        <w:rPr>
          <w:rFonts w:asciiTheme="majorHAnsi" w:hAnsiTheme="majorHAnsi"/>
          <w:sz w:val="16"/>
          <w:szCs w:val="16"/>
        </w:rPr>
        <w:t>Bolívar</w:t>
      </w:r>
      <w:r>
        <w:rPr>
          <w:rFonts w:asciiTheme="majorHAnsi" w:hAnsiTheme="majorHAnsi"/>
          <w:sz w:val="16"/>
          <w:szCs w:val="16"/>
        </w:rPr>
        <w:t>, October</w:t>
      </w:r>
      <w:r w:rsidRPr="00875A0D">
        <w:rPr>
          <w:rFonts w:asciiTheme="majorHAnsi" w:hAnsiTheme="majorHAnsi"/>
          <w:sz w:val="16"/>
          <w:szCs w:val="16"/>
        </w:rPr>
        <w:t xml:space="preserve"> 4</w:t>
      </w:r>
      <w:r>
        <w:rPr>
          <w:rFonts w:asciiTheme="majorHAnsi" w:hAnsiTheme="majorHAnsi"/>
          <w:sz w:val="16"/>
          <w:szCs w:val="16"/>
        </w:rPr>
        <w:t>,</w:t>
      </w:r>
      <w:r w:rsidRPr="00875A0D">
        <w:rPr>
          <w:rFonts w:asciiTheme="majorHAnsi" w:hAnsiTheme="majorHAnsi"/>
          <w:sz w:val="16"/>
          <w:szCs w:val="16"/>
        </w:rPr>
        <w:t xml:space="preserve"> 2005</w:t>
      </w:r>
      <w:r>
        <w:rPr>
          <w:rFonts w:asciiTheme="majorHAnsi" w:hAnsiTheme="majorHAnsi"/>
          <w:sz w:val="16"/>
          <w:szCs w:val="16"/>
        </w:rPr>
        <w:t>, rejecting the action for nullity and reestablishment of the right.</w:t>
      </w:r>
      <w:proofErr w:type="gramEnd"/>
      <w:r>
        <w:rPr>
          <w:rFonts w:asciiTheme="majorHAnsi" w:hAnsiTheme="majorHAnsi"/>
          <w:sz w:val="16"/>
          <w:szCs w:val="16"/>
        </w:rPr>
        <w:t xml:space="preserve"> Annex to the communication from the petitioner, September 30, 2009.</w:t>
      </w:r>
    </w:p>
  </w:footnote>
  <w:footnote w:id="21">
    <w:p w14:paraId="2F1CEC19" w14:textId="04428731" w:rsidR="00D02D3C" w:rsidRPr="00875A0D" w:rsidRDefault="00D02D3C" w:rsidP="00D02D3C">
      <w:pPr>
        <w:pStyle w:val="FootnoteText"/>
        <w:rPr>
          <w:rFonts w:asciiTheme="majorHAnsi" w:hAnsiTheme="majorHAnsi"/>
          <w:color w:val="auto"/>
          <w:sz w:val="16"/>
          <w:szCs w:val="16"/>
        </w:rPr>
      </w:pPr>
      <w:r w:rsidRPr="00875A0D">
        <w:rPr>
          <w:rStyle w:val="FootnoteReference"/>
          <w:rFonts w:asciiTheme="majorHAnsi" w:hAnsiTheme="majorHAnsi"/>
          <w:color w:val="auto"/>
          <w:sz w:val="16"/>
          <w:szCs w:val="16"/>
        </w:rPr>
        <w:footnoteRef/>
      </w:r>
      <w:r w:rsidRPr="00875A0D">
        <w:rPr>
          <w:rFonts w:asciiTheme="majorHAnsi" w:hAnsiTheme="majorHAnsi"/>
          <w:color w:val="auto"/>
          <w:sz w:val="16"/>
          <w:szCs w:val="16"/>
        </w:rPr>
        <w:t xml:space="preserve"> </w:t>
      </w:r>
      <w:r w:rsidR="00C279CC">
        <w:rPr>
          <w:rFonts w:asciiTheme="majorHAnsi" w:hAnsiTheme="majorHAnsi"/>
          <w:color w:val="auto"/>
          <w:sz w:val="16"/>
          <w:szCs w:val="16"/>
        </w:rPr>
        <w:t>Annex 14</w:t>
      </w:r>
      <w:r w:rsidRPr="00875A0D">
        <w:rPr>
          <w:rFonts w:asciiTheme="majorHAnsi" w:hAnsiTheme="majorHAnsi"/>
          <w:color w:val="auto"/>
          <w:sz w:val="16"/>
          <w:szCs w:val="16"/>
        </w:rPr>
        <w:t>. Decisi</w:t>
      </w:r>
      <w:r>
        <w:rPr>
          <w:rFonts w:asciiTheme="majorHAnsi" w:hAnsiTheme="majorHAnsi"/>
          <w:color w:val="auto"/>
          <w:sz w:val="16"/>
          <w:szCs w:val="16"/>
        </w:rPr>
        <w:t>o</w:t>
      </w:r>
      <w:r w:rsidRPr="00875A0D">
        <w:rPr>
          <w:rFonts w:asciiTheme="majorHAnsi" w:hAnsiTheme="majorHAnsi"/>
          <w:color w:val="auto"/>
          <w:sz w:val="16"/>
          <w:szCs w:val="16"/>
        </w:rPr>
        <w:t xml:space="preserve">n </w:t>
      </w:r>
      <w:r>
        <w:rPr>
          <w:rFonts w:asciiTheme="majorHAnsi" w:hAnsiTheme="majorHAnsi"/>
          <w:color w:val="auto"/>
          <w:sz w:val="16"/>
          <w:szCs w:val="16"/>
        </w:rPr>
        <w:t xml:space="preserve">of the Seventh Labor Court of </w:t>
      </w:r>
      <w:r w:rsidRPr="00875A0D">
        <w:rPr>
          <w:rFonts w:asciiTheme="majorHAnsi" w:hAnsiTheme="majorHAnsi"/>
          <w:color w:val="auto"/>
          <w:sz w:val="16"/>
          <w:szCs w:val="16"/>
        </w:rPr>
        <w:t>Cartagena</w:t>
      </w:r>
      <w:r>
        <w:rPr>
          <w:rFonts w:asciiTheme="majorHAnsi" w:hAnsiTheme="majorHAnsi"/>
          <w:color w:val="auto"/>
          <w:sz w:val="16"/>
          <w:szCs w:val="16"/>
        </w:rPr>
        <w:t>, December</w:t>
      </w:r>
      <w:r w:rsidRPr="00875A0D">
        <w:rPr>
          <w:rFonts w:asciiTheme="majorHAnsi" w:hAnsiTheme="majorHAnsi"/>
          <w:color w:val="auto"/>
          <w:sz w:val="16"/>
          <w:szCs w:val="16"/>
        </w:rPr>
        <w:t xml:space="preserve"> 13</w:t>
      </w:r>
      <w:r>
        <w:rPr>
          <w:rFonts w:asciiTheme="majorHAnsi" w:hAnsiTheme="majorHAnsi"/>
          <w:color w:val="auto"/>
          <w:sz w:val="16"/>
          <w:szCs w:val="16"/>
        </w:rPr>
        <w:t>,</w:t>
      </w:r>
      <w:r w:rsidRPr="00875A0D">
        <w:rPr>
          <w:rFonts w:asciiTheme="majorHAnsi" w:hAnsiTheme="majorHAnsi"/>
          <w:color w:val="auto"/>
          <w:sz w:val="16"/>
          <w:szCs w:val="16"/>
        </w:rPr>
        <w:t xml:space="preserve"> 2006. </w:t>
      </w:r>
      <w:r>
        <w:rPr>
          <w:rFonts w:asciiTheme="majorHAnsi" w:hAnsiTheme="majorHAnsi"/>
          <w:color w:val="auto"/>
          <w:sz w:val="16"/>
          <w:szCs w:val="16"/>
        </w:rPr>
        <w:t>Annex to the communication from the petitioner, September 30, 2009.</w:t>
      </w:r>
    </w:p>
  </w:footnote>
  <w:footnote w:id="22">
    <w:p w14:paraId="039A3D06" w14:textId="77777777" w:rsidR="00D02D3C" w:rsidRPr="00875A0D" w:rsidRDefault="00D02D3C" w:rsidP="00D02D3C">
      <w:pPr>
        <w:pStyle w:val="FootnoteText"/>
        <w:rPr>
          <w:rFonts w:asciiTheme="majorHAnsi" w:hAnsiTheme="majorHAnsi"/>
          <w:color w:val="auto"/>
          <w:sz w:val="16"/>
          <w:szCs w:val="16"/>
        </w:rPr>
      </w:pPr>
      <w:r w:rsidRPr="00875A0D">
        <w:rPr>
          <w:rStyle w:val="FootnoteReference"/>
          <w:rFonts w:asciiTheme="majorHAnsi" w:hAnsiTheme="majorHAnsi"/>
          <w:color w:val="auto"/>
          <w:sz w:val="16"/>
          <w:szCs w:val="16"/>
        </w:rPr>
        <w:footnoteRef/>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Com</w:t>
      </w:r>
      <w:r>
        <w:rPr>
          <w:rFonts w:asciiTheme="majorHAnsi" w:hAnsiTheme="majorHAnsi"/>
          <w:color w:val="auto"/>
          <w:sz w:val="16"/>
          <w:szCs w:val="16"/>
        </w:rPr>
        <w:t>m</w:t>
      </w:r>
      <w:r w:rsidRPr="00875A0D">
        <w:rPr>
          <w:rFonts w:asciiTheme="majorHAnsi" w:hAnsiTheme="majorHAnsi"/>
          <w:color w:val="auto"/>
          <w:sz w:val="16"/>
          <w:szCs w:val="16"/>
        </w:rPr>
        <w:t>unica</w:t>
      </w:r>
      <w:r>
        <w:rPr>
          <w:rFonts w:asciiTheme="majorHAnsi" w:hAnsiTheme="majorHAnsi"/>
          <w:color w:val="auto"/>
          <w:sz w:val="16"/>
          <w:szCs w:val="16"/>
        </w:rPr>
        <w:t>tio</w:t>
      </w:r>
      <w:r w:rsidRPr="00875A0D">
        <w:rPr>
          <w:rFonts w:asciiTheme="majorHAnsi" w:hAnsiTheme="majorHAnsi"/>
          <w:color w:val="auto"/>
          <w:sz w:val="16"/>
          <w:szCs w:val="16"/>
        </w:rPr>
        <w:t xml:space="preserve">n </w:t>
      </w:r>
      <w:r>
        <w:rPr>
          <w:rFonts w:asciiTheme="majorHAnsi" w:hAnsiTheme="majorHAnsi"/>
          <w:color w:val="auto"/>
          <w:sz w:val="16"/>
          <w:szCs w:val="16"/>
        </w:rPr>
        <w:t xml:space="preserve">from the alleged victim, September </w:t>
      </w:r>
      <w:r w:rsidRPr="00875A0D">
        <w:rPr>
          <w:rFonts w:asciiTheme="majorHAnsi" w:hAnsiTheme="majorHAnsi"/>
          <w:color w:val="auto"/>
          <w:sz w:val="16"/>
          <w:szCs w:val="16"/>
        </w:rPr>
        <w:t>30</w:t>
      </w:r>
      <w:r>
        <w:rPr>
          <w:rFonts w:asciiTheme="majorHAnsi" w:hAnsiTheme="majorHAnsi"/>
          <w:color w:val="auto"/>
          <w:sz w:val="16"/>
          <w:szCs w:val="16"/>
        </w:rPr>
        <w:t>,</w:t>
      </w:r>
      <w:r w:rsidRPr="00875A0D">
        <w:rPr>
          <w:rFonts w:asciiTheme="majorHAnsi" w:hAnsiTheme="majorHAnsi"/>
          <w:color w:val="auto"/>
          <w:sz w:val="16"/>
          <w:szCs w:val="16"/>
        </w:rPr>
        <w:t xml:space="preserve"> 2009.</w:t>
      </w:r>
      <w:proofErr w:type="gramEnd"/>
    </w:p>
  </w:footnote>
  <w:footnote w:id="23">
    <w:p w14:paraId="4F23BCA9" w14:textId="77777777" w:rsidR="00D02D3C" w:rsidRPr="00875A0D"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16"/>
          <w:szCs w:val="16"/>
          <w:lang w:eastAsia="es-ES"/>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Article </w:t>
      </w:r>
      <w:r w:rsidRPr="00875A0D">
        <w:rPr>
          <w:rFonts w:asciiTheme="majorHAnsi" w:hAnsiTheme="majorHAnsi"/>
          <w:sz w:val="16"/>
          <w:szCs w:val="16"/>
        </w:rPr>
        <w:t>8</w:t>
      </w:r>
      <w:r>
        <w:rPr>
          <w:rFonts w:asciiTheme="majorHAnsi" w:hAnsiTheme="majorHAnsi"/>
          <w:sz w:val="16"/>
          <w:szCs w:val="16"/>
        </w:rPr>
        <w:t>(</w:t>
      </w:r>
      <w:r w:rsidRPr="00875A0D">
        <w:rPr>
          <w:rFonts w:asciiTheme="majorHAnsi" w:hAnsiTheme="majorHAnsi"/>
          <w:sz w:val="16"/>
          <w:szCs w:val="16"/>
        </w:rPr>
        <w:t>1</w:t>
      </w:r>
      <w:r>
        <w:rPr>
          <w:rFonts w:asciiTheme="majorHAnsi" w:hAnsiTheme="majorHAnsi"/>
          <w:sz w:val="16"/>
          <w:szCs w:val="16"/>
        </w:rPr>
        <w:t>) of the Convention states: “</w:t>
      </w:r>
      <w:r w:rsidRPr="00D0718A">
        <w:rPr>
          <w:rFonts w:asciiTheme="majorHAnsi" w:hAnsiTheme="majorHAnsi"/>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875A0D">
        <w:rPr>
          <w:rFonts w:asciiTheme="majorHAnsi" w:eastAsia="Times New Roman" w:hAnsiTheme="majorHAnsi"/>
          <w:sz w:val="16"/>
          <w:szCs w:val="16"/>
          <w:lang w:eastAsia="es-ES"/>
        </w:rPr>
        <w:t>.</w:t>
      </w:r>
      <w:r>
        <w:rPr>
          <w:rFonts w:asciiTheme="majorHAnsi" w:eastAsia="Times New Roman" w:hAnsiTheme="majorHAnsi"/>
          <w:sz w:val="16"/>
          <w:szCs w:val="16"/>
          <w:lang w:eastAsia="es-ES"/>
        </w:rPr>
        <w:t>”</w:t>
      </w:r>
      <w:r w:rsidRPr="00875A0D">
        <w:rPr>
          <w:rFonts w:asciiTheme="majorHAnsi" w:eastAsia="Times New Roman" w:hAnsiTheme="majorHAnsi"/>
          <w:sz w:val="16"/>
          <w:szCs w:val="16"/>
          <w:lang w:eastAsia="es-ES"/>
        </w:rPr>
        <w:t xml:space="preserve"> </w:t>
      </w:r>
      <w:r>
        <w:rPr>
          <w:rFonts w:asciiTheme="majorHAnsi" w:eastAsia="Times New Roman" w:hAnsiTheme="majorHAnsi"/>
          <w:sz w:val="16"/>
          <w:szCs w:val="16"/>
          <w:lang w:eastAsia="es-ES"/>
        </w:rPr>
        <w:t xml:space="preserve">Article </w:t>
      </w:r>
      <w:r w:rsidRPr="00875A0D">
        <w:rPr>
          <w:rFonts w:asciiTheme="majorHAnsi" w:hAnsiTheme="majorHAnsi"/>
          <w:sz w:val="16"/>
          <w:szCs w:val="16"/>
        </w:rPr>
        <w:t>8</w:t>
      </w:r>
      <w:r>
        <w:rPr>
          <w:rFonts w:asciiTheme="majorHAnsi" w:hAnsiTheme="majorHAnsi"/>
          <w:sz w:val="16"/>
          <w:szCs w:val="16"/>
        </w:rPr>
        <w:t>(</w:t>
      </w:r>
      <w:r w:rsidRPr="00875A0D">
        <w:rPr>
          <w:rFonts w:asciiTheme="majorHAnsi" w:hAnsiTheme="majorHAnsi"/>
          <w:sz w:val="16"/>
          <w:szCs w:val="16"/>
        </w:rPr>
        <w:t>2</w:t>
      </w:r>
      <w:r>
        <w:rPr>
          <w:rFonts w:asciiTheme="majorHAnsi" w:hAnsiTheme="majorHAnsi"/>
          <w:sz w:val="16"/>
          <w:szCs w:val="16"/>
        </w:rPr>
        <w:t>)</w:t>
      </w:r>
      <w:r w:rsidRPr="00875A0D">
        <w:rPr>
          <w:rFonts w:asciiTheme="majorHAnsi" w:hAnsiTheme="majorHAnsi"/>
          <w:sz w:val="16"/>
          <w:szCs w:val="16"/>
        </w:rPr>
        <w:t xml:space="preserve"> establ</w:t>
      </w:r>
      <w:r>
        <w:rPr>
          <w:rFonts w:asciiTheme="majorHAnsi" w:hAnsiTheme="majorHAnsi"/>
          <w:sz w:val="16"/>
          <w:szCs w:val="16"/>
        </w:rPr>
        <w:t>ishes, at the relevant part: “</w:t>
      </w:r>
      <w:r w:rsidRPr="00875A0D">
        <w:rPr>
          <w:rFonts w:asciiTheme="majorHAnsi" w:hAnsiTheme="majorHAnsi"/>
          <w:sz w:val="16"/>
          <w:szCs w:val="16"/>
        </w:rPr>
        <w:t xml:space="preserve">2. </w:t>
      </w:r>
      <w:proofErr w:type="gramStart"/>
      <w:r w:rsidRPr="00D0718A">
        <w:rPr>
          <w:rFonts w:asciiTheme="majorHAnsi" w:hAnsiTheme="majorHAnsi"/>
          <w:sz w:val="16"/>
          <w:szCs w:val="16"/>
        </w:rPr>
        <w:t>Every</w:t>
      </w:r>
      <w:proofErr w:type="gramEnd"/>
      <w:r w:rsidRPr="00D0718A">
        <w:rPr>
          <w:rFonts w:asciiTheme="majorHAnsi" w:hAnsiTheme="majorHAnsi"/>
          <w:sz w:val="16"/>
          <w:szCs w:val="16"/>
        </w:rPr>
        <w:t xml:space="preserve"> person accused of a criminal offense has the right to be presumed innocent so long as his guilt has not been proven according to law. During the proceedings, every person is entitled, with full equality, to the following minimum guarantees</w:t>
      </w:r>
      <w:r w:rsidRPr="00875A0D">
        <w:rPr>
          <w:rFonts w:asciiTheme="majorHAnsi" w:hAnsiTheme="majorHAnsi"/>
          <w:sz w:val="16"/>
          <w:szCs w:val="16"/>
        </w:rPr>
        <w:t>:</w:t>
      </w:r>
      <w:r>
        <w:rPr>
          <w:rFonts w:asciiTheme="majorHAnsi" w:hAnsiTheme="majorHAnsi"/>
          <w:sz w:val="16"/>
          <w:szCs w:val="16"/>
        </w:rPr>
        <w:t xml:space="preserve"> …</w:t>
      </w:r>
      <w:r w:rsidRPr="00875A0D">
        <w:rPr>
          <w:rFonts w:asciiTheme="majorHAnsi" w:hAnsiTheme="majorHAnsi"/>
          <w:sz w:val="16"/>
          <w:szCs w:val="16"/>
        </w:rPr>
        <w:t xml:space="preserve"> </w:t>
      </w:r>
      <w:r>
        <w:rPr>
          <w:rFonts w:asciiTheme="majorHAnsi" w:hAnsiTheme="majorHAnsi"/>
          <w:sz w:val="16"/>
          <w:szCs w:val="16"/>
        </w:rPr>
        <w:t>(</w:t>
      </w:r>
      <w:r w:rsidRPr="00875A0D">
        <w:rPr>
          <w:rFonts w:asciiTheme="majorHAnsi" w:hAnsiTheme="majorHAnsi"/>
          <w:sz w:val="16"/>
          <w:szCs w:val="16"/>
        </w:rPr>
        <w:t xml:space="preserve">b) </w:t>
      </w:r>
      <w:proofErr w:type="gramStart"/>
      <w:r>
        <w:rPr>
          <w:rFonts w:asciiTheme="majorHAnsi" w:hAnsiTheme="majorHAnsi"/>
          <w:sz w:val="16"/>
          <w:szCs w:val="16"/>
        </w:rPr>
        <w:t>prior</w:t>
      </w:r>
      <w:proofErr w:type="gramEnd"/>
      <w:r>
        <w:rPr>
          <w:rFonts w:asciiTheme="majorHAnsi" w:hAnsiTheme="majorHAnsi"/>
          <w:sz w:val="16"/>
          <w:szCs w:val="16"/>
        </w:rPr>
        <w:t xml:space="preserve"> notification in detail to the accused of the charges against him; (</w:t>
      </w:r>
      <w:r w:rsidRPr="00875A0D">
        <w:rPr>
          <w:rFonts w:asciiTheme="majorHAnsi" w:hAnsiTheme="majorHAnsi"/>
          <w:sz w:val="16"/>
          <w:szCs w:val="16"/>
        </w:rPr>
        <w:t xml:space="preserve">c) </w:t>
      </w:r>
      <w:r>
        <w:rPr>
          <w:rFonts w:asciiTheme="majorHAnsi" w:hAnsiTheme="majorHAnsi"/>
          <w:sz w:val="16"/>
          <w:szCs w:val="16"/>
        </w:rPr>
        <w:t>adequate time and means for the preparation of his defense</w:t>
      </w:r>
      <w:r w:rsidRPr="00875A0D">
        <w:rPr>
          <w:rFonts w:asciiTheme="majorHAnsi" w:hAnsiTheme="majorHAnsi"/>
          <w:sz w:val="16"/>
          <w:szCs w:val="16"/>
        </w:rPr>
        <w:t>.</w:t>
      </w:r>
      <w:r>
        <w:rPr>
          <w:rFonts w:asciiTheme="majorHAnsi" w:hAnsiTheme="majorHAnsi"/>
          <w:sz w:val="16"/>
          <w:szCs w:val="16"/>
        </w:rPr>
        <w:t>”</w:t>
      </w:r>
    </w:p>
  </w:footnote>
  <w:footnote w:id="24">
    <w:p w14:paraId="2909830D"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Article </w:t>
      </w:r>
      <w:r w:rsidRPr="00875A0D">
        <w:rPr>
          <w:rFonts w:asciiTheme="majorHAnsi" w:hAnsiTheme="majorHAnsi"/>
          <w:sz w:val="16"/>
          <w:szCs w:val="16"/>
        </w:rPr>
        <w:t xml:space="preserve">9 </w:t>
      </w:r>
      <w:r>
        <w:rPr>
          <w:rFonts w:asciiTheme="majorHAnsi" w:hAnsiTheme="majorHAnsi"/>
          <w:sz w:val="16"/>
          <w:szCs w:val="16"/>
        </w:rPr>
        <w:t>of the American Convention establishes: “</w:t>
      </w:r>
      <w:r w:rsidRPr="00203A9B">
        <w:rPr>
          <w:rFonts w:asciiTheme="majorHAnsi" w:hAnsiTheme="majorHAnsi"/>
          <w:sz w:val="16"/>
          <w:szCs w:val="16"/>
        </w:rPr>
        <w:t>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r>
        <w:rPr>
          <w:rFonts w:asciiTheme="majorHAnsi" w:hAnsiTheme="majorHAnsi"/>
          <w:sz w:val="16"/>
          <w:szCs w:val="16"/>
        </w:rPr>
        <w:t>”</w:t>
      </w:r>
    </w:p>
  </w:footnote>
  <w:footnote w:id="25">
    <w:p w14:paraId="6CF55386" w14:textId="77777777" w:rsidR="00D02D3C" w:rsidRPr="00875A0D" w:rsidRDefault="00D02D3C" w:rsidP="00D02D3C">
      <w:pPr>
        <w:pStyle w:val="FootnoteText"/>
        <w:jc w:val="both"/>
        <w:rPr>
          <w:rFonts w:asciiTheme="majorHAnsi" w:hAnsiTheme="majorHAnsi"/>
          <w:color w:val="auto"/>
          <w:sz w:val="16"/>
          <w:szCs w:val="16"/>
        </w:rPr>
      </w:pPr>
      <w:r w:rsidRPr="00875A0D">
        <w:rPr>
          <w:rStyle w:val="FootnoteReference"/>
          <w:rFonts w:asciiTheme="majorHAnsi" w:hAnsiTheme="majorHAnsi"/>
          <w:color w:val="auto"/>
          <w:sz w:val="16"/>
          <w:szCs w:val="16"/>
        </w:rPr>
        <w:footnoteRef/>
      </w:r>
      <w:r w:rsidRPr="00875A0D">
        <w:rPr>
          <w:rFonts w:asciiTheme="majorHAnsi" w:hAnsiTheme="majorHAnsi"/>
          <w:color w:val="auto"/>
          <w:sz w:val="16"/>
          <w:szCs w:val="16"/>
        </w:rPr>
        <w:t xml:space="preserve"> </w:t>
      </w:r>
      <w:r>
        <w:rPr>
          <w:rFonts w:asciiTheme="majorHAnsi" w:hAnsiTheme="majorHAnsi"/>
          <w:color w:val="auto"/>
          <w:sz w:val="16"/>
          <w:szCs w:val="16"/>
        </w:rPr>
        <w:t>IACHR</w:t>
      </w:r>
      <w:r w:rsidRPr="00875A0D">
        <w:rPr>
          <w:rFonts w:asciiTheme="majorHAnsi" w:hAnsiTheme="majorHAnsi"/>
          <w:color w:val="auto"/>
          <w:sz w:val="16"/>
          <w:szCs w:val="16"/>
        </w:rPr>
        <w:t xml:space="preserve">, </w:t>
      </w:r>
      <w:r>
        <w:rPr>
          <w:rFonts w:asciiTheme="majorHAnsi" w:hAnsiTheme="majorHAnsi"/>
          <w:color w:val="auto"/>
          <w:sz w:val="16"/>
          <w:szCs w:val="16"/>
        </w:rPr>
        <w:t>Report No.</w:t>
      </w:r>
      <w:r w:rsidRPr="00875A0D">
        <w:rPr>
          <w:rFonts w:asciiTheme="majorHAnsi" w:hAnsiTheme="majorHAnsi"/>
          <w:color w:val="auto"/>
          <w:sz w:val="16"/>
          <w:szCs w:val="16"/>
        </w:rPr>
        <w:t xml:space="preserve"> 65/11, </w:t>
      </w:r>
      <w:r>
        <w:rPr>
          <w:rFonts w:asciiTheme="majorHAnsi" w:hAnsiTheme="majorHAnsi"/>
          <w:color w:val="auto"/>
          <w:sz w:val="16"/>
          <w:szCs w:val="16"/>
        </w:rPr>
        <w:t>Case</w:t>
      </w:r>
      <w:r w:rsidRPr="00875A0D">
        <w:rPr>
          <w:rFonts w:asciiTheme="majorHAnsi" w:hAnsiTheme="majorHAnsi"/>
          <w:color w:val="auto"/>
          <w:sz w:val="16"/>
          <w:szCs w:val="16"/>
        </w:rPr>
        <w:t xml:space="preserve"> 12</w:t>
      </w:r>
      <w:r>
        <w:rPr>
          <w:rFonts w:asciiTheme="majorHAnsi" w:hAnsiTheme="majorHAnsi"/>
          <w:color w:val="auto"/>
          <w:sz w:val="16"/>
          <w:szCs w:val="16"/>
        </w:rPr>
        <w:t>,</w:t>
      </w:r>
      <w:r w:rsidRPr="00875A0D">
        <w:rPr>
          <w:rFonts w:asciiTheme="majorHAnsi" w:hAnsiTheme="majorHAnsi"/>
          <w:color w:val="auto"/>
          <w:sz w:val="16"/>
          <w:szCs w:val="16"/>
        </w:rPr>
        <w:t xml:space="preserve">600, </w:t>
      </w:r>
      <w:r>
        <w:rPr>
          <w:rFonts w:asciiTheme="majorHAnsi" w:hAnsiTheme="majorHAnsi"/>
          <w:color w:val="auto"/>
          <w:sz w:val="16"/>
          <w:szCs w:val="16"/>
        </w:rPr>
        <w:t xml:space="preserve">Merits, </w:t>
      </w:r>
      <w:r w:rsidRPr="00875A0D">
        <w:rPr>
          <w:rFonts w:asciiTheme="majorHAnsi" w:hAnsiTheme="majorHAnsi"/>
          <w:color w:val="auto"/>
          <w:sz w:val="16"/>
          <w:szCs w:val="16"/>
        </w:rPr>
        <w:t xml:space="preserve">Hugo Quintana </w:t>
      </w:r>
      <w:proofErr w:type="spellStart"/>
      <w:r w:rsidRPr="00875A0D">
        <w:rPr>
          <w:rFonts w:asciiTheme="majorHAnsi" w:hAnsiTheme="majorHAnsi"/>
          <w:color w:val="auto"/>
          <w:sz w:val="16"/>
          <w:szCs w:val="16"/>
        </w:rPr>
        <w:t>Coello</w:t>
      </w:r>
      <w:proofErr w:type="spellEnd"/>
      <w:r w:rsidRPr="00875A0D">
        <w:rPr>
          <w:rFonts w:asciiTheme="majorHAnsi" w:hAnsiTheme="majorHAnsi"/>
          <w:color w:val="auto"/>
          <w:sz w:val="16"/>
          <w:szCs w:val="16"/>
        </w:rPr>
        <w:t xml:space="preserve"> </w:t>
      </w:r>
      <w:r w:rsidRPr="00203A9B">
        <w:rPr>
          <w:rFonts w:asciiTheme="majorHAnsi" w:hAnsiTheme="majorHAnsi"/>
          <w:i/>
          <w:iCs/>
          <w:color w:val="auto"/>
          <w:sz w:val="16"/>
          <w:szCs w:val="16"/>
        </w:rPr>
        <w:t>et al.</w:t>
      </w:r>
      <w:r>
        <w:rPr>
          <w:rFonts w:asciiTheme="majorHAnsi" w:hAnsiTheme="majorHAnsi"/>
          <w:color w:val="auto"/>
          <w:sz w:val="16"/>
          <w:szCs w:val="16"/>
        </w:rPr>
        <w:t xml:space="preserve"> </w:t>
      </w:r>
      <w:r w:rsidRPr="00875A0D">
        <w:rPr>
          <w:rFonts w:asciiTheme="majorHAnsi" w:hAnsiTheme="majorHAnsi"/>
          <w:color w:val="auto"/>
          <w:sz w:val="16"/>
          <w:szCs w:val="16"/>
        </w:rPr>
        <w:t>“</w:t>
      </w:r>
      <w:r>
        <w:rPr>
          <w:rFonts w:asciiTheme="majorHAnsi" w:hAnsiTheme="majorHAnsi"/>
          <w:color w:val="auto"/>
          <w:sz w:val="16"/>
          <w:szCs w:val="16"/>
        </w:rPr>
        <w:t xml:space="preserve">Judges of the Supreme Court of Justice,” </w:t>
      </w:r>
      <w:r w:rsidRPr="00875A0D">
        <w:rPr>
          <w:rFonts w:asciiTheme="majorHAnsi" w:hAnsiTheme="majorHAnsi"/>
          <w:color w:val="auto"/>
          <w:sz w:val="16"/>
          <w:szCs w:val="16"/>
        </w:rPr>
        <w:t xml:space="preserve">Ecuador, </w:t>
      </w:r>
      <w:r>
        <w:rPr>
          <w:rFonts w:asciiTheme="majorHAnsi" w:hAnsiTheme="majorHAnsi"/>
          <w:color w:val="auto"/>
          <w:sz w:val="16"/>
          <w:szCs w:val="16"/>
        </w:rPr>
        <w:t xml:space="preserve">March </w:t>
      </w:r>
      <w:r w:rsidRPr="00875A0D">
        <w:rPr>
          <w:rFonts w:asciiTheme="majorHAnsi" w:hAnsiTheme="majorHAnsi"/>
          <w:color w:val="auto"/>
          <w:sz w:val="16"/>
          <w:szCs w:val="16"/>
        </w:rPr>
        <w:t>31</w:t>
      </w:r>
      <w:r>
        <w:rPr>
          <w:rFonts w:asciiTheme="majorHAnsi" w:hAnsiTheme="majorHAnsi"/>
          <w:color w:val="auto"/>
          <w:sz w:val="16"/>
          <w:szCs w:val="16"/>
        </w:rPr>
        <w:t>,</w:t>
      </w:r>
      <w:r w:rsidRPr="00875A0D">
        <w:rPr>
          <w:rFonts w:asciiTheme="majorHAnsi" w:hAnsiTheme="majorHAnsi"/>
          <w:color w:val="auto"/>
          <w:sz w:val="16"/>
          <w:szCs w:val="16"/>
        </w:rPr>
        <w:t xml:space="preserve"> 2011, </w:t>
      </w:r>
      <w:r>
        <w:rPr>
          <w:rFonts w:asciiTheme="majorHAnsi" w:hAnsiTheme="majorHAnsi"/>
          <w:color w:val="auto"/>
          <w:sz w:val="16"/>
          <w:szCs w:val="16"/>
        </w:rPr>
        <w:t>para.</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102; </w:t>
      </w:r>
      <w:r>
        <w:rPr>
          <w:rFonts w:asciiTheme="majorHAnsi" w:hAnsiTheme="majorHAnsi"/>
          <w:color w:val="auto"/>
          <w:sz w:val="16"/>
          <w:szCs w:val="16"/>
        </w:rPr>
        <w:t>I/A Court HR</w:t>
      </w:r>
      <w:r w:rsidRPr="00875A0D">
        <w:rPr>
          <w:rFonts w:asciiTheme="majorHAnsi" w:hAnsiTheme="majorHAnsi"/>
          <w:color w:val="auto"/>
          <w:sz w:val="16"/>
          <w:szCs w:val="16"/>
        </w:rPr>
        <w:t xml:space="preserve">. </w:t>
      </w:r>
      <w:hyperlink r:id="rId1" w:history="1">
        <w:r>
          <w:rPr>
            <w:rStyle w:val="Hyperlink"/>
            <w:rFonts w:asciiTheme="majorHAnsi" w:hAnsiTheme="majorHAnsi" w:cs="Arial"/>
            <w:color w:val="auto"/>
            <w:sz w:val="16"/>
            <w:szCs w:val="16"/>
            <w:u w:val="none"/>
            <w:shd w:val="clear" w:color="auto" w:fill="FFFFFF"/>
          </w:rPr>
          <w:t xml:space="preserve">Case of </w:t>
        </w:r>
        <w:proofErr w:type="spellStart"/>
        <w:r w:rsidRPr="00875A0D">
          <w:rPr>
            <w:rStyle w:val="Hyperlink"/>
            <w:rFonts w:asciiTheme="majorHAnsi" w:hAnsiTheme="majorHAnsi" w:cs="Arial"/>
            <w:color w:val="auto"/>
            <w:sz w:val="16"/>
            <w:szCs w:val="16"/>
            <w:u w:val="none"/>
            <w:shd w:val="clear" w:color="auto" w:fill="FFFFFF"/>
          </w:rPr>
          <w:t>Baena</w:t>
        </w:r>
        <w:proofErr w:type="spellEnd"/>
        <w:r w:rsidRPr="00875A0D">
          <w:rPr>
            <w:rStyle w:val="Hyperlink"/>
            <w:rFonts w:asciiTheme="majorHAnsi" w:hAnsiTheme="majorHAnsi" w:cs="Arial"/>
            <w:color w:val="auto"/>
            <w:sz w:val="16"/>
            <w:szCs w:val="16"/>
            <w:u w:val="none"/>
            <w:shd w:val="clear" w:color="auto" w:fill="FFFFFF"/>
          </w:rPr>
          <w:t xml:space="preserve"> Ricardo </w:t>
        </w:r>
        <w:r w:rsidRPr="00203A9B">
          <w:rPr>
            <w:rStyle w:val="Hyperlink"/>
            <w:rFonts w:asciiTheme="majorHAnsi" w:hAnsiTheme="majorHAnsi" w:cs="Arial"/>
            <w:i/>
            <w:iCs/>
            <w:color w:val="auto"/>
            <w:sz w:val="16"/>
            <w:szCs w:val="16"/>
            <w:u w:val="none"/>
            <w:shd w:val="clear" w:color="auto" w:fill="FFFFFF"/>
          </w:rPr>
          <w:t>et al</w:t>
        </w:r>
        <w:r>
          <w:rPr>
            <w:rStyle w:val="Hyperlink"/>
            <w:rFonts w:asciiTheme="majorHAnsi" w:hAnsiTheme="majorHAnsi" w:cs="Arial"/>
            <w:color w:val="auto"/>
            <w:sz w:val="16"/>
            <w:szCs w:val="16"/>
            <w:u w:val="none"/>
            <w:shd w:val="clear" w:color="auto" w:fill="FFFFFF"/>
          </w:rPr>
          <w:t>. v</w:t>
        </w:r>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Panama</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February </w:t>
        </w:r>
        <w:r w:rsidRPr="00875A0D">
          <w:rPr>
            <w:rStyle w:val="Hyperlink"/>
            <w:rFonts w:asciiTheme="majorHAnsi" w:hAnsiTheme="majorHAnsi" w:cs="Arial"/>
            <w:color w:val="auto"/>
            <w:sz w:val="16"/>
            <w:szCs w:val="16"/>
            <w:u w:val="none"/>
            <w:shd w:val="clear" w:color="auto" w:fill="FFFFFF"/>
          </w:rPr>
          <w:t>2</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2001.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72</w:t>
        </w:r>
      </w:hyperlink>
      <w:r w:rsidRPr="00875A0D">
        <w:rPr>
          <w:rFonts w:asciiTheme="majorHAnsi" w:hAnsiTheme="majorHAnsi"/>
          <w:color w:val="auto"/>
          <w:sz w:val="16"/>
          <w:szCs w:val="16"/>
        </w:rPr>
        <w:t xml:space="preserve">, </w:t>
      </w:r>
      <w:r>
        <w:rPr>
          <w:rFonts w:asciiTheme="majorHAnsi" w:hAnsiTheme="majorHAnsi"/>
          <w:color w:val="auto"/>
          <w:sz w:val="16"/>
          <w:szCs w:val="16"/>
        </w:rPr>
        <w:t>paras.</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126-127; </w:t>
      </w:r>
      <w:hyperlink r:id="rId2"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the Constitutional Court v. </w:t>
        </w:r>
        <w:r w:rsidRPr="00203A9B">
          <w:rPr>
            <w:rStyle w:val="Hyperlink"/>
            <w:rFonts w:asciiTheme="majorHAnsi" w:hAnsiTheme="majorHAnsi" w:cs="Arial"/>
            <w:color w:val="auto"/>
            <w:sz w:val="16"/>
            <w:szCs w:val="16"/>
            <w:u w:val="none"/>
            <w:shd w:val="clear" w:color="auto" w:fill="FFFFFF"/>
          </w:rPr>
          <w:t>Peru</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January </w:t>
        </w:r>
        <w:r w:rsidRPr="00875A0D">
          <w:rPr>
            <w:rStyle w:val="Hyperlink"/>
            <w:rFonts w:asciiTheme="majorHAnsi" w:hAnsiTheme="majorHAnsi" w:cs="Arial"/>
            <w:color w:val="auto"/>
            <w:sz w:val="16"/>
            <w:szCs w:val="16"/>
            <w:u w:val="none"/>
            <w:shd w:val="clear" w:color="auto" w:fill="FFFFFF"/>
          </w:rPr>
          <w:t>31</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2001.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71</w:t>
        </w:r>
      </w:hyperlink>
      <w:r w:rsidRPr="00875A0D">
        <w:rPr>
          <w:rFonts w:asciiTheme="majorHAnsi" w:hAnsiTheme="majorHAnsi"/>
          <w:color w:val="auto"/>
          <w:sz w:val="16"/>
          <w:szCs w:val="16"/>
        </w:rPr>
        <w:t xml:space="preserve">, </w:t>
      </w:r>
      <w:r>
        <w:rPr>
          <w:rFonts w:asciiTheme="majorHAnsi" w:hAnsiTheme="majorHAnsi"/>
          <w:color w:val="auto"/>
          <w:sz w:val="16"/>
          <w:szCs w:val="16"/>
        </w:rPr>
        <w:t>paras.</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69-70; </w:t>
      </w:r>
      <w:r>
        <w:rPr>
          <w:rFonts w:asciiTheme="majorHAnsi" w:hAnsiTheme="majorHAnsi"/>
          <w:color w:val="auto"/>
          <w:sz w:val="16"/>
          <w:szCs w:val="16"/>
        </w:rPr>
        <w:t xml:space="preserve">and </w:t>
      </w:r>
      <w:hyperlink r:id="rId3"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López Mendoza </w:t>
        </w:r>
        <w:r>
          <w:rPr>
            <w:rStyle w:val="Hyperlink"/>
            <w:rFonts w:asciiTheme="majorHAnsi" w:hAnsiTheme="majorHAnsi" w:cs="Arial"/>
            <w:color w:val="auto"/>
            <w:sz w:val="16"/>
            <w:szCs w:val="16"/>
            <w:u w:val="none"/>
            <w:shd w:val="clear" w:color="auto" w:fill="FFFFFF"/>
          </w:rPr>
          <w:t>v</w:t>
        </w:r>
        <w:r w:rsidRPr="00875A0D">
          <w:rPr>
            <w:rStyle w:val="Hyperlink"/>
            <w:rFonts w:asciiTheme="majorHAnsi" w:hAnsiTheme="majorHAnsi" w:cs="Arial"/>
            <w:color w:val="auto"/>
            <w:sz w:val="16"/>
            <w:szCs w:val="16"/>
            <w:u w:val="none"/>
            <w:shd w:val="clear" w:color="auto" w:fill="FFFFFF"/>
          </w:rPr>
          <w:t>. Venezuela.</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Pr>
            <w:rStyle w:val="Hyperlink"/>
            <w:rFonts w:asciiTheme="majorHAnsi" w:hAnsiTheme="majorHAnsi" w:cs="Arial"/>
            <w:color w:val="auto"/>
            <w:sz w:val="16"/>
            <w:szCs w:val="16"/>
            <w:u w:val="none"/>
            <w:shd w:val="clear" w:color="auto" w:fill="FFFFFF"/>
          </w:rPr>
          <w:t>Merits, Reparations and Costs.</w:t>
        </w:r>
        <w:proofErr w:type="gramEnd"/>
        <w:r>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September </w:t>
        </w:r>
        <w:r w:rsidRPr="00875A0D">
          <w:rPr>
            <w:rStyle w:val="Hyperlink"/>
            <w:rFonts w:asciiTheme="majorHAnsi" w:hAnsiTheme="majorHAnsi" w:cs="Arial"/>
            <w:color w:val="auto"/>
            <w:sz w:val="16"/>
            <w:szCs w:val="16"/>
            <w:u w:val="none"/>
            <w:shd w:val="clear" w:color="auto" w:fill="FFFFFF"/>
          </w:rPr>
          <w:t>1</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2011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233</w:t>
        </w:r>
      </w:hyperlink>
      <w:r w:rsidRPr="00875A0D">
        <w:rPr>
          <w:rFonts w:asciiTheme="majorHAnsi" w:hAnsiTheme="majorHAnsi"/>
          <w:color w:val="auto"/>
          <w:sz w:val="16"/>
          <w:szCs w:val="16"/>
        </w:rPr>
        <w:t xml:space="preserve">, </w:t>
      </w:r>
      <w:r>
        <w:rPr>
          <w:rFonts w:asciiTheme="majorHAnsi" w:hAnsiTheme="majorHAnsi"/>
          <w:color w:val="auto"/>
          <w:sz w:val="16"/>
          <w:szCs w:val="16"/>
        </w:rPr>
        <w:t>para.</w:t>
      </w:r>
      <w:proofErr w:type="gramEnd"/>
      <w:r w:rsidRPr="00875A0D">
        <w:rPr>
          <w:rFonts w:asciiTheme="majorHAnsi" w:hAnsiTheme="majorHAnsi"/>
          <w:color w:val="auto"/>
          <w:sz w:val="16"/>
          <w:szCs w:val="16"/>
        </w:rPr>
        <w:t xml:space="preserve"> 111. </w:t>
      </w:r>
    </w:p>
  </w:footnote>
  <w:footnote w:id="26">
    <w:p w14:paraId="1A9238AA" w14:textId="77777777" w:rsidR="00D02D3C" w:rsidRPr="00875A0D" w:rsidRDefault="00D02D3C" w:rsidP="00D02D3C">
      <w:pPr>
        <w:pStyle w:val="FootnoteText"/>
        <w:jc w:val="both"/>
        <w:rPr>
          <w:rFonts w:asciiTheme="majorHAnsi" w:hAnsiTheme="majorHAnsi"/>
          <w:color w:val="auto"/>
          <w:sz w:val="16"/>
          <w:szCs w:val="16"/>
        </w:rPr>
      </w:pPr>
      <w:r w:rsidRPr="00875A0D">
        <w:rPr>
          <w:rStyle w:val="FootnoteReference"/>
          <w:rFonts w:asciiTheme="majorHAnsi" w:hAnsiTheme="majorHAnsi"/>
          <w:color w:val="auto"/>
          <w:sz w:val="16"/>
          <w:szCs w:val="16"/>
        </w:rPr>
        <w:footnoteRef/>
      </w:r>
      <w:r w:rsidRPr="00875A0D">
        <w:rPr>
          <w:rFonts w:asciiTheme="majorHAnsi" w:hAnsiTheme="majorHAnsi"/>
          <w:color w:val="auto"/>
          <w:sz w:val="16"/>
          <w:szCs w:val="16"/>
        </w:rPr>
        <w:t xml:space="preserve"> </w:t>
      </w:r>
      <w:r>
        <w:rPr>
          <w:rFonts w:asciiTheme="majorHAnsi" w:hAnsiTheme="majorHAnsi"/>
          <w:color w:val="auto"/>
          <w:sz w:val="16"/>
          <w:szCs w:val="16"/>
        </w:rPr>
        <w:t>IACHR</w:t>
      </w:r>
      <w:r w:rsidRPr="00875A0D">
        <w:rPr>
          <w:rFonts w:asciiTheme="majorHAnsi" w:hAnsiTheme="majorHAnsi"/>
          <w:color w:val="auto"/>
          <w:sz w:val="16"/>
          <w:szCs w:val="16"/>
        </w:rPr>
        <w:t xml:space="preserve">, </w:t>
      </w:r>
      <w:r>
        <w:rPr>
          <w:rFonts w:asciiTheme="majorHAnsi" w:hAnsiTheme="majorHAnsi"/>
          <w:color w:val="auto"/>
          <w:sz w:val="16"/>
          <w:szCs w:val="16"/>
        </w:rPr>
        <w:t>Report No.</w:t>
      </w:r>
      <w:r w:rsidRPr="00875A0D">
        <w:rPr>
          <w:rFonts w:asciiTheme="majorHAnsi" w:hAnsiTheme="majorHAnsi"/>
          <w:color w:val="auto"/>
          <w:sz w:val="16"/>
          <w:szCs w:val="16"/>
        </w:rPr>
        <w:t xml:space="preserve"> 65/11, </w:t>
      </w:r>
      <w:r>
        <w:rPr>
          <w:rFonts w:asciiTheme="majorHAnsi" w:hAnsiTheme="majorHAnsi"/>
          <w:color w:val="auto"/>
          <w:sz w:val="16"/>
          <w:szCs w:val="16"/>
        </w:rPr>
        <w:t>Case</w:t>
      </w:r>
      <w:r w:rsidRPr="00875A0D">
        <w:rPr>
          <w:rFonts w:asciiTheme="majorHAnsi" w:hAnsiTheme="majorHAnsi"/>
          <w:color w:val="auto"/>
          <w:sz w:val="16"/>
          <w:szCs w:val="16"/>
        </w:rPr>
        <w:t xml:space="preserve"> 12</w:t>
      </w:r>
      <w:r>
        <w:rPr>
          <w:rFonts w:asciiTheme="majorHAnsi" w:hAnsiTheme="majorHAnsi"/>
          <w:color w:val="auto"/>
          <w:sz w:val="16"/>
          <w:szCs w:val="16"/>
        </w:rPr>
        <w:t>,</w:t>
      </w:r>
      <w:r w:rsidRPr="00875A0D">
        <w:rPr>
          <w:rFonts w:asciiTheme="majorHAnsi" w:hAnsiTheme="majorHAnsi"/>
          <w:color w:val="auto"/>
          <w:sz w:val="16"/>
          <w:szCs w:val="16"/>
        </w:rPr>
        <w:t xml:space="preserve">600, </w:t>
      </w:r>
      <w:r>
        <w:rPr>
          <w:rFonts w:asciiTheme="majorHAnsi" w:hAnsiTheme="majorHAnsi"/>
          <w:color w:val="auto"/>
          <w:sz w:val="16"/>
          <w:szCs w:val="16"/>
        </w:rPr>
        <w:t xml:space="preserve">Merits, </w:t>
      </w:r>
      <w:r w:rsidRPr="00875A0D">
        <w:rPr>
          <w:rFonts w:asciiTheme="majorHAnsi" w:hAnsiTheme="majorHAnsi"/>
          <w:color w:val="auto"/>
          <w:sz w:val="16"/>
          <w:szCs w:val="16"/>
        </w:rPr>
        <w:t xml:space="preserve">Hugo Quintana </w:t>
      </w:r>
      <w:proofErr w:type="spellStart"/>
      <w:r w:rsidRPr="00875A0D">
        <w:rPr>
          <w:rFonts w:asciiTheme="majorHAnsi" w:hAnsiTheme="majorHAnsi"/>
          <w:color w:val="auto"/>
          <w:sz w:val="16"/>
          <w:szCs w:val="16"/>
        </w:rPr>
        <w:t>Coello</w:t>
      </w:r>
      <w:proofErr w:type="spellEnd"/>
      <w:r w:rsidRPr="00875A0D">
        <w:rPr>
          <w:rFonts w:asciiTheme="majorHAnsi" w:hAnsiTheme="majorHAnsi"/>
          <w:color w:val="auto"/>
          <w:sz w:val="16"/>
          <w:szCs w:val="16"/>
        </w:rPr>
        <w:t xml:space="preserve"> </w:t>
      </w:r>
      <w:r>
        <w:rPr>
          <w:rFonts w:asciiTheme="majorHAnsi" w:hAnsiTheme="majorHAnsi"/>
          <w:color w:val="auto"/>
          <w:sz w:val="16"/>
          <w:szCs w:val="16"/>
        </w:rPr>
        <w:t xml:space="preserve">et al. “Supreme Court of Justice,” </w:t>
      </w:r>
      <w:r w:rsidRPr="00875A0D">
        <w:rPr>
          <w:rFonts w:asciiTheme="majorHAnsi" w:hAnsiTheme="majorHAnsi"/>
          <w:color w:val="auto"/>
          <w:sz w:val="16"/>
          <w:szCs w:val="16"/>
        </w:rPr>
        <w:t xml:space="preserve">Ecuador, </w:t>
      </w:r>
      <w:r>
        <w:rPr>
          <w:rFonts w:asciiTheme="majorHAnsi" w:hAnsiTheme="majorHAnsi"/>
          <w:color w:val="auto"/>
          <w:sz w:val="16"/>
          <w:szCs w:val="16"/>
        </w:rPr>
        <w:t xml:space="preserve">March </w:t>
      </w:r>
      <w:r w:rsidRPr="00875A0D">
        <w:rPr>
          <w:rFonts w:asciiTheme="majorHAnsi" w:hAnsiTheme="majorHAnsi"/>
          <w:color w:val="auto"/>
          <w:sz w:val="16"/>
          <w:szCs w:val="16"/>
        </w:rPr>
        <w:t>31</w:t>
      </w:r>
      <w:r>
        <w:rPr>
          <w:rFonts w:asciiTheme="majorHAnsi" w:hAnsiTheme="majorHAnsi"/>
          <w:color w:val="auto"/>
          <w:sz w:val="16"/>
          <w:szCs w:val="16"/>
        </w:rPr>
        <w:t>,</w:t>
      </w:r>
      <w:r w:rsidRPr="00875A0D">
        <w:rPr>
          <w:rFonts w:asciiTheme="majorHAnsi" w:hAnsiTheme="majorHAnsi"/>
          <w:color w:val="auto"/>
          <w:sz w:val="16"/>
          <w:szCs w:val="16"/>
        </w:rPr>
        <w:t xml:space="preserve"> 2011, </w:t>
      </w:r>
      <w:r>
        <w:rPr>
          <w:rFonts w:asciiTheme="majorHAnsi" w:hAnsiTheme="majorHAnsi"/>
          <w:color w:val="auto"/>
          <w:sz w:val="16"/>
          <w:szCs w:val="16"/>
        </w:rPr>
        <w:t>para.</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102; </w:t>
      </w:r>
      <w:r>
        <w:rPr>
          <w:rFonts w:asciiTheme="majorHAnsi" w:hAnsiTheme="majorHAnsi"/>
          <w:color w:val="auto"/>
          <w:sz w:val="16"/>
          <w:szCs w:val="16"/>
        </w:rPr>
        <w:t>I/A Court HR</w:t>
      </w:r>
      <w:r w:rsidRPr="00875A0D">
        <w:rPr>
          <w:rFonts w:asciiTheme="majorHAnsi" w:hAnsiTheme="majorHAnsi"/>
          <w:color w:val="auto"/>
          <w:sz w:val="16"/>
          <w:szCs w:val="16"/>
        </w:rPr>
        <w:t xml:space="preserve">. </w:t>
      </w:r>
      <w:hyperlink r:id="rId4"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w:t>
        </w:r>
        <w:proofErr w:type="spellStart"/>
        <w:r w:rsidRPr="00875A0D">
          <w:rPr>
            <w:rStyle w:val="Hyperlink"/>
            <w:rFonts w:asciiTheme="majorHAnsi" w:hAnsiTheme="majorHAnsi" w:cs="Arial"/>
            <w:color w:val="auto"/>
            <w:sz w:val="16"/>
            <w:szCs w:val="16"/>
            <w:u w:val="none"/>
            <w:shd w:val="clear" w:color="auto" w:fill="FFFFFF"/>
          </w:rPr>
          <w:t>Baena</w:t>
        </w:r>
        <w:proofErr w:type="spellEnd"/>
        <w:r w:rsidRPr="00875A0D">
          <w:rPr>
            <w:rStyle w:val="Hyperlink"/>
            <w:rFonts w:asciiTheme="majorHAnsi" w:hAnsiTheme="majorHAnsi" w:cs="Arial"/>
            <w:color w:val="auto"/>
            <w:sz w:val="16"/>
            <w:szCs w:val="16"/>
            <w:u w:val="none"/>
            <w:shd w:val="clear" w:color="auto" w:fill="FFFFFF"/>
          </w:rPr>
          <w:t xml:space="preserve"> Ricardo </w:t>
        </w:r>
        <w:r w:rsidRPr="00203A9B">
          <w:rPr>
            <w:rStyle w:val="Hyperlink"/>
            <w:rFonts w:asciiTheme="majorHAnsi" w:hAnsiTheme="majorHAnsi" w:cs="Arial"/>
            <w:color w:val="auto"/>
            <w:sz w:val="16"/>
            <w:szCs w:val="16"/>
            <w:u w:val="none"/>
            <w:shd w:val="clear" w:color="auto" w:fill="FFFFFF"/>
          </w:rPr>
          <w:t>et al.</w:t>
        </w:r>
        <w:r>
          <w:rPr>
            <w:rStyle w:val="Hyperlink"/>
            <w:rFonts w:asciiTheme="majorHAnsi" w:hAnsiTheme="majorHAnsi" w:cs="Arial"/>
            <w:color w:val="auto"/>
            <w:sz w:val="16"/>
            <w:szCs w:val="16"/>
            <w:u w:val="none"/>
            <w:shd w:val="clear" w:color="auto" w:fill="FFFFFF"/>
          </w:rPr>
          <w:t xml:space="preserve"> v.</w:t>
        </w:r>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Panama</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February </w:t>
        </w:r>
        <w:r w:rsidRPr="00875A0D">
          <w:rPr>
            <w:rStyle w:val="Hyperlink"/>
            <w:rFonts w:asciiTheme="majorHAnsi" w:hAnsiTheme="majorHAnsi" w:cs="Arial"/>
            <w:color w:val="auto"/>
            <w:sz w:val="16"/>
            <w:szCs w:val="16"/>
            <w:u w:val="none"/>
            <w:shd w:val="clear" w:color="auto" w:fill="FFFFFF"/>
          </w:rPr>
          <w:t>2</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2001.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72</w:t>
        </w:r>
      </w:hyperlink>
      <w:r w:rsidRPr="00875A0D">
        <w:rPr>
          <w:rFonts w:asciiTheme="majorHAnsi" w:hAnsiTheme="majorHAnsi"/>
          <w:color w:val="auto"/>
          <w:sz w:val="16"/>
          <w:szCs w:val="16"/>
        </w:rPr>
        <w:t xml:space="preserve">, </w:t>
      </w:r>
      <w:r>
        <w:rPr>
          <w:rFonts w:asciiTheme="majorHAnsi" w:hAnsiTheme="majorHAnsi"/>
          <w:color w:val="auto"/>
          <w:sz w:val="16"/>
          <w:szCs w:val="16"/>
        </w:rPr>
        <w:t>paras.</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126-127; </w:t>
      </w:r>
      <w:hyperlink r:id="rId5" w:history="1">
        <w:r>
          <w:rPr>
            <w:rStyle w:val="Hyperlink"/>
            <w:rFonts w:asciiTheme="majorHAnsi" w:hAnsiTheme="majorHAnsi" w:cs="Arial"/>
            <w:color w:val="auto"/>
            <w:sz w:val="16"/>
            <w:szCs w:val="16"/>
            <w:u w:val="none"/>
            <w:shd w:val="clear" w:color="auto" w:fill="FFFFFF"/>
          </w:rPr>
          <w:t xml:space="preserve">Case of the Constitutional Court v. </w:t>
        </w:r>
        <w:r w:rsidRPr="00203A9B">
          <w:rPr>
            <w:rStyle w:val="Hyperlink"/>
            <w:rFonts w:asciiTheme="majorHAnsi" w:hAnsiTheme="majorHAnsi" w:cs="Arial"/>
            <w:color w:val="auto"/>
            <w:sz w:val="16"/>
            <w:szCs w:val="16"/>
            <w:u w:val="none"/>
            <w:shd w:val="clear" w:color="auto" w:fill="FFFFFF"/>
          </w:rPr>
          <w:t>Peru</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January </w:t>
        </w:r>
        <w:r w:rsidRPr="00875A0D">
          <w:rPr>
            <w:rStyle w:val="Hyperlink"/>
            <w:rFonts w:asciiTheme="majorHAnsi" w:hAnsiTheme="majorHAnsi" w:cs="Arial"/>
            <w:color w:val="auto"/>
            <w:sz w:val="16"/>
            <w:szCs w:val="16"/>
            <w:u w:val="none"/>
            <w:shd w:val="clear" w:color="auto" w:fill="FFFFFF"/>
          </w:rPr>
          <w:t>31</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2001.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71</w:t>
        </w:r>
      </w:hyperlink>
      <w:r w:rsidRPr="00875A0D">
        <w:rPr>
          <w:rFonts w:asciiTheme="majorHAnsi" w:hAnsiTheme="majorHAnsi"/>
          <w:color w:val="auto"/>
          <w:sz w:val="16"/>
          <w:szCs w:val="16"/>
        </w:rPr>
        <w:t xml:space="preserve">, </w:t>
      </w:r>
      <w:r>
        <w:rPr>
          <w:rFonts w:asciiTheme="majorHAnsi" w:hAnsiTheme="majorHAnsi"/>
          <w:color w:val="auto"/>
          <w:sz w:val="16"/>
          <w:szCs w:val="16"/>
        </w:rPr>
        <w:t>paras.</w:t>
      </w:r>
      <w:r w:rsidRPr="00875A0D">
        <w:rPr>
          <w:rFonts w:asciiTheme="majorHAnsi" w:hAnsiTheme="majorHAnsi"/>
          <w:color w:val="auto"/>
          <w:sz w:val="16"/>
          <w:szCs w:val="16"/>
        </w:rPr>
        <w:t xml:space="preserve"> </w:t>
      </w:r>
      <w:proofErr w:type="gramStart"/>
      <w:r w:rsidRPr="00875A0D">
        <w:rPr>
          <w:rFonts w:asciiTheme="majorHAnsi" w:hAnsiTheme="majorHAnsi"/>
          <w:color w:val="auto"/>
          <w:sz w:val="16"/>
          <w:szCs w:val="16"/>
        </w:rPr>
        <w:t xml:space="preserve">69-70; </w:t>
      </w:r>
      <w:r>
        <w:rPr>
          <w:rFonts w:asciiTheme="majorHAnsi" w:hAnsiTheme="majorHAnsi"/>
          <w:color w:val="auto"/>
          <w:sz w:val="16"/>
          <w:szCs w:val="16"/>
        </w:rPr>
        <w:t>and</w:t>
      </w:r>
      <w:r w:rsidRPr="00875A0D">
        <w:rPr>
          <w:rFonts w:asciiTheme="majorHAnsi" w:hAnsiTheme="majorHAnsi"/>
          <w:color w:val="auto"/>
          <w:sz w:val="16"/>
          <w:szCs w:val="16"/>
        </w:rPr>
        <w:t xml:space="preserve"> </w:t>
      </w:r>
      <w:hyperlink r:id="rId6"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López Mendoza </w:t>
        </w:r>
        <w:r>
          <w:rPr>
            <w:rStyle w:val="Hyperlink"/>
            <w:rFonts w:asciiTheme="majorHAnsi" w:hAnsiTheme="majorHAnsi" w:cs="Arial"/>
            <w:color w:val="auto"/>
            <w:sz w:val="16"/>
            <w:szCs w:val="16"/>
            <w:u w:val="none"/>
            <w:shd w:val="clear" w:color="auto" w:fill="FFFFFF"/>
          </w:rPr>
          <w:t>v</w:t>
        </w:r>
        <w:r w:rsidRPr="00875A0D">
          <w:rPr>
            <w:rStyle w:val="Hyperlink"/>
            <w:rFonts w:asciiTheme="majorHAnsi" w:hAnsiTheme="majorHAnsi" w:cs="Arial"/>
            <w:color w:val="auto"/>
            <w:sz w:val="16"/>
            <w:szCs w:val="16"/>
            <w:u w:val="none"/>
            <w:shd w:val="clear" w:color="auto" w:fill="FFFFFF"/>
          </w:rPr>
          <w:t>. Venezuela.</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September </w:t>
        </w:r>
        <w:r w:rsidRPr="00875A0D">
          <w:rPr>
            <w:rStyle w:val="Hyperlink"/>
            <w:rFonts w:asciiTheme="majorHAnsi" w:hAnsiTheme="majorHAnsi" w:cs="Arial"/>
            <w:color w:val="auto"/>
            <w:sz w:val="16"/>
            <w:szCs w:val="16"/>
            <w:u w:val="none"/>
            <w:shd w:val="clear" w:color="auto" w:fill="FFFFFF"/>
          </w:rPr>
          <w:t>1</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2011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233</w:t>
        </w:r>
      </w:hyperlink>
      <w:r w:rsidRPr="00875A0D">
        <w:rPr>
          <w:rFonts w:asciiTheme="majorHAnsi" w:hAnsiTheme="majorHAnsi"/>
          <w:color w:val="auto"/>
          <w:sz w:val="16"/>
          <w:szCs w:val="16"/>
        </w:rPr>
        <w:t xml:space="preserve">, </w:t>
      </w:r>
      <w:r>
        <w:rPr>
          <w:rFonts w:asciiTheme="majorHAnsi" w:hAnsiTheme="majorHAnsi"/>
          <w:color w:val="auto"/>
          <w:sz w:val="16"/>
          <w:szCs w:val="16"/>
        </w:rPr>
        <w:t>para.</w:t>
      </w:r>
      <w:proofErr w:type="gramEnd"/>
      <w:r w:rsidRPr="00875A0D">
        <w:rPr>
          <w:rFonts w:asciiTheme="majorHAnsi" w:hAnsiTheme="majorHAnsi"/>
          <w:color w:val="auto"/>
          <w:sz w:val="16"/>
          <w:szCs w:val="16"/>
        </w:rPr>
        <w:t xml:space="preserve"> 111. </w:t>
      </w:r>
    </w:p>
  </w:footnote>
  <w:footnote w:id="27">
    <w:p w14:paraId="76948455" w14:textId="77777777" w:rsidR="00D02D3C" w:rsidRPr="00875A0D" w:rsidRDefault="00D02D3C" w:rsidP="00D02D3C">
      <w:pPr>
        <w:pStyle w:val="FootnoteText"/>
        <w:spacing w:after="120"/>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I/A Court HR</w:t>
      </w:r>
      <w:r w:rsidRPr="00875A0D">
        <w:rPr>
          <w:rFonts w:asciiTheme="majorHAnsi" w:hAnsiTheme="majorHAnsi"/>
          <w:sz w:val="16"/>
          <w:szCs w:val="16"/>
        </w:rPr>
        <w:t xml:space="preserve">. </w:t>
      </w:r>
      <w:hyperlink r:id="rId7"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w:t>
        </w:r>
        <w:proofErr w:type="spellStart"/>
        <w:r w:rsidRPr="00875A0D">
          <w:rPr>
            <w:rStyle w:val="Hyperlink"/>
            <w:rFonts w:asciiTheme="majorHAnsi" w:hAnsiTheme="majorHAnsi" w:cs="Arial"/>
            <w:color w:val="auto"/>
            <w:sz w:val="16"/>
            <w:szCs w:val="16"/>
            <w:u w:val="none"/>
            <w:shd w:val="clear" w:color="auto" w:fill="FFFFFF"/>
          </w:rPr>
          <w:t>Barbani</w:t>
        </w:r>
        <w:proofErr w:type="spellEnd"/>
        <w:r w:rsidRPr="00875A0D">
          <w:rPr>
            <w:rStyle w:val="Hyperlink"/>
            <w:rFonts w:asciiTheme="majorHAnsi" w:hAnsiTheme="majorHAnsi" w:cs="Arial"/>
            <w:color w:val="auto"/>
            <w:sz w:val="16"/>
            <w:szCs w:val="16"/>
            <w:u w:val="none"/>
            <w:shd w:val="clear" w:color="auto" w:fill="FFFFFF"/>
          </w:rPr>
          <w:t xml:space="preserve"> Duarte </w:t>
        </w:r>
        <w:r w:rsidRPr="000D7BD2">
          <w:rPr>
            <w:rStyle w:val="Hyperlink"/>
            <w:rFonts w:asciiTheme="majorHAnsi" w:hAnsiTheme="majorHAnsi" w:cs="Arial"/>
            <w:i/>
            <w:iCs/>
            <w:color w:val="auto"/>
            <w:sz w:val="16"/>
            <w:szCs w:val="16"/>
            <w:u w:val="none"/>
            <w:shd w:val="clear" w:color="auto" w:fill="FFFFFF"/>
          </w:rPr>
          <w:t>et al.</w:t>
        </w:r>
        <w:r>
          <w:rPr>
            <w:rStyle w:val="Hyperlink"/>
            <w:rFonts w:asciiTheme="majorHAnsi" w:hAnsiTheme="majorHAnsi" w:cs="Arial"/>
            <w:color w:val="auto"/>
            <w:sz w:val="16"/>
            <w:szCs w:val="16"/>
            <w:u w:val="none"/>
            <w:shd w:val="clear" w:color="auto" w:fill="FFFFFF"/>
          </w:rPr>
          <w:t xml:space="preserve"> v</w:t>
        </w:r>
        <w:r w:rsidRPr="00875A0D">
          <w:rPr>
            <w:rStyle w:val="Hyperlink"/>
            <w:rFonts w:asciiTheme="majorHAnsi" w:hAnsiTheme="majorHAnsi" w:cs="Arial"/>
            <w:color w:val="auto"/>
            <w:sz w:val="16"/>
            <w:szCs w:val="16"/>
            <w:u w:val="none"/>
            <w:shd w:val="clear" w:color="auto" w:fill="FFFFFF"/>
          </w:rPr>
          <w:t>. Uruguay.</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October </w:t>
        </w:r>
        <w:r w:rsidRPr="00875A0D">
          <w:rPr>
            <w:rStyle w:val="Hyperlink"/>
            <w:rFonts w:asciiTheme="majorHAnsi" w:hAnsiTheme="majorHAnsi" w:cs="Arial"/>
            <w:color w:val="auto"/>
            <w:sz w:val="16"/>
            <w:szCs w:val="16"/>
            <w:u w:val="none"/>
            <w:shd w:val="clear" w:color="auto" w:fill="FFFFFF"/>
          </w:rPr>
          <w:t>13</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2011.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234</w:t>
        </w:r>
      </w:hyperlink>
      <w:r w:rsidRPr="00875A0D">
        <w:rPr>
          <w:rFonts w:asciiTheme="majorHAnsi" w:hAnsiTheme="majorHAnsi"/>
          <w:sz w:val="16"/>
          <w:szCs w:val="16"/>
        </w:rPr>
        <w:t xml:space="preserve">, </w:t>
      </w:r>
      <w:r>
        <w:rPr>
          <w:rFonts w:asciiTheme="majorHAnsi" w:hAnsiTheme="majorHAnsi"/>
          <w:sz w:val="16"/>
          <w:szCs w:val="16"/>
        </w:rPr>
        <w:t>para.</w:t>
      </w:r>
      <w:r w:rsidRPr="00875A0D">
        <w:rPr>
          <w:rFonts w:asciiTheme="majorHAnsi" w:hAnsiTheme="majorHAnsi"/>
          <w:sz w:val="16"/>
          <w:szCs w:val="16"/>
        </w:rPr>
        <w:t xml:space="preserve"> </w:t>
      </w:r>
      <w:proofErr w:type="gramStart"/>
      <w:r w:rsidRPr="00875A0D">
        <w:rPr>
          <w:rFonts w:asciiTheme="majorHAnsi" w:hAnsiTheme="majorHAnsi"/>
          <w:sz w:val="16"/>
          <w:szCs w:val="16"/>
        </w:rPr>
        <w:t>118;</w:t>
      </w:r>
      <w:r>
        <w:rPr>
          <w:rFonts w:asciiTheme="majorHAnsi" w:hAnsiTheme="majorHAnsi"/>
          <w:sz w:val="16"/>
          <w:szCs w:val="16"/>
        </w:rPr>
        <w:t xml:space="preserve"> and </w:t>
      </w:r>
      <w:hyperlink r:id="rId8"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Claude Reyes </w:t>
        </w:r>
        <w:r w:rsidRPr="00203A9B">
          <w:rPr>
            <w:rStyle w:val="Hyperlink"/>
            <w:rFonts w:asciiTheme="majorHAnsi" w:hAnsiTheme="majorHAnsi" w:cs="Arial"/>
            <w:i/>
            <w:iCs/>
            <w:color w:val="auto"/>
            <w:sz w:val="16"/>
            <w:szCs w:val="16"/>
            <w:u w:val="none"/>
            <w:shd w:val="clear" w:color="auto" w:fill="FFFFFF"/>
          </w:rPr>
          <w:t>et al.</w:t>
        </w:r>
        <w:r>
          <w:rPr>
            <w:rStyle w:val="Hyperlink"/>
            <w:rFonts w:asciiTheme="majorHAnsi" w:hAnsiTheme="majorHAnsi" w:cs="Arial"/>
            <w:color w:val="auto"/>
            <w:sz w:val="16"/>
            <w:szCs w:val="16"/>
            <w:u w:val="none"/>
            <w:shd w:val="clear" w:color="auto" w:fill="FFFFFF"/>
          </w:rPr>
          <w:t xml:space="preserve"> v</w:t>
        </w:r>
        <w:r w:rsidRPr="00875A0D">
          <w:rPr>
            <w:rStyle w:val="Hyperlink"/>
            <w:rFonts w:asciiTheme="majorHAnsi" w:hAnsiTheme="majorHAnsi" w:cs="Arial"/>
            <w:color w:val="auto"/>
            <w:sz w:val="16"/>
            <w:szCs w:val="16"/>
            <w:u w:val="none"/>
            <w:shd w:val="clear" w:color="auto" w:fill="FFFFFF"/>
          </w:rPr>
          <w:t>. Chile.</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September </w:t>
        </w:r>
        <w:r w:rsidRPr="00875A0D">
          <w:rPr>
            <w:rStyle w:val="Hyperlink"/>
            <w:rFonts w:asciiTheme="majorHAnsi" w:hAnsiTheme="majorHAnsi" w:cs="Arial"/>
            <w:color w:val="auto"/>
            <w:sz w:val="16"/>
            <w:szCs w:val="16"/>
            <w:u w:val="none"/>
            <w:shd w:val="clear" w:color="auto" w:fill="FFFFFF"/>
          </w:rPr>
          <w:t>19</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2006.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151</w:t>
        </w:r>
      </w:hyperlink>
      <w:r w:rsidRPr="00875A0D">
        <w:rPr>
          <w:rFonts w:asciiTheme="majorHAnsi" w:hAnsiTheme="majorHAnsi"/>
          <w:sz w:val="16"/>
          <w:szCs w:val="16"/>
        </w:rPr>
        <w:t xml:space="preserve">, </w:t>
      </w:r>
      <w:r>
        <w:rPr>
          <w:rFonts w:asciiTheme="majorHAnsi" w:hAnsiTheme="majorHAnsi"/>
          <w:sz w:val="16"/>
          <w:szCs w:val="16"/>
        </w:rPr>
        <w:t>para.</w:t>
      </w:r>
      <w:r w:rsidRPr="00875A0D">
        <w:rPr>
          <w:rFonts w:asciiTheme="majorHAnsi" w:hAnsiTheme="majorHAnsi"/>
          <w:sz w:val="16"/>
          <w:szCs w:val="16"/>
        </w:rPr>
        <w:t xml:space="preserve"> 118.</w:t>
      </w:r>
    </w:p>
  </w:footnote>
  <w:footnote w:id="28">
    <w:p w14:paraId="3AA5A205"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ECHR</w:t>
      </w:r>
      <w:r w:rsidRPr="00875A0D">
        <w:rPr>
          <w:rFonts w:asciiTheme="majorHAnsi" w:hAnsiTheme="majorHAnsi"/>
          <w:sz w:val="16"/>
          <w:szCs w:val="16"/>
        </w:rPr>
        <w:t xml:space="preserve">, </w:t>
      </w:r>
      <w:proofErr w:type="spellStart"/>
      <w:r w:rsidRPr="00875A0D">
        <w:rPr>
          <w:rFonts w:asciiTheme="majorHAnsi" w:hAnsiTheme="majorHAnsi"/>
          <w:sz w:val="16"/>
          <w:szCs w:val="16"/>
        </w:rPr>
        <w:t>Cudak</w:t>
      </w:r>
      <w:proofErr w:type="spellEnd"/>
      <w:r w:rsidRPr="00875A0D">
        <w:rPr>
          <w:rFonts w:asciiTheme="majorHAnsi" w:hAnsiTheme="majorHAnsi"/>
          <w:sz w:val="16"/>
          <w:szCs w:val="16"/>
        </w:rPr>
        <w:t xml:space="preserve"> v. L</w:t>
      </w:r>
      <w:r>
        <w:rPr>
          <w:rFonts w:asciiTheme="majorHAnsi" w:hAnsiTheme="majorHAnsi"/>
          <w:sz w:val="16"/>
          <w:szCs w:val="16"/>
        </w:rPr>
        <w:t>ithuania</w:t>
      </w:r>
      <w:r w:rsidRPr="00875A0D">
        <w:rPr>
          <w:rFonts w:asciiTheme="majorHAnsi" w:hAnsiTheme="majorHAnsi"/>
          <w:sz w:val="16"/>
          <w:szCs w:val="16"/>
        </w:rPr>
        <w:t xml:space="preserve">. </w:t>
      </w:r>
      <w:proofErr w:type="gramStart"/>
      <w:r w:rsidRPr="00875A0D">
        <w:rPr>
          <w:rFonts w:asciiTheme="majorHAnsi" w:hAnsiTheme="majorHAnsi"/>
          <w:sz w:val="16"/>
          <w:szCs w:val="16"/>
        </w:rPr>
        <w:t>Application No. 15869/025.</w:t>
      </w:r>
      <w:proofErr w:type="gramEnd"/>
      <w:r w:rsidRPr="00875A0D">
        <w:rPr>
          <w:rFonts w:asciiTheme="majorHAnsi" w:hAnsiTheme="majorHAnsi"/>
          <w:sz w:val="16"/>
          <w:szCs w:val="16"/>
        </w:rPr>
        <w:t xml:space="preserve"> </w:t>
      </w:r>
      <w:proofErr w:type="gramStart"/>
      <w:r w:rsidRPr="00875A0D">
        <w:rPr>
          <w:rFonts w:asciiTheme="majorHAnsi" w:hAnsiTheme="majorHAnsi"/>
          <w:sz w:val="16"/>
          <w:szCs w:val="16"/>
        </w:rPr>
        <w:t>Judgment of March 23, 2010, para.</w:t>
      </w:r>
      <w:proofErr w:type="gramEnd"/>
      <w:r>
        <w:rPr>
          <w:rFonts w:asciiTheme="majorHAnsi" w:hAnsiTheme="majorHAnsi"/>
          <w:sz w:val="16"/>
          <w:szCs w:val="16"/>
        </w:rPr>
        <w:t xml:space="preserve"> </w:t>
      </w:r>
      <w:r w:rsidRPr="00875A0D">
        <w:rPr>
          <w:rFonts w:asciiTheme="majorHAnsi" w:hAnsiTheme="majorHAnsi"/>
          <w:sz w:val="16"/>
          <w:szCs w:val="16"/>
        </w:rPr>
        <w:t>42.</w:t>
      </w:r>
    </w:p>
  </w:footnote>
  <w:footnote w:id="29">
    <w:p w14:paraId="7F457E71" w14:textId="77777777" w:rsidR="00D02D3C" w:rsidRPr="00875A0D" w:rsidRDefault="00D02D3C" w:rsidP="00D02D3C">
      <w:pPr>
        <w:pStyle w:val="FootnoteText"/>
        <w:spacing w:after="120"/>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I/A Court HR</w:t>
      </w:r>
      <w:r w:rsidRPr="00875A0D">
        <w:rPr>
          <w:rFonts w:asciiTheme="majorHAnsi" w:hAnsiTheme="majorHAnsi"/>
          <w:sz w:val="16"/>
          <w:szCs w:val="16"/>
        </w:rPr>
        <w:t xml:space="preserve">. </w:t>
      </w:r>
      <w:hyperlink r:id="rId9" w:history="1">
        <w:r>
          <w:rPr>
            <w:rStyle w:val="Hyperlink"/>
            <w:rFonts w:asciiTheme="majorHAnsi" w:hAnsiTheme="majorHAnsi" w:cs="Arial"/>
            <w:color w:val="auto"/>
            <w:sz w:val="16"/>
            <w:szCs w:val="16"/>
            <w:u w:val="none"/>
            <w:shd w:val="clear" w:color="auto" w:fill="FFFFFF"/>
          </w:rPr>
          <w:t>Case of</w:t>
        </w:r>
        <w:r w:rsidRPr="00875A0D">
          <w:rPr>
            <w:rStyle w:val="Hyperlink"/>
            <w:rFonts w:asciiTheme="majorHAnsi" w:hAnsiTheme="majorHAnsi" w:cs="Arial"/>
            <w:color w:val="auto"/>
            <w:sz w:val="16"/>
            <w:szCs w:val="16"/>
            <w:u w:val="none"/>
            <w:shd w:val="clear" w:color="auto" w:fill="FFFFFF"/>
          </w:rPr>
          <w:t xml:space="preserve"> </w:t>
        </w:r>
        <w:proofErr w:type="spellStart"/>
        <w:r w:rsidRPr="00875A0D">
          <w:rPr>
            <w:rStyle w:val="Hyperlink"/>
            <w:rFonts w:asciiTheme="majorHAnsi" w:hAnsiTheme="majorHAnsi" w:cs="Arial"/>
            <w:color w:val="auto"/>
            <w:sz w:val="16"/>
            <w:szCs w:val="16"/>
            <w:u w:val="none"/>
            <w:shd w:val="clear" w:color="auto" w:fill="FFFFFF"/>
          </w:rPr>
          <w:t>Barbani</w:t>
        </w:r>
        <w:proofErr w:type="spellEnd"/>
        <w:r w:rsidRPr="00875A0D">
          <w:rPr>
            <w:rStyle w:val="Hyperlink"/>
            <w:rFonts w:asciiTheme="majorHAnsi" w:hAnsiTheme="majorHAnsi" w:cs="Arial"/>
            <w:color w:val="auto"/>
            <w:sz w:val="16"/>
            <w:szCs w:val="16"/>
            <w:u w:val="none"/>
            <w:shd w:val="clear" w:color="auto" w:fill="FFFFFF"/>
          </w:rPr>
          <w:t xml:space="preserve"> Duarte </w:t>
        </w:r>
        <w:r w:rsidRPr="00203A9B">
          <w:rPr>
            <w:rStyle w:val="Hyperlink"/>
            <w:rFonts w:asciiTheme="majorHAnsi" w:hAnsiTheme="majorHAnsi" w:cs="Arial"/>
            <w:i/>
            <w:iCs/>
            <w:color w:val="auto"/>
            <w:sz w:val="16"/>
            <w:szCs w:val="16"/>
            <w:u w:val="none"/>
            <w:shd w:val="clear" w:color="auto" w:fill="FFFFFF"/>
          </w:rPr>
          <w:t>et al.</w:t>
        </w:r>
        <w:r>
          <w:rPr>
            <w:rStyle w:val="Hyperlink"/>
            <w:rFonts w:asciiTheme="majorHAnsi" w:hAnsiTheme="majorHAnsi" w:cs="Arial"/>
            <w:color w:val="auto"/>
            <w:sz w:val="16"/>
            <w:szCs w:val="16"/>
            <w:u w:val="none"/>
            <w:shd w:val="clear" w:color="auto" w:fill="FFFFFF"/>
          </w:rPr>
          <w:t xml:space="preserve"> v</w:t>
        </w:r>
        <w:r w:rsidRPr="00875A0D">
          <w:rPr>
            <w:rStyle w:val="Hyperlink"/>
            <w:rFonts w:asciiTheme="majorHAnsi" w:hAnsiTheme="majorHAnsi" w:cs="Arial"/>
            <w:color w:val="auto"/>
            <w:sz w:val="16"/>
            <w:szCs w:val="16"/>
            <w:u w:val="none"/>
            <w:shd w:val="clear" w:color="auto" w:fill="FFFFFF"/>
          </w:rPr>
          <w:t>. Uruguay.</w:t>
        </w:r>
        <w:proofErr w:type="gramEnd"/>
        <w:r w:rsidRPr="00875A0D">
          <w:rPr>
            <w:rStyle w:val="Hyperlink"/>
            <w:rFonts w:asciiTheme="majorHAnsi" w:hAnsiTheme="majorHAnsi" w:cs="Arial"/>
            <w:color w:val="auto"/>
            <w:sz w:val="16"/>
            <w:szCs w:val="16"/>
            <w:u w:val="none"/>
            <w:shd w:val="clear" w:color="auto" w:fill="FFFFFF"/>
          </w:rPr>
          <w:t xml:space="preserve"> </w:t>
        </w:r>
        <w:proofErr w:type="gramStart"/>
        <w:r w:rsidRPr="00203A9B">
          <w:rPr>
            <w:rStyle w:val="Hyperlink"/>
            <w:rFonts w:asciiTheme="majorHAnsi" w:hAnsiTheme="majorHAnsi" w:cs="Arial"/>
            <w:color w:val="auto"/>
            <w:sz w:val="16"/>
            <w:szCs w:val="16"/>
            <w:u w:val="none"/>
            <w:shd w:val="clear" w:color="auto" w:fill="FFFFFF"/>
          </w:rPr>
          <w:t>Merits, Reparations and Costs</w:t>
        </w:r>
        <w:r w:rsidRPr="00875A0D">
          <w:rPr>
            <w:rStyle w:val="Hyperlink"/>
            <w:rFonts w:asciiTheme="majorHAnsi" w:hAnsiTheme="majorHAnsi" w:cs="Arial"/>
            <w:color w:val="auto"/>
            <w:sz w:val="16"/>
            <w:szCs w:val="16"/>
            <w:u w:val="none"/>
            <w:shd w:val="clear" w:color="auto" w:fill="FFFFFF"/>
          </w:rPr>
          <w:t>.</w:t>
        </w:r>
        <w:proofErr w:type="gramEnd"/>
        <w:r w:rsidRPr="00875A0D">
          <w:rPr>
            <w:rStyle w:val="Hyperlink"/>
            <w:rFonts w:asciiTheme="majorHAnsi" w:hAnsiTheme="majorHAnsi" w:cs="Arial"/>
            <w:color w:val="auto"/>
            <w:sz w:val="16"/>
            <w:szCs w:val="16"/>
            <w:u w:val="none"/>
            <w:shd w:val="clear" w:color="auto" w:fill="FFFFFF"/>
          </w:rPr>
          <w:t xml:space="preserve"> </w:t>
        </w:r>
        <w:r w:rsidRPr="00203A9B">
          <w:rPr>
            <w:rStyle w:val="Hyperlink"/>
            <w:rFonts w:asciiTheme="majorHAnsi" w:hAnsiTheme="majorHAnsi" w:cs="Arial"/>
            <w:color w:val="auto"/>
            <w:sz w:val="16"/>
            <w:szCs w:val="16"/>
            <w:u w:val="none"/>
            <w:shd w:val="clear" w:color="auto" w:fill="FFFFFF"/>
          </w:rPr>
          <w:t>Judgment of</w:t>
        </w:r>
        <w:r w:rsidRPr="00875A0D">
          <w:rPr>
            <w:rStyle w:val="Hyperlink"/>
            <w:rFonts w:asciiTheme="majorHAnsi" w:hAnsiTheme="majorHAnsi" w:cs="Arial"/>
            <w:color w:val="auto"/>
            <w:sz w:val="16"/>
            <w:szCs w:val="16"/>
            <w:u w:val="none"/>
            <w:shd w:val="clear" w:color="auto" w:fill="FFFFFF"/>
          </w:rPr>
          <w:t xml:space="preserve"> </w:t>
        </w:r>
        <w:r>
          <w:rPr>
            <w:rStyle w:val="Hyperlink"/>
            <w:rFonts w:asciiTheme="majorHAnsi" w:hAnsiTheme="majorHAnsi" w:cs="Arial"/>
            <w:color w:val="auto"/>
            <w:sz w:val="16"/>
            <w:szCs w:val="16"/>
            <w:u w:val="none"/>
            <w:shd w:val="clear" w:color="auto" w:fill="FFFFFF"/>
          </w:rPr>
          <w:t xml:space="preserve">October </w:t>
        </w:r>
        <w:r w:rsidRPr="00875A0D">
          <w:rPr>
            <w:rStyle w:val="Hyperlink"/>
            <w:rFonts w:asciiTheme="majorHAnsi" w:hAnsiTheme="majorHAnsi" w:cs="Arial"/>
            <w:color w:val="auto"/>
            <w:sz w:val="16"/>
            <w:szCs w:val="16"/>
            <w:u w:val="none"/>
            <w:shd w:val="clear" w:color="auto" w:fill="FFFFFF"/>
          </w:rPr>
          <w:t>13</w:t>
        </w:r>
        <w:r>
          <w:rPr>
            <w:rStyle w:val="Hyperlink"/>
            <w:rFonts w:asciiTheme="majorHAnsi" w:hAnsiTheme="majorHAnsi" w:cs="Arial"/>
            <w:color w:val="auto"/>
            <w:sz w:val="16"/>
            <w:szCs w:val="16"/>
            <w:u w:val="none"/>
            <w:shd w:val="clear" w:color="auto" w:fill="FFFFFF"/>
          </w:rPr>
          <w:t>,</w:t>
        </w:r>
        <w:r w:rsidRPr="00875A0D">
          <w:rPr>
            <w:rStyle w:val="Hyperlink"/>
            <w:rFonts w:asciiTheme="majorHAnsi" w:hAnsiTheme="majorHAnsi" w:cs="Arial"/>
            <w:color w:val="auto"/>
            <w:sz w:val="16"/>
            <w:szCs w:val="16"/>
            <w:u w:val="none"/>
            <w:shd w:val="clear" w:color="auto" w:fill="FFFFFF"/>
          </w:rPr>
          <w:t xml:space="preserve"> 2011. </w:t>
        </w:r>
        <w:r w:rsidRPr="00203A9B">
          <w:rPr>
            <w:rStyle w:val="Hyperlink"/>
            <w:rFonts w:asciiTheme="majorHAnsi" w:hAnsiTheme="majorHAnsi" w:cs="Arial"/>
            <w:color w:val="auto"/>
            <w:sz w:val="16"/>
            <w:szCs w:val="16"/>
            <w:u w:val="none"/>
            <w:shd w:val="clear" w:color="auto" w:fill="FFFFFF"/>
          </w:rPr>
          <w:t>Series C</w:t>
        </w:r>
        <w:r w:rsidRPr="00875A0D">
          <w:rPr>
            <w:rStyle w:val="Hyperlink"/>
            <w:rFonts w:asciiTheme="majorHAnsi" w:hAnsiTheme="majorHAnsi" w:cs="Arial"/>
            <w:color w:val="auto"/>
            <w:sz w:val="16"/>
            <w:szCs w:val="16"/>
            <w:u w:val="none"/>
            <w:shd w:val="clear" w:color="auto" w:fill="FFFFFF"/>
          </w:rPr>
          <w:t xml:space="preserve"> No. 234</w:t>
        </w:r>
      </w:hyperlink>
      <w:r w:rsidRPr="00875A0D">
        <w:rPr>
          <w:rFonts w:asciiTheme="majorHAnsi" w:hAnsiTheme="majorHAnsi"/>
          <w:sz w:val="16"/>
          <w:szCs w:val="16"/>
        </w:rPr>
        <w:t xml:space="preserve">, </w:t>
      </w:r>
      <w:r>
        <w:rPr>
          <w:rFonts w:asciiTheme="majorHAnsi" w:hAnsiTheme="majorHAnsi"/>
          <w:sz w:val="16"/>
          <w:szCs w:val="16"/>
        </w:rPr>
        <w:t>paras.</w:t>
      </w:r>
      <w:r w:rsidRPr="00875A0D">
        <w:rPr>
          <w:rFonts w:asciiTheme="majorHAnsi" w:hAnsiTheme="majorHAnsi"/>
          <w:sz w:val="16"/>
          <w:szCs w:val="16"/>
        </w:rPr>
        <w:t xml:space="preserve"> 118-119.</w:t>
      </w:r>
    </w:p>
  </w:footnote>
  <w:footnote w:id="30">
    <w:p w14:paraId="2810B315" w14:textId="77777777" w:rsidR="00D02D3C" w:rsidRPr="00875A0D" w:rsidRDefault="00D02D3C" w:rsidP="00D02D3C">
      <w:pPr>
        <w:jc w:val="both"/>
        <w:rPr>
          <w:rFonts w:asciiTheme="majorHAnsi" w:eastAsia="Times New Roman"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IACHR</w:t>
      </w:r>
      <w:r w:rsidRPr="00875A0D">
        <w:rPr>
          <w:rFonts w:asciiTheme="majorHAnsi" w:hAnsiTheme="majorHAnsi"/>
          <w:sz w:val="16"/>
          <w:szCs w:val="16"/>
        </w:rPr>
        <w:t xml:space="preserve">, </w:t>
      </w:r>
      <w:r>
        <w:rPr>
          <w:rFonts w:asciiTheme="majorHAnsi" w:hAnsiTheme="majorHAnsi"/>
          <w:sz w:val="16"/>
          <w:szCs w:val="16"/>
        </w:rPr>
        <w:t xml:space="preserve">Case </w:t>
      </w:r>
      <w:r w:rsidRPr="00875A0D">
        <w:rPr>
          <w:rFonts w:asciiTheme="majorHAnsi" w:hAnsiTheme="majorHAnsi"/>
          <w:sz w:val="16"/>
          <w:szCs w:val="16"/>
        </w:rPr>
        <w:t>12</w:t>
      </w:r>
      <w:r>
        <w:rPr>
          <w:rFonts w:asciiTheme="majorHAnsi" w:hAnsiTheme="majorHAnsi"/>
          <w:sz w:val="16"/>
          <w:szCs w:val="16"/>
        </w:rPr>
        <w:t>,</w:t>
      </w:r>
      <w:r w:rsidRPr="00875A0D">
        <w:rPr>
          <w:rFonts w:asciiTheme="majorHAnsi" w:hAnsiTheme="majorHAnsi"/>
          <w:sz w:val="16"/>
          <w:szCs w:val="16"/>
        </w:rPr>
        <w:t xml:space="preserve">816, </w:t>
      </w:r>
      <w:r>
        <w:rPr>
          <w:rFonts w:asciiTheme="majorHAnsi" w:hAnsiTheme="majorHAnsi"/>
          <w:sz w:val="16"/>
          <w:szCs w:val="16"/>
        </w:rPr>
        <w:t>Merits, Report No.</w:t>
      </w:r>
      <w:r w:rsidRPr="00875A0D">
        <w:rPr>
          <w:rFonts w:asciiTheme="majorHAnsi" w:hAnsiTheme="majorHAnsi"/>
          <w:sz w:val="16"/>
          <w:szCs w:val="16"/>
        </w:rPr>
        <w:t xml:space="preserve"> 103/13, </w:t>
      </w:r>
      <w:r>
        <w:rPr>
          <w:rFonts w:asciiTheme="majorHAnsi" w:hAnsiTheme="majorHAnsi"/>
          <w:sz w:val="16"/>
          <w:szCs w:val="16"/>
        </w:rPr>
        <w:t xml:space="preserve">November </w:t>
      </w:r>
      <w:r w:rsidRPr="00875A0D">
        <w:rPr>
          <w:rFonts w:asciiTheme="majorHAnsi" w:hAnsiTheme="majorHAnsi"/>
          <w:sz w:val="16"/>
          <w:szCs w:val="16"/>
        </w:rPr>
        <w:t>5</w:t>
      </w:r>
      <w:r>
        <w:rPr>
          <w:rFonts w:asciiTheme="majorHAnsi" w:hAnsiTheme="majorHAnsi"/>
          <w:sz w:val="16"/>
          <w:szCs w:val="16"/>
        </w:rPr>
        <w:t>,</w:t>
      </w:r>
      <w:r w:rsidRPr="00875A0D">
        <w:rPr>
          <w:rFonts w:asciiTheme="majorHAnsi" w:hAnsiTheme="majorHAnsi"/>
          <w:sz w:val="16"/>
          <w:szCs w:val="16"/>
        </w:rPr>
        <w:t xml:space="preserve"> 2013, </w:t>
      </w:r>
      <w:r>
        <w:rPr>
          <w:rFonts w:asciiTheme="majorHAnsi" w:hAnsiTheme="majorHAnsi"/>
          <w:sz w:val="16"/>
          <w:szCs w:val="16"/>
        </w:rPr>
        <w:t>para.</w:t>
      </w:r>
      <w:proofErr w:type="gramEnd"/>
      <w:r w:rsidRPr="00875A0D">
        <w:rPr>
          <w:rFonts w:asciiTheme="majorHAnsi" w:hAnsiTheme="majorHAnsi"/>
          <w:sz w:val="16"/>
          <w:szCs w:val="16"/>
        </w:rPr>
        <w:t xml:space="preserve"> 112. Cit</w:t>
      </w:r>
      <w:r>
        <w:rPr>
          <w:rFonts w:asciiTheme="majorHAnsi" w:hAnsiTheme="majorHAnsi"/>
          <w:sz w:val="16"/>
          <w:szCs w:val="16"/>
        </w:rPr>
        <w:t xml:space="preserve">ing United Nations, Human Rights Committee, General Comment No. </w:t>
      </w:r>
      <w:r w:rsidRPr="00875A0D">
        <w:rPr>
          <w:rFonts w:asciiTheme="majorHAnsi" w:eastAsia="Times New Roman" w:hAnsiTheme="majorHAnsi"/>
          <w:sz w:val="16"/>
          <w:szCs w:val="16"/>
        </w:rPr>
        <w:t xml:space="preserve">32, CCPR/C/GC/32, </w:t>
      </w:r>
      <w:r>
        <w:rPr>
          <w:rFonts w:asciiTheme="majorHAnsi" w:eastAsia="Times New Roman" w:hAnsiTheme="majorHAnsi"/>
          <w:sz w:val="16"/>
          <w:szCs w:val="16"/>
        </w:rPr>
        <w:t xml:space="preserve">August </w:t>
      </w:r>
      <w:r w:rsidRPr="00875A0D">
        <w:rPr>
          <w:rFonts w:asciiTheme="majorHAnsi" w:eastAsia="Times New Roman" w:hAnsiTheme="majorHAnsi"/>
          <w:sz w:val="16"/>
          <w:szCs w:val="16"/>
        </w:rPr>
        <w:t>23</w:t>
      </w:r>
      <w:r>
        <w:rPr>
          <w:rFonts w:asciiTheme="majorHAnsi" w:eastAsia="Times New Roman" w:hAnsiTheme="majorHAnsi"/>
          <w:sz w:val="16"/>
          <w:szCs w:val="16"/>
        </w:rPr>
        <w:t>,</w:t>
      </w:r>
      <w:r w:rsidRPr="00875A0D">
        <w:rPr>
          <w:rFonts w:asciiTheme="majorHAnsi" w:eastAsia="Times New Roman" w:hAnsiTheme="majorHAnsi"/>
          <w:sz w:val="16"/>
          <w:szCs w:val="16"/>
        </w:rPr>
        <w:t xml:space="preserve"> 2007, </w:t>
      </w:r>
      <w:r>
        <w:rPr>
          <w:rFonts w:asciiTheme="majorHAnsi" w:eastAsia="Times New Roman" w:hAnsiTheme="majorHAnsi"/>
          <w:sz w:val="16"/>
          <w:szCs w:val="16"/>
        </w:rPr>
        <w:t xml:space="preserve">para. </w:t>
      </w:r>
      <w:r w:rsidRPr="00875A0D">
        <w:rPr>
          <w:rFonts w:asciiTheme="majorHAnsi" w:eastAsia="Times New Roman" w:hAnsiTheme="majorHAnsi"/>
          <w:sz w:val="16"/>
          <w:szCs w:val="16"/>
        </w:rPr>
        <w:t xml:space="preserve">19. </w:t>
      </w:r>
      <w:r>
        <w:rPr>
          <w:rFonts w:asciiTheme="majorHAnsi" w:eastAsia="Times New Roman" w:hAnsiTheme="majorHAnsi"/>
          <w:sz w:val="16"/>
          <w:szCs w:val="16"/>
        </w:rPr>
        <w:t xml:space="preserve">See in this regard, Habeas </w:t>
      </w:r>
      <w:r w:rsidRPr="00875A0D">
        <w:rPr>
          <w:rFonts w:asciiTheme="majorHAnsi" w:eastAsia="Times New Roman" w:hAnsiTheme="majorHAnsi"/>
          <w:sz w:val="16"/>
          <w:szCs w:val="16"/>
        </w:rPr>
        <w:t xml:space="preserve">Corpus </w:t>
      </w:r>
      <w:r>
        <w:rPr>
          <w:rFonts w:asciiTheme="majorHAnsi" w:eastAsia="Times New Roman" w:hAnsiTheme="majorHAnsi"/>
          <w:sz w:val="16"/>
          <w:szCs w:val="16"/>
        </w:rPr>
        <w:t xml:space="preserve">in Emergency Situations </w:t>
      </w:r>
      <w:r w:rsidRPr="00875A0D">
        <w:rPr>
          <w:rFonts w:asciiTheme="majorHAnsi" w:eastAsia="Times New Roman" w:hAnsiTheme="majorHAnsi"/>
          <w:sz w:val="16"/>
          <w:szCs w:val="16"/>
        </w:rPr>
        <w:t>(</w:t>
      </w:r>
      <w:r>
        <w:rPr>
          <w:rFonts w:asciiTheme="majorHAnsi" w:eastAsia="Times New Roman" w:hAnsiTheme="majorHAnsi"/>
          <w:sz w:val="16"/>
          <w:szCs w:val="16"/>
        </w:rPr>
        <w:t xml:space="preserve">Articles </w:t>
      </w:r>
      <w:r w:rsidRPr="00875A0D">
        <w:rPr>
          <w:rFonts w:asciiTheme="majorHAnsi" w:eastAsia="Times New Roman" w:hAnsiTheme="majorHAnsi"/>
          <w:sz w:val="16"/>
          <w:szCs w:val="16"/>
        </w:rPr>
        <w:t>27</w:t>
      </w:r>
      <w:r>
        <w:rPr>
          <w:rFonts w:asciiTheme="majorHAnsi" w:eastAsia="Times New Roman" w:hAnsiTheme="majorHAnsi"/>
          <w:sz w:val="16"/>
          <w:szCs w:val="16"/>
        </w:rPr>
        <w:t>(</w:t>
      </w:r>
      <w:r w:rsidRPr="00875A0D">
        <w:rPr>
          <w:rFonts w:asciiTheme="majorHAnsi" w:eastAsia="Times New Roman" w:hAnsiTheme="majorHAnsi"/>
          <w:sz w:val="16"/>
          <w:szCs w:val="16"/>
        </w:rPr>
        <w:t>2</w:t>
      </w:r>
      <w:r>
        <w:rPr>
          <w:rFonts w:asciiTheme="majorHAnsi" w:eastAsia="Times New Roman" w:hAnsiTheme="majorHAnsi"/>
          <w:sz w:val="16"/>
          <w:szCs w:val="16"/>
        </w:rPr>
        <w:t>)</w:t>
      </w:r>
      <w:r w:rsidRPr="00875A0D">
        <w:rPr>
          <w:rFonts w:asciiTheme="majorHAnsi" w:eastAsia="Times New Roman" w:hAnsiTheme="majorHAnsi"/>
          <w:sz w:val="16"/>
          <w:szCs w:val="16"/>
        </w:rPr>
        <w:t>, 25</w:t>
      </w:r>
      <w:r>
        <w:rPr>
          <w:rFonts w:asciiTheme="majorHAnsi" w:eastAsia="Times New Roman" w:hAnsiTheme="majorHAnsi"/>
          <w:sz w:val="16"/>
          <w:szCs w:val="16"/>
        </w:rPr>
        <w:t>(</w:t>
      </w:r>
      <w:r w:rsidRPr="00875A0D">
        <w:rPr>
          <w:rFonts w:asciiTheme="majorHAnsi" w:eastAsia="Times New Roman" w:hAnsiTheme="majorHAnsi"/>
          <w:sz w:val="16"/>
          <w:szCs w:val="16"/>
        </w:rPr>
        <w:t>1</w:t>
      </w:r>
      <w:r>
        <w:rPr>
          <w:rFonts w:asciiTheme="majorHAnsi" w:eastAsia="Times New Roman" w:hAnsiTheme="majorHAnsi"/>
          <w:sz w:val="16"/>
          <w:szCs w:val="16"/>
        </w:rPr>
        <w:t>)</w:t>
      </w:r>
      <w:r w:rsidRPr="00875A0D">
        <w:rPr>
          <w:rFonts w:asciiTheme="majorHAnsi" w:eastAsia="Times New Roman" w:hAnsiTheme="majorHAnsi"/>
          <w:sz w:val="16"/>
          <w:szCs w:val="16"/>
        </w:rPr>
        <w:t xml:space="preserve"> </w:t>
      </w:r>
      <w:r>
        <w:rPr>
          <w:rFonts w:asciiTheme="majorHAnsi" w:eastAsia="Times New Roman" w:hAnsiTheme="majorHAnsi"/>
          <w:sz w:val="16"/>
          <w:szCs w:val="16"/>
        </w:rPr>
        <w:t xml:space="preserve">and </w:t>
      </w:r>
      <w:r w:rsidRPr="00875A0D">
        <w:rPr>
          <w:rFonts w:asciiTheme="majorHAnsi" w:eastAsia="Times New Roman" w:hAnsiTheme="majorHAnsi"/>
          <w:sz w:val="16"/>
          <w:szCs w:val="16"/>
        </w:rPr>
        <w:t>7</w:t>
      </w:r>
      <w:r>
        <w:rPr>
          <w:rFonts w:asciiTheme="majorHAnsi" w:eastAsia="Times New Roman" w:hAnsiTheme="majorHAnsi"/>
          <w:sz w:val="16"/>
          <w:szCs w:val="16"/>
        </w:rPr>
        <w:t>(</w:t>
      </w:r>
      <w:r w:rsidRPr="00875A0D">
        <w:rPr>
          <w:rFonts w:asciiTheme="majorHAnsi" w:eastAsia="Times New Roman" w:hAnsiTheme="majorHAnsi"/>
          <w:sz w:val="16"/>
          <w:szCs w:val="16"/>
        </w:rPr>
        <w:t>6</w:t>
      </w:r>
      <w:r>
        <w:rPr>
          <w:rFonts w:asciiTheme="majorHAnsi" w:eastAsia="Times New Roman" w:hAnsiTheme="majorHAnsi"/>
          <w:sz w:val="16"/>
          <w:szCs w:val="16"/>
        </w:rPr>
        <w:t>)</w:t>
      </w:r>
      <w:r w:rsidRPr="00875A0D">
        <w:rPr>
          <w:rFonts w:asciiTheme="majorHAnsi" w:eastAsia="Times New Roman" w:hAnsiTheme="majorHAnsi"/>
          <w:sz w:val="16"/>
          <w:szCs w:val="16"/>
        </w:rPr>
        <w:t xml:space="preserve"> American</w:t>
      </w:r>
      <w:r>
        <w:rPr>
          <w:rFonts w:asciiTheme="majorHAnsi" w:eastAsia="Times New Roman" w:hAnsiTheme="majorHAnsi"/>
          <w:sz w:val="16"/>
          <w:szCs w:val="16"/>
        </w:rPr>
        <w:t xml:space="preserve"> Convention on Human Rights</w:t>
      </w:r>
      <w:r w:rsidRPr="00875A0D">
        <w:rPr>
          <w:rFonts w:asciiTheme="majorHAnsi" w:eastAsia="Times New Roman" w:hAnsiTheme="majorHAnsi"/>
          <w:sz w:val="16"/>
          <w:szCs w:val="16"/>
        </w:rPr>
        <w:t xml:space="preserve">). </w:t>
      </w:r>
      <w:r>
        <w:rPr>
          <w:rFonts w:asciiTheme="majorHAnsi" w:eastAsia="Times New Roman" w:hAnsiTheme="majorHAnsi"/>
          <w:sz w:val="16"/>
          <w:szCs w:val="16"/>
        </w:rPr>
        <w:t xml:space="preserve">Advisory Opinion </w:t>
      </w:r>
      <w:r w:rsidRPr="00875A0D">
        <w:rPr>
          <w:rFonts w:asciiTheme="majorHAnsi" w:eastAsia="Times New Roman" w:hAnsiTheme="majorHAnsi"/>
          <w:sz w:val="16"/>
          <w:szCs w:val="16"/>
        </w:rPr>
        <w:t>OC-8/87</w:t>
      </w:r>
      <w:r>
        <w:rPr>
          <w:rFonts w:asciiTheme="majorHAnsi" w:eastAsia="Times New Roman" w:hAnsiTheme="majorHAnsi"/>
          <w:sz w:val="16"/>
          <w:szCs w:val="16"/>
        </w:rPr>
        <w:t xml:space="preserve">, January </w:t>
      </w:r>
      <w:r w:rsidRPr="00875A0D">
        <w:rPr>
          <w:rFonts w:asciiTheme="majorHAnsi" w:eastAsia="Times New Roman" w:hAnsiTheme="majorHAnsi"/>
          <w:sz w:val="16"/>
          <w:szCs w:val="16"/>
        </w:rPr>
        <w:t>30</w:t>
      </w:r>
      <w:r>
        <w:rPr>
          <w:rFonts w:asciiTheme="majorHAnsi" w:eastAsia="Times New Roman" w:hAnsiTheme="majorHAnsi"/>
          <w:sz w:val="16"/>
          <w:szCs w:val="16"/>
        </w:rPr>
        <w:t>,</w:t>
      </w:r>
      <w:r w:rsidRPr="00875A0D">
        <w:rPr>
          <w:rFonts w:asciiTheme="majorHAnsi" w:eastAsia="Times New Roman" w:hAnsiTheme="majorHAnsi"/>
          <w:sz w:val="16"/>
          <w:szCs w:val="16"/>
        </w:rPr>
        <w:t xml:space="preserve"> 1987. Serie</w:t>
      </w:r>
      <w:r>
        <w:rPr>
          <w:rFonts w:asciiTheme="majorHAnsi" w:eastAsia="Times New Roman" w:hAnsiTheme="majorHAnsi"/>
          <w:sz w:val="16"/>
          <w:szCs w:val="16"/>
        </w:rPr>
        <w:t>s</w:t>
      </w:r>
      <w:r w:rsidRPr="00875A0D">
        <w:rPr>
          <w:rFonts w:asciiTheme="majorHAnsi" w:eastAsia="Times New Roman" w:hAnsiTheme="majorHAnsi"/>
          <w:sz w:val="16"/>
          <w:szCs w:val="16"/>
        </w:rPr>
        <w:t xml:space="preserve"> </w:t>
      </w:r>
      <w:proofErr w:type="gramStart"/>
      <w:r w:rsidRPr="00875A0D">
        <w:rPr>
          <w:rFonts w:asciiTheme="majorHAnsi" w:eastAsia="Times New Roman" w:hAnsiTheme="majorHAnsi"/>
          <w:sz w:val="16"/>
          <w:szCs w:val="16"/>
        </w:rPr>
        <w:t>A</w:t>
      </w:r>
      <w:proofErr w:type="gramEnd"/>
      <w:r w:rsidRPr="00875A0D">
        <w:rPr>
          <w:rFonts w:asciiTheme="majorHAnsi" w:eastAsia="Times New Roman" w:hAnsiTheme="majorHAnsi"/>
          <w:sz w:val="16"/>
          <w:szCs w:val="16"/>
        </w:rPr>
        <w:t xml:space="preserve"> No. 8, </w:t>
      </w:r>
      <w:r>
        <w:rPr>
          <w:rFonts w:asciiTheme="majorHAnsi" w:eastAsia="Times New Roman" w:hAnsiTheme="majorHAnsi"/>
          <w:sz w:val="16"/>
          <w:szCs w:val="16"/>
        </w:rPr>
        <w:t>para.</w:t>
      </w:r>
      <w:r w:rsidRPr="00875A0D">
        <w:rPr>
          <w:rFonts w:asciiTheme="majorHAnsi" w:eastAsia="Times New Roman" w:hAnsiTheme="majorHAnsi"/>
          <w:sz w:val="16"/>
          <w:szCs w:val="16"/>
        </w:rPr>
        <w:t xml:space="preserve"> 30.</w:t>
      </w:r>
      <w:r w:rsidRPr="00875A0D">
        <w:rPr>
          <w:rFonts w:asciiTheme="majorHAnsi" w:hAnsiTheme="majorHAnsi"/>
          <w:sz w:val="16"/>
          <w:szCs w:val="16"/>
        </w:rPr>
        <w:t xml:space="preserve"> </w:t>
      </w:r>
      <w:r>
        <w:rPr>
          <w:rFonts w:asciiTheme="majorHAnsi" w:hAnsiTheme="majorHAnsi"/>
          <w:sz w:val="16"/>
          <w:szCs w:val="16"/>
        </w:rPr>
        <w:t>See also, IACHR</w:t>
      </w:r>
      <w:r w:rsidRPr="00875A0D">
        <w:rPr>
          <w:rFonts w:asciiTheme="majorHAnsi" w:hAnsiTheme="majorHAnsi"/>
          <w:sz w:val="16"/>
          <w:szCs w:val="16"/>
        </w:rPr>
        <w:t>, Democrac</w:t>
      </w:r>
      <w:r>
        <w:rPr>
          <w:rFonts w:asciiTheme="majorHAnsi" w:hAnsiTheme="majorHAnsi"/>
          <w:sz w:val="16"/>
          <w:szCs w:val="16"/>
        </w:rPr>
        <w:t xml:space="preserve">y and Human Rights in </w:t>
      </w:r>
      <w:r w:rsidRPr="00875A0D">
        <w:rPr>
          <w:rFonts w:asciiTheme="majorHAnsi" w:hAnsiTheme="majorHAnsi"/>
          <w:sz w:val="16"/>
          <w:szCs w:val="16"/>
        </w:rPr>
        <w:t xml:space="preserve">Venezuela, III. </w:t>
      </w:r>
      <w:r>
        <w:rPr>
          <w:rFonts w:asciiTheme="majorHAnsi" w:hAnsiTheme="majorHAnsi"/>
          <w:sz w:val="16"/>
          <w:szCs w:val="16"/>
        </w:rPr>
        <w:t xml:space="preserve">Independence and Separation of Public Powers, December </w:t>
      </w:r>
      <w:r w:rsidRPr="00875A0D">
        <w:rPr>
          <w:rFonts w:asciiTheme="majorHAnsi" w:hAnsiTheme="majorHAnsi"/>
          <w:sz w:val="16"/>
          <w:szCs w:val="16"/>
        </w:rPr>
        <w:t>30</w:t>
      </w:r>
      <w:r>
        <w:rPr>
          <w:rFonts w:asciiTheme="majorHAnsi" w:hAnsiTheme="majorHAnsi"/>
          <w:sz w:val="16"/>
          <w:szCs w:val="16"/>
        </w:rPr>
        <w:t>,</w:t>
      </w:r>
      <w:r w:rsidRPr="00875A0D">
        <w:rPr>
          <w:rFonts w:asciiTheme="majorHAnsi" w:hAnsiTheme="majorHAnsi"/>
          <w:sz w:val="16"/>
          <w:szCs w:val="16"/>
        </w:rPr>
        <w:t xml:space="preserve"> 2009. </w:t>
      </w:r>
      <w:proofErr w:type="gramStart"/>
      <w:r>
        <w:rPr>
          <w:rFonts w:asciiTheme="majorHAnsi" w:hAnsiTheme="majorHAnsi"/>
          <w:sz w:val="16"/>
          <w:szCs w:val="16"/>
        </w:rPr>
        <w:t>para</w:t>
      </w:r>
      <w:proofErr w:type="gramEnd"/>
      <w:r>
        <w:rPr>
          <w:rFonts w:asciiTheme="majorHAnsi" w:hAnsiTheme="majorHAnsi"/>
          <w:sz w:val="16"/>
          <w:szCs w:val="16"/>
        </w:rPr>
        <w:t>.</w:t>
      </w:r>
      <w:r w:rsidRPr="00875A0D">
        <w:rPr>
          <w:rFonts w:asciiTheme="majorHAnsi" w:hAnsiTheme="majorHAnsi"/>
          <w:sz w:val="16"/>
          <w:szCs w:val="16"/>
        </w:rPr>
        <w:t xml:space="preserve"> 80.</w:t>
      </w:r>
    </w:p>
  </w:footnote>
  <w:footnote w:id="31">
    <w:p w14:paraId="23B2F430" w14:textId="77777777" w:rsidR="00D02D3C" w:rsidRPr="00875A0D" w:rsidRDefault="00D02D3C" w:rsidP="00D02D3C">
      <w:pPr>
        <w:pStyle w:val="FootnoteText"/>
        <w:jc w:val="both"/>
        <w:rPr>
          <w:rFonts w:asciiTheme="majorHAnsi" w:hAnsiTheme="majorHAnsi"/>
          <w:sz w:val="16"/>
          <w:szCs w:val="16"/>
        </w:rPr>
      </w:pPr>
      <w:r w:rsidRPr="00875A0D">
        <w:rPr>
          <w:rFonts w:asciiTheme="majorHAnsi" w:hAnsiTheme="majorHAnsi"/>
          <w:sz w:val="16"/>
          <w:szCs w:val="16"/>
          <w:vertAlign w:val="superscript"/>
        </w:rPr>
        <w:footnoteRef/>
      </w:r>
      <w:r w:rsidRPr="00875A0D">
        <w:rPr>
          <w:rFonts w:asciiTheme="majorHAnsi" w:hAnsiTheme="majorHAnsi"/>
          <w:sz w:val="16"/>
          <w:szCs w:val="16"/>
        </w:rPr>
        <w:t xml:space="preserve"> </w:t>
      </w:r>
      <w:proofErr w:type="gramStart"/>
      <w:r>
        <w:rPr>
          <w:rFonts w:asciiTheme="majorHAnsi" w:hAnsiTheme="majorHAnsi"/>
          <w:sz w:val="16"/>
          <w:szCs w:val="16"/>
        </w:rPr>
        <w:t>I/A Court HR</w:t>
      </w:r>
      <w:r w:rsidRPr="00875A0D">
        <w:rPr>
          <w:rFonts w:asciiTheme="majorHAnsi" w:hAnsiTheme="majorHAnsi"/>
          <w:sz w:val="16"/>
          <w:szCs w:val="16"/>
        </w:rPr>
        <w:t xml:space="preserve">. </w:t>
      </w:r>
      <w:r>
        <w:rPr>
          <w:rFonts w:asciiTheme="majorHAnsi" w:hAnsiTheme="majorHAnsi"/>
          <w:sz w:val="16"/>
          <w:szCs w:val="16"/>
        </w:rPr>
        <w:t>Case of</w:t>
      </w:r>
      <w:r w:rsidRPr="00875A0D">
        <w:rPr>
          <w:rFonts w:asciiTheme="majorHAnsi" w:hAnsiTheme="majorHAnsi"/>
          <w:sz w:val="16"/>
          <w:szCs w:val="16"/>
        </w:rPr>
        <w:t xml:space="preserve"> </w:t>
      </w:r>
      <w:proofErr w:type="spellStart"/>
      <w:r w:rsidRPr="00875A0D">
        <w:rPr>
          <w:rFonts w:asciiTheme="majorHAnsi" w:hAnsiTheme="majorHAnsi"/>
          <w:sz w:val="16"/>
          <w:szCs w:val="16"/>
        </w:rPr>
        <w:t>Reverón</w:t>
      </w:r>
      <w:proofErr w:type="spellEnd"/>
      <w:r w:rsidRPr="00875A0D">
        <w:rPr>
          <w:rFonts w:asciiTheme="majorHAnsi" w:hAnsiTheme="majorHAnsi"/>
          <w:sz w:val="16"/>
          <w:szCs w:val="16"/>
        </w:rPr>
        <w:t xml:space="preserve"> Trujillo </w:t>
      </w:r>
      <w:r>
        <w:rPr>
          <w:rFonts w:asciiTheme="majorHAnsi" w:hAnsiTheme="majorHAnsi"/>
          <w:sz w:val="16"/>
          <w:szCs w:val="16"/>
        </w:rPr>
        <w:t>v.</w:t>
      </w:r>
      <w:r w:rsidRPr="00875A0D">
        <w:rPr>
          <w:rFonts w:asciiTheme="majorHAnsi" w:hAnsiTheme="majorHAnsi"/>
          <w:sz w:val="16"/>
          <w:szCs w:val="16"/>
        </w:rPr>
        <w:t xml:space="preserve"> Venezuela.</w:t>
      </w:r>
      <w:proofErr w:type="gramEnd"/>
      <w:r w:rsidRPr="00875A0D">
        <w:rPr>
          <w:rFonts w:asciiTheme="majorHAnsi" w:hAnsiTheme="majorHAnsi"/>
          <w:sz w:val="16"/>
          <w:szCs w:val="16"/>
        </w:rPr>
        <w:t xml:space="preserve"> </w:t>
      </w:r>
      <w:proofErr w:type="gramStart"/>
      <w:r w:rsidRPr="00D02E8B">
        <w:rPr>
          <w:rFonts w:asciiTheme="majorHAnsi" w:hAnsiTheme="majorHAnsi"/>
          <w:sz w:val="16"/>
          <w:szCs w:val="16"/>
        </w:rPr>
        <w:t>Preliminary Objection</w:t>
      </w:r>
      <w:r w:rsidRPr="00875A0D">
        <w:rPr>
          <w:rFonts w:asciiTheme="majorHAnsi" w:hAnsiTheme="majorHAnsi"/>
          <w:sz w:val="16"/>
          <w:szCs w:val="16"/>
        </w:rPr>
        <w:t xml:space="preserve">, </w:t>
      </w:r>
      <w:r w:rsidRPr="00203A9B">
        <w:rPr>
          <w:rFonts w:asciiTheme="majorHAnsi" w:hAnsiTheme="majorHAnsi"/>
          <w:sz w:val="16"/>
          <w:szCs w:val="16"/>
        </w:rPr>
        <w:t>Merits, Reparations and Costs</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sidRPr="00203A9B">
        <w:rPr>
          <w:rFonts w:asciiTheme="majorHAnsi" w:hAnsiTheme="majorHAnsi"/>
          <w:sz w:val="16"/>
          <w:szCs w:val="16"/>
        </w:rPr>
        <w:t>Judgment of</w:t>
      </w:r>
      <w:r w:rsidRPr="00875A0D">
        <w:rPr>
          <w:rFonts w:asciiTheme="majorHAnsi" w:hAnsiTheme="majorHAnsi"/>
          <w:sz w:val="16"/>
          <w:szCs w:val="16"/>
        </w:rPr>
        <w:t xml:space="preserve"> </w:t>
      </w:r>
      <w:r>
        <w:rPr>
          <w:rFonts w:asciiTheme="majorHAnsi" w:hAnsiTheme="majorHAnsi"/>
          <w:sz w:val="16"/>
          <w:szCs w:val="16"/>
        </w:rPr>
        <w:t xml:space="preserve">June </w:t>
      </w:r>
      <w:r w:rsidRPr="00875A0D">
        <w:rPr>
          <w:rFonts w:asciiTheme="majorHAnsi" w:hAnsiTheme="majorHAnsi"/>
          <w:sz w:val="16"/>
          <w:szCs w:val="16"/>
        </w:rPr>
        <w:t>30</w:t>
      </w:r>
      <w:r>
        <w:rPr>
          <w:rFonts w:asciiTheme="majorHAnsi" w:hAnsiTheme="majorHAnsi"/>
          <w:sz w:val="16"/>
          <w:szCs w:val="16"/>
        </w:rPr>
        <w:t>,</w:t>
      </w:r>
      <w:r w:rsidRPr="00875A0D">
        <w:rPr>
          <w:rFonts w:asciiTheme="majorHAnsi" w:hAnsiTheme="majorHAnsi"/>
          <w:sz w:val="16"/>
          <w:szCs w:val="16"/>
        </w:rPr>
        <w:t xml:space="preserve"> 2009. </w:t>
      </w:r>
      <w:r w:rsidRPr="00203A9B">
        <w:rPr>
          <w:rFonts w:asciiTheme="majorHAnsi" w:hAnsiTheme="majorHAnsi"/>
          <w:sz w:val="16"/>
          <w:szCs w:val="16"/>
        </w:rPr>
        <w:t>Series C</w:t>
      </w:r>
      <w:r w:rsidRPr="00875A0D">
        <w:rPr>
          <w:rFonts w:asciiTheme="majorHAnsi" w:hAnsiTheme="majorHAnsi"/>
          <w:sz w:val="16"/>
          <w:szCs w:val="16"/>
        </w:rPr>
        <w:t xml:space="preserve"> No. 197, </w:t>
      </w:r>
      <w:r>
        <w:rPr>
          <w:rFonts w:asciiTheme="majorHAnsi" w:hAnsiTheme="majorHAnsi"/>
          <w:sz w:val="16"/>
          <w:szCs w:val="16"/>
        </w:rPr>
        <w:t>para.</w:t>
      </w:r>
      <w:r w:rsidRPr="00875A0D">
        <w:rPr>
          <w:rFonts w:asciiTheme="majorHAnsi" w:hAnsiTheme="majorHAnsi"/>
          <w:sz w:val="16"/>
          <w:szCs w:val="16"/>
        </w:rPr>
        <w:t xml:space="preserve"> </w:t>
      </w:r>
      <w:proofErr w:type="gramStart"/>
      <w:r w:rsidRPr="00875A0D">
        <w:rPr>
          <w:rFonts w:asciiTheme="majorHAnsi" w:hAnsiTheme="majorHAnsi"/>
          <w:sz w:val="16"/>
          <w:szCs w:val="16"/>
        </w:rPr>
        <w:t xml:space="preserve">67; </w:t>
      </w:r>
      <w:r>
        <w:rPr>
          <w:rFonts w:asciiTheme="majorHAnsi" w:hAnsiTheme="majorHAnsi"/>
          <w:sz w:val="16"/>
          <w:szCs w:val="16"/>
        </w:rPr>
        <w:t>IACHR</w:t>
      </w:r>
      <w:r w:rsidRPr="00875A0D">
        <w:rPr>
          <w:rFonts w:asciiTheme="majorHAnsi" w:hAnsiTheme="majorHAnsi"/>
          <w:sz w:val="16"/>
          <w:szCs w:val="16"/>
        </w:rPr>
        <w:t>, Democrac</w:t>
      </w:r>
      <w:r>
        <w:rPr>
          <w:rFonts w:asciiTheme="majorHAnsi" w:hAnsiTheme="majorHAnsi"/>
          <w:sz w:val="16"/>
          <w:szCs w:val="16"/>
        </w:rPr>
        <w:t>y and Human Rights</w:t>
      </w:r>
      <w:r w:rsidRPr="00875A0D">
        <w:rPr>
          <w:rFonts w:asciiTheme="majorHAnsi" w:hAnsiTheme="majorHAnsi"/>
          <w:sz w:val="16"/>
          <w:szCs w:val="16"/>
        </w:rPr>
        <w:t xml:space="preserve">, </w:t>
      </w:r>
      <w:r>
        <w:rPr>
          <w:rFonts w:asciiTheme="majorHAnsi" w:hAnsiTheme="majorHAnsi"/>
          <w:sz w:val="16"/>
          <w:szCs w:val="16"/>
        </w:rPr>
        <w:t xml:space="preserve">December </w:t>
      </w:r>
      <w:r w:rsidRPr="00875A0D">
        <w:rPr>
          <w:rFonts w:asciiTheme="majorHAnsi" w:hAnsiTheme="majorHAnsi"/>
          <w:sz w:val="16"/>
          <w:szCs w:val="16"/>
        </w:rPr>
        <w:t>30</w:t>
      </w:r>
      <w:r>
        <w:rPr>
          <w:rFonts w:asciiTheme="majorHAnsi" w:hAnsiTheme="majorHAnsi"/>
          <w:sz w:val="16"/>
          <w:szCs w:val="16"/>
        </w:rPr>
        <w:t>,</w:t>
      </w:r>
      <w:r w:rsidRPr="00875A0D">
        <w:rPr>
          <w:rFonts w:asciiTheme="majorHAnsi" w:hAnsiTheme="majorHAnsi"/>
          <w:sz w:val="16"/>
          <w:szCs w:val="16"/>
        </w:rPr>
        <w:t xml:space="preserve"> 2009, </w:t>
      </w:r>
      <w:r>
        <w:rPr>
          <w:rFonts w:asciiTheme="majorHAnsi" w:hAnsiTheme="majorHAnsi"/>
          <w:sz w:val="16"/>
          <w:szCs w:val="16"/>
        </w:rPr>
        <w:t>para.</w:t>
      </w:r>
      <w:proofErr w:type="gramEnd"/>
      <w:r w:rsidRPr="00875A0D">
        <w:rPr>
          <w:rFonts w:asciiTheme="majorHAnsi" w:hAnsiTheme="majorHAnsi"/>
          <w:sz w:val="16"/>
          <w:szCs w:val="16"/>
        </w:rPr>
        <w:t xml:space="preserve"> </w:t>
      </w:r>
      <w:proofErr w:type="gramStart"/>
      <w:r w:rsidRPr="00875A0D">
        <w:rPr>
          <w:rFonts w:asciiTheme="majorHAnsi" w:hAnsiTheme="majorHAnsi"/>
          <w:sz w:val="16"/>
          <w:szCs w:val="16"/>
        </w:rPr>
        <w:t xml:space="preserve">185; </w:t>
      </w:r>
      <w:r>
        <w:rPr>
          <w:rFonts w:asciiTheme="majorHAnsi" w:hAnsiTheme="majorHAnsi"/>
          <w:sz w:val="16"/>
          <w:szCs w:val="16"/>
        </w:rPr>
        <w:t>IACHR</w:t>
      </w:r>
      <w:r w:rsidRPr="00875A0D">
        <w:rPr>
          <w:rFonts w:asciiTheme="majorHAnsi" w:hAnsiTheme="majorHAnsi"/>
          <w:sz w:val="16"/>
          <w:szCs w:val="16"/>
        </w:rPr>
        <w:t xml:space="preserve">, </w:t>
      </w:r>
      <w:r>
        <w:rPr>
          <w:rFonts w:asciiTheme="majorHAnsi" w:hAnsiTheme="majorHAnsi"/>
          <w:sz w:val="16"/>
          <w:szCs w:val="16"/>
        </w:rPr>
        <w:t>Second Report on the Situation of Human Rights Defenders, December</w:t>
      </w:r>
      <w:r w:rsidRPr="00875A0D">
        <w:rPr>
          <w:rFonts w:asciiTheme="majorHAnsi" w:hAnsiTheme="majorHAnsi"/>
          <w:sz w:val="16"/>
          <w:szCs w:val="16"/>
        </w:rPr>
        <w:t xml:space="preserve"> 31</w:t>
      </w:r>
      <w:r>
        <w:rPr>
          <w:rFonts w:asciiTheme="majorHAnsi" w:hAnsiTheme="majorHAnsi"/>
          <w:sz w:val="16"/>
          <w:szCs w:val="16"/>
        </w:rPr>
        <w:t>,</w:t>
      </w:r>
      <w:r w:rsidRPr="00875A0D">
        <w:rPr>
          <w:rFonts w:asciiTheme="majorHAnsi" w:hAnsiTheme="majorHAnsi"/>
          <w:sz w:val="16"/>
          <w:szCs w:val="16"/>
        </w:rPr>
        <w:t xml:space="preserve"> 2011, </w:t>
      </w:r>
      <w:r>
        <w:rPr>
          <w:rFonts w:asciiTheme="majorHAnsi" w:hAnsiTheme="majorHAnsi"/>
          <w:sz w:val="16"/>
          <w:szCs w:val="16"/>
        </w:rPr>
        <w:t>para.</w:t>
      </w:r>
      <w:proofErr w:type="gramEnd"/>
      <w:r w:rsidRPr="00875A0D">
        <w:rPr>
          <w:rFonts w:asciiTheme="majorHAnsi" w:hAnsiTheme="majorHAnsi"/>
          <w:sz w:val="16"/>
          <w:szCs w:val="16"/>
        </w:rPr>
        <w:t xml:space="preserve"> 359. </w:t>
      </w:r>
    </w:p>
  </w:footnote>
  <w:footnote w:id="32">
    <w:p w14:paraId="234E9AD3" w14:textId="77777777" w:rsidR="00D02D3C" w:rsidRPr="00D02D3C" w:rsidRDefault="00D02D3C" w:rsidP="00D02D3C">
      <w:pPr>
        <w:pStyle w:val="FootnoteText"/>
        <w:jc w:val="both"/>
        <w:rPr>
          <w:rFonts w:asciiTheme="majorHAnsi" w:hAnsiTheme="majorHAnsi"/>
          <w:sz w:val="16"/>
          <w:szCs w:val="16"/>
        </w:rPr>
      </w:pPr>
      <w:r w:rsidRPr="00875A0D">
        <w:rPr>
          <w:rFonts w:asciiTheme="majorHAnsi" w:hAnsiTheme="majorHAnsi"/>
          <w:sz w:val="16"/>
          <w:szCs w:val="16"/>
          <w:vertAlign w:val="superscript"/>
        </w:rPr>
        <w:footnoteRef/>
      </w:r>
      <w:r w:rsidRPr="00875A0D">
        <w:rPr>
          <w:rFonts w:asciiTheme="majorHAnsi" w:hAnsiTheme="majorHAnsi"/>
          <w:sz w:val="16"/>
          <w:szCs w:val="16"/>
        </w:rPr>
        <w:t xml:space="preserve"> </w:t>
      </w:r>
      <w:r>
        <w:rPr>
          <w:rFonts w:asciiTheme="majorHAnsi" w:hAnsiTheme="majorHAnsi"/>
          <w:sz w:val="16"/>
          <w:szCs w:val="16"/>
        </w:rPr>
        <w:t xml:space="preserve">Thus, for example, the Inter-American Court has indicated that the obligations of the State with respect to parties subject to proceedings before the courts give rise, in turn, to “rights for judges,” among which the Court has indicated </w:t>
      </w:r>
      <w:r w:rsidRPr="00374B13">
        <w:rPr>
          <w:rFonts w:asciiTheme="majorHAnsi" w:hAnsiTheme="majorHAnsi"/>
          <w:sz w:val="16"/>
          <w:szCs w:val="16"/>
        </w:rPr>
        <w:t>the guarantee that judges enjoy that they shall not be subject to discretionary removal, mean</w:t>
      </w:r>
      <w:r>
        <w:rPr>
          <w:rFonts w:asciiTheme="majorHAnsi" w:hAnsiTheme="majorHAnsi"/>
          <w:sz w:val="16"/>
          <w:szCs w:val="16"/>
        </w:rPr>
        <w:t>ing</w:t>
      </w:r>
      <w:r w:rsidRPr="00374B13">
        <w:rPr>
          <w:rFonts w:asciiTheme="majorHAnsi" w:hAnsiTheme="majorHAnsi"/>
          <w:sz w:val="16"/>
          <w:szCs w:val="16"/>
        </w:rPr>
        <w:t xml:space="preserve"> that disciplinary proceedings involving judges must observe the guarantees of due process and offer judges undergoing a disciplinary process an effective </w:t>
      </w:r>
      <w:r>
        <w:rPr>
          <w:rFonts w:asciiTheme="majorHAnsi" w:hAnsiTheme="majorHAnsi"/>
          <w:sz w:val="16"/>
          <w:szCs w:val="16"/>
        </w:rPr>
        <w:t xml:space="preserve">remedy. </w:t>
      </w:r>
      <w:proofErr w:type="gramStart"/>
      <w:r>
        <w:rPr>
          <w:rFonts w:asciiTheme="majorHAnsi" w:hAnsiTheme="majorHAnsi"/>
          <w:sz w:val="16"/>
          <w:szCs w:val="16"/>
        </w:rPr>
        <w:t>I/A Court HR</w:t>
      </w:r>
      <w:r w:rsidRPr="00875A0D">
        <w:rPr>
          <w:rFonts w:asciiTheme="majorHAnsi" w:hAnsiTheme="majorHAnsi"/>
          <w:sz w:val="16"/>
          <w:szCs w:val="16"/>
        </w:rPr>
        <w:t xml:space="preserve">. </w:t>
      </w:r>
      <w:r>
        <w:rPr>
          <w:rFonts w:asciiTheme="majorHAnsi" w:hAnsiTheme="majorHAnsi"/>
          <w:sz w:val="16"/>
          <w:szCs w:val="16"/>
        </w:rPr>
        <w:t>Case of</w:t>
      </w:r>
      <w:r w:rsidRPr="00875A0D">
        <w:rPr>
          <w:rFonts w:asciiTheme="majorHAnsi" w:hAnsiTheme="majorHAnsi"/>
          <w:sz w:val="16"/>
          <w:szCs w:val="16"/>
        </w:rPr>
        <w:t xml:space="preserve"> </w:t>
      </w:r>
      <w:proofErr w:type="spellStart"/>
      <w:r w:rsidRPr="00875A0D">
        <w:rPr>
          <w:rFonts w:asciiTheme="majorHAnsi" w:hAnsiTheme="majorHAnsi"/>
          <w:sz w:val="16"/>
          <w:szCs w:val="16"/>
        </w:rPr>
        <w:t>Apitz</w:t>
      </w:r>
      <w:proofErr w:type="spellEnd"/>
      <w:r w:rsidRPr="00875A0D">
        <w:rPr>
          <w:rFonts w:asciiTheme="majorHAnsi" w:hAnsiTheme="majorHAnsi"/>
          <w:sz w:val="16"/>
          <w:szCs w:val="16"/>
        </w:rPr>
        <w:t xml:space="preserve"> </w:t>
      </w:r>
      <w:proofErr w:type="spellStart"/>
      <w:r w:rsidRPr="00875A0D">
        <w:rPr>
          <w:rFonts w:asciiTheme="majorHAnsi" w:hAnsiTheme="majorHAnsi"/>
          <w:sz w:val="16"/>
          <w:szCs w:val="16"/>
        </w:rPr>
        <w:t>Barbera</w:t>
      </w:r>
      <w:proofErr w:type="spellEnd"/>
      <w:r w:rsidRPr="00875A0D">
        <w:rPr>
          <w:rFonts w:asciiTheme="majorHAnsi" w:hAnsiTheme="majorHAnsi"/>
          <w:sz w:val="16"/>
          <w:szCs w:val="16"/>
        </w:rPr>
        <w:t xml:space="preserve"> </w:t>
      </w:r>
      <w:r>
        <w:rPr>
          <w:rFonts w:asciiTheme="majorHAnsi" w:hAnsiTheme="majorHAnsi"/>
          <w:sz w:val="16"/>
          <w:szCs w:val="16"/>
        </w:rPr>
        <w:t xml:space="preserve">et al. </w:t>
      </w:r>
      <w:r w:rsidRPr="00875A0D">
        <w:rPr>
          <w:rFonts w:asciiTheme="majorHAnsi" w:hAnsiTheme="majorHAnsi"/>
          <w:sz w:val="16"/>
          <w:szCs w:val="16"/>
        </w:rPr>
        <w:t>(“</w:t>
      </w:r>
      <w:r>
        <w:rPr>
          <w:rFonts w:asciiTheme="majorHAnsi" w:hAnsiTheme="majorHAnsi"/>
          <w:sz w:val="16"/>
          <w:szCs w:val="16"/>
        </w:rPr>
        <w:t>First Court of Administrative Disputes</w:t>
      </w:r>
      <w:r w:rsidRPr="00875A0D">
        <w:rPr>
          <w:rFonts w:asciiTheme="majorHAnsi" w:hAnsiTheme="majorHAnsi"/>
          <w:sz w:val="16"/>
          <w:szCs w:val="16"/>
        </w:rPr>
        <w:t xml:space="preserve">”) </w:t>
      </w:r>
      <w:r>
        <w:rPr>
          <w:rFonts w:asciiTheme="majorHAnsi" w:hAnsiTheme="majorHAnsi"/>
          <w:sz w:val="16"/>
          <w:szCs w:val="16"/>
        </w:rPr>
        <w:t>v</w:t>
      </w:r>
      <w:r w:rsidRPr="00875A0D">
        <w:rPr>
          <w:rFonts w:asciiTheme="majorHAnsi" w:hAnsiTheme="majorHAnsi"/>
          <w:sz w:val="16"/>
          <w:szCs w:val="16"/>
        </w:rPr>
        <w:t>. Venezuela.</w:t>
      </w:r>
      <w:proofErr w:type="gramEnd"/>
      <w:r w:rsidRPr="00875A0D">
        <w:rPr>
          <w:rFonts w:asciiTheme="majorHAnsi" w:hAnsiTheme="majorHAnsi"/>
          <w:sz w:val="16"/>
          <w:szCs w:val="16"/>
        </w:rPr>
        <w:t xml:space="preserve"> </w:t>
      </w:r>
      <w:proofErr w:type="gramStart"/>
      <w:r w:rsidRPr="00D02E8B">
        <w:rPr>
          <w:rFonts w:asciiTheme="majorHAnsi" w:hAnsiTheme="majorHAnsi"/>
          <w:sz w:val="16"/>
          <w:szCs w:val="16"/>
        </w:rPr>
        <w:t>Preliminary Objection</w:t>
      </w:r>
      <w:r w:rsidRPr="00875A0D">
        <w:rPr>
          <w:rFonts w:asciiTheme="majorHAnsi" w:hAnsiTheme="majorHAnsi"/>
          <w:sz w:val="16"/>
          <w:szCs w:val="16"/>
        </w:rPr>
        <w:t xml:space="preserve">, </w:t>
      </w:r>
      <w:r w:rsidRPr="00203A9B">
        <w:rPr>
          <w:rFonts w:asciiTheme="majorHAnsi" w:hAnsiTheme="majorHAnsi"/>
          <w:sz w:val="16"/>
          <w:szCs w:val="16"/>
        </w:rPr>
        <w:t>Merits, Reparations and Costs</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sidRPr="00203A9B">
        <w:rPr>
          <w:rFonts w:asciiTheme="majorHAnsi" w:hAnsiTheme="majorHAnsi"/>
          <w:sz w:val="16"/>
          <w:szCs w:val="16"/>
        </w:rPr>
        <w:t>Judgment of</w:t>
      </w:r>
      <w:r w:rsidRPr="00875A0D">
        <w:rPr>
          <w:rFonts w:asciiTheme="majorHAnsi" w:hAnsiTheme="majorHAnsi"/>
          <w:sz w:val="16"/>
          <w:szCs w:val="16"/>
        </w:rPr>
        <w:t xml:space="preserve"> </w:t>
      </w:r>
      <w:r>
        <w:rPr>
          <w:rFonts w:asciiTheme="majorHAnsi" w:hAnsiTheme="majorHAnsi"/>
          <w:sz w:val="16"/>
          <w:szCs w:val="16"/>
        </w:rPr>
        <w:t xml:space="preserve">August </w:t>
      </w:r>
      <w:r w:rsidRPr="00875A0D">
        <w:rPr>
          <w:rFonts w:asciiTheme="majorHAnsi" w:hAnsiTheme="majorHAnsi"/>
          <w:sz w:val="16"/>
          <w:szCs w:val="16"/>
        </w:rPr>
        <w:t>5</w:t>
      </w:r>
      <w:r>
        <w:rPr>
          <w:rFonts w:asciiTheme="majorHAnsi" w:hAnsiTheme="majorHAnsi"/>
          <w:sz w:val="16"/>
          <w:szCs w:val="16"/>
        </w:rPr>
        <w:t>,</w:t>
      </w:r>
      <w:r w:rsidRPr="00875A0D">
        <w:rPr>
          <w:rFonts w:asciiTheme="majorHAnsi" w:hAnsiTheme="majorHAnsi"/>
          <w:sz w:val="16"/>
          <w:szCs w:val="16"/>
        </w:rPr>
        <w:t xml:space="preserve"> 2008. </w:t>
      </w:r>
      <w:r w:rsidRPr="00203A9B">
        <w:rPr>
          <w:rFonts w:asciiTheme="majorHAnsi" w:hAnsiTheme="majorHAnsi"/>
          <w:sz w:val="16"/>
          <w:szCs w:val="16"/>
        </w:rPr>
        <w:t>Series C</w:t>
      </w:r>
      <w:r w:rsidRPr="00875A0D">
        <w:rPr>
          <w:rFonts w:asciiTheme="majorHAnsi" w:hAnsiTheme="majorHAnsi"/>
          <w:sz w:val="16"/>
          <w:szCs w:val="16"/>
        </w:rPr>
        <w:t xml:space="preserve"> No. 182, </w:t>
      </w:r>
      <w:r>
        <w:rPr>
          <w:rFonts w:asciiTheme="majorHAnsi" w:hAnsiTheme="majorHAnsi"/>
          <w:sz w:val="16"/>
          <w:szCs w:val="16"/>
        </w:rPr>
        <w:t>para.</w:t>
      </w:r>
      <w:r w:rsidRPr="00875A0D">
        <w:rPr>
          <w:rFonts w:asciiTheme="majorHAnsi" w:hAnsiTheme="majorHAnsi"/>
          <w:sz w:val="16"/>
          <w:szCs w:val="16"/>
        </w:rPr>
        <w:t xml:space="preserve"> 1</w:t>
      </w:r>
      <w:r>
        <w:rPr>
          <w:rFonts w:asciiTheme="majorHAnsi" w:hAnsiTheme="majorHAnsi"/>
          <w:sz w:val="16"/>
          <w:szCs w:val="16"/>
        </w:rPr>
        <w:t>88</w:t>
      </w:r>
      <w:r w:rsidRPr="00875A0D">
        <w:rPr>
          <w:rFonts w:asciiTheme="majorHAnsi" w:hAnsiTheme="majorHAnsi"/>
          <w:sz w:val="16"/>
          <w:szCs w:val="16"/>
        </w:rPr>
        <w:t>.</w:t>
      </w:r>
      <w:r>
        <w:rPr>
          <w:rFonts w:asciiTheme="majorHAnsi" w:hAnsiTheme="majorHAnsi"/>
          <w:sz w:val="16"/>
          <w:szCs w:val="16"/>
        </w:rPr>
        <w:t xml:space="preserve"> </w:t>
      </w:r>
    </w:p>
  </w:footnote>
  <w:footnote w:id="33">
    <w:p w14:paraId="19964BC6" w14:textId="77777777" w:rsidR="00D02D3C" w:rsidRPr="00875A0D" w:rsidRDefault="00D02D3C" w:rsidP="00D02D3C">
      <w:pPr>
        <w:jc w:val="both"/>
        <w:rPr>
          <w:rFonts w:asciiTheme="majorHAnsi" w:eastAsia="Times New Roman" w:hAnsiTheme="majorHAnsi"/>
          <w:sz w:val="16"/>
          <w:szCs w:val="16"/>
        </w:rPr>
      </w:pPr>
      <w:r w:rsidRPr="00875A0D">
        <w:rPr>
          <w:rStyle w:val="FootnoteReference"/>
          <w:rFonts w:asciiTheme="majorHAnsi" w:hAnsiTheme="majorHAnsi"/>
          <w:sz w:val="16"/>
          <w:szCs w:val="16"/>
        </w:rPr>
        <w:footnoteRef/>
      </w:r>
      <w:r>
        <w:rPr>
          <w:rFonts w:asciiTheme="majorHAnsi" w:hAnsiTheme="majorHAnsi"/>
          <w:sz w:val="16"/>
          <w:szCs w:val="16"/>
        </w:rPr>
        <w:t>IACHR</w:t>
      </w:r>
      <w:r w:rsidRPr="00875A0D">
        <w:rPr>
          <w:rFonts w:asciiTheme="majorHAnsi" w:hAnsiTheme="majorHAnsi"/>
          <w:sz w:val="16"/>
          <w:szCs w:val="16"/>
        </w:rPr>
        <w:t xml:space="preserve">, </w:t>
      </w:r>
      <w:r>
        <w:rPr>
          <w:rFonts w:asciiTheme="majorHAnsi" w:hAnsiTheme="majorHAnsi"/>
          <w:sz w:val="16"/>
          <w:szCs w:val="16"/>
        </w:rPr>
        <w:t xml:space="preserve">Guarantees for the Independence of Justice Operators: Towards Strengthening Access to Justice and the Rule of Law in the Americas, December </w:t>
      </w:r>
      <w:r w:rsidRPr="00875A0D">
        <w:rPr>
          <w:rFonts w:asciiTheme="majorHAnsi" w:hAnsiTheme="majorHAnsi"/>
          <w:sz w:val="16"/>
          <w:szCs w:val="16"/>
        </w:rPr>
        <w:t>5</w:t>
      </w:r>
      <w:r>
        <w:rPr>
          <w:rFonts w:asciiTheme="majorHAnsi" w:hAnsiTheme="majorHAnsi"/>
          <w:sz w:val="16"/>
          <w:szCs w:val="16"/>
        </w:rPr>
        <w:t>,</w:t>
      </w:r>
      <w:r w:rsidRPr="00875A0D">
        <w:rPr>
          <w:rFonts w:asciiTheme="majorHAnsi" w:hAnsiTheme="majorHAnsi"/>
          <w:sz w:val="16"/>
          <w:szCs w:val="16"/>
        </w:rPr>
        <w:t xml:space="preserve"> 2013, </w:t>
      </w:r>
      <w:r>
        <w:rPr>
          <w:rFonts w:asciiTheme="majorHAnsi" w:hAnsiTheme="majorHAnsi"/>
          <w:sz w:val="16"/>
          <w:szCs w:val="16"/>
        </w:rPr>
        <w:t>paras.</w:t>
      </w:r>
      <w:r w:rsidRPr="00875A0D">
        <w:rPr>
          <w:rFonts w:asciiTheme="majorHAnsi" w:hAnsiTheme="majorHAnsi"/>
          <w:sz w:val="16"/>
          <w:szCs w:val="16"/>
        </w:rPr>
        <w:t xml:space="preserve"> </w:t>
      </w:r>
      <w:proofErr w:type="gramStart"/>
      <w:r w:rsidRPr="00875A0D">
        <w:rPr>
          <w:rFonts w:asciiTheme="majorHAnsi" w:hAnsiTheme="majorHAnsi"/>
          <w:sz w:val="16"/>
          <w:szCs w:val="16"/>
        </w:rPr>
        <w:t>56, 109</w:t>
      </w:r>
      <w:r>
        <w:rPr>
          <w:rFonts w:asciiTheme="majorHAnsi" w:hAnsiTheme="majorHAnsi"/>
          <w:sz w:val="16"/>
          <w:szCs w:val="16"/>
        </w:rPr>
        <w:t xml:space="preserve">, and </w:t>
      </w:r>
      <w:r w:rsidRPr="00875A0D">
        <w:rPr>
          <w:rFonts w:asciiTheme="majorHAnsi" w:hAnsiTheme="majorHAnsi"/>
          <w:sz w:val="16"/>
          <w:szCs w:val="16"/>
        </w:rPr>
        <w:t xml:space="preserve">184, </w:t>
      </w:r>
      <w:r>
        <w:rPr>
          <w:rFonts w:asciiTheme="majorHAnsi" w:eastAsia="Times New Roman" w:hAnsiTheme="majorHAnsi"/>
          <w:bCs/>
          <w:sz w:val="16"/>
          <w:szCs w:val="16"/>
          <w:shd w:val="clear" w:color="auto" w:fill="FFFFFF"/>
        </w:rPr>
        <w:t>I/A Court HR</w:t>
      </w:r>
      <w:r w:rsidRPr="00875A0D">
        <w:rPr>
          <w:rFonts w:asciiTheme="majorHAnsi" w:eastAsia="Times New Roman" w:hAnsiTheme="majorHAnsi"/>
          <w:bCs/>
          <w:sz w:val="16"/>
          <w:szCs w:val="16"/>
          <w:shd w:val="clear" w:color="auto" w:fill="FFFFFF"/>
        </w:rPr>
        <w:t xml:space="preserve">. </w:t>
      </w:r>
      <w:r>
        <w:rPr>
          <w:rFonts w:asciiTheme="majorHAnsi" w:eastAsia="Times New Roman" w:hAnsiTheme="majorHAnsi"/>
          <w:bCs/>
          <w:sz w:val="16"/>
          <w:szCs w:val="16"/>
          <w:shd w:val="clear" w:color="auto" w:fill="FFFFFF"/>
        </w:rPr>
        <w:t>Case of</w:t>
      </w:r>
      <w:r w:rsidRPr="00875A0D">
        <w:rPr>
          <w:rFonts w:asciiTheme="majorHAnsi" w:eastAsia="Times New Roman" w:hAnsiTheme="majorHAnsi"/>
          <w:bCs/>
          <w:sz w:val="16"/>
          <w:szCs w:val="16"/>
          <w:shd w:val="clear" w:color="auto" w:fill="FFFFFF"/>
        </w:rPr>
        <w:t xml:space="preserve"> López Lone </w:t>
      </w:r>
      <w:r w:rsidRPr="00203A9B">
        <w:rPr>
          <w:rFonts w:asciiTheme="majorHAnsi" w:eastAsia="Times New Roman" w:hAnsiTheme="majorHAnsi"/>
          <w:bCs/>
          <w:i/>
          <w:iCs/>
          <w:sz w:val="16"/>
          <w:szCs w:val="16"/>
          <w:shd w:val="clear" w:color="auto" w:fill="FFFFFF"/>
        </w:rPr>
        <w:t>et al.</w:t>
      </w:r>
      <w:r>
        <w:rPr>
          <w:rFonts w:asciiTheme="majorHAnsi" w:eastAsia="Times New Roman" w:hAnsiTheme="majorHAnsi"/>
          <w:bCs/>
          <w:sz w:val="16"/>
          <w:szCs w:val="16"/>
          <w:shd w:val="clear" w:color="auto" w:fill="FFFFFF"/>
        </w:rPr>
        <w:t xml:space="preserve"> v</w:t>
      </w:r>
      <w:r w:rsidRPr="00875A0D">
        <w:rPr>
          <w:rFonts w:asciiTheme="majorHAnsi" w:eastAsia="Times New Roman" w:hAnsiTheme="majorHAnsi"/>
          <w:bCs/>
          <w:sz w:val="16"/>
          <w:szCs w:val="16"/>
          <w:shd w:val="clear" w:color="auto" w:fill="FFFFFF"/>
        </w:rPr>
        <w:t>. Honduras.</w:t>
      </w:r>
      <w:proofErr w:type="gramEnd"/>
      <w:r w:rsidRPr="00875A0D">
        <w:rPr>
          <w:rFonts w:asciiTheme="majorHAnsi" w:eastAsia="Times New Roman" w:hAnsiTheme="majorHAnsi"/>
          <w:bCs/>
          <w:sz w:val="16"/>
          <w:szCs w:val="16"/>
          <w:shd w:val="clear" w:color="auto" w:fill="FFFFFF"/>
        </w:rPr>
        <w:t xml:space="preserve"> </w:t>
      </w:r>
      <w:proofErr w:type="gramStart"/>
      <w:r w:rsidRPr="00D02E8B">
        <w:rPr>
          <w:rFonts w:asciiTheme="majorHAnsi" w:eastAsia="Times New Roman" w:hAnsiTheme="majorHAnsi"/>
          <w:bCs/>
          <w:sz w:val="16"/>
          <w:szCs w:val="16"/>
          <w:shd w:val="clear" w:color="auto" w:fill="FFFFFF"/>
        </w:rPr>
        <w:t>Preliminary Objection</w:t>
      </w:r>
      <w:r w:rsidRPr="00875A0D">
        <w:rPr>
          <w:rFonts w:asciiTheme="majorHAnsi" w:eastAsia="Times New Roman" w:hAnsiTheme="majorHAnsi"/>
          <w:bCs/>
          <w:sz w:val="16"/>
          <w:szCs w:val="16"/>
          <w:shd w:val="clear" w:color="auto" w:fill="FFFFFF"/>
        </w:rPr>
        <w:t xml:space="preserve">, </w:t>
      </w:r>
      <w:r w:rsidRPr="00203A9B">
        <w:rPr>
          <w:rFonts w:asciiTheme="majorHAnsi" w:eastAsia="Times New Roman" w:hAnsiTheme="majorHAnsi"/>
          <w:bCs/>
          <w:sz w:val="16"/>
          <w:szCs w:val="16"/>
          <w:shd w:val="clear" w:color="auto" w:fill="FFFFFF"/>
        </w:rPr>
        <w:t>Merits, Reparations and Costs</w:t>
      </w:r>
      <w:r w:rsidRPr="00875A0D">
        <w:rPr>
          <w:rFonts w:asciiTheme="majorHAnsi" w:eastAsia="Times New Roman" w:hAnsiTheme="majorHAnsi"/>
          <w:bCs/>
          <w:sz w:val="16"/>
          <w:szCs w:val="16"/>
          <w:shd w:val="clear" w:color="auto" w:fill="FFFFFF"/>
        </w:rPr>
        <w:t>.</w:t>
      </w:r>
      <w:proofErr w:type="gramEnd"/>
      <w:r w:rsidRPr="00875A0D">
        <w:rPr>
          <w:rFonts w:asciiTheme="majorHAnsi" w:eastAsia="Times New Roman" w:hAnsiTheme="majorHAnsi"/>
          <w:bCs/>
          <w:sz w:val="16"/>
          <w:szCs w:val="16"/>
          <w:shd w:val="clear" w:color="auto" w:fill="FFFFFF"/>
        </w:rPr>
        <w:t xml:space="preserve"> </w:t>
      </w:r>
      <w:r w:rsidRPr="00203A9B">
        <w:rPr>
          <w:rFonts w:asciiTheme="majorHAnsi" w:eastAsia="Times New Roman" w:hAnsiTheme="majorHAnsi"/>
          <w:bCs/>
          <w:sz w:val="16"/>
          <w:szCs w:val="16"/>
          <w:shd w:val="clear" w:color="auto" w:fill="FFFFFF"/>
        </w:rPr>
        <w:t>Judgment of</w:t>
      </w:r>
      <w:r w:rsidRPr="00875A0D">
        <w:rPr>
          <w:rFonts w:asciiTheme="majorHAnsi" w:eastAsia="Times New Roman" w:hAnsiTheme="majorHAnsi"/>
          <w:bCs/>
          <w:sz w:val="16"/>
          <w:szCs w:val="16"/>
          <w:shd w:val="clear" w:color="auto" w:fill="FFFFFF"/>
        </w:rPr>
        <w:t xml:space="preserve"> </w:t>
      </w:r>
      <w:r>
        <w:rPr>
          <w:rFonts w:asciiTheme="majorHAnsi" w:eastAsia="Times New Roman" w:hAnsiTheme="majorHAnsi"/>
          <w:bCs/>
          <w:sz w:val="16"/>
          <w:szCs w:val="16"/>
          <w:shd w:val="clear" w:color="auto" w:fill="FFFFFF"/>
        </w:rPr>
        <w:t xml:space="preserve">October </w:t>
      </w:r>
      <w:r w:rsidRPr="00875A0D">
        <w:rPr>
          <w:rFonts w:asciiTheme="majorHAnsi" w:eastAsia="Times New Roman" w:hAnsiTheme="majorHAnsi"/>
          <w:bCs/>
          <w:sz w:val="16"/>
          <w:szCs w:val="16"/>
          <w:shd w:val="clear" w:color="auto" w:fill="FFFFFF"/>
        </w:rPr>
        <w:t>5</w:t>
      </w:r>
      <w:r>
        <w:rPr>
          <w:rFonts w:asciiTheme="majorHAnsi" w:eastAsia="Times New Roman" w:hAnsiTheme="majorHAnsi"/>
          <w:bCs/>
          <w:sz w:val="16"/>
          <w:szCs w:val="16"/>
          <w:shd w:val="clear" w:color="auto" w:fill="FFFFFF"/>
        </w:rPr>
        <w:t>,</w:t>
      </w:r>
      <w:r w:rsidRPr="00875A0D">
        <w:rPr>
          <w:rFonts w:asciiTheme="majorHAnsi" w:eastAsia="Times New Roman" w:hAnsiTheme="majorHAnsi"/>
          <w:bCs/>
          <w:sz w:val="16"/>
          <w:szCs w:val="16"/>
          <w:shd w:val="clear" w:color="auto" w:fill="FFFFFF"/>
        </w:rPr>
        <w:t xml:space="preserve"> 2015. </w:t>
      </w:r>
      <w:r w:rsidRPr="00203A9B">
        <w:rPr>
          <w:rFonts w:asciiTheme="majorHAnsi" w:eastAsia="Times New Roman" w:hAnsiTheme="majorHAnsi"/>
          <w:bCs/>
          <w:sz w:val="16"/>
          <w:szCs w:val="16"/>
          <w:shd w:val="clear" w:color="auto" w:fill="FFFFFF"/>
        </w:rPr>
        <w:t>Series C</w:t>
      </w:r>
      <w:r w:rsidRPr="00875A0D">
        <w:rPr>
          <w:rFonts w:asciiTheme="majorHAnsi" w:eastAsia="Times New Roman" w:hAnsiTheme="majorHAnsi"/>
          <w:bCs/>
          <w:sz w:val="16"/>
          <w:szCs w:val="16"/>
          <w:shd w:val="clear" w:color="auto" w:fill="FFFFFF"/>
        </w:rPr>
        <w:t xml:space="preserve"> No. 302, </w:t>
      </w:r>
      <w:r>
        <w:rPr>
          <w:rFonts w:asciiTheme="majorHAnsi" w:eastAsia="Times New Roman" w:hAnsiTheme="majorHAnsi"/>
          <w:bCs/>
          <w:sz w:val="16"/>
          <w:szCs w:val="16"/>
          <w:shd w:val="clear" w:color="auto" w:fill="FFFFFF"/>
        </w:rPr>
        <w:t>para.</w:t>
      </w:r>
      <w:r w:rsidRPr="00875A0D">
        <w:rPr>
          <w:rFonts w:asciiTheme="majorHAnsi" w:eastAsia="Times New Roman" w:hAnsiTheme="majorHAnsi"/>
          <w:bCs/>
          <w:sz w:val="16"/>
          <w:szCs w:val="16"/>
          <w:shd w:val="clear" w:color="auto" w:fill="FFFFFF"/>
        </w:rPr>
        <w:t xml:space="preserve"> 191.</w:t>
      </w:r>
    </w:p>
  </w:footnote>
  <w:footnote w:id="34">
    <w:p w14:paraId="35E5AA78" w14:textId="77777777" w:rsidR="00D02D3C" w:rsidRPr="00875A0D" w:rsidRDefault="00D02D3C" w:rsidP="00D02D3C">
      <w:pPr>
        <w:pStyle w:val="FootnoteText"/>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I/A Court HR</w:t>
      </w:r>
      <w:r w:rsidRPr="00875A0D">
        <w:rPr>
          <w:rFonts w:asciiTheme="majorHAnsi" w:hAnsiTheme="majorHAnsi"/>
          <w:sz w:val="16"/>
          <w:szCs w:val="16"/>
        </w:rPr>
        <w:t xml:space="preserve">. </w:t>
      </w:r>
      <w:r>
        <w:rPr>
          <w:rFonts w:asciiTheme="majorHAnsi" w:hAnsiTheme="majorHAnsi"/>
          <w:sz w:val="16"/>
          <w:szCs w:val="16"/>
        </w:rPr>
        <w:t>Case of</w:t>
      </w:r>
      <w:r w:rsidRPr="00875A0D">
        <w:rPr>
          <w:rFonts w:asciiTheme="majorHAnsi" w:hAnsiTheme="majorHAnsi"/>
          <w:sz w:val="16"/>
          <w:szCs w:val="16"/>
        </w:rPr>
        <w:t xml:space="preserve"> López Lone </w:t>
      </w:r>
      <w:r w:rsidRPr="00203A9B">
        <w:rPr>
          <w:rFonts w:asciiTheme="majorHAnsi" w:hAnsiTheme="majorHAnsi"/>
          <w:i/>
          <w:iCs/>
          <w:sz w:val="16"/>
          <w:szCs w:val="16"/>
        </w:rPr>
        <w:t>et al.</w:t>
      </w:r>
      <w:r>
        <w:rPr>
          <w:rFonts w:asciiTheme="majorHAnsi" w:hAnsiTheme="majorHAnsi"/>
          <w:sz w:val="16"/>
          <w:szCs w:val="16"/>
        </w:rPr>
        <w:t xml:space="preserve"> v</w:t>
      </w:r>
      <w:r w:rsidRPr="00875A0D">
        <w:rPr>
          <w:rFonts w:asciiTheme="majorHAnsi" w:hAnsiTheme="majorHAnsi"/>
          <w:sz w:val="16"/>
          <w:szCs w:val="16"/>
        </w:rPr>
        <w:t>. Honduras.</w:t>
      </w:r>
      <w:proofErr w:type="gramEnd"/>
      <w:r w:rsidRPr="00875A0D">
        <w:rPr>
          <w:rFonts w:asciiTheme="majorHAnsi" w:hAnsiTheme="majorHAnsi"/>
          <w:sz w:val="16"/>
          <w:szCs w:val="16"/>
        </w:rPr>
        <w:t xml:space="preserve"> </w:t>
      </w:r>
      <w:proofErr w:type="gramStart"/>
      <w:r w:rsidRPr="00D02E8B">
        <w:rPr>
          <w:rFonts w:asciiTheme="majorHAnsi" w:hAnsiTheme="majorHAnsi"/>
          <w:sz w:val="16"/>
          <w:szCs w:val="16"/>
        </w:rPr>
        <w:t>Preliminary Objection</w:t>
      </w:r>
      <w:r w:rsidRPr="00875A0D">
        <w:rPr>
          <w:rFonts w:asciiTheme="majorHAnsi" w:hAnsiTheme="majorHAnsi"/>
          <w:sz w:val="16"/>
          <w:szCs w:val="16"/>
        </w:rPr>
        <w:t xml:space="preserve">, </w:t>
      </w:r>
      <w:r w:rsidRPr="00203A9B">
        <w:rPr>
          <w:rFonts w:asciiTheme="majorHAnsi" w:hAnsiTheme="majorHAnsi"/>
          <w:sz w:val="16"/>
          <w:szCs w:val="16"/>
        </w:rPr>
        <w:t>Merits, Reparations and Costs</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sidRPr="00203A9B">
        <w:rPr>
          <w:rFonts w:asciiTheme="majorHAnsi" w:hAnsiTheme="majorHAnsi"/>
          <w:sz w:val="16"/>
          <w:szCs w:val="16"/>
        </w:rPr>
        <w:t xml:space="preserve">Judgment </w:t>
      </w:r>
      <w:proofErr w:type="gramStart"/>
      <w:r w:rsidRPr="00203A9B">
        <w:rPr>
          <w:rFonts w:asciiTheme="majorHAnsi" w:hAnsiTheme="majorHAnsi"/>
          <w:sz w:val="16"/>
          <w:szCs w:val="16"/>
        </w:rPr>
        <w:t>of</w:t>
      </w:r>
      <w:r w:rsidRPr="00875A0D">
        <w:rPr>
          <w:rFonts w:asciiTheme="majorHAnsi" w:hAnsiTheme="majorHAnsi"/>
          <w:sz w:val="16"/>
          <w:szCs w:val="16"/>
        </w:rPr>
        <w:t xml:space="preserve">  </w:t>
      </w:r>
      <w:r>
        <w:rPr>
          <w:rFonts w:asciiTheme="majorHAnsi" w:hAnsiTheme="majorHAnsi"/>
          <w:sz w:val="16"/>
          <w:szCs w:val="16"/>
        </w:rPr>
        <w:t>October</w:t>
      </w:r>
      <w:proofErr w:type="gramEnd"/>
      <w:r>
        <w:rPr>
          <w:rFonts w:asciiTheme="majorHAnsi" w:hAnsiTheme="majorHAnsi"/>
          <w:sz w:val="16"/>
          <w:szCs w:val="16"/>
        </w:rPr>
        <w:t xml:space="preserve"> </w:t>
      </w:r>
      <w:r w:rsidRPr="00875A0D">
        <w:rPr>
          <w:rFonts w:asciiTheme="majorHAnsi" w:hAnsiTheme="majorHAnsi"/>
          <w:sz w:val="16"/>
          <w:szCs w:val="16"/>
        </w:rPr>
        <w:t>5</w:t>
      </w:r>
      <w:r>
        <w:rPr>
          <w:rFonts w:asciiTheme="majorHAnsi" w:hAnsiTheme="majorHAnsi"/>
          <w:sz w:val="16"/>
          <w:szCs w:val="16"/>
        </w:rPr>
        <w:t>,</w:t>
      </w:r>
      <w:r w:rsidRPr="00875A0D">
        <w:rPr>
          <w:rFonts w:asciiTheme="majorHAnsi" w:hAnsiTheme="majorHAnsi"/>
          <w:sz w:val="16"/>
          <w:szCs w:val="16"/>
        </w:rPr>
        <w:t xml:space="preserve"> 2015. </w:t>
      </w:r>
      <w:r w:rsidRPr="00203A9B">
        <w:rPr>
          <w:rFonts w:asciiTheme="majorHAnsi" w:hAnsiTheme="majorHAnsi"/>
          <w:sz w:val="16"/>
          <w:szCs w:val="16"/>
        </w:rPr>
        <w:t>Series C</w:t>
      </w:r>
      <w:r w:rsidRPr="00875A0D">
        <w:rPr>
          <w:rFonts w:asciiTheme="majorHAnsi" w:hAnsiTheme="majorHAnsi"/>
          <w:sz w:val="16"/>
          <w:szCs w:val="16"/>
        </w:rPr>
        <w:t xml:space="preserve"> No. 302, </w:t>
      </w:r>
      <w:r>
        <w:rPr>
          <w:rFonts w:asciiTheme="majorHAnsi" w:hAnsiTheme="majorHAnsi"/>
          <w:sz w:val="16"/>
          <w:szCs w:val="16"/>
        </w:rPr>
        <w:t>para.</w:t>
      </w:r>
      <w:r w:rsidRPr="00875A0D">
        <w:rPr>
          <w:rFonts w:asciiTheme="majorHAnsi" w:hAnsiTheme="majorHAnsi"/>
          <w:sz w:val="16"/>
          <w:szCs w:val="16"/>
        </w:rPr>
        <w:t xml:space="preserve"> 259.</w:t>
      </w:r>
    </w:p>
  </w:footnote>
  <w:footnote w:id="35">
    <w:p w14:paraId="46C998A2"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I/A Court HR</w:t>
      </w:r>
      <w:r w:rsidRPr="00875A0D">
        <w:rPr>
          <w:rFonts w:asciiTheme="majorHAnsi" w:hAnsiTheme="majorHAnsi"/>
          <w:sz w:val="16"/>
          <w:szCs w:val="16"/>
        </w:rPr>
        <w:t xml:space="preserve">. </w:t>
      </w:r>
      <w:r>
        <w:rPr>
          <w:rFonts w:asciiTheme="majorHAnsi" w:hAnsiTheme="majorHAnsi"/>
          <w:sz w:val="16"/>
          <w:szCs w:val="16"/>
        </w:rPr>
        <w:t>Case of</w:t>
      </w:r>
      <w:r w:rsidRPr="00875A0D">
        <w:rPr>
          <w:rFonts w:asciiTheme="majorHAnsi" w:hAnsiTheme="majorHAnsi"/>
          <w:sz w:val="16"/>
          <w:szCs w:val="16"/>
        </w:rPr>
        <w:t xml:space="preserve"> </w:t>
      </w:r>
      <w:proofErr w:type="spellStart"/>
      <w:r w:rsidRPr="00875A0D">
        <w:rPr>
          <w:rFonts w:asciiTheme="majorHAnsi" w:hAnsiTheme="majorHAnsi"/>
          <w:sz w:val="16"/>
          <w:szCs w:val="16"/>
        </w:rPr>
        <w:t>Apitz</w:t>
      </w:r>
      <w:proofErr w:type="spellEnd"/>
      <w:r w:rsidRPr="00875A0D">
        <w:rPr>
          <w:rFonts w:asciiTheme="majorHAnsi" w:hAnsiTheme="majorHAnsi"/>
          <w:sz w:val="16"/>
          <w:szCs w:val="16"/>
        </w:rPr>
        <w:t xml:space="preserve"> </w:t>
      </w:r>
      <w:proofErr w:type="spellStart"/>
      <w:r w:rsidRPr="00875A0D">
        <w:rPr>
          <w:rFonts w:asciiTheme="majorHAnsi" w:hAnsiTheme="majorHAnsi"/>
          <w:sz w:val="16"/>
          <w:szCs w:val="16"/>
        </w:rPr>
        <w:t>Barbera</w:t>
      </w:r>
      <w:proofErr w:type="spellEnd"/>
      <w:r w:rsidRPr="00875A0D">
        <w:rPr>
          <w:rFonts w:asciiTheme="majorHAnsi" w:hAnsiTheme="majorHAnsi"/>
          <w:sz w:val="16"/>
          <w:szCs w:val="16"/>
        </w:rPr>
        <w:t xml:space="preserve"> </w:t>
      </w:r>
      <w:r w:rsidRPr="00374B13">
        <w:rPr>
          <w:rFonts w:asciiTheme="majorHAnsi" w:hAnsiTheme="majorHAnsi"/>
          <w:i/>
          <w:iCs/>
          <w:sz w:val="16"/>
          <w:szCs w:val="16"/>
        </w:rPr>
        <w:t>et al</w:t>
      </w:r>
      <w:r>
        <w:rPr>
          <w:rFonts w:asciiTheme="majorHAnsi" w:hAnsiTheme="majorHAnsi"/>
          <w:sz w:val="16"/>
          <w:szCs w:val="16"/>
        </w:rPr>
        <w:t xml:space="preserve">. </w:t>
      </w:r>
      <w:r w:rsidRPr="00875A0D">
        <w:rPr>
          <w:rFonts w:asciiTheme="majorHAnsi" w:hAnsiTheme="majorHAnsi"/>
          <w:sz w:val="16"/>
          <w:szCs w:val="16"/>
        </w:rPr>
        <w:t>(“</w:t>
      </w:r>
      <w:r>
        <w:rPr>
          <w:rFonts w:asciiTheme="majorHAnsi" w:hAnsiTheme="majorHAnsi"/>
          <w:sz w:val="16"/>
          <w:szCs w:val="16"/>
        </w:rPr>
        <w:t xml:space="preserve">First Court of Administrative Disputes”) </w:t>
      </w:r>
      <w:r w:rsidRPr="00875A0D">
        <w:rPr>
          <w:rFonts w:asciiTheme="majorHAnsi" w:hAnsiTheme="majorHAnsi"/>
          <w:sz w:val="16"/>
          <w:szCs w:val="16"/>
        </w:rPr>
        <w:t>vs. Venezuela.</w:t>
      </w:r>
      <w:proofErr w:type="gramEnd"/>
      <w:r w:rsidRPr="00875A0D">
        <w:rPr>
          <w:rFonts w:asciiTheme="majorHAnsi" w:hAnsiTheme="majorHAnsi"/>
          <w:sz w:val="16"/>
          <w:szCs w:val="16"/>
        </w:rPr>
        <w:t xml:space="preserve"> </w:t>
      </w:r>
      <w:proofErr w:type="gramStart"/>
      <w:r w:rsidRPr="00D02E8B">
        <w:rPr>
          <w:rFonts w:asciiTheme="majorHAnsi" w:hAnsiTheme="majorHAnsi"/>
          <w:sz w:val="16"/>
          <w:szCs w:val="16"/>
        </w:rPr>
        <w:t>Preliminary Objection</w:t>
      </w:r>
      <w:r w:rsidRPr="00875A0D">
        <w:rPr>
          <w:rFonts w:asciiTheme="majorHAnsi" w:hAnsiTheme="majorHAnsi"/>
          <w:sz w:val="16"/>
          <w:szCs w:val="16"/>
        </w:rPr>
        <w:t xml:space="preserve">, </w:t>
      </w:r>
      <w:r w:rsidRPr="00203A9B">
        <w:rPr>
          <w:rFonts w:asciiTheme="majorHAnsi" w:hAnsiTheme="majorHAnsi"/>
          <w:sz w:val="16"/>
          <w:szCs w:val="16"/>
        </w:rPr>
        <w:t>Merits, Reparations and Costs</w:t>
      </w:r>
      <w:r w:rsidRPr="00875A0D">
        <w:rPr>
          <w:rFonts w:asciiTheme="majorHAnsi" w:hAnsiTheme="majorHAnsi"/>
          <w:sz w:val="16"/>
          <w:szCs w:val="16"/>
        </w:rPr>
        <w:t>.</w:t>
      </w:r>
      <w:proofErr w:type="gramEnd"/>
      <w:r w:rsidRPr="00875A0D">
        <w:rPr>
          <w:rFonts w:asciiTheme="majorHAnsi" w:hAnsiTheme="majorHAnsi"/>
          <w:sz w:val="16"/>
          <w:szCs w:val="16"/>
        </w:rPr>
        <w:t xml:space="preserve"> </w:t>
      </w:r>
      <w:proofErr w:type="gramStart"/>
      <w:r w:rsidRPr="00203A9B">
        <w:rPr>
          <w:rFonts w:asciiTheme="majorHAnsi" w:hAnsiTheme="majorHAnsi"/>
          <w:sz w:val="16"/>
          <w:szCs w:val="16"/>
        </w:rPr>
        <w:t>Judgment of</w:t>
      </w:r>
      <w:r w:rsidRPr="00875A0D">
        <w:rPr>
          <w:rFonts w:asciiTheme="majorHAnsi" w:hAnsiTheme="majorHAnsi"/>
          <w:sz w:val="16"/>
          <w:szCs w:val="16"/>
        </w:rPr>
        <w:t xml:space="preserve"> </w:t>
      </w:r>
      <w:r>
        <w:rPr>
          <w:rFonts w:asciiTheme="majorHAnsi" w:hAnsiTheme="majorHAnsi"/>
          <w:sz w:val="16"/>
          <w:szCs w:val="16"/>
        </w:rPr>
        <w:t xml:space="preserve">August </w:t>
      </w:r>
      <w:r w:rsidRPr="00875A0D">
        <w:rPr>
          <w:rFonts w:asciiTheme="majorHAnsi" w:hAnsiTheme="majorHAnsi"/>
          <w:sz w:val="16"/>
          <w:szCs w:val="16"/>
        </w:rPr>
        <w:t>5</w:t>
      </w:r>
      <w:r>
        <w:rPr>
          <w:rFonts w:asciiTheme="majorHAnsi" w:hAnsiTheme="majorHAnsi"/>
          <w:sz w:val="16"/>
          <w:szCs w:val="16"/>
        </w:rPr>
        <w:t>,</w:t>
      </w:r>
      <w:r w:rsidRPr="00875A0D">
        <w:rPr>
          <w:rFonts w:asciiTheme="majorHAnsi" w:hAnsiTheme="majorHAnsi"/>
          <w:sz w:val="16"/>
          <w:szCs w:val="16"/>
        </w:rPr>
        <w:t xml:space="preserve"> 2008, </w:t>
      </w:r>
      <w:r w:rsidRPr="00203A9B">
        <w:rPr>
          <w:rFonts w:asciiTheme="majorHAnsi" w:hAnsiTheme="majorHAnsi"/>
          <w:sz w:val="16"/>
          <w:szCs w:val="16"/>
        </w:rPr>
        <w:t>Series C</w:t>
      </w:r>
      <w:r w:rsidRPr="00875A0D">
        <w:rPr>
          <w:rFonts w:asciiTheme="majorHAnsi" w:hAnsiTheme="majorHAnsi"/>
          <w:sz w:val="16"/>
          <w:szCs w:val="16"/>
        </w:rPr>
        <w:t xml:space="preserve"> No.182, </w:t>
      </w:r>
      <w:r>
        <w:rPr>
          <w:rFonts w:asciiTheme="majorHAnsi" w:hAnsiTheme="majorHAnsi"/>
          <w:sz w:val="16"/>
          <w:szCs w:val="16"/>
        </w:rPr>
        <w:t>para.</w:t>
      </w:r>
      <w:proofErr w:type="gramEnd"/>
      <w:r>
        <w:rPr>
          <w:rFonts w:asciiTheme="majorHAnsi" w:hAnsiTheme="majorHAnsi"/>
          <w:sz w:val="16"/>
          <w:szCs w:val="16"/>
        </w:rPr>
        <w:t xml:space="preserve"> </w:t>
      </w:r>
      <w:r w:rsidRPr="00875A0D">
        <w:rPr>
          <w:rFonts w:asciiTheme="majorHAnsi" w:hAnsiTheme="majorHAnsi"/>
          <w:sz w:val="16"/>
          <w:szCs w:val="16"/>
        </w:rPr>
        <w:t>43.</w:t>
      </w:r>
    </w:p>
  </w:footnote>
  <w:footnote w:id="36">
    <w:p w14:paraId="3EF14CED"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IACHR</w:t>
      </w:r>
      <w:r w:rsidRPr="00875A0D">
        <w:rPr>
          <w:rFonts w:asciiTheme="majorHAnsi" w:hAnsiTheme="majorHAnsi"/>
          <w:sz w:val="16"/>
          <w:szCs w:val="16"/>
        </w:rPr>
        <w:t xml:space="preserve">, </w:t>
      </w:r>
      <w:r>
        <w:rPr>
          <w:rFonts w:asciiTheme="majorHAnsi" w:hAnsiTheme="majorHAnsi"/>
          <w:sz w:val="16"/>
          <w:szCs w:val="16"/>
        </w:rPr>
        <w:t xml:space="preserve">Application before the Inter-American Court of Human Rights in the case of </w:t>
      </w:r>
      <w:r w:rsidRPr="00875A0D">
        <w:rPr>
          <w:rFonts w:asciiTheme="majorHAnsi" w:hAnsiTheme="majorHAnsi"/>
          <w:sz w:val="16"/>
          <w:szCs w:val="16"/>
        </w:rPr>
        <w:t xml:space="preserve">Mercedes </w:t>
      </w:r>
      <w:proofErr w:type="spellStart"/>
      <w:r w:rsidRPr="00875A0D">
        <w:rPr>
          <w:rFonts w:asciiTheme="majorHAnsi" w:hAnsiTheme="majorHAnsi"/>
          <w:sz w:val="16"/>
          <w:szCs w:val="16"/>
        </w:rPr>
        <w:t>Chocrón</w:t>
      </w:r>
      <w:proofErr w:type="spellEnd"/>
      <w:r w:rsidRPr="00875A0D">
        <w:rPr>
          <w:rFonts w:asciiTheme="majorHAnsi" w:hAnsiTheme="majorHAnsi"/>
          <w:sz w:val="16"/>
          <w:szCs w:val="16"/>
        </w:rPr>
        <w:t xml:space="preserve"> </w:t>
      </w:r>
      <w:proofErr w:type="spellStart"/>
      <w:r w:rsidRPr="00875A0D">
        <w:rPr>
          <w:rFonts w:asciiTheme="majorHAnsi" w:hAnsiTheme="majorHAnsi"/>
          <w:sz w:val="16"/>
          <w:szCs w:val="16"/>
        </w:rPr>
        <w:t>Chocrón</w:t>
      </w:r>
      <w:proofErr w:type="spellEnd"/>
      <w:r w:rsidRPr="00875A0D">
        <w:rPr>
          <w:rFonts w:asciiTheme="majorHAnsi" w:hAnsiTheme="majorHAnsi"/>
          <w:sz w:val="16"/>
          <w:szCs w:val="16"/>
        </w:rPr>
        <w:t xml:space="preserve">, </w:t>
      </w:r>
      <w:r>
        <w:rPr>
          <w:rFonts w:asciiTheme="majorHAnsi" w:hAnsiTheme="majorHAnsi"/>
          <w:sz w:val="16"/>
          <w:szCs w:val="16"/>
        </w:rPr>
        <w:t>Case</w:t>
      </w:r>
      <w:r w:rsidRPr="00875A0D">
        <w:rPr>
          <w:rFonts w:asciiTheme="majorHAnsi" w:hAnsiTheme="majorHAnsi"/>
          <w:sz w:val="16"/>
          <w:szCs w:val="16"/>
        </w:rPr>
        <w:t xml:space="preserve"> 12</w:t>
      </w:r>
      <w:r>
        <w:rPr>
          <w:rFonts w:asciiTheme="majorHAnsi" w:hAnsiTheme="majorHAnsi"/>
          <w:sz w:val="16"/>
          <w:szCs w:val="16"/>
        </w:rPr>
        <w:t>,</w:t>
      </w:r>
      <w:r w:rsidRPr="00875A0D">
        <w:rPr>
          <w:rFonts w:asciiTheme="majorHAnsi" w:hAnsiTheme="majorHAnsi"/>
          <w:sz w:val="16"/>
          <w:szCs w:val="16"/>
        </w:rPr>
        <w:t xml:space="preserve">556, </w:t>
      </w:r>
      <w:r>
        <w:rPr>
          <w:rFonts w:asciiTheme="majorHAnsi" w:hAnsiTheme="majorHAnsi"/>
          <w:sz w:val="16"/>
          <w:szCs w:val="16"/>
        </w:rPr>
        <w:t xml:space="preserve">para. </w:t>
      </w:r>
      <w:r w:rsidRPr="00875A0D">
        <w:rPr>
          <w:rFonts w:asciiTheme="majorHAnsi" w:hAnsiTheme="majorHAnsi"/>
          <w:sz w:val="16"/>
          <w:szCs w:val="16"/>
        </w:rPr>
        <w:t>78.</w:t>
      </w:r>
    </w:p>
  </w:footnote>
  <w:footnote w:id="37">
    <w:p w14:paraId="4A210447"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IACHR</w:t>
      </w:r>
      <w:r w:rsidRPr="00875A0D">
        <w:rPr>
          <w:rFonts w:asciiTheme="majorHAnsi" w:hAnsiTheme="majorHAnsi"/>
          <w:sz w:val="16"/>
          <w:szCs w:val="16"/>
        </w:rPr>
        <w:t xml:space="preserve">, </w:t>
      </w:r>
      <w:r>
        <w:rPr>
          <w:rFonts w:asciiTheme="majorHAnsi" w:hAnsiTheme="majorHAnsi"/>
          <w:sz w:val="16"/>
          <w:szCs w:val="16"/>
        </w:rPr>
        <w:t xml:space="preserve">Second Report on the Situation of Human Rights in Peru, </w:t>
      </w:r>
      <w:r w:rsidRPr="00875A0D">
        <w:rPr>
          <w:rFonts w:asciiTheme="majorHAnsi" w:hAnsiTheme="majorHAnsi"/>
          <w:sz w:val="16"/>
          <w:szCs w:val="16"/>
        </w:rPr>
        <w:t>C</w:t>
      </w:r>
      <w:r>
        <w:rPr>
          <w:rFonts w:asciiTheme="majorHAnsi" w:hAnsiTheme="majorHAnsi"/>
          <w:sz w:val="16"/>
          <w:szCs w:val="16"/>
        </w:rPr>
        <w:t xml:space="preserve">hapter </w:t>
      </w:r>
      <w:r w:rsidRPr="00875A0D">
        <w:rPr>
          <w:rFonts w:asciiTheme="majorHAnsi" w:hAnsiTheme="majorHAnsi"/>
          <w:sz w:val="16"/>
          <w:szCs w:val="16"/>
        </w:rPr>
        <w:t>II, Administra</w:t>
      </w:r>
      <w:r>
        <w:rPr>
          <w:rFonts w:asciiTheme="majorHAnsi" w:hAnsiTheme="majorHAnsi"/>
          <w:sz w:val="16"/>
          <w:szCs w:val="16"/>
        </w:rPr>
        <w:t xml:space="preserve">tion of Justice and Rule of Law, </w:t>
      </w:r>
      <w:r w:rsidRPr="00875A0D">
        <w:rPr>
          <w:rFonts w:asciiTheme="majorHAnsi" w:hAnsiTheme="majorHAnsi"/>
          <w:sz w:val="16"/>
          <w:szCs w:val="16"/>
        </w:rPr>
        <w:t>OEA/</w:t>
      </w:r>
      <w:proofErr w:type="spellStart"/>
      <w:r w:rsidRPr="00875A0D">
        <w:rPr>
          <w:rFonts w:asciiTheme="majorHAnsi" w:hAnsiTheme="majorHAnsi"/>
          <w:sz w:val="16"/>
          <w:szCs w:val="16"/>
        </w:rPr>
        <w:t>Ser.L</w:t>
      </w:r>
      <w:proofErr w:type="spellEnd"/>
      <w:r w:rsidRPr="00875A0D">
        <w:rPr>
          <w:rFonts w:asciiTheme="majorHAnsi" w:hAnsiTheme="majorHAnsi"/>
          <w:sz w:val="16"/>
          <w:szCs w:val="16"/>
        </w:rPr>
        <w:t>/V/II.106 Doc. 59 rev</w:t>
      </w:r>
      <w:r>
        <w:rPr>
          <w:rFonts w:asciiTheme="majorHAnsi" w:hAnsiTheme="majorHAnsi"/>
          <w:sz w:val="16"/>
          <w:szCs w:val="16"/>
        </w:rPr>
        <w:t>.</w:t>
      </w:r>
      <w:r w:rsidRPr="00875A0D">
        <w:rPr>
          <w:rFonts w:asciiTheme="majorHAnsi" w:hAnsiTheme="majorHAnsi"/>
          <w:sz w:val="16"/>
          <w:szCs w:val="16"/>
        </w:rPr>
        <w:t xml:space="preserve">, </w:t>
      </w:r>
      <w:r>
        <w:rPr>
          <w:rFonts w:asciiTheme="majorHAnsi" w:hAnsiTheme="majorHAnsi"/>
          <w:sz w:val="16"/>
          <w:szCs w:val="16"/>
        </w:rPr>
        <w:t xml:space="preserve">June </w:t>
      </w:r>
      <w:r w:rsidRPr="00875A0D">
        <w:rPr>
          <w:rFonts w:asciiTheme="majorHAnsi" w:hAnsiTheme="majorHAnsi"/>
          <w:sz w:val="16"/>
          <w:szCs w:val="16"/>
        </w:rPr>
        <w:t>2</w:t>
      </w:r>
      <w:r>
        <w:rPr>
          <w:rFonts w:asciiTheme="majorHAnsi" w:hAnsiTheme="majorHAnsi"/>
          <w:sz w:val="16"/>
          <w:szCs w:val="16"/>
        </w:rPr>
        <w:t>,</w:t>
      </w:r>
      <w:r w:rsidRPr="00875A0D">
        <w:rPr>
          <w:rFonts w:asciiTheme="majorHAnsi" w:hAnsiTheme="majorHAnsi"/>
          <w:sz w:val="16"/>
          <w:szCs w:val="16"/>
        </w:rPr>
        <w:t xml:space="preserve"> 2000, </w:t>
      </w:r>
      <w:r>
        <w:rPr>
          <w:rFonts w:asciiTheme="majorHAnsi" w:hAnsiTheme="majorHAnsi"/>
          <w:sz w:val="16"/>
          <w:szCs w:val="16"/>
        </w:rPr>
        <w:t xml:space="preserve">para. </w:t>
      </w:r>
      <w:r w:rsidRPr="00875A0D">
        <w:rPr>
          <w:rFonts w:asciiTheme="majorHAnsi" w:hAnsiTheme="majorHAnsi"/>
          <w:sz w:val="16"/>
          <w:szCs w:val="16"/>
        </w:rPr>
        <w:t>15.</w:t>
      </w:r>
    </w:p>
  </w:footnote>
  <w:footnote w:id="38">
    <w:p w14:paraId="6FADEC03" w14:textId="2082BDA0"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See, for example, IACHR</w:t>
      </w:r>
      <w:r w:rsidR="009F3BBE" w:rsidRPr="00875A0D">
        <w:rPr>
          <w:rFonts w:asciiTheme="majorHAnsi" w:hAnsiTheme="majorHAnsi"/>
          <w:sz w:val="16"/>
          <w:szCs w:val="16"/>
        </w:rPr>
        <w:t>, Integral</w:t>
      </w:r>
      <w:r>
        <w:rPr>
          <w:rFonts w:asciiTheme="majorHAnsi" w:hAnsiTheme="majorHAnsi"/>
          <w:sz w:val="16"/>
          <w:szCs w:val="16"/>
        </w:rPr>
        <w:t xml:space="preserve"> Protection Policies for Human Rights Defenders, </w:t>
      </w:r>
      <w:r w:rsidRPr="00875A0D">
        <w:rPr>
          <w:rFonts w:asciiTheme="majorHAnsi" w:hAnsiTheme="majorHAnsi"/>
          <w:sz w:val="16"/>
          <w:szCs w:val="16"/>
        </w:rPr>
        <w:t>OEA/</w:t>
      </w:r>
      <w:proofErr w:type="spellStart"/>
      <w:r w:rsidRPr="00875A0D">
        <w:rPr>
          <w:rFonts w:asciiTheme="majorHAnsi" w:hAnsiTheme="majorHAnsi"/>
          <w:sz w:val="16"/>
          <w:szCs w:val="16"/>
        </w:rPr>
        <w:t>Ser.L</w:t>
      </w:r>
      <w:proofErr w:type="spellEnd"/>
      <w:r w:rsidRPr="00875A0D">
        <w:rPr>
          <w:rFonts w:asciiTheme="majorHAnsi" w:hAnsiTheme="majorHAnsi"/>
          <w:sz w:val="16"/>
          <w:szCs w:val="16"/>
        </w:rPr>
        <w:t xml:space="preserve">/V/II.Doc.207/17, </w:t>
      </w:r>
      <w:r>
        <w:rPr>
          <w:rFonts w:asciiTheme="majorHAnsi" w:hAnsiTheme="majorHAnsi"/>
          <w:sz w:val="16"/>
          <w:szCs w:val="16"/>
        </w:rPr>
        <w:t xml:space="preserve">December </w:t>
      </w:r>
      <w:r w:rsidRPr="00875A0D">
        <w:rPr>
          <w:rFonts w:asciiTheme="majorHAnsi" w:hAnsiTheme="majorHAnsi"/>
          <w:sz w:val="16"/>
          <w:szCs w:val="16"/>
        </w:rPr>
        <w:t>29</w:t>
      </w:r>
      <w:r>
        <w:rPr>
          <w:rFonts w:asciiTheme="majorHAnsi" w:hAnsiTheme="majorHAnsi"/>
          <w:sz w:val="16"/>
          <w:szCs w:val="16"/>
        </w:rPr>
        <w:t>,</w:t>
      </w:r>
      <w:r w:rsidRPr="00875A0D">
        <w:rPr>
          <w:rFonts w:asciiTheme="majorHAnsi" w:hAnsiTheme="majorHAnsi"/>
          <w:sz w:val="16"/>
          <w:szCs w:val="16"/>
        </w:rPr>
        <w:t xml:space="preserve"> 2017, </w:t>
      </w:r>
      <w:r>
        <w:rPr>
          <w:rFonts w:asciiTheme="majorHAnsi" w:hAnsiTheme="majorHAnsi"/>
          <w:sz w:val="16"/>
          <w:szCs w:val="16"/>
        </w:rPr>
        <w:t>para.</w:t>
      </w:r>
      <w:r w:rsidRPr="00875A0D">
        <w:rPr>
          <w:rFonts w:asciiTheme="majorHAnsi" w:hAnsiTheme="majorHAnsi"/>
          <w:sz w:val="16"/>
          <w:szCs w:val="16"/>
        </w:rPr>
        <w:t xml:space="preserve"> 47.</w:t>
      </w:r>
    </w:p>
  </w:footnote>
  <w:footnote w:id="39">
    <w:p w14:paraId="7E440F38"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United Nations Guidelines on the Role of Prosecutors, adopted by the </w:t>
      </w:r>
      <w:r w:rsidRPr="00FB7438">
        <w:rPr>
          <w:rFonts w:asciiTheme="majorHAnsi" w:hAnsiTheme="majorHAnsi"/>
          <w:sz w:val="16"/>
          <w:szCs w:val="16"/>
        </w:rPr>
        <w:t>Eighth United Nations Congress on the Prevention of Crime and the Treatment of Offenders, Havana, Cuba, 27 August to 7 September 1990</w:t>
      </w:r>
      <w:r>
        <w:rPr>
          <w:rFonts w:asciiTheme="majorHAnsi" w:hAnsiTheme="majorHAnsi"/>
          <w:sz w:val="16"/>
          <w:szCs w:val="16"/>
        </w:rPr>
        <w:t xml:space="preserve">. </w:t>
      </w:r>
    </w:p>
  </w:footnote>
  <w:footnote w:id="40">
    <w:p w14:paraId="1408D959"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hAnsiTheme="majorHAnsi"/>
          <w:sz w:val="16"/>
          <w:szCs w:val="16"/>
        </w:rPr>
        <w:t>Consultative Council of European Judges and Consultative Council of European Prosecutors.</w:t>
      </w:r>
      <w:proofErr w:type="gramEnd"/>
      <w:r>
        <w:rPr>
          <w:rFonts w:asciiTheme="majorHAnsi" w:hAnsiTheme="majorHAnsi"/>
          <w:sz w:val="16"/>
          <w:szCs w:val="16"/>
        </w:rPr>
        <w:t xml:space="preserve"> Bordeaux Declaration on judges and prosecutors in a democratic society, Strasbourg, December </w:t>
      </w:r>
      <w:r w:rsidRPr="00875A0D">
        <w:rPr>
          <w:rFonts w:asciiTheme="majorHAnsi" w:hAnsiTheme="majorHAnsi"/>
          <w:sz w:val="16"/>
          <w:szCs w:val="16"/>
        </w:rPr>
        <w:t>8</w:t>
      </w:r>
      <w:r>
        <w:rPr>
          <w:rFonts w:asciiTheme="majorHAnsi" w:hAnsiTheme="majorHAnsi"/>
          <w:sz w:val="16"/>
          <w:szCs w:val="16"/>
        </w:rPr>
        <w:t>,</w:t>
      </w:r>
      <w:r w:rsidRPr="00875A0D">
        <w:rPr>
          <w:rFonts w:asciiTheme="majorHAnsi" w:hAnsiTheme="majorHAnsi"/>
          <w:sz w:val="16"/>
          <w:szCs w:val="16"/>
        </w:rPr>
        <w:t xml:space="preserve"> 2009</w:t>
      </w:r>
      <w:proofErr w:type="gramStart"/>
      <w:r w:rsidRPr="00875A0D">
        <w:rPr>
          <w:rFonts w:asciiTheme="majorHAnsi" w:hAnsiTheme="majorHAnsi"/>
          <w:sz w:val="16"/>
          <w:szCs w:val="16"/>
        </w:rPr>
        <w:t xml:space="preserve">,  </w:t>
      </w:r>
      <w:r>
        <w:rPr>
          <w:rFonts w:asciiTheme="majorHAnsi" w:hAnsiTheme="majorHAnsi"/>
          <w:sz w:val="16"/>
          <w:szCs w:val="16"/>
        </w:rPr>
        <w:t>paras</w:t>
      </w:r>
      <w:proofErr w:type="gramEnd"/>
      <w:r>
        <w:rPr>
          <w:rFonts w:asciiTheme="majorHAnsi" w:hAnsiTheme="majorHAnsi"/>
          <w:sz w:val="16"/>
          <w:szCs w:val="16"/>
        </w:rPr>
        <w:t xml:space="preserve">. </w:t>
      </w:r>
      <w:proofErr w:type="gramStart"/>
      <w:r w:rsidRPr="00875A0D">
        <w:rPr>
          <w:rFonts w:asciiTheme="majorHAnsi" w:hAnsiTheme="majorHAnsi"/>
          <w:sz w:val="16"/>
          <w:szCs w:val="16"/>
        </w:rPr>
        <w:t>10, 27</w:t>
      </w:r>
      <w:r>
        <w:rPr>
          <w:rFonts w:asciiTheme="majorHAnsi" w:hAnsiTheme="majorHAnsi"/>
          <w:sz w:val="16"/>
          <w:szCs w:val="16"/>
        </w:rPr>
        <w:t>,</w:t>
      </w:r>
      <w:r w:rsidRPr="00875A0D">
        <w:rPr>
          <w:rFonts w:asciiTheme="majorHAnsi" w:hAnsiTheme="majorHAnsi"/>
          <w:sz w:val="16"/>
          <w:szCs w:val="16"/>
        </w:rPr>
        <w:t xml:space="preserve"> </w:t>
      </w:r>
      <w:r>
        <w:rPr>
          <w:rFonts w:asciiTheme="majorHAnsi" w:hAnsiTheme="majorHAnsi"/>
          <w:sz w:val="16"/>
          <w:szCs w:val="16"/>
        </w:rPr>
        <w:t xml:space="preserve">and </w:t>
      </w:r>
      <w:r w:rsidRPr="00875A0D">
        <w:rPr>
          <w:rFonts w:asciiTheme="majorHAnsi" w:hAnsiTheme="majorHAnsi"/>
          <w:sz w:val="16"/>
          <w:szCs w:val="16"/>
        </w:rPr>
        <w:t>37.</w:t>
      </w:r>
      <w:proofErr w:type="gramEnd"/>
    </w:p>
  </w:footnote>
  <w:footnote w:id="41">
    <w:p w14:paraId="3286E481"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Consultative Council of European Prosecutors, Opinion No. 9 (2014), Rome Charter, </w:t>
      </w:r>
      <w:r>
        <w:rPr>
          <w:rFonts w:asciiTheme="majorHAnsi" w:hAnsiTheme="majorHAnsi"/>
          <w:sz w:val="16"/>
          <w:szCs w:val="16"/>
        </w:rPr>
        <w:t xml:space="preserve">points </w:t>
      </w:r>
      <w:r w:rsidRPr="00875A0D">
        <w:rPr>
          <w:rFonts w:asciiTheme="majorHAnsi" w:hAnsiTheme="majorHAnsi"/>
          <w:sz w:val="16"/>
          <w:szCs w:val="16"/>
        </w:rPr>
        <w:t xml:space="preserve">IV </w:t>
      </w:r>
      <w:r>
        <w:rPr>
          <w:rFonts w:asciiTheme="majorHAnsi" w:hAnsiTheme="majorHAnsi"/>
          <w:sz w:val="16"/>
          <w:szCs w:val="16"/>
        </w:rPr>
        <w:t xml:space="preserve">and </w:t>
      </w:r>
      <w:r w:rsidRPr="00875A0D">
        <w:rPr>
          <w:rFonts w:asciiTheme="majorHAnsi" w:hAnsiTheme="majorHAnsi"/>
          <w:sz w:val="16"/>
          <w:szCs w:val="16"/>
        </w:rPr>
        <w:t>V.</w:t>
      </w:r>
    </w:p>
  </w:footnote>
  <w:footnote w:id="42">
    <w:p w14:paraId="7BF8F30A" w14:textId="77777777" w:rsidR="00D02D3C" w:rsidRPr="00875A0D"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Article </w:t>
      </w:r>
      <w:r w:rsidRPr="00875A0D">
        <w:rPr>
          <w:rFonts w:asciiTheme="majorHAnsi" w:hAnsiTheme="majorHAnsi"/>
          <w:sz w:val="16"/>
          <w:szCs w:val="16"/>
        </w:rPr>
        <w:t>25</w:t>
      </w:r>
      <w:r>
        <w:rPr>
          <w:rFonts w:asciiTheme="majorHAnsi" w:hAnsiTheme="majorHAnsi"/>
          <w:sz w:val="16"/>
          <w:szCs w:val="16"/>
        </w:rPr>
        <w:t>(</w:t>
      </w:r>
      <w:r w:rsidRPr="00875A0D">
        <w:rPr>
          <w:rFonts w:asciiTheme="majorHAnsi" w:hAnsiTheme="majorHAnsi"/>
          <w:sz w:val="16"/>
          <w:szCs w:val="16"/>
        </w:rPr>
        <w:t>1</w:t>
      </w:r>
      <w:r>
        <w:rPr>
          <w:rFonts w:asciiTheme="majorHAnsi" w:hAnsiTheme="majorHAnsi"/>
          <w:sz w:val="16"/>
          <w:szCs w:val="16"/>
        </w:rPr>
        <w:t>) of the Convention stipulates</w:t>
      </w:r>
      <w:r w:rsidRPr="00875A0D">
        <w:rPr>
          <w:rFonts w:asciiTheme="majorHAnsi" w:hAnsiTheme="majorHAnsi"/>
          <w:sz w:val="16"/>
          <w:szCs w:val="16"/>
        </w:rPr>
        <w:t xml:space="preserve">: </w:t>
      </w:r>
      <w:r>
        <w:rPr>
          <w:rFonts w:asciiTheme="majorHAnsi" w:hAnsiTheme="majorHAnsi"/>
          <w:sz w:val="16"/>
          <w:szCs w:val="16"/>
        </w:rPr>
        <w:t>“</w:t>
      </w:r>
      <w:r w:rsidRPr="003157CE">
        <w:rPr>
          <w:rFonts w:asciiTheme="majorHAnsi" w:hAnsiTheme="majorHAnsi"/>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875A0D">
        <w:rPr>
          <w:rFonts w:asciiTheme="majorHAnsi" w:eastAsia="Times New Roman" w:hAnsiTheme="majorHAnsi"/>
          <w:sz w:val="16"/>
          <w:szCs w:val="16"/>
        </w:rPr>
        <w:t>.</w:t>
      </w:r>
      <w:r>
        <w:rPr>
          <w:rFonts w:asciiTheme="majorHAnsi" w:eastAsia="Times New Roman" w:hAnsiTheme="majorHAnsi"/>
          <w:sz w:val="16"/>
          <w:szCs w:val="16"/>
        </w:rPr>
        <w:t>”</w:t>
      </w:r>
    </w:p>
  </w:footnote>
  <w:footnote w:id="43">
    <w:p w14:paraId="1890C018" w14:textId="77777777" w:rsidR="00D02D3C" w:rsidRPr="00875A0D" w:rsidRDefault="00D02D3C" w:rsidP="00D02D3C">
      <w:pPr>
        <w:tabs>
          <w:tab w:val="left" w:pos="180"/>
          <w:tab w:val="left" w:pos="900"/>
          <w:tab w:val="left" w:pos="1080"/>
        </w:tabs>
        <w:jc w:val="both"/>
        <w:rPr>
          <w:rFonts w:asciiTheme="majorHAnsi" w:hAnsiTheme="majorHAnsi"/>
          <w:sz w:val="16"/>
          <w:szCs w:val="16"/>
        </w:rPr>
      </w:pPr>
      <w:r w:rsidRPr="00875A0D">
        <w:rPr>
          <w:rStyle w:val="FootnoteReference"/>
          <w:rFonts w:asciiTheme="majorHAnsi" w:hAnsiTheme="majorHAnsi"/>
          <w:sz w:val="16"/>
          <w:szCs w:val="16"/>
        </w:rPr>
        <w:footnoteRef/>
      </w:r>
      <w:r>
        <w:rPr>
          <w:rFonts w:asciiTheme="majorHAnsi" w:hAnsiTheme="majorHAnsi"/>
          <w:color w:val="000000"/>
          <w:sz w:val="16"/>
          <w:szCs w:val="16"/>
        </w:rPr>
        <w:t>I/A Court HR</w:t>
      </w:r>
      <w:r w:rsidRPr="00875A0D">
        <w:rPr>
          <w:rFonts w:asciiTheme="majorHAnsi" w:hAnsiTheme="majorHAnsi"/>
          <w:color w:val="000000"/>
          <w:sz w:val="16"/>
          <w:szCs w:val="16"/>
        </w:rPr>
        <w:t xml:space="preserve">, </w:t>
      </w:r>
      <w:r>
        <w:rPr>
          <w:rFonts w:asciiTheme="majorHAnsi" w:hAnsiTheme="majorHAnsi"/>
          <w:bCs/>
          <w:color w:val="000000"/>
          <w:sz w:val="16"/>
          <w:szCs w:val="16"/>
        </w:rPr>
        <w:t>Case of</w:t>
      </w:r>
      <w:r w:rsidRPr="00875A0D">
        <w:rPr>
          <w:rFonts w:asciiTheme="majorHAnsi" w:hAnsiTheme="majorHAnsi"/>
          <w:bCs/>
          <w:color w:val="000000"/>
          <w:sz w:val="16"/>
          <w:szCs w:val="16"/>
        </w:rPr>
        <w:t xml:space="preserve"> </w:t>
      </w:r>
      <w:r>
        <w:rPr>
          <w:rFonts w:asciiTheme="majorHAnsi" w:hAnsiTheme="majorHAnsi"/>
          <w:bCs/>
          <w:color w:val="000000"/>
          <w:sz w:val="16"/>
          <w:szCs w:val="16"/>
        </w:rPr>
        <w:t xml:space="preserve">Dismissed Congressional Employees </w:t>
      </w:r>
      <w:r w:rsidRPr="00875A0D">
        <w:rPr>
          <w:rFonts w:asciiTheme="majorHAnsi" w:hAnsiTheme="majorHAnsi"/>
          <w:bCs/>
          <w:color w:val="000000"/>
          <w:sz w:val="16"/>
          <w:szCs w:val="16"/>
        </w:rPr>
        <w:t>(</w:t>
      </w:r>
      <w:proofErr w:type="spellStart"/>
      <w:r w:rsidRPr="00875A0D">
        <w:rPr>
          <w:rFonts w:asciiTheme="majorHAnsi" w:hAnsiTheme="majorHAnsi"/>
          <w:bCs/>
          <w:color w:val="000000"/>
          <w:sz w:val="16"/>
          <w:szCs w:val="16"/>
        </w:rPr>
        <w:t>Aguado</w:t>
      </w:r>
      <w:proofErr w:type="spellEnd"/>
      <w:r w:rsidRPr="00875A0D">
        <w:rPr>
          <w:rFonts w:asciiTheme="majorHAnsi" w:hAnsiTheme="majorHAnsi"/>
          <w:bCs/>
          <w:color w:val="000000"/>
          <w:sz w:val="16"/>
          <w:szCs w:val="16"/>
        </w:rPr>
        <w:t xml:space="preserve"> Alfaro </w:t>
      </w:r>
      <w:r w:rsidRPr="003157CE">
        <w:rPr>
          <w:rFonts w:asciiTheme="majorHAnsi" w:hAnsiTheme="majorHAnsi"/>
          <w:bCs/>
          <w:i/>
          <w:iCs/>
          <w:color w:val="000000"/>
          <w:sz w:val="16"/>
          <w:szCs w:val="16"/>
        </w:rPr>
        <w:t>et al</w:t>
      </w:r>
      <w:r>
        <w:rPr>
          <w:rFonts w:asciiTheme="majorHAnsi" w:hAnsiTheme="majorHAnsi"/>
          <w:bCs/>
          <w:color w:val="000000"/>
          <w:sz w:val="16"/>
          <w:szCs w:val="16"/>
        </w:rPr>
        <w:t>.</w:t>
      </w:r>
      <w:r w:rsidRPr="00875A0D">
        <w:rPr>
          <w:rFonts w:asciiTheme="majorHAnsi" w:hAnsiTheme="majorHAnsi"/>
          <w:bCs/>
          <w:color w:val="000000"/>
          <w:sz w:val="16"/>
          <w:szCs w:val="16"/>
        </w:rPr>
        <w:t xml:space="preserve">). </w:t>
      </w:r>
      <w:r>
        <w:rPr>
          <w:rFonts w:asciiTheme="majorHAnsi" w:hAnsiTheme="majorHAnsi"/>
          <w:bCs/>
          <w:color w:val="000000"/>
          <w:sz w:val="16"/>
          <w:szCs w:val="16"/>
        </w:rPr>
        <w:t>Judgment on Preliminary Objections</w:t>
      </w:r>
      <w:proofErr w:type="gramStart"/>
      <w:r>
        <w:rPr>
          <w:rFonts w:asciiTheme="majorHAnsi" w:hAnsiTheme="majorHAnsi"/>
          <w:bCs/>
          <w:color w:val="000000"/>
          <w:sz w:val="16"/>
          <w:szCs w:val="16"/>
        </w:rPr>
        <w:t xml:space="preserve">, </w:t>
      </w:r>
      <w:r>
        <w:rPr>
          <w:rFonts w:asciiTheme="majorHAnsi" w:hAnsiTheme="majorHAnsi"/>
          <w:color w:val="000000"/>
          <w:sz w:val="16"/>
          <w:szCs w:val="16"/>
        </w:rPr>
        <w:t xml:space="preserve"> </w:t>
      </w:r>
      <w:r w:rsidRPr="00203A9B">
        <w:rPr>
          <w:rFonts w:asciiTheme="majorHAnsi" w:hAnsiTheme="majorHAnsi"/>
          <w:color w:val="000000"/>
          <w:sz w:val="16"/>
          <w:szCs w:val="16"/>
        </w:rPr>
        <w:t>Merits</w:t>
      </w:r>
      <w:proofErr w:type="gramEnd"/>
      <w:r w:rsidRPr="00203A9B">
        <w:rPr>
          <w:rFonts w:asciiTheme="majorHAnsi" w:hAnsiTheme="majorHAnsi"/>
          <w:color w:val="000000"/>
          <w:sz w:val="16"/>
          <w:szCs w:val="16"/>
        </w:rPr>
        <w:t>, Reparations and Costs</w:t>
      </w:r>
      <w:r w:rsidRPr="00875A0D">
        <w:rPr>
          <w:rFonts w:asciiTheme="majorHAnsi" w:hAnsiTheme="majorHAnsi"/>
          <w:color w:val="000000"/>
          <w:sz w:val="16"/>
          <w:szCs w:val="16"/>
        </w:rPr>
        <w:t xml:space="preserve">. </w:t>
      </w:r>
      <w:r w:rsidRPr="00203A9B">
        <w:rPr>
          <w:rFonts w:asciiTheme="majorHAnsi" w:hAnsiTheme="majorHAnsi"/>
          <w:color w:val="000000"/>
          <w:sz w:val="16"/>
          <w:szCs w:val="16"/>
        </w:rPr>
        <w:t>Judgment of</w:t>
      </w:r>
      <w:r w:rsidRPr="00875A0D">
        <w:rPr>
          <w:rFonts w:asciiTheme="majorHAnsi" w:hAnsiTheme="majorHAnsi"/>
          <w:color w:val="000000"/>
          <w:sz w:val="16"/>
          <w:szCs w:val="16"/>
        </w:rPr>
        <w:t xml:space="preserve"> </w:t>
      </w:r>
      <w:r>
        <w:rPr>
          <w:rFonts w:asciiTheme="majorHAnsi" w:hAnsiTheme="majorHAnsi"/>
          <w:color w:val="000000"/>
          <w:sz w:val="16"/>
          <w:szCs w:val="16"/>
        </w:rPr>
        <w:t xml:space="preserve">November </w:t>
      </w:r>
      <w:r w:rsidRPr="00875A0D">
        <w:rPr>
          <w:rFonts w:asciiTheme="majorHAnsi" w:hAnsiTheme="majorHAnsi"/>
          <w:color w:val="000000"/>
          <w:sz w:val="16"/>
          <w:szCs w:val="16"/>
        </w:rPr>
        <w:t>24</w:t>
      </w:r>
      <w:r>
        <w:rPr>
          <w:rFonts w:asciiTheme="majorHAnsi" w:hAnsiTheme="majorHAnsi"/>
          <w:color w:val="000000"/>
          <w:sz w:val="16"/>
          <w:szCs w:val="16"/>
        </w:rPr>
        <w:t>,</w:t>
      </w:r>
      <w:r w:rsidRPr="00875A0D">
        <w:rPr>
          <w:rFonts w:asciiTheme="majorHAnsi" w:hAnsiTheme="majorHAnsi"/>
          <w:color w:val="000000"/>
          <w:sz w:val="16"/>
          <w:szCs w:val="16"/>
        </w:rPr>
        <w:t xml:space="preserve"> 2006. </w:t>
      </w:r>
      <w:r w:rsidRPr="00203A9B">
        <w:rPr>
          <w:rFonts w:asciiTheme="majorHAnsi" w:hAnsiTheme="majorHAnsi"/>
          <w:color w:val="000000"/>
          <w:sz w:val="16"/>
          <w:szCs w:val="16"/>
        </w:rPr>
        <w:t>Series C</w:t>
      </w:r>
      <w:r w:rsidRPr="00875A0D">
        <w:rPr>
          <w:rFonts w:asciiTheme="majorHAnsi" w:hAnsiTheme="majorHAnsi"/>
          <w:color w:val="000000"/>
          <w:sz w:val="16"/>
          <w:szCs w:val="16"/>
        </w:rPr>
        <w:t xml:space="preserve"> No. 158</w:t>
      </w:r>
      <w:r>
        <w:rPr>
          <w:rFonts w:asciiTheme="majorHAnsi" w:hAnsiTheme="majorHAnsi"/>
          <w:color w:val="000000"/>
          <w:sz w:val="16"/>
          <w:szCs w:val="16"/>
        </w:rPr>
        <w:t>, para.</w:t>
      </w:r>
      <w:r w:rsidRPr="00875A0D">
        <w:rPr>
          <w:rFonts w:asciiTheme="majorHAnsi" w:hAnsiTheme="majorHAnsi"/>
          <w:color w:val="000000"/>
          <w:sz w:val="16"/>
          <w:szCs w:val="16"/>
        </w:rPr>
        <w:t xml:space="preserve"> 125; </w:t>
      </w:r>
      <w:r>
        <w:rPr>
          <w:rFonts w:asciiTheme="majorHAnsi" w:hAnsiTheme="majorHAnsi"/>
          <w:color w:val="000000"/>
          <w:sz w:val="16"/>
          <w:szCs w:val="16"/>
        </w:rPr>
        <w:t>I/A Court HR</w:t>
      </w:r>
      <w:r w:rsidRPr="00875A0D">
        <w:rPr>
          <w:rFonts w:asciiTheme="majorHAnsi" w:hAnsiTheme="majorHAnsi"/>
          <w:color w:val="000000"/>
          <w:sz w:val="16"/>
          <w:szCs w:val="16"/>
        </w:rPr>
        <w:t xml:space="preserve">, </w:t>
      </w:r>
      <w:r>
        <w:rPr>
          <w:rFonts w:asciiTheme="majorHAnsi" w:hAnsiTheme="majorHAnsi"/>
          <w:bCs/>
          <w:color w:val="000000"/>
          <w:sz w:val="16"/>
          <w:szCs w:val="16"/>
        </w:rPr>
        <w:t>Case of</w:t>
      </w:r>
      <w:r w:rsidRPr="00875A0D">
        <w:rPr>
          <w:rFonts w:asciiTheme="majorHAnsi" w:hAnsiTheme="majorHAnsi"/>
          <w:bCs/>
          <w:color w:val="000000"/>
          <w:sz w:val="16"/>
          <w:szCs w:val="16"/>
        </w:rPr>
        <w:t xml:space="preserve"> </w:t>
      </w:r>
      <w:proofErr w:type="spellStart"/>
      <w:r w:rsidRPr="00875A0D">
        <w:rPr>
          <w:rFonts w:asciiTheme="majorHAnsi" w:hAnsiTheme="majorHAnsi"/>
          <w:bCs/>
          <w:color w:val="000000"/>
          <w:sz w:val="16"/>
          <w:szCs w:val="16"/>
        </w:rPr>
        <w:t>Yakye</w:t>
      </w:r>
      <w:proofErr w:type="spellEnd"/>
      <w:r w:rsidRPr="00875A0D">
        <w:rPr>
          <w:rFonts w:asciiTheme="majorHAnsi" w:hAnsiTheme="majorHAnsi"/>
          <w:bCs/>
          <w:color w:val="000000"/>
          <w:sz w:val="16"/>
          <w:szCs w:val="16"/>
        </w:rPr>
        <w:t xml:space="preserve"> </w:t>
      </w:r>
      <w:proofErr w:type="spellStart"/>
      <w:r w:rsidRPr="00875A0D">
        <w:rPr>
          <w:rFonts w:asciiTheme="majorHAnsi" w:hAnsiTheme="majorHAnsi"/>
          <w:bCs/>
          <w:color w:val="000000"/>
          <w:sz w:val="16"/>
          <w:szCs w:val="16"/>
        </w:rPr>
        <w:t>Axa</w:t>
      </w:r>
      <w:proofErr w:type="spellEnd"/>
      <w:r>
        <w:rPr>
          <w:rFonts w:asciiTheme="majorHAnsi" w:hAnsiTheme="majorHAnsi"/>
          <w:bCs/>
          <w:color w:val="000000"/>
          <w:sz w:val="16"/>
          <w:szCs w:val="16"/>
        </w:rPr>
        <w:t xml:space="preserve"> Indigenous Community</w:t>
      </w:r>
      <w:r w:rsidRPr="00875A0D">
        <w:rPr>
          <w:rFonts w:asciiTheme="majorHAnsi" w:hAnsiTheme="majorHAnsi"/>
          <w:bCs/>
          <w:color w:val="000000"/>
          <w:sz w:val="16"/>
          <w:szCs w:val="16"/>
        </w:rPr>
        <w:t xml:space="preserve">. </w:t>
      </w:r>
      <w:r>
        <w:rPr>
          <w:rFonts w:asciiTheme="majorHAnsi" w:hAnsiTheme="majorHAnsi"/>
          <w:bCs/>
          <w:color w:val="000000"/>
          <w:sz w:val="16"/>
          <w:szCs w:val="16"/>
        </w:rPr>
        <w:t xml:space="preserve">Judgment of June </w:t>
      </w:r>
      <w:r w:rsidRPr="00875A0D">
        <w:rPr>
          <w:rFonts w:asciiTheme="majorHAnsi" w:hAnsiTheme="majorHAnsi"/>
          <w:color w:val="000000"/>
          <w:sz w:val="16"/>
          <w:szCs w:val="16"/>
        </w:rPr>
        <w:t>17</w:t>
      </w:r>
      <w:r>
        <w:rPr>
          <w:rFonts w:asciiTheme="majorHAnsi" w:hAnsiTheme="majorHAnsi"/>
          <w:color w:val="000000"/>
          <w:sz w:val="16"/>
          <w:szCs w:val="16"/>
        </w:rPr>
        <w:t>,</w:t>
      </w:r>
      <w:r w:rsidRPr="00875A0D">
        <w:rPr>
          <w:rFonts w:asciiTheme="majorHAnsi" w:hAnsiTheme="majorHAnsi"/>
          <w:color w:val="000000"/>
          <w:sz w:val="16"/>
          <w:szCs w:val="16"/>
        </w:rPr>
        <w:t xml:space="preserve"> 2005. </w:t>
      </w:r>
      <w:r w:rsidRPr="00203A9B">
        <w:rPr>
          <w:rFonts w:asciiTheme="majorHAnsi" w:hAnsiTheme="majorHAnsi"/>
          <w:color w:val="000000"/>
          <w:sz w:val="16"/>
          <w:szCs w:val="16"/>
        </w:rPr>
        <w:t>Series C</w:t>
      </w:r>
      <w:r w:rsidRPr="00875A0D">
        <w:rPr>
          <w:rFonts w:asciiTheme="majorHAnsi" w:hAnsiTheme="majorHAnsi"/>
          <w:color w:val="000000"/>
          <w:sz w:val="16"/>
          <w:szCs w:val="16"/>
        </w:rPr>
        <w:t xml:space="preserve"> No. 125</w:t>
      </w:r>
      <w:r>
        <w:rPr>
          <w:rFonts w:asciiTheme="majorHAnsi" w:hAnsiTheme="majorHAnsi"/>
          <w:sz w:val="16"/>
          <w:szCs w:val="16"/>
        </w:rPr>
        <w:t>, para.</w:t>
      </w:r>
      <w:r w:rsidRPr="00875A0D">
        <w:rPr>
          <w:rFonts w:asciiTheme="majorHAnsi" w:hAnsiTheme="majorHAnsi"/>
          <w:sz w:val="16"/>
          <w:szCs w:val="16"/>
        </w:rPr>
        <w:t xml:space="preserve">  61; </w:t>
      </w:r>
      <w:r>
        <w:rPr>
          <w:rFonts w:asciiTheme="majorHAnsi" w:hAnsiTheme="majorHAnsi"/>
          <w:color w:val="000000"/>
          <w:sz w:val="16"/>
          <w:szCs w:val="16"/>
        </w:rPr>
        <w:t>I/A Court HR</w:t>
      </w:r>
      <w:r w:rsidRPr="00875A0D">
        <w:rPr>
          <w:rFonts w:asciiTheme="majorHAnsi" w:hAnsiTheme="majorHAnsi"/>
          <w:color w:val="000000"/>
          <w:sz w:val="16"/>
          <w:szCs w:val="16"/>
        </w:rPr>
        <w:t xml:space="preserve">, </w:t>
      </w:r>
      <w:r>
        <w:rPr>
          <w:rFonts w:asciiTheme="majorHAnsi" w:hAnsiTheme="majorHAnsi"/>
          <w:bCs/>
          <w:color w:val="000000"/>
          <w:sz w:val="16"/>
          <w:szCs w:val="16"/>
        </w:rPr>
        <w:t>Case of</w:t>
      </w:r>
      <w:r w:rsidRPr="00875A0D">
        <w:rPr>
          <w:rFonts w:asciiTheme="majorHAnsi" w:hAnsiTheme="majorHAnsi"/>
          <w:bCs/>
          <w:color w:val="000000"/>
          <w:sz w:val="16"/>
          <w:szCs w:val="16"/>
        </w:rPr>
        <w:t xml:space="preserve"> </w:t>
      </w:r>
      <w:r>
        <w:rPr>
          <w:rFonts w:asciiTheme="majorHAnsi" w:hAnsiTheme="majorHAnsi"/>
          <w:bCs/>
          <w:color w:val="000000"/>
          <w:sz w:val="16"/>
          <w:szCs w:val="16"/>
        </w:rPr>
        <w:t xml:space="preserve">the “Five Pensioners.” </w:t>
      </w:r>
      <w:r w:rsidRPr="00203A9B">
        <w:rPr>
          <w:rFonts w:asciiTheme="majorHAnsi" w:hAnsiTheme="majorHAnsi"/>
          <w:color w:val="000000"/>
          <w:sz w:val="16"/>
          <w:szCs w:val="16"/>
        </w:rPr>
        <w:t>Judgment of</w:t>
      </w:r>
      <w:r w:rsidRPr="00875A0D">
        <w:rPr>
          <w:rFonts w:asciiTheme="majorHAnsi" w:hAnsiTheme="majorHAnsi"/>
          <w:color w:val="000000"/>
          <w:sz w:val="16"/>
          <w:szCs w:val="16"/>
        </w:rPr>
        <w:t xml:space="preserve"> </w:t>
      </w:r>
      <w:r>
        <w:rPr>
          <w:rFonts w:asciiTheme="majorHAnsi" w:hAnsiTheme="majorHAnsi"/>
          <w:color w:val="000000"/>
          <w:sz w:val="16"/>
          <w:szCs w:val="16"/>
        </w:rPr>
        <w:t xml:space="preserve">February </w:t>
      </w:r>
      <w:r w:rsidRPr="00875A0D">
        <w:rPr>
          <w:rFonts w:asciiTheme="majorHAnsi" w:hAnsiTheme="majorHAnsi"/>
          <w:color w:val="000000"/>
          <w:sz w:val="16"/>
          <w:szCs w:val="16"/>
        </w:rPr>
        <w:t>28</w:t>
      </w:r>
      <w:r>
        <w:rPr>
          <w:rFonts w:asciiTheme="majorHAnsi" w:hAnsiTheme="majorHAnsi"/>
          <w:color w:val="000000"/>
          <w:sz w:val="16"/>
          <w:szCs w:val="16"/>
        </w:rPr>
        <w:t>,</w:t>
      </w:r>
      <w:r w:rsidRPr="00875A0D">
        <w:rPr>
          <w:rFonts w:asciiTheme="majorHAnsi" w:hAnsiTheme="majorHAnsi"/>
          <w:color w:val="000000"/>
          <w:sz w:val="16"/>
          <w:szCs w:val="16"/>
        </w:rPr>
        <w:t xml:space="preserve"> 2003. </w:t>
      </w:r>
      <w:r w:rsidRPr="00203A9B">
        <w:rPr>
          <w:rFonts w:asciiTheme="majorHAnsi" w:hAnsiTheme="majorHAnsi"/>
          <w:color w:val="000000"/>
          <w:sz w:val="16"/>
          <w:szCs w:val="16"/>
        </w:rPr>
        <w:t>Series C</w:t>
      </w:r>
      <w:r w:rsidRPr="00875A0D">
        <w:rPr>
          <w:rFonts w:asciiTheme="majorHAnsi" w:hAnsiTheme="majorHAnsi"/>
          <w:color w:val="000000"/>
          <w:sz w:val="16"/>
          <w:szCs w:val="16"/>
        </w:rPr>
        <w:t xml:space="preserve"> No. 98</w:t>
      </w:r>
      <w:r>
        <w:rPr>
          <w:rFonts w:asciiTheme="majorHAnsi" w:hAnsiTheme="majorHAnsi"/>
          <w:sz w:val="16"/>
          <w:szCs w:val="16"/>
        </w:rPr>
        <w:t>,</w:t>
      </w:r>
      <w:r w:rsidRPr="00875A0D">
        <w:rPr>
          <w:rFonts w:asciiTheme="majorHAnsi" w:hAnsiTheme="majorHAnsi"/>
          <w:sz w:val="16"/>
          <w:szCs w:val="16"/>
        </w:rPr>
        <w:t xml:space="preserve"> </w:t>
      </w:r>
      <w:r>
        <w:rPr>
          <w:rFonts w:asciiTheme="majorHAnsi" w:hAnsiTheme="majorHAnsi"/>
          <w:sz w:val="16"/>
          <w:szCs w:val="16"/>
        </w:rPr>
        <w:t>para.</w:t>
      </w:r>
      <w:r w:rsidRPr="00875A0D">
        <w:rPr>
          <w:rFonts w:asciiTheme="majorHAnsi" w:hAnsiTheme="majorHAnsi"/>
          <w:sz w:val="16"/>
          <w:szCs w:val="16"/>
        </w:rPr>
        <w:t xml:space="preserve"> 136.</w:t>
      </w:r>
    </w:p>
  </w:footnote>
  <w:footnote w:id="44">
    <w:p w14:paraId="04261D22" w14:textId="77777777" w:rsidR="00D02D3C" w:rsidRPr="00875A0D" w:rsidRDefault="00D02D3C" w:rsidP="00D02D3C">
      <w:pPr>
        <w:pStyle w:val="FootnoteText"/>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I/A Court HR</w:t>
      </w:r>
      <w:r w:rsidRPr="00875A0D">
        <w:rPr>
          <w:rFonts w:asciiTheme="majorHAnsi" w:hAnsiTheme="majorHAnsi"/>
          <w:sz w:val="16"/>
          <w:szCs w:val="16"/>
        </w:rPr>
        <w:t xml:space="preserve">, </w:t>
      </w:r>
      <w:r>
        <w:rPr>
          <w:rFonts w:asciiTheme="majorHAnsi" w:hAnsiTheme="majorHAnsi"/>
          <w:sz w:val="16"/>
          <w:szCs w:val="16"/>
        </w:rPr>
        <w:t>Case of</w:t>
      </w:r>
      <w:r w:rsidRPr="00875A0D">
        <w:rPr>
          <w:rFonts w:asciiTheme="majorHAnsi" w:hAnsiTheme="majorHAnsi"/>
          <w:sz w:val="16"/>
          <w:szCs w:val="16"/>
        </w:rPr>
        <w:t xml:space="preserve"> Ramírez Escobar </w:t>
      </w:r>
      <w:r w:rsidRPr="00203A9B">
        <w:rPr>
          <w:rFonts w:asciiTheme="majorHAnsi" w:hAnsiTheme="majorHAnsi"/>
          <w:i/>
          <w:iCs/>
          <w:sz w:val="16"/>
          <w:szCs w:val="16"/>
        </w:rPr>
        <w:t>et al.</w:t>
      </w:r>
      <w:r>
        <w:rPr>
          <w:rFonts w:asciiTheme="majorHAnsi" w:hAnsiTheme="majorHAnsi"/>
          <w:sz w:val="16"/>
          <w:szCs w:val="16"/>
        </w:rPr>
        <w:t xml:space="preserve"> v</w:t>
      </w:r>
      <w:r w:rsidRPr="00875A0D">
        <w:rPr>
          <w:rFonts w:asciiTheme="majorHAnsi" w:hAnsiTheme="majorHAnsi"/>
          <w:sz w:val="16"/>
          <w:szCs w:val="16"/>
        </w:rPr>
        <w:t xml:space="preserve">. Guatemala. </w:t>
      </w:r>
      <w:proofErr w:type="gramStart"/>
      <w:r w:rsidRPr="00203A9B">
        <w:rPr>
          <w:rFonts w:asciiTheme="majorHAnsi" w:hAnsiTheme="majorHAnsi"/>
          <w:sz w:val="16"/>
          <w:szCs w:val="16"/>
        </w:rPr>
        <w:t>Merits, Reparations and Costs</w:t>
      </w:r>
      <w:r w:rsidRPr="00875A0D">
        <w:rPr>
          <w:rFonts w:asciiTheme="majorHAnsi" w:hAnsiTheme="majorHAnsi"/>
          <w:sz w:val="16"/>
          <w:szCs w:val="16"/>
        </w:rPr>
        <w:t>.</w:t>
      </w:r>
      <w:proofErr w:type="gramEnd"/>
      <w:r w:rsidRPr="00875A0D">
        <w:rPr>
          <w:rFonts w:asciiTheme="majorHAnsi" w:hAnsiTheme="majorHAnsi"/>
          <w:sz w:val="16"/>
          <w:szCs w:val="16"/>
        </w:rPr>
        <w:t xml:space="preserve"> </w:t>
      </w:r>
      <w:r w:rsidRPr="00203A9B">
        <w:rPr>
          <w:rFonts w:asciiTheme="majorHAnsi" w:hAnsiTheme="majorHAnsi"/>
          <w:sz w:val="16"/>
          <w:szCs w:val="16"/>
        </w:rPr>
        <w:t>Judgment of</w:t>
      </w:r>
      <w:r w:rsidRPr="00875A0D">
        <w:rPr>
          <w:rFonts w:asciiTheme="majorHAnsi" w:hAnsiTheme="majorHAnsi"/>
          <w:sz w:val="16"/>
          <w:szCs w:val="16"/>
        </w:rPr>
        <w:t xml:space="preserve"> </w:t>
      </w:r>
      <w:r>
        <w:rPr>
          <w:rFonts w:asciiTheme="majorHAnsi" w:hAnsiTheme="majorHAnsi"/>
          <w:sz w:val="16"/>
          <w:szCs w:val="16"/>
        </w:rPr>
        <w:t xml:space="preserve">March </w:t>
      </w:r>
      <w:r w:rsidRPr="00875A0D">
        <w:rPr>
          <w:rFonts w:asciiTheme="majorHAnsi" w:hAnsiTheme="majorHAnsi"/>
          <w:sz w:val="16"/>
          <w:szCs w:val="16"/>
        </w:rPr>
        <w:t>9</w:t>
      </w:r>
      <w:r>
        <w:rPr>
          <w:rFonts w:asciiTheme="majorHAnsi" w:hAnsiTheme="majorHAnsi"/>
          <w:sz w:val="16"/>
          <w:szCs w:val="16"/>
        </w:rPr>
        <w:t>,</w:t>
      </w:r>
      <w:r w:rsidRPr="00875A0D">
        <w:rPr>
          <w:rFonts w:asciiTheme="majorHAnsi" w:hAnsiTheme="majorHAnsi"/>
          <w:sz w:val="16"/>
          <w:szCs w:val="16"/>
        </w:rPr>
        <w:t xml:space="preserve"> 2018. </w:t>
      </w:r>
      <w:r w:rsidRPr="00203A9B">
        <w:rPr>
          <w:rFonts w:asciiTheme="majorHAnsi" w:hAnsiTheme="majorHAnsi"/>
          <w:sz w:val="16"/>
          <w:szCs w:val="16"/>
        </w:rPr>
        <w:t>Series C</w:t>
      </w:r>
      <w:r w:rsidRPr="00875A0D">
        <w:rPr>
          <w:rFonts w:asciiTheme="majorHAnsi" w:hAnsiTheme="majorHAnsi"/>
          <w:sz w:val="16"/>
          <w:szCs w:val="16"/>
        </w:rPr>
        <w:t xml:space="preserve"> No. 351, </w:t>
      </w:r>
      <w:r>
        <w:rPr>
          <w:rFonts w:asciiTheme="majorHAnsi" w:hAnsiTheme="majorHAnsi"/>
          <w:sz w:val="16"/>
          <w:szCs w:val="16"/>
        </w:rPr>
        <w:t>paras.</w:t>
      </w:r>
      <w:r w:rsidRPr="00875A0D">
        <w:rPr>
          <w:rFonts w:asciiTheme="majorHAnsi" w:hAnsiTheme="majorHAnsi"/>
          <w:sz w:val="16"/>
          <w:szCs w:val="16"/>
        </w:rPr>
        <w:t xml:space="preserve"> 251-252.</w:t>
      </w:r>
    </w:p>
  </w:footnote>
  <w:footnote w:id="45">
    <w:p w14:paraId="45384E9C" w14:textId="77777777" w:rsidR="00D02D3C" w:rsidRPr="00875A0D" w:rsidRDefault="00D02D3C" w:rsidP="00D02D3C">
      <w:pPr>
        <w:pStyle w:val="FootnoteText"/>
        <w:spacing w:after="120"/>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cs="Arial"/>
          <w:sz w:val="16"/>
          <w:szCs w:val="16"/>
        </w:rPr>
        <w:t xml:space="preserve"> </w:t>
      </w:r>
      <w:proofErr w:type="gramStart"/>
      <w:r w:rsidRPr="00875A0D">
        <w:rPr>
          <w:rFonts w:asciiTheme="majorHAnsi" w:hAnsiTheme="majorHAnsi" w:cs="Arial"/>
          <w:sz w:val="16"/>
          <w:szCs w:val="16"/>
        </w:rPr>
        <w:t>Co</w:t>
      </w:r>
      <w:r>
        <w:rPr>
          <w:rFonts w:asciiTheme="majorHAnsi" w:hAnsiTheme="majorHAnsi" w:cs="Arial"/>
          <w:sz w:val="16"/>
          <w:szCs w:val="16"/>
        </w:rPr>
        <w:t>uncil of State</w:t>
      </w:r>
      <w:r w:rsidRPr="00875A0D">
        <w:rPr>
          <w:rFonts w:asciiTheme="majorHAnsi" w:hAnsiTheme="majorHAnsi" w:cs="Arial"/>
          <w:sz w:val="16"/>
          <w:szCs w:val="16"/>
        </w:rPr>
        <w:t xml:space="preserve">, </w:t>
      </w:r>
      <w:r>
        <w:rPr>
          <w:rFonts w:asciiTheme="majorHAnsi" w:hAnsiTheme="majorHAnsi" w:cs="Arial"/>
          <w:sz w:val="16"/>
          <w:szCs w:val="16"/>
        </w:rPr>
        <w:t xml:space="preserve">Second Section, case </w:t>
      </w:r>
      <w:r w:rsidRPr="00875A0D">
        <w:rPr>
          <w:rFonts w:asciiTheme="majorHAnsi" w:hAnsiTheme="majorHAnsi" w:cs="Arial"/>
          <w:sz w:val="16"/>
          <w:szCs w:val="16"/>
        </w:rPr>
        <w:t xml:space="preserve">76001-23-31-000-1998-1834-01(4972-01), </w:t>
      </w:r>
      <w:r w:rsidRPr="00203A9B">
        <w:rPr>
          <w:rFonts w:asciiTheme="majorHAnsi" w:hAnsiTheme="majorHAnsi" w:cs="Arial"/>
          <w:sz w:val="16"/>
          <w:szCs w:val="16"/>
        </w:rPr>
        <w:t>Judgment of</w:t>
      </w:r>
      <w:r w:rsidRPr="00875A0D">
        <w:rPr>
          <w:rFonts w:asciiTheme="majorHAnsi" w:hAnsiTheme="majorHAnsi" w:cs="Arial"/>
          <w:sz w:val="16"/>
          <w:szCs w:val="16"/>
        </w:rPr>
        <w:t xml:space="preserve"> </w:t>
      </w:r>
      <w:r>
        <w:rPr>
          <w:rFonts w:asciiTheme="majorHAnsi" w:hAnsiTheme="majorHAnsi" w:cs="Arial"/>
          <w:sz w:val="16"/>
          <w:szCs w:val="16"/>
        </w:rPr>
        <w:t xml:space="preserve">March </w:t>
      </w:r>
      <w:r w:rsidRPr="00875A0D">
        <w:rPr>
          <w:rFonts w:asciiTheme="majorHAnsi" w:hAnsiTheme="majorHAnsi" w:cs="Arial"/>
          <w:sz w:val="16"/>
          <w:szCs w:val="16"/>
        </w:rPr>
        <w:t>13</w:t>
      </w:r>
      <w:r>
        <w:rPr>
          <w:rFonts w:asciiTheme="majorHAnsi" w:hAnsiTheme="majorHAnsi" w:cs="Arial"/>
          <w:sz w:val="16"/>
          <w:szCs w:val="16"/>
        </w:rPr>
        <w:t>,</w:t>
      </w:r>
      <w:r w:rsidRPr="00875A0D">
        <w:rPr>
          <w:rFonts w:asciiTheme="majorHAnsi" w:hAnsiTheme="majorHAnsi" w:cs="Arial"/>
          <w:sz w:val="16"/>
          <w:szCs w:val="16"/>
        </w:rPr>
        <w:t xml:space="preserve"> 2003.</w:t>
      </w:r>
      <w:proofErr w:type="gramEnd"/>
      <w:r w:rsidRPr="00875A0D">
        <w:rPr>
          <w:rFonts w:asciiTheme="majorHAnsi" w:hAnsiTheme="majorHAnsi" w:cs="Arial"/>
          <w:sz w:val="16"/>
          <w:szCs w:val="16"/>
        </w:rPr>
        <w:t xml:space="preserve"> </w:t>
      </w:r>
      <w:r>
        <w:rPr>
          <w:rFonts w:asciiTheme="majorHAnsi" w:hAnsiTheme="majorHAnsi"/>
          <w:sz w:val="16"/>
          <w:szCs w:val="16"/>
        </w:rPr>
        <w:t xml:space="preserve">According to the Colombian Constitutional Court, as of this decision, </w:t>
      </w:r>
      <w:r w:rsidRPr="00875A0D">
        <w:rPr>
          <w:rFonts w:asciiTheme="majorHAnsi" w:hAnsiTheme="majorHAnsi" w:cs="Garamond"/>
          <w:sz w:val="16"/>
          <w:szCs w:val="16"/>
        </w:rPr>
        <w:t>“</w:t>
      </w:r>
      <w:r>
        <w:rPr>
          <w:rFonts w:asciiTheme="majorHAnsi" w:hAnsiTheme="majorHAnsi" w:cs="Garamond"/>
          <w:sz w:val="16"/>
          <w:szCs w:val="16"/>
        </w:rPr>
        <w:t xml:space="preserve">this has been the position of the Council of State and based on </w:t>
      </w:r>
      <w:proofErr w:type="spellStart"/>
      <w:r>
        <w:rPr>
          <w:rFonts w:asciiTheme="majorHAnsi" w:hAnsiTheme="majorHAnsi" w:cs="Garamond"/>
          <w:sz w:val="16"/>
          <w:szCs w:val="16"/>
        </w:rPr>
        <w:t>it</w:t>
      </w:r>
      <w:proofErr w:type="spellEnd"/>
      <w:r>
        <w:rPr>
          <w:rFonts w:asciiTheme="majorHAnsi" w:hAnsiTheme="majorHAnsi" w:cs="Garamond"/>
          <w:sz w:val="16"/>
          <w:szCs w:val="16"/>
        </w:rPr>
        <w:t xml:space="preserve"> administrative acts of such nature have not been annulled when the action for nullity and reestablishment of the right has been used.” </w:t>
      </w:r>
      <w:r>
        <w:rPr>
          <w:rFonts w:asciiTheme="majorHAnsi" w:hAnsiTheme="majorHAnsi" w:cs="Arial"/>
          <w:sz w:val="16"/>
          <w:szCs w:val="16"/>
        </w:rPr>
        <w:t xml:space="preserve">See Constitutional Court of </w:t>
      </w:r>
      <w:r w:rsidRPr="00875A0D">
        <w:rPr>
          <w:rFonts w:asciiTheme="majorHAnsi" w:hAnsiTheme="majorHAnsi"/>
          <w:sz w:val="16"/>
          <w:szCs w:val="16"/>
        </w:rPr>
        <w:t xml:space="preserve">Colombia, </w:t>
      </w:r>
      <w:r>
        <w:rPr>
          <w:rFonts w:asciiTheme="majorHAnsi" w:hAnsiTheme="majorHAnsi"/>
          <w:sz w:val="16"/>
          <w:szCs w:val="16"/>
        </w:rPr>
        <w:t xml:space="preserve">Judgment </w:t>
      </w:r>
      <w:r w:rsidRPr="00875A0D">
        <w:rPr>
          <w:rFonts w:asciiTheme="majorHAnsi" w:hAnsiTheme="majorHAnsi"/>
          <w:sz w:val="16"/>
          <w:szCs w:val="16"/>
        </w:rPr>
        <w:t xml:space="preserve">SU-917 </w:t>
      </w:r>
      <w:r>
        <w:rPr>
          <w:rFonts w:asciiTheme="majorHAnsi" w:hAnsiTheme="majorHAnsi"/>
          <w:sz w:val="16"/>
          <w:szCs w:val="16"/>
        </w:rPr>
        <w:t xml:space="preserve">of </w:t>
      </w:r>
      <w:r w:rsidRPr="00875A0D">
        <w:rPr>
          <w:rFonts w:asciiTheme="majorHAnsi" w:hAnsiTheme="majorHAnsi"/>
          <w:sz w:val="16"/>
          <w:szCs w:val="16"/>
        </w:rPr>
        <w:t xml:space="preserve">2010.  </w:t>
      </w:r>
    </w:p>
  </w:footnote>
  <w:footnote w:id="46">
    <w:p w14:paraId="1C2C856D" w14:textId="77777777" w:rsidR="00D02D3C" w:rsidRPr="000A566E" w:rsidRDefault="00D02D3C" w:rsidP="00D02D3C">
      <w:pPr>
        <w:pStyle w:val="FootnoteText"/>
        <w:rPr>
          <w:rFonts w:asciiTheme="majorHAnsi" w:hAnsiTheme="majorHAnsi"/>
          <w:b/>
          <w:sz w:val="16"/>
          <w:szCs w:val="16"/>
        </w:rPr>
      </w:pPr>
      <w:r w:rsidRPr="000A566E">
        <w:rPr>
          <w:rStyle w:val="FootnoteReference"/>
          <w:rFonts w:asciiTheme="majorHAnsi" w:hAnsiTheme="majorHAnsi"/>
          <w:b/>
          <w:sz w:val="16"/>
          <w:szCs w:val="16"/>
        </w:rPr>
        <w:footnoteRef/>
      </w:r>
      <w:r w:rsidRPr="000A566E">
        <w:rPr>
          <w:rFonts w:asciiTheme="majorHAnsi" w:hAnsiTheme="majorHAnsi"/>
          <w:b/>
          <w:sz w:val="16"/>
          <w:szCs w:val="16"/>
        </w:rPr>
        <w:t xml:space="preserve"> </w:t>
      </w:r>
      <w:proofErr w:type="gramStart"/>
      <w:r w:rsidRPr="000A566E">
        <w:rPr>
          <w:rStyle w:val="Strong"/>
          <w:rFonts w:asciiTheme="majorHAnsi" w:hAnsiTheme="majorHAnsi"/>
          <w:b w:val="0"/>
          <w:sz w:val="16"/>
          <w:szCs w:val="16"/>
        </w:rPr>
        <w:t xml:space="preserve">I/A Court HR. Case of San Miguel Sosa </w:t>
      </w:r>
      <w:r w:rsidRPr="000A566E">
        <w:rPr>
          <w:rStyle w:val="Strong"/>
          <w:rFonts w:asciiTheme="majorHAnsi" w:hAnsiTheme="majorHAnsi"/>
          <w:b w:val="0"/>
          <w:i/>
          <w:iCs/>
          <w:sz w:val="16"/>
          <w:szCs w:val="16"/>
        </w:rPr>
        <w:t>et al</w:t>
      </w:r>
      <w:r w:rsidRPr="000A566E">
        <w:rPr>
          <w:rStyle w:val="Strong"/>
          <w:rFonts w:asciiTheme="majorHAnsi" w:hAnsiTheme="majorHAnsi"/>
          <w:b w:val="0"/>
          <w:sz w:val="16"/>
          <w:szCs w:val="16"/>
        </w:rPr>
        <w:t>. v. Venezuela.</w:t>
      </w:r>
      <w:proofErr w:type="gramEnd"/>
      <w:r w:rsidRPr="000A566E">
        <w:rPr>
          <w:rStyle w:val="Strong"/>
          <w:rFonts w:asciiTheme="majorHAnsi" w:hAnsiTheme="majorHAnsi"/>
          <w:b w:val="0"/>
          <w:sz w:val="16"/>
          <w:szCs w:val="16"/>
        </w:rPr>
        <w:t xml:space="preserve"> </w:t>
      </w:r>
      <w:proofErr w:type="gramStart"/>
      <w:r w:rsidRPr="000A566E">
        <w:rPr>
          <w:rStyle w:val="Strong"/>
          <w:rFonts w:asciiTheme="majorHAnsi" w:hAnsiTheme="majorHAnsi"/>
          <w:b w:val="0"/>
          <w:sz w:val="16"/>
          <w:szCs w:val="16"/>
        </w:rPr>
        <w:t>Merits, Reparations and Costs.</w:t>
      </w:r>
      <w:proofErr w:type="gramEnd"/>
      <w:r w:rsidRPr="000A566E">
        <w:rPr>
          <w:rStyle w:val="Strong"/>
          <w:rFonts w:asciiTheme="majorHAnsi" w:hAnsiTheme="majorHAnsi"/>
          <w:b w:val="0"/>
          <w:sz w:val="16"/>
          <w:szCs w:val="16"/>
        </w:rPr>
        <w:t xml:space="preserve"> Judgment of February 8, 2018. Series C No. 348, para. 191.</w:t>
      </w:r>
    </w:p>
  </w:footnote>
  <w:footnote w:id="47">
    <w:p w14:paraId="73075666" w14:textId="77777777" w:rsidR="00D02D3C" w:rsidRPr="000A566E" w:rsidRDefault="00D02D3C" w:rsidP="00D02D3C">
      <w:pPr>
        <w:pStyle w:val="FootnoteText"/>
        <w:spacing w:after="120"/>
        <w:jc w:val="both"/>
        <w:rPr>
          <w:rFonts w:asciiTheme="majorHAnsi" w:hAnsiTheme="majorHAnsi"/>
          <w:color w:val="auto"/>
          <w:sz w:val="16"/>
          <w:szCs w:val="16"/>
        </w:rPr>
      </w:pPr>
      <w:r w:rsidRPr="000A566E">
        <w:rPr>
          <w:rStyle w:val="FootnoteReference"/>
          <w:rFonts w:asciiTheme="majorHAnsi" w:hAnsiTheme="majorHAnsi"/>
          <w:color w:val="auto"/>
          <w:sz w:val="16"/>
          <w:szCs w:val="16"/>
        </w:rPr>
        <w:footnoteRef/>
      </w:r>
      <w:r w:rsidRPr="000A566E">
        <w:rPr>
          <w:rFonts w:asciiTheme="majorHAnsi" w:hAnsiTheme="majorHAnsi" w:cs="Arial"/>
          <w:color w:val="auto"/>
          <w:sz w:val="16"/>
          <w:szCs w:val="16"/>
        </w:rPr>
        <w:t xml:space="preserve"> </w:t>
      </w:r>
      <w:proofErr w:type="gramStart"/>
      <w:r w:rsidRPr="000A566E">
        <w:rPr>
          <w:rFonts w:asciiTheme="majorHAnsi" w:hAnsiTheme="majorHAnsi" w:cs="Arial"/>
          <w:color w:val="auto"/>
          <w:sz w:val="16"/>
          <w:szCs w:val="16"/>
        </w:rPr>
        <w:t xml:space="preserve">IACHR, Report No. 111/10, Case 12,539, Merits, Sebastián Claus </w:t>
      </w:r>
      <w:proofErr w:type="spellStart"/>
      <w:r w:rsidRPr="000A566E">
        <w:rPr>
          <w:rFonts w:asciiTheme="majorHAnsi" w:hAnsiTheme="majorHAnsi" w:cs="Arial"/>
          <w:color w:val="auto"/>
          <w:sz w:val="16"/>
          <w:szCs w:val="16"/>
        </w:rPr>
        <w:t>Furlan</w:t>
      </w:r>
      <w:proofErr w:type="spellEnd"/>
      <w:r w:rsidRPr="000A566E">
        <w:rPr>
          <w:rFonts w:asciiTheme="majorHAnsi" w:hAnsiTheme="majorHAnsi" w:cs="Arial"/>
          <w:color w:val="auto"/>
          <w:sz w:val="16"/>
          <w:szCs w:val="16"/>
        </w:rPr>
        <w:t xml:space="preserve"> and family, Argentina, October 21, 2010, para.</w:t>
      </w:r>
      <w:proofErr w:type="gramEnd"/>
      <w:r w:rsidRPr="000A566E">
        <w:rPr>
          <w:rFonts w:asciiTheme="majorHAnsi" w:hAnsiTheme="majorHAnsi" w:cs="Arial"/>
          <w:color w:val="auto"/>
          <w:sz w:val="16"/>
          <w:szCs w:val="16"/>
        </w:rPr>
        <w:t xml:space="preserve"> 100. I/A Court HR, </w:t>
      </w:r>
      <w:r w:rsidRPr="000A566E">
        <w:rPr>
          <w:rFonts w:asciiTheme="majorHAnsi" w:hAnsiTheme="majorHAnsi" w:cs="Arial"/>
          <w:color w:val="auto"/>
          <w:sz w:val="16"/>
          <w:szCs w:val="16"/>
          <w:shd w:val="clear" w:color="auto" w:fill="FFFFFF"/>
        </w:rPr>
        <w:t xml:space="preserve">Case of the Santo Domingo Massacre v. Colombia. </w:t>
      </w:r>
      <w:proofErr w:type="gramStart"/>
      <w:r w:rsidRPr="000A566E">
        <w:rPr>
          <w:rFonts w:asciiTheme="majorHAnsi" w:hAnsiTheme="majorHAnsi" w:cs="Arial"/>
          <w:color w:val="auto"/>
          <w:sz w:val="16"/>
          <w:szCs w:val="16"/>
          <w:shd w:val="clear" w:color="auto" w:fill="FFFFFF"/>
        </w:rPr>
        <w:t>Preliminary Objections, Merits and Reparations.</w:t>
      </w:r>
      <w:proofErr w:type="gramEnd"/>
      <w:r w:rsidRPr="000A566E">
        <w:rPr>
          <w:rFonts w:asciiTheme="majorHAnsi" w:hAnsiTheme="majorHAnsi" w:cs="Arial"/>
          <w:color w:val="auto"/>
          <w:sz w:val="16"/>
          <w:szCs w:val="16"/>
          <w:shd w:val="clear" w:color="auto" w:fill="FFFFFF"/>
        </w:rPr>
        <w:t xml:space="preserve"> Judgment of November 30, 2012. Series C No. 259,</w:t>
      </w:r>
      <w:r w:rsidRPr="000A566E">
        <w:rPr>
          <w:rFonts w:asciiTheme="majorHAnsi" w:hAnsiTheme="majorHAnsi" w:cs="Arial"/>
          <w:color w:val="auto"/>
          <w:sz w:val="16"/>
          <w:szCs w:val="16"/>
        </w:rPr>
        <w:t xml:space="preserve"> para. 164.</w:t>
      </w:r>
    </w:p>
  </w:footnote>
  <w:footnote w:id="48">
    <w:p w14:paraId="7B8A82E8" w14:textId="77777777" w:rsidR="00D02D3C" w:rsidRPr="000A566E" w:rsidRDefault="00D02D3C" w:rsidP="00D02D3C">
      <w:pPr>
        <w:pStyle w:val="FootnoteText"/>
        <w:spacing w:after="120"/>
        <w:jc w:val="both"/>
        <w:rPr>
          <w:rFonts w:asciiTheme="majorHAnsi" w:hAnsiTheme="majorHAnsi"/>
          <w:sz w:val="16"/>
          <w:szCs w:val="16"/>
        </w:rPr>
      </w:pPr>
      <w:r w:rsidRPr="000A566E">
        <w:rPr>
          <w:rStyle w:val="FootnoteReference"/>
          <w:rFonts w:asciiTheme="majorHAnsi" w:hAnsiTheme="majorHAnsi"/>
          <w:sz w:val="16"/>
          <w:szCs w:val="16"/>
        </w:rPr>
        <w:footnoteRef/>
      </w:r>
      <w:r w:rsidRPr="000A566E">
        <w:rPr>
          <w:rFonts w:asciiTheme="majorHAnsi" w:hAnsiTheme="majorHAnsi"/>
          <w:sz w:val="16"/>
          <w:szCs w:val="16"/>
        </w:rPr>
        <w:t xml:space="preserve"> </w:t>
      </w:r>
      <w:proofErr w:type="gramStart"/>
      <w:r w:rsidRPr="000A566E">
        <w:rPr>
          <w:rFonts w:asciiTheme="majorHAnsi" w:hAnsiTheme="majorHAnsi"/>
          <w:sz w:val="16"/>
          <w:szCs w:val="16"/>
        </w:rPr>
        <w:t xml:space="preserve">I/A Court HR. </w:t>
      </w:r>
      <w:r w:rsidRPr="000A566E">
        <w:rPr>
          <w:rFonts w:asciiTheme="majorHAnsi" w:hAnsiTheme="majorHAnsi"/>
          <w:iCs/>
          <w:sz w:val="16"/>
          <w:szCs w:val="16"/>
        </w:rPr>
        <w:t xml:space="preserve">Case of </w:t>
      </w:r>
      <w:proofErr w:type="spellStart"/>
      <w:r w:rsidRPr="000A566E">
        <w:rPr>
          <w:rFonts w:asciiTheme="majorHAnsi" w:hAnsiTheme="majorHAnsi"/>
          <w:iCs/>
          <w:sz w:val="16"/>
          <w:szCs w:val="16"/>
        </w:rPr>
        <w:t>García</w:t>
      </w:r>
      <w:proofErr w:type="spellEnd"/>
      <w:r w:rsidRPr="000A566E">
        <w:rPr>
          <w:rFonts w:asciiTheme="majorHAnsi" w:hAnsiTheme="majorHAnsi"/>
          <w:iCs/>
          <w:sz w:val="16"/>
          <w:szCs w:val="16"/>
        </w:rPr>
        <w:t xml:space="preserve"> </w:t>
      </w:r>
      <w:proofErr w:type="spellStart"/>
      <w:r w:rsidRPr="000A566E">
        <w:rPr>
          <w:rFonts w:asciiTheme="majorHAnsi" w:hAnsiTheme="majorHAnsi"/>
          <w:iCs/>
          <w:sz w:val="16"/>
          <w:szCs w:val="16"/>
        </w:rPr>
        <w:t>Asto</w:t>
      </w:r>
      <w:proofErr w:type="spellEnd"/>
      <w:r w:rsidRPr="000A566E">
        <w:rPr>
          <w:rFonts w:asciiTheme="majorHAnsi" w:hAnsiTheme="majorHAnsi"/>
          <w:iCs/>
          <w:sz w:val="16"/>
          <w:szCs w:val="16"/>
        </w:rPr>
        <w:t xml:space="preserve"> and Ramírez Rojas v. </w:t>
      </w:r>
      <w:r w:rsidRPr="000A566E">
        <w:rPr>
          <w:rFonts w:asciiTheme="majorHAnsi" w:hAnsiTheme="majorHAnsi"/>
          <w:sz w:val="16"/>
          <w:szCs w:val="16"/>
        </w:rPr>
        <w:t>Peru.</w:t>
      </w:r>
      <w:proofErr w:type="gramEnd"/>
      <w:r w:rsidRPr="000A566E">
        <w:rPr>
          <w:rFonts w:asciiTheme="majorHAnsi" w:hAnsiTheme="majorHAnsi"/>
          <w:sz w:val="16"/>
          <w:szCs w:val="16"/>
        </w:rPr>
        <w:t xml:space="preserve"> Judgment of November 25, 2005. Series C No. 137, para. </w:t>
      </w:r>
      <w:proofErr w:type="gramStart"/>
      <w:r w:rsidRPr="000A566E">
        <w:rPr>
          <w:rFonts w:asciiTheme="majorHAnsi" w:hAnsiTheme="majorHAnsi"/>
          <w:sz w:val="16"/>
          <w:szCs w:val="16"/>
        </w:rPr>
        <w:t xml:space="preserve">166; </w:t>
      </w:r>
      <w:r w:rsidRPr="000A566E">
        <w:rPr>
          <w:rFonts w:asciiTheme="majorHAnsi" w:hAnsiTheme="majorHAnsi"/>
          <w:iCs/>
          <w:sz w:val="16"/>
          <w:szCs w:val="16"/>
        </w:rPr>
        <w:t xml:space="preserve">Case of Gómez Palomino v. </w:t>
      </w:r>
      <w:r w:rsidRPr="000A566E">
        <w:rPr>
          <w:rFonts w:asciiTheme="majorHAnsi" w:hAnsiTheme="majorHAnsi"/>
          <w:sz w:val="16"/>
          <w:szCs w:val="16"/>
        </w:rPr>
        <w:t>Peru.</w:t>
      </w:r>
      <w:proofErr w:type="gramEnd"/>
      <w:r w:rsidRPr="000A566E">
        <w:rPr>
          <w:rFonts w:asciiTheme="majorHAnsi" w:hAnsiTheme="majorHAnsi"/>
          <w:sz w:val="16"/>
          <w:szCs w:val="16"/>
        </w:rPr>
        <w:t xml:space="preserve"> Judgment of November 22, 2005. Series C No. 136, para. </w:t>
      </w:r>
      <w:proofErr w:type="gramStart"/>
      <w:r w:rsidRPr="000A566E">
        <w:rPr>
          <w:rFonts w:asciiTheme="majorHAnsi" w:hAnsiTheme="majorHAnsi"/>
          <w:sz w:val="16"/>
          <w:szCs w:val="16"/>
        </w:rPr>
        <w:t xml:space="preserve">85; </w:t>
      </w:r>
      <w:r w:rsidRPr="000A566E">
        <w:rPr>
          <w:rFonts w:asciiTheme="majorHAnsi" w:hAnsiTheme="majorHAnsi"/>
          <w:iCs/>
          <w:sz w:val="16"/>
          <w:szCs w:val="16"/>
        </w:rPr>
        <w:t xml:space="preserve">Case of the </w:t>
      </w:r>
      <w:proofErr w:type="spellStart"/>
      <w:r w:rsidRPr="000A566E">
        <w:rPr>
          <w:rFonts w:asciiTheme="majorHAnsi" w:hAnsiTheme="majorHAnsi"/>
          <w:iCs/>
          <w:sz w:val="16"/>
          <w:szCs w:val="16"/>
        </w:rPr>
        <w:t>Moiwana</w:t>
      </w:r>
      <w:proofErr w:type="spellEnd"/>
      <w:r w:rsidRPr="000A566E">
        <w:rPr>
          <w:rFonts w:asciiTheme="majorHAnsi" w:hAnsiTheme="majorHAnsi"/>
          <w:iCs/>
          <w:sz w:val="16"/>
          <w:szCs w:val="16"/>
        </w:rPr>
        <w:t xml:space="preserve"> Community v. Suriname</w:t>
      </w:r>
      <w:r w:rsidRPr="000A566E">
        <w:rPr>
          <w:rFonts w:asciiTheme="majorHAnsi" w:hAnsiTheme="majorHAnsi"/>
          <w:sz w:val="16"/>
          <w:szCs w:val="16"/>
        </w:rPr>
        <w:t>.</w:t>
      </w:r>
      <w:proofErr w:type="gramEnd"/>
      <w:r w:rsidRPr="000A566E">
        <w:rPr>
          <w:rFonts w:asciiTheme="majorHAnsi" w:hAnsiTheme="majorHAnsi"/>
          <w:sz w:val="16"/>
          <w:szCs w:val="16"/>
        </w:rPr>
        <w:t xml:space="preserve"> Judgment of June 15, 2005. Series C No. 124, para. 160.  </w:t>
      </w:r>
    </w:p>
  </w:footnote>
  <w:footnote w:id="49">
    <w:p w14:paraId="0BCD083A" w14:textId="77777777" w:rsidR="00D02D3C" w:rsidRPr="00875A0D" w:rsidRDefault="00D02D3C" w:rsidP="00D02D3C">
      <w:pPr>
        <w:pStyle w:val="FootnoteText"/>
        <w:spacing w:after="120"/>
        <w:jc w:val="both"/>
        <w:rPr>
          <w:rFonts w:asciiTheme="majorHAnsi" w:hAnsiTheme="majorHAnsi"/>
          <w:sz w:val="16"/>
          <w:szCs w:val="16"/>
        </w:rPr>
      </w:pPr>
      <w:r w:rsidRPr="000A566E">
        <w:rPr>
          <w:rStyle w:val="FootnoteReference"/>
          <w:rFonts w:asciiTheme="majorHAnsi" w:hAnsiTheme="majorHAnsi"/>
          <w:sz w:val="16"/>
          <w:szCs w:val="16"/>
        </w:rPr>
        <w:footnoteRef/>
      </w:r>
      <w:r w:rsidRPr="000A566E">
        <w:rPr>
          <w:rFonts w:asciiTheme="majorHAnsi" w:hAnsiTheme="majorHAnsi"/>
          <w:sz w:val="16"/>
          <w:szCs w:val="16"/>
        </w:rPr>
        <w:t xml:space="preserve"> </w:t>
      </w:r>
      <w:proofErr w:type="gramStart"/>
      <w:r w:rsidRPr="000A566E">
        <w:rPr>
          <w:rFonts w:asciiTheme="majorHAnsi" w:hAnsiTheme="majorHAnsi"/>
          <w:sz w:val="16"/>
          <w:szCs w:val="16"/>
        </w:rPr>
        <w:t xml:space="preserve">I/A Court HR. </w:t>
      </w:r>
      <w:r w:rsidRPr="000A566E">
        <w:rPr>
          <w:rFonts w:asciiTheme="majorHAnsi" w:hAnsiTheme="majorHAnsi"/>
          <w:iCs/>
          <w:sz w:val="16"/>
          <w:szCs w:val="16"/>
        </w:rPr>
        <w:t xml:space="preserve">Case of Ricardo </w:t>
      </w:r>
      <w:proofErr w:type="spellStart"/>
      <w:r w:rsidRPr="000A566E">
        <w:rPr>
          <w:rFonts w:asciiTheme="majorHAnsi" w:hAnsiTheme="majorHAnsi"/>
          <w:iCs/>
          <w:sz w:val="16"/>
          <w:szCs w:val="16"/>
        </w:rPr>
        <w:t>Canese</w:t>
      </w:r>
      <w:proofErr w:type="spellEnd"/>
      <w:r w:rsidRPr="000A566E">
        <w:rPr>
          <w:rFonts w:asciiTheme="majorHAnsi" w:hAnsiTheme="majorHAnsi"/>
          <w:iCs/>
          <w:sz w:val="16"/>
          <w:szCs w:val="16"/>
        </w:rPr>
        <w:t xml:space="preserve"> v. Paraguay</w:t>
      </w:r>
      <w:r w:rsidRPr="000A566E">
        <w:rPr>
          <w:rFonts w:asciiTheme="majorHAnsi" w:hAnsiTheme="majorHAnsi"/>
          <w:sz w:val="16"/>
          <w:szCs w:val="16"/>
        </w:rPr>
        <w:t>.</w:t>
      </w:r>
      <w:proofErr w:type="gramEnd"/>
      <w:r w:rsidRPr="000A566E">
        <w:rPr>
          <w:rFonts w:asciiTheme="majorHAnsi" w:hAnsiTheme="majorHAnsi"/>
          <w:sz w:val="16"/>
          <w:szCs w:val="16"/>
        </w:rPr>
        <w:t xml:space="preserve"> Judgment of August 31, 2004. Series C No. 111</w:t>
      </w:r>
      <w:proofErr w:type="gramStart"/>
      <w:r w:rsidRPr="000A566E">
        <w:rPr>
          <w:rFonts w:asciiTheme="majorHAnsi" w:hAnsiTheme="majorHAnsi"/>
          <w:sz w:val="16"/>
          <w:szCs w:val="16"/>
        </w:rPr>
        <w:t>,</w:t>
      </w:r>
      <w:proofErr w:type="gramEnd"/>
      <w:r w:rsidRPr="000A566E">
        <w:rPr>
          <w:rFonts w:asciiTheme="majorHAnsi" w:hAnsiTheme="majorHAnsi"/>
          <w:sz w:val="16"/>
          <w:szCs w:val="16"/>
        </w:rPr>
        <w:br/>
        <w:t>para. 142.</w:t>
      </w:r>
      <w:r w:rsidRPr="00875A0D">
        <w:rPr>
          <w:rFonts w:asciiTheme="majorHAnsi" w:hAnsiTheme="majorHAnsi"/>
          <w:sz w:val="16"/>
          <w:szCs w:val="16"/>
        </w:rPr>
        <w:t xml:space="preserve">  </w:t>
      </w:r>
    </w:p>
  </w:footnote>
  <w:footnote w:id="50">
    <w:p w14:paraId="53C15BFB" w14:textId="77777777" w:rsidR="00D02D3C" w:rsidRPr="00875A0D" w:rsidRDefault="00D02D3C" w:rsidP="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r>
        <w:rPr>
          <w:rFonts w:asciiTheme="majorHAnsi" w:hAnsiTheme="majorHAnsi"/>
          <w:sz w:val="16"/>
          <w:szCs w:val="16"/>
        </w:rPr>
        <w:t xml:space="preserve">Article </w:t>
      </w:r>
      <w:r w:rsidRPr="00875A0D">
        <w:rPr>
          <w:rFonts w:asciiTheme="majorHAnsi" w:hAnsiTheme="majorHAnsi"/>
          <w:sz w:val="16"/>
          <w:szCs w:val="16"/>
        </w:rPr>
        <w:t xml:space="preserve">23 </w:t>
      </w:r>
      <w:r>
        <w:rPr>
          <w:rFonts w:asciiTheme="majorHAnsi" w:hAnsiTheme="majorHAnsi"/>
          <w:sz w:val="16"/>
          <w:szCs w:val="16"/>
        </w:rPr>
        <w:t>of the American Convention establishes, at the relevant part</w:t>
      </w:r>
      <w:r w:rsidRPr="00875A0D">
        <w:rPr>
          <w:rFonts w:asciiTheme="majorHAnsi" w:hAnsiTheme="majorHAnsi"/>
          <w:sz w:val="16"/>
          <w:szCs w:val="16"/>
        </w:rPr>
        <w:t xml:space="preserve">: </w:t>
      </w:r>
      <w:r>
        <w:rPr>
          <w:rFonts w:asciiTheme="majorHAnsi" w:hAnsiTheme="majorHAnsi"/>
          <w:sz w:val="16"/>
          <w:szCs w:val="16"/>
        </w:rPr>
        <w:t>“</w:t>
      </w:r>
      <w:r w:rsidRPr="00875A0D">
        <w:rPr>
          <w:rFonts w:asciiTheme="majorHAnsi" w:hAnsiTheme="majorHAnsi"/>
          <w:sz w:val="16"/>
          <w:szCs w:val="16"/>
        </w:rPr>
        <w:t xml:space="preserve">1. </w:t>
      </w:r>
      <w:proofErr w:type="gramStart"/>
      <w:r>
        <w:rPr>
          <w:rFonts w:asciiTheme="majorHAnsi" w:hAnsiTheme="majorHAnsi"/>
          <w:sz w:val="16"/>
          <w:szCs w:val="16"/>
        </w:rPr>
        <w:t>Every</w:t>
      </w:r>
      <w:proofErr w:type="gramEnd"/>
      <w:r>
        <w:rPr>
          <w:rFonts w:asciiTheme="majorHAnsi" w:hAnsiTheme="majorHAnsi"/>
          <w:sz w:val="16"/>
          <w:szCs w:val="16"/>
        </w:rPr>
        <w:t xml:space="preserve"> citizen shall enjoy the following rights and opportunities</w:t>
      </w:r>
      <w:r w:rsidRPr="00875A0D">
        <w:rPr>
          <w:rFonts w:asciiTheme="majorHAnsi" w:eastAsia="Times New Roman" w:hAnsiTheme="majorHAnsi"/>
          <w:sz w:val="16"/>
          <w:szCs w:val="16"/>
          <w:lang w:eastAsia="es-ES"/>
        </w:rPr>
        <w:t xml:space="preserve">: … </w:t>
      </w:r>
      <w:r w:rsidRPr="00875A0D">
        <w:rPr>
          <w:rFonts w:asciiTheme="majorHAnsi" w:hAnsiTheme="majorHAnsi"/>
          <w:sz w:val="16"/>
          <w:szCs w:val="16"/>
        </w:rPr>
        <w:t xml:space="preserve">c. </w:t>
      </w:r>
      <w:r>
        <w:rPr>
          <w:rFonts w:asciiTheme="majorHAnsi" w:hAnsiTheme="majorHAnsi"/>
          <w:sz w:val="16"/>
          <w:szCs w:val="16"/>
        </w:rPr>
        <w:t>to have access, under general conditions of equality, to the public service of his country</w:t>
      </w:r>
      <w:r w:rsidRPr="00875A0D">
        <w:rPr>
          <w:rFonts w:asciiTheme="majorHAnsi" w:eastAsia="Times New Roman" w:hAnsiTheme="majorHAnsi"/>
          <w:sz w:val="16"/>
          <w:szCs w:val="16"/>
        </w:rPr>
        <w:t xml:space="preserve">. </w:t>
      </w:r>
      <w:r w:rsidRPr="00875A0D">
        <w:rPr>
          <w:rFonts w:asciiTheme="majorHAnsi" w:hAnsiTheme="majorHAnsi"/>
          <w:sz w:val="16"/>
          <w:szCs w:val="16"/>
        </w:rPr>
        <w:t xml:space="preserve">2. </w:t>
      </w:r>
      <w:r w:rsidRPr="00D532BD">
        <w:rPr>
          <w:rFonts w:asciiTheme="majorHAnsi" w:hAnsiTheme="majorHAnsi"/>
          <w:sz w:val="16"/>
          <w:szCs w:val="16"/>
        </w:rPr>
        <w:t>The law may regulate the exercise of the rights and opportunities referred to in the preceding paragraph only on the basis of age, nationality, residence, language, education, civil and mental capacity, or sentencing by a competent court in criminal proceedings</w:t>
      </w:r>
      <w:r w:rsidRPr="00875A0D">
        <w:rPr>
          <w:rFonts w:asciiTheme="majorHAnsi" w:eastAsia="Times New Roman" w:hAnsiTheme="majorHAnsi"/>
          <w:sz w:val="16"/>
          <w:szCs w:val="16"/>
        </w:rPr>
        <w:t>.</w:t>
      </w:r>
      <w:r>
        <w:rPr>
          <w:rFonts w:asciiTheme="majorHAnsi" w:eastAsia="Times New Roman" w:hAnsiTheme="majorHAnsi"/>
          <w:sz w:val="16"/>
          <w:szCs w:val="16"/>
        </w:rPr>
        <w:t>”</w:t>
      </w:r>
    </w:p>
  </w:footnote>
  <w:footnote w:id="51">
    <w:p w14:paraId="3BF28DE4" w14:textId="77777777" w:rsidR="00D02D3C" w:rsidRPr="00875A0D" w:rsidRDefault="00D02D3C" w:rsidP="00D02D3C">
      <w:pPr>
        <w:jc w:val="both"/>
        <w:rPr>
          <w:rFonts w:asciiTheme="majorHAnsi" w:eastAsia="Times New Roman" w:hAnsiTheme="majorHAnsi"/>
          <w:sz w:val="16"/>
          <w:szCs w:val="16"/>
        </w:rPr>
      </w:pPr>
      <w:r w:rsidRPr="00875A0D">
        <w:rPr>
          <w:rStyle w:val="FootnoteReference"/>
          <w:rFonts w:asciiTheme="majorHAnsi" w:hAnsiTheme="majorHAnsi"/>
          <w:sz w:val="16"/>
          <w:szCs w:val="16"/>
        </w:rPr>
        <w:footnoteRef/>
      </w:r>
      <w:r w:rsidRPr="00875A0D">
        <w:rPr>
          <w:rFonts w:asciiTheme="majorHAnsi" w:hAnsiTheme="majorHAnsi"/>
          <w:sz w:val="16"/>
          <w:szCs w:val="16"/>
        </w:rPr>
        <w:t xml:space="preserve"> </w:t>
      </w:r>
      <w:proofErr w:type="gramStart"/>
      <w:r>
        <w:rPr>
          <w:rFonts w:asciiTheme="majorHAnsi" w:eastAsia="Times New Roman" w:hAnsiTheme="majorHAnsi"/>
          <w:bCs/>
          <w:sz w:val="16"/>
          <w:szCs w:val="16"/>
          <w:shd w:val="clear" w:color="auto" w:fill="FFFFFF"/>
        </w:rPr>
        <w:t>I/A Court HR</w:t>
      </w:r>
      <w:r w:rsidRPr="00875A0D">
        <w:rPr>
          <w:rFonts w:asciiTheme="majorHAnsi" w:eastAsia="Times New Roman" w:hAnsiTheme="majorHAnsi"/>
          <w:bCs/>
          <w:sz w:val="16"/>
          <w:szCs w:val="16"/>
          <w:shd w:val="clear" w:color="auto" w:fill="FFFFFF"/>
        </w:rPr>
        <w:t xml:space="preserve">. </w:t>
      </w:r>
      <w:r>
        <w:rPr>
          <w:rFonts w:asciiTheme="majorHAnsi" w:eastAsia="Times New Roman" w:hAnsiTheme="majorHAnsi"/>
          <w:bCs/>
          <w:sz w:val="16"/>
          <w:szCs w:val="16"/>
          <w:shd w:val="clear" w:color="auto" w:fill="FFFFFF"/>
        </w:rPr>
        <w:t>Case of</w:t>
      </w:r>
      <w:r w:rsidRPr="00875A0D">
        <w:rPr>
          <w:rFonts w:asciiTheme="majorHAnsi" w:eastAsia="Times New Roman" w:hAnsiTheme="majorHAnsi"/>
          <w:bCs/>
          <w:sz w:val="16"/>
          <w:szCs w:val="16"/>
          <w:shd w:val="clear" w:color="auto" w:fill="FFFFFF"/>
        </w:rPr>
        <w:t xml:space="preserve"> López Lone </w:t>
      </w:r>
      <w:r w:rsidRPr="00203A9B">
        <w:rPr>
          <w:rFonts w:asciiTheme="majorHAnsi" w:eastAsia="Times New Roman" w:hAnsiTheme="majorHAnsi"/>
          <w:bCs/>
          <w:i/>
          <w:iCs/>
          <w:sz w:val="16"/>
          <w:szCs w:val="16"/>
          <w:shd w:val="clear" w:color="auto" w:fill="FFFFFF"/>
        </w:rPr>
        <w:t>et al.</w:t>
      </w:r>
      <w:r>
        <w:rPr>
          <w:rFonts w:asciiTheme="majorHAnsi" w:eastAsia="Times New Roman" w:hAnsiTheme="majorHAnsi"/>
          <w:bCs/>
          <w:sz w:val="16"/>
          <w:szCs w:val="16"/>
          <w:shd w:val="clear" w:color="auto" w:fill="FFFFFF"/>
        </w:rPr>
        <w:t xml:space="preserve"> v</w:t>
      </w:r>
      <w:r w:rsidRPr="00875A0D">
        <w:rPr>
          <w:rFonts w:asciiTheme="majorHAnsi" w:eastAsia="Times New Roman" w:hAnsiTheme="majorHAnsi"/>
          <w:bCs/>
          <w:sz w:val="16"/>
          <w:szCs w:val="16"/>
          <w:shd w:val="clear" w:color="auto" w:fill="FFFFFF"/>
        </w:rPr>
        <w:t>. Honduras.</w:t>
      </w:r>
      <w:proofErr w:type="gramEnd"/>
      <w:r w:rsidRPr="00875A0D">
        <w:rPr>
          <w:rFonts w:asciiTheme="majorHAnsi" w:eastAsia="Times New Roman" w:hAnsiTheme="majorHAnsi"/>
          <w:bCs/>
          <w:sz w:val="16"/>
          <w:szCs w:val="16"/>
          <w:shd w:val="clear" w:color="auto" w:fill="FFFFFF"/>
        </w:rPr>
        <w:t xml:space="preserve"> </w:t>
      </w:r>
      <w:proofErr w:type="gramStart"/>
      <w:r w:rsidRPr="00D02E8B">
        <w:rPr>
          <w:rFonts w:asciiTheme="majorHAnsi" w:eastAsia="Times New Roman" w:hAnsiTheme="majorHAnsi"/>
          <w:bCs/>
          <w:sz w:val="16"/>
          <w:szCs w:val="16"/>
          <w:shd w:val="clear" w:color="auto" w:fill="FFFFFF"/>
        </w:rPr>
        <w:t>Preliminary Objection</w:t>
      </w:r>
      <w:r w:rsidRPr="00875A0D">
        <w:rPr>
          <w:rFonts w:asciiTheme="majorHAnsi" w:eastAsia="Times New Roman" w:hAnsiTheme="majorHAnsi"/>
          <w:bCs/>
          <w:sz w:val="16"/>
          <w:szCs w:val="16"/>
          <w:shd w:val="clear" w:color="auto" w:fill="FFFFFF"/>
        </w:rPr>
        <w:t xml:space="preserve">, </w:t>
      </w:r>
      <w:r w:rsidRPr="00203A9B">
        <w:rPr>
          <w:rFonts w:asciiTheme="majorHAnsi" w:eastAsia="Times New Roman" w:hAnsiTheme="majorHAnsi"/>
          <w:bCs/>
          <w:sz w:val="16"/>
          <w:szCs w:val="16"/>
          <w:shd w:val="clear" w:color="auto" w:fill="FFFFFF"/>
        </w:rPr>
        <w:t>Merits, Reparations and Costs</w:t>
      </w:r>
      <w:r w:rsidRPr="00875A0D">
        <w:rPr>
          <w:rFonts w:asciiTheme="majorHAnsi" w:eastAsia="Times New Roman" w:hAnsiTheme="majorHAnsi"/>
          <w:bCs/>
          <w:sz w:val="16"/>
          <w:szCs w:val="16"/>
          <w:shd w:val="clear" w:color="auto" w:fill="FFFFFF"/>
        </w:rPr>
        <w:t>.</w:t>
      </w:r>
      <w:proofErr w:type="gramEnd"/>
      <w:r w:rsidRPr="00875A0D">
        <w:rPr>
          <w:rFonts w:asciiTheme="majorHAnsi" w:eastAsia="Times New Roman" w:hAnsiTheme="majorHAnsi"/>
          <w:bCs/>
          <w:sz w:val="16"/>
          <w:szCs w:val="16"/>
          <w:shd w:val="clear" w:color="auto" w:fill="FFFFFF"/>
        </w:rPr>
        <w:t xml:space="preserve"> </w:t>
      </w:r>
      <w:proofErr w:type="gramStart"/>
      <w:r w:rsidRPr="00203A9B">
        <w:rPr>
          <w:rFonts w:asciiTheme="majorHAnsi" w:eastAsia="Times New Roman" w:hAnsiTheme="majorHAnsi"/>
          <w:bCs/>
          <w:sz w:val="16"/>
          <w:szCs w:val="16"/>
          <w:shd w:val="clear" w:color="auto" w:fill="FFFFFF"/>
        </w:rPr>
        <w:t>Judgment of</w:t>
      </w:r>
      <w:r w:rsidRPr="00875A0D">
        <w:rPr>
          <w:rFonts w:asciiTheme="majorHAnsi" w:eastAsia="Times New Roman" w:hAnsiTheme="majorHAnsi"/>
          <w:bCs/>
          <w:sz w:val="16"/>
          <w:szCs w:val="16"/>
          <w:shd w:val="clear" w:color="auto" w:fill="FFFFFF"/>
        </w:rPr>
        <w:t xml:space="preserve"> </w:t>
      </w:r>
      <w:r>
        <w:rPr>
          <w:rFonts w:asciiTheme="majorHAnsi" w:eastAsia="Times New Roman" w:hAnsiTheme="majorHAnsi"/>
          <w:bCs/>
          <w:sz w:val="16"/>
          <w:szCs w:val="16"/>
          <w:shd w:val="clear" w:color="auto" w:fill="FFFFFF"/>
        </w:rPr>
        <w:t xml:space="preserve">October </w:t>
      </w:r>
      <w:r w:rsidRPr="00875A0D">
        <w:rPr>
          <w:rFonts w:asciiTheme="majorHAnsi" w:eastAsia="Times New Roman" w:hAnsiTheme="majorHAnsi"/>
          <w:bCs/>
          <w:sz w:val="16"/>
          <w:szCs w:val="16"/>
          <w:shd w:val="clear" w:color="auto" w:fill="FFFFFF"/>
        </w:rPr>
        <w:t>5</w:t>
      </w:r>
      <w:r>
        <w:rPr>
          <w:rFonts w:asciiTheme="majorHAnsi" w:eastAsia="Times New Roman" w:hAnsiTheme="majorHAnsi"/>
          <w:bCs/>
          <w:sz w:val="16"/>
          <w:szCs w:val="16"/>
          <w:shd w:val="clear" w:color="auto" w:fill="FFFFFF"/>
        </w:rPr>
        <w:t>,</w:t>
      </w:r>
      <w:r w:rsidRPr="00875A0D">
        <w:rPr>
          <w:rFonts w:asciiTheme="majorHAnsi" w:eastAsia="Times New Roman" w:hAnsiTheme="majorHAnsi"/>
          <w:bCs/>
          <w:sz w:val="16"/>
          <w:szCs w:val="16"/>
          <w:shd w:val="clear" w:color="auto" w:fill="FFFFFF"/>
        </w:rPr>
        <w:t xml:space="preserve"> 2015</w:t>
      </w:r>
      <w:r>
        <w:rPr>
          <w:rFonts w:asciiTheme="majorHAnsi" w:eastAsia="Times New Roman" w:hAnsiTheme="majorHAnsi"/>
          <w:bCs/>
          <w:sz w:val="16"/>
          <w:szCs w:val="16"/>
          <w:shd w:val="clear" w:color="auto" w:fill="FFFFFF"/>
        </w:rPr>
        <w:t xml:space="preserve">, </w:t>
      </w:r>
      <w:r w:rsidRPr="00203A9B">
        <w:rPr>
          <w:rFonts w:asciiTheme="majorHAnsi" w:eastAsia="Times New Roman" w:hAnsiTheme="majorHAnsi"/>
          <w:bCs/>
          <w:sz w:val="16"/>
          <w:szCs w:val="16"/>
          <w:shd w:val="clear" w:color="auto" w:fill="FFFFFF"/>
        </w:rPr>
        <w:t>Series C</w:t>
      </w:r>
      <w:r w:rsidRPr="00875A0D">
        <w:rPr>
          <w:rFonts w:asciiTheme="majorHAnsi" w:eastAsia="Times New Roman" w:hAnsiTheme="majorHAnsi"/>
          <w:bCs/>
          <w:sz w:val="16"/>
          <w:szCs w:val="16"/>
          <w:shd w:val="clear" w:color="auto" w:fill="FFFFFF"/>
        </w:rPr>
        <w:t xml:space="preserve"> No. 302, </w:t>
      </w:r>
      <w:r>
        <w:rPr>
          <w:rFonts w:asciiTheme="majorHAnsi" w:eastAsia="Times New Roman" w:hAnsiTheme="majorHAnsi"/>
          <w:bCs/>
          <w:sz w:val="16"/>
          <w:szCs w:val="16"/>
          <w:shd w:val="clear" w:color="auto" w:fill="FFFFFF"/>
        </w:rPr>
        <w:t>para.</w:t>
      </w:r>
      <w:proofErr w:type="gramEnd"/>
      <w:r w:rsidRPr="00875A0D">
        <w:rPr>
          <w:rFonts w:asciiTheme="majorHAnsi" w:eastAsia="Times New Roman" w:hAnsiTheme="majorHAnsi"/>
          <w:bCs/>
          <w:sz w:val="16"/>
          <w:szCs w:val="16"/>
          <w:shd w:val="clear" w:color="auto" w:fill="FFFFFF"/>
        </w:rPr>
        <w:t xml:space="preserve">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512A" w14:textId="77777777" w:rsidR="00D02D3C" w:rsidRDefault="00D02D3C" w:rsidP="00B153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265BE88" w14:textId="77777777" w:rsidR="00D02D3C" w:rsidRDefault="00D02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00AB" w14:textId="77777777" w:rsidR="00D02D3C" w:rsidRDefault="00D02D3C" w:rsidP="002C1641">
    <w:pPr>
      <w:pStyle w:val="Header"/>
      <w:tabs>
        <w:tab w:val="clear" w:pos="4320"/>
        <w:tab w:val="clear" w:pos="8640"/>
      </w:tabs>
      <w:jc w:val="center"/>
      <w:rPr>
        <w:sz w:val="22"/>
        <w:szCs w:val="22"/>
      </w:rPr>
    </w:pPr>
    <w:r>
      <w:rPr>
        <w:noProof/>
        <w:sz w:val="22"/>
        <w:szCs w:val="22"/>
        <w:lang w:val="es-UY" w:eastAsia="es-UY"/>
      </w:rPr>
      <w:drawing>
        <wp:inline distT="0" distB="0" distL="0" distR="0" wp14:anchorId="079BF086" wp14:editId="0466E82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6AD6655" w14:textId="77777777" w:rsidR="00D02D3C" w:rsidRPr="00EC7D62" w:rsidRDefault="00397E46" w:rsidP="002C1641">
    <w:pPr>
      <w:pStyle w:val="Header"/>
      <w:tabs>
        <w:tab w:val="clear" w:pos="4320"/>
        <w:tab w:val="clear" w:pos="8640"/>
      </w:tabs>
      <w:jc w:val="center"/>
      <w:rPr>
        <w:sz w:val="22"/>
        <w:szCs w:val="22"/>
      </w:rPr>
    </w:pPr>
    <w:r>
      <w:rPr>
        <w:sz w:val="22"/>
        <w:szCs w:val="22"/>
      </w:rPr>
      <w:pict w14:anchorId="7AE3C3E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9333" w14:textId="77777777" w:rsidR="00D02D3C" w:rsidRDefault="00D02D3C" w:rsidP="00B153E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48D4CF" w14:textId="77777777" w:rsidR="00D02D3C" w:rsidRDefault="00D02D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F9FD7" w14:textId="77777777" w:rsidR="00D02D3C" w:rsidRDefault="00D02D3C" w:rsidP="009D75D4">
    <w:pPr>
      <w:pStyle w:val="Header"/>
      <w:tabs>
        <w:tab w:val="clear" w:pos="4320"/>
        <w:tab w:val="clear" w:pos="8640"/>
      </w:tabs>
      <w:jc w:val="center"/>
      <w:rPr>
        <w:sz w:val="22"/>
        <w:szCs w:val="22"/>
      </w:rPr>
    </w:pPr>
    <w:r>
      <w:rPr>
        <w:noProof/>
        <w:sz w:val="22"/>
        <w:szCs w:val="22"/>
        <w:lang w:val="es-UY" w:eastAsia="es-UY"/>
      </w:rPr>
      <w:drawing>
        <wp:inline distT="0" distB="0" distL="0" distR="0" wp14:anchorId="0EDE67AE" wp14:editId="053C4911">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A63E9A0" w14:textId="77777777" w:rsidR="00D02D3C" w:rsidRPr="00EC7D62" w:rsidRDefault="00397E46" w:rsidP="009D75D4">
    <w:pPr>
      <w:pStyle w:val="Header"/>
      <w:tabs>
        <w:tab w:val="clear" w:pos="4320"/>
        <w:tab w:val="clear" w:pos="8640"/>
      </w:tabs>
      <w:jc w:val="center"/>
      <w:rPr>
        <w:sz w:val="22"/>
        <w:szCs w:val="22"/>
      </w:rPr>
    </w:pPr>
    <w:r>
      <w:rPr>
        <w:sz w:val="22"/>
        <w:szCs w:val="22"/>
      </w:rPr>
      <w:pict w14:anchorId="74CBD642">
        <v:rect id="_x0000_i1026"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3CFC" w14:textId="77777777" w:rsidR="00D02D3C" w:rsidRDefault="00D02D3C" w:rsidP="00D2487B">
    <w:pPr>
      <w:pStyle w:val="Header"/>
      <w:tabs>
        <w:tab w:val="clear" w:pos="4320"/>
        <w:tab w:val="clear" w:pos="8640"/>
      </w:tabs>
      <w:jc w:val="center"/>
      <w:rPr>
        <w:sz w:val="22"/>
        <w:szCs w:val="22"/>
      </w:rPr>
    </w:pPr>
    <w:r>
      <w:rPr>
        <w:noProof/>
        <w:sz w:val="22"/>
        <w:szCs w:val="22"/>
        <w:lang w:val="es-UY" w:eastAsia="es-UY"/>
      </w:rPr>
      <w:drawing>
        <wp:inline distT="0" distB="0" distL="0" distR="0" wp14:anchorId="4AE78DF3" wp14:editId="303D7361">
          <wp:extent cx="2209800" cy="117396"/>
          <wp:effectExtent l="0" t="0" r="0" b="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A43589B" w14:textId="77777777" w:rsidR="00D02D3C" w:rsidRPr="00EC7D62" w:rsidRDefault="00397E46" w:rsidP="00D2487B">
    <w:pPr>
      <w:pStyle w:val="Header"/>
      <w:tabs>
        <w:tab w:val="clear" w:pos="4320"/>
        <w:tab w:val="clear" w:pos="8640"/>
      </w:tabs>
      <w:jc w:val="center"/>
      <w:rPr>
        <w:sz w:val="22"/>
        <w:szCs w:val="22"/>
      </w:rPr>
    </w:pPr>
    <w:r>
      <w:rPr>
        <w:sz w:val="22"/>
        <w:szCs w:val="22"/>
      </w:rPr>
      <w:pict w14:anchorId="40800A62">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17C29CB"/>
    <w:multiLevelType w:val="multilevel"/>
    <w:tmpl w:val="4CBC4D1C"/>
    <w:lvl w:ilvl="0">
      <w:start w:val="1"/>
      <w:numFmt w:val="decimal"/>
      <w:lvlText w:val="%1."/>
      <w:lvlJc w:val="left"/>
      <w:pPr>
        <w:ind w:left="1080" w:hanging="360"/>
      </w:pPr>
      <w:rPr>
        <w:rFonts w:hint="default"/>
        <w:i w:val="0"/>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2AD4BB1"/>
    <w:multiLevelType w:val="multilevel"/>
    <w:tmpl w:val="3C5C251C"/>
    <w:lvl w:ilvl="0">
      <w:start w:val="1"/>
      <w:numFmt w:val="decimal"/>
      <w:lvlText w:val="%1."/>
      <w:lvlJc w:val="left"/>
      <w:pPr>
        <w:ind w:left="1080" w:hanging="360"/>
      </w:pPr>
      <w:rPr>
        <w:rFonts w:hint="default"/>
        <w:lang w:val="es-UY"/>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996D6D"/>
    <w:multiLevelType w:val="multilevel"/>
    <w:tmpl w:val="37C4B254"/>
    <w:styleLink w:val="List51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24295F"/>
    <w:multiLevelType w:val="hybridMultilevel"/>
    <w:tmpl w:val="3B60649A"/>
    <w:lvl w:ilvl="0" w:tplc="EF88D45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14479D"/>
    <w:multiLevelType w:val="hybridMultilevel"/>
    <w:tmpl w:val="0F3A8BBC"/>
    <w:lvl w:ilvl="0" w:tplc="205244F2">
      <w:start w:val="1"/>
      <w:numFmt w:val="upperLetter"/>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31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51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21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50210F6"/>
    <w:multiLevelType w:val="hybridMultilevel"/>
    <w:tmpl w:val="EE605FD6"/>
    <w:lvl w:ilvl="0" w:tplc="6974F56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1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6F18B1"/>
    <w:multiLevelType w:val="hybridMultilevel"/>
    <w:tmpl w:val="4F6EB80A"/>
    <w:lvl w:ilvl="0" w:tplc="5FA8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7D4B9D"/>
    <w:multiLevelType w:val="hybridMultilevel"/>
    <w:tmpl w:val="D2AA775E"/>
    <w:lvl w:ilvl="0" w:tplc="9E0CAF0C">
      <w:start w:val="1"/>
      <w:numFmt w:val="decimal"/>
      <w:lvlText w:val="%1."/>
      <w:lvlJc w:val="left"/>
      <w:pPr>
        <w:ind w:left="144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E074E"/>
    <w:multiLevelType w:val="hybridMultilevel"/>
    <w:tmpl w:val="80D4C4E6"/>
    <w:lvl w:ilvl="0" w:tplc="5EA65946">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A101BB"/>
    <w:multiLevelType w:val="hybridMultilevel"/>
    <w:tmpl w:val="279AC5B0"/>
    <w:lvl w:ilvl="0" w:tplc="CB3E82CC">
      <w:start w:val="1"/>
      <w:numFmt w:val="upperRoman"/>
      <w:lvlText w:val="%1."/>
      <w:lvlJc w:val="left"/>
      <w:pPr>
        <w:tabs>
          <w:tab w:val="num" w:pos="1440"/>
        </w:tabs>
        <w:ind w:left="1440" w:hanging="720"/>
      </w:pPr>
      <w:rPr>
        <w:rFonts w:cs="Times New Roman" w:hint="default"/>
        <w:b/>
      </w:rPr>
    </w:lvl>
    <w:lvl w:ilvl="1" w:tplc="A8DA3D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4D1EC52E"/>
    <w:lvl w:ilvl="0" w:tplc="F808E086">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9"/>
  </w:num>
  <w:num w:numId="3">
    <w:abstractNumId w:val="59"/>
  </w:num>
  <w:num w:numId="4">
    <w:abstractNumId w:val="24"/>
  </w:num>
  <w:num w:numId="5">
    <w:abstractNumId w:val="52"/>
  </w:num>
  <w:num w:numId="6">
    <w:abstractNumId w:val="29"/>
  </w:num>
  <w:num w:numId="7">
    <w:abstractNumId w:val="10"/>
  </w:num>
  <w:num w:numId="8">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0"/>
  </w:num>
  <w:num w:numId="1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45"/>
  </w:num>
  <w:num w:numId="15">
    <w:abstractNumId w:val="3"/>
  </w:num>
  <w:num w:numId="16">
    <w:abstractNumId w:val="40"/>
  </w:num>
  <w:num w:numId="17">
    <w:abstractNumId w:val="41"/>
  </w:num>
  <w:num w:numId="18">
    <w:abstractNumId w:val="47"/>
  </w:num>
  <w:num w:numId="19">
    <w:abstractNumId w:val="4"/>
  </w:num>
  <w:num w:numId="20">
    <w:abstractNumId w:val="6"/>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1"/>
  </w:num>
  <w:num w:numId="31">
    <w:abstractNumId w:val="22"/>
  </w:num>
  <w:num w:numId="32">
    <w:abstractNumId w:val="25"/>
  </w:num>
  <w:num w:numId="33">
    <w:abstractNumId w:val="26"/>
  </w:num>
  <w:num w:numId="34">
    <w:abstractNumId w:val="27"/>
  </w:num>
  <w:num w:numId="35">
    <w:abstractNumId w:val="28"/>
  </w:num>
  <w:num w:numId="36">
    <w:abstractNumId w:val="30"/>
  </w:num>
  <w:num w:numId="37">
    <w:abstractNumId w:val="32"/>
  </w:num>
  <w:num w:numId="38">
    <w:abstractNumId w:val="33"/>
  </w:num>
  <w:num w:numId="39">
    <w:abstractNumId w:val="34"/>
  </w:num>
  <w:num w:numId="40">
    <w:abstractNumId w:val="35"/>
  </w:num>
  <w:num w:numId="41">
    <w:abstractNumId w:val="37"/>
  </w:num>
  <w:num w:numId="42">
    <w:abstractNumId w:val="38"/>
  </w:num>
  <w:num w:numId="43">
    <w:abstractNumId w:val="39"/>
  </w:num>
  <w:num w:numId="44">
    <w:abstractNumId w:val="42"/>
  </w:num>
  <w:num w:numId="45">
    <w:abstractNumId w:val="43"/>
  </w:num>
  <w:num w:numId="46">
    <w:abstractNumId w:val="51"/>
  </w:num>
  <w:num w:numId="47">
    <w:abstractNumId w:val="54"/>
  </w:num>
  <w:num w:numId="48">
    <w:abstractNumId w:val="55"/>
  </w:num>
  <w:num w:numId="49">
    <w:abstractNumId w:val="57"/>
  </w:num>
  <w:num w:numId="50">
    <w:abstractNumId w:val="58"/>
  </w:num>
  <w:num w:numId="51">
    <w:abstractNumId w:val="60"/>
  </w:num>
  <w:num w:numId="52">
    <w:abstractNumId w:val="61"/>
  </w:num>
  <w:num w:numId="53">
    <w:abstractNumId w:val="62"/>
  </w:num>
  <w:num w:numId="54">
    <w:abstractNumId w:val="64"/>
  </w:num>
  <w:num w:numId="55">
    <w:abstractNumId w:val="65"/>
  </w:num>
  <w:num w:numId="56">
    <w:abstractNumId w:val="23"/>
  </w:num>
  <w:num w:numId="57">
    <w:abstractNumId w:val="44"/>
  </w:num>
  <w:num w:numId="58">
    <w:abstractNumId w:val="56"/>
  </w:num>
  <w:num w:numId="59">
    <w:abstractNumId w:val="48"/>
  </w:num>
  <w:num w:numId="60">
    <w:abstractNumId w:val="49"/>
  </w:num>
  <w:num w:numId="61">
    <w:abstractNumId w:val="8"/>
  </w:num>
  <w:num w:numId="62">
    <w:abstractNumId w:val="50"/>
  </w:num>
  <w:num w:numId="63">
    <w:abstractNumId w:val="5"/>
  </w:num>
  <w:num w:numId="64">
    <w:abstractNumId w:val="46"/>
  </w:num>
  <w:num w:numId="65">
    <w:abstractNumId w:val="2"/>
  </w:num>
  <w:num w:numId="66">
    <w:abstractNumId w:val="53"/>
  </w:num>
  <w:num w:numId="67">
    <w:abstractNumId w:val="0"/>
  </w:num>
  <w:num w:numId="68">
    <w:abstractNumId w:val="63"/>
  </w:num>
  <w:num w:numId="69">
    <w:abstractNumId w:val="31"/>
  </w:num>
  <w:num w:numId="70">
    <w:abstractNumId w:val="36"/>
  </w:num>
  <w:num w:numId="71">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526"/>
    <w:rsid w:val="0000174B"/>
    <w:rsid w:val="00002B9A"/>
    <w:rsid w:val="00002EA4"/>
    <w:rsid w:val="000046AF"/>
    <w:rsid w:val="000066FF"/>
    <w:rsid w:val="000070D7"/>
    <w:rsid w:val="00007D91"/>
    <w:rsid w:val="00007EE0"/>
    <w:rsid w:val="00011004"/>
    <w:rsid w:val="000111A8"/>
    <w:rsid w:val="00011CC1"/>
    <w:rsid w:val="00012590"/>
    <w:rsid w:val="0001317A"/>
    <w:rsid w:val="0001461C"/>
    <w:rsid w:val="00015870"/>
    <w:rsid w:val="00015FE0"/>
    <w:rsid w:val="00017867"/>
    <w:rsid w:val="0001788C"/>
    <w:rsid w:val="000229E4"/>
    <w:rsid w:val="00023656"/>
    <w:rsid w:val="000273BA"/>
    <w:rsid w:val="00035512"/>
    <w:rsid w:val="00036279"/>
    <w:rsid w:val="00036A8A"/>
    <w:rsid w:val="000376CB"/>
    <w:rsid w:val="00037DCB"/>
    <w:rsid w:val="000403DA"/>
    <w:rsid w:val="00040C3A"/>
    <w:rsid w:val="00040D7A"/>
    <w:rsid w:val="00045121"/>
    <w:rsid w:val="0004548D"/>
    <w:rsid w:val="000459DE"/>
    <w:rsid w:val="000529C9"/>
    <w:rsid w:val="00055F8C"/>
    <w:rsid w:val="000573E5"/>
    <w:rsid w:val="00060F25"/>
    <w:rsid w:val="000617AA"/>
    <w:rsid w:val="000626E1"/>
    <w:rsid w:val="00062C3F"/>
    <w:rsid w:val="000639C0"/>
    <w:rsid w:val="00064EC9"/>
    <w:rsid w:val="000657C8"/>
    <w:rsid w:val="000674CE"/>
    <w:rsid w:val="00067D39"/>
    <w:rsid w:val="00070CD3"/>
    <w:rsid w:val="00070F3A"/>
    <w:rsid w:val="000716C5"/>
    <w:rsid w:val="0007284A"/>
    <w:rsid w:val="00073554"/>
    <w:rsid w:val="00073C85"/>
    <w:rsid w:val="000758C9"/>
    <w:rsid w:val="00075E23"/>
    <w:rsid w:val="000767A3"/>
    <w:rsid w:val="0008035F"/>
    <w:rsid w:val="000809D2"/>
    <w:rsid w:val="00081D23"/>
    <w:rsid w:val="0008260D"/>
    <w:rsid w:val="00082F50"/>
    <w:rsid w:val="00083B72"/>
    <w:rsid w:val="000851B8"/>
    <w:rsid w:val="00085A24"/>
    <w:rsid w:val="00086910"/>
    <w:rsid w:val="00092F32"/>
    <w:rsid w:val="0009344A"/>
    <w:rsid w:val="00093C3B"/>
    <w:rsid w:val="000A13DB"/>
    <w:rsid w:val="000A1483"/>
    <w:rsid w:val="000A2A86"/>
    <w:rsid w:val="000A566E"/>
    <w:rsid w:val="000A575F"/>
    <w:rsid w:val="000B0215"/>
    <w:rsid w:val="000B3B9F"/>
    <w:rsid w:val="000B58AE"/>
    <w:rsid w:val="000B5E7C"/>
    <w:rsid w:val="000B6CD6"/>
    <w:rsid w:val="000C0623"/>
    <w:rsid w:val="000C1031"/>
    <w:rsid w:val="000C10C2"/>
    <w:rsid w:val="000C13C7"/>
    <w:rsid w:val="000C14E7"/>
    <w:rsid w:val="000C3341"/>
    <w:rsid w:val="000C457F"/>
    <w:rsid w:val="000C46D8"/>
    <w:rsid w:val="000C520B"/>
    <w:rsid w:val="000C6729"/>
    <w:rsid w:val="000D10DB"/>
    <w:rsid w:val="000D5687"/>
    <w:rsid w:val="000D5878"/>
    <w:rsid w:val="000D5CAB"/>
    <w:rsid w:val="000D62C2"/>
    <w:rsid w:val="000D71B3"/>
    <w:rsid w:val="000E2254"/>
    <w:rsid w:val="000E3B22"/>
    <w:rsid w:val="000E505B"/>
    <w:rsid w:val="000F1749"/>
    <w:rsid w:val="000F3E54"/>
    <w:rsid w:val="000F5A0A"/>
    <w:rsid w:val="00101650"/>
    <w:rsid w:val="00104042"/>
    <w:rsid w:val="0010545A"/>
    <w:rsid w:val="00105D7F"/>
    <w:rsid w:val="00106B3A"/>
    <w:rsid w:val="00107821"/>
    <w:rsid w:val="0011250D"/>
    <w:rsid w:val="00112F92"/>
    <w:rsid w:val="00114926"/>
    <w:rsid w:val="00116E84"/>
    <w:rsid w:val="001201BC"/>
    <w:rsid w:val="00120200"/>
    <w:rsid w:val="00122852"/>
    <w:rsid w:val="00124463"/>
    <w:rsid w:val="00125250"/>
    <w:rsid w:val="00125E5D"/>
    <w:rsid w:val="0012613F"/>
    <w:rsid w:val="00127470"/>
    <w:rsid w:val="00130C17"/>
    <w:rsid w:val="0013104F"/>
    <w:rsid w:val="00131EC8"/>
    <w:rsid w:val="001326EC"/>
    <w:rsid w:val="00133E3A"/>
    <w:rsid w:val="00134F90"/>
    <w:rsid w:val="00135E8D"/>
    <w:rsid w:val="001361E3"/>
    <w:rsid w:val="00137BCF"/>
    <w:rsid w:val="00137EBA"/>
    <w:rsid w:val="00141D1E"/>
    <w:rsid w:val="00142CB6"/>
    <w:rsid w:val="00145EDC"/>
    <w:rsid w:val="00146C6A"/>
    <w:rsid w:val="00150010"/>
    <w:rsid w:val="001520A3"/>
    <w:rsid w:val="001546B8"/>
    <w:rsid w:val="00160838"/>
    <w:rsid w:val="001628A0"/>
    <w:rsid w:val="00163478"/>
    <w:rsid w:val="00163B4E"/>
    <w:rsid w:val="00163CA8"/>
    <w:rsid w:val="00167408"/>
    <w:rsid w:val="00167980"/>
    <w:rsid w:val="00167A34"/>
    <w:rsid w:val="001728CD"/>
    <w:rsid w:val="001756DC"/>
    <w:rsid w:val="00176493"/>
    <w:rsid w:val="001801CE"/>
    <w:rsid w:val="00180361"/>
    <w:rsid w:val="0018037F"/>
    <w:rsid w:val="0018064B"/>
    <w:rsid w:val="0018094D"/>
    <w:rsid w:val="00181DED"/>
    <w:rsid w:val="00182A7F"/>
    <w:rsid w:val="00184860"/>
    <w:rsid w:val="001855B7"/>
    <w:rsid w:val="00185C4A"/>
    <w:rsid w:val="00190D5D"/>
    <w:rsid w:val="00194AF2"/>
    <w:rsid w:val="0019584E"/>
    <w:rsid w:val="00197228"/>
    <w:rsid w:val="00197719"/>
    <w:rsid w:val="001A0135"/>
    <w:rsid w:val="001A01B7"/>
    <w:rsid w:val="001A041A"/>
    <w:rsid w:val="001A1DFF"/>
    <w:rsid w:val="001A4157"/>
    <w:rsid w:val="001A41A5"/>
    <w:rsid w:val="001A5F27"/>
    <w:rsid w:val="001A7870"/>
    <w:rsid w:val="001B0A4A"/>
    <w:rsid w:val="001B262E"/>
    <w:rsid w:val="001B5A01"/>
    <w:rsid w:val="001B74CD"/>
    <w:rsid w:val="001B787F"/>
    <w:rsid w:val="001B7B77"/>
    <w:rsid w:val="001B7CBA"/>
    <w:rsid w:val="001C1A67"/>
    <w:rsid w:val="001C1B41"/>
    <w:rsid w:val="001C25E6"/>
    <w:rsid w:val="001C4171"/>
    <w:rsid w:val="001C5B62"/>
    <w:rsid w:val="001C60A9"/>
    <w:rsid w:val="001C7B9A"/>
    <w:rsid w:val="001C7FD9"/>
    <w:rsid w:val="001D0B5A"/>
    <w:rsid w:val="001D4052"/>
    <w:rsid w:val="001D5851"/>
    <w:rsid w:val="001D6EBF"/>
    <w:rsid w:val="001D7898"/>
    <w:rsid w:val="001E0829"/>
    <w:rsid w:val="001E09C8"/>
    <w:rsid w:val="001E7AB3"/>
    <w:rsid w:val="001F1159"/>
    <w:rsid w:val="001F1A46"/>
    <w:rsid w:val="001F6330"/>
    <w:rsid w:val="001F7E88"/>
    <w:rsid w:val="0020112D"/>
    <w:rsid w:val="00201717"/>
    <w:rsid w:val="0020293E"/>
    <w:rsid w:val="00205472"/>
    <w:rsid w:val="00210E0E"/>
    <w:rsid w:val="00211506"/>
    <w:rsid w:val="00211E5C"/>
    <w:rsid w:val="00212CF6"/>
    <w:rsid w:val="00212F84"/>
    <w:rsid w:val="00215E62"/>
    <w:rsid w:val="0021717D"/>
    <w:rsid w:val="0022046C"/>
    <w:rsid w:val="002252A3"/>
    <w:rsid w:val="002260AD"/>
    <w:rsid w:val="00226869"/>
    <w:rsid w:val="00231EC9"/>
    <w:rsid w:val="002342C4"/>
    <w:rsid w:val="0023632B"/>
    <w:rsid w:val="00236B7C"/>
    <w:rsid w:val="00237847"/>
    <w:rsid w:val="00240741"/>
    <w:rsid w:val="0024183F"/>
    <w:rsid w:val="00241A26"/>
    <w:rsid w:val="00243172"/>
    <w:rsid w:val="00244CCA"/>
    <w:rsid w:val="00247403"/>
    <w:rsid w:val="00247542"/>
    <w:rsid w:val="00247F74"/>
    <w:rsid w:val="00255CAB"/>
    <w:rsid w:val="002563D9"/>
    <w:rsid w:val="00256418"/>
    <w:rsid w:val="00257893"/>
    <w:rsid w:val="00257926"/>
    <w:rsid w:val="0026323E"/>
    <w:rsid w:val="00266092"/>
    <w:rsid w:val="00266210"/>
    <w:rsid w:val="00266657"/>
    <w:rsid w:val="00266B61"/>
    <w:rsid w:val="0026712A"/>
    <w:rsid w:val="002704DB"/>
    <w:rsid w:val="00272317"/>
    <w:rsid w:val="0027276A"/>
    <w:rsid w:val="00274F3A"/>
    <w:rsid w:val="00275A7E"/>
    <w:rsid w:val="00277B11"/>
    <w:rsid w:val="00277D62"/>
    <w:rsid w:val="00283AC7"/>
    <w:rsid w:val="002843D7"/>
    <w:rsid w:val="00293EE4"/>
    <w:rsid w:val="002A0101"/>
    <w:rsid w:val="002A0440"/>
    <w:rsid w:val="002A1095"/>
    <w:rsid w:val="002A7A2B"/>
    <w:rsid w:val="002B04E9"/>
    <w:rsid w:val="002B0810"/>
    <w:rsid w:val="002B2D53"/>
    <w:rsid w:val="002B31A3"/>
    <w:rsid w:val="002B31EC"/>
    <w:rsid w:val="002B6FCE"/>
    <w:rsid w:val="002C0D1C"/>
    <w:rsid w:val="002C1125"/>
    <w:rsid w:val="002C1641"/>
    <w:rsid w:val="002C2A1D"/>
    <w:rsid w:val="002C40E3"/>
    <w:rsid w:val="002D065C"/>
    <w:rsid w:val="002D0CE2"/>
    <w:rsid w:val="002D0EF7"/>
    <w:rsid w:val="002D10FC"/>
    <w:rsid w:val="002D4DBE"/>
    <w:rsid w:val="002D6E35"/>
    <w:rsid w:val="002D7EA2"/>
    <w:rsid w:val="002E15DF"/>
    <w:rsid w:val="002E16DB"/>
    <w:rsid w:val="002E187C"/>
    <w:rsid w:val="002E1980"/>
    <w:rsid w:val="002E1AB8"/>
    <w:rsid w:val="002E29FF"/>
    <w:rsid w:val="002E3D90"/>
    <w:rsid w:val="002E52DC"/>
    <w:rsid w:val="002E6D6D"/>
    <w:rsid w:val="002E6E57"/>
    <w:rsid w:val="002E7993"/>
    <w:rsid w:val="002F0A62"/>
    <w:rsid w:val="002F170B"/>
    <w:rsid w:val="002F2DAC"/>
    <w:rsid w:val="002F2DF7"/>
    <w:rsid w:val="002F4DA8"/>
    <w:rsid w:val="002F60FC"/>
    <w:rsid w:val="002F6A2F"/>
    <w:rsid w:val="00300226"/>
    <w:rsid w:val="00301075"/>
    <w:rsid w:val="003012BD"/>
    <w:rsid w:val="00302733"/>
    <w:rsid w:val="00305D1B"/>
    <w:rsid w:val="003072E5"/>
    <w:rsid w:val="003108F7"/>
    <w:rsid w:val="00311A4F"/>
    <w:rsid w:val="00314078"/>
    <w:rsid w:val="00316CFD"/>
    <w:rsid w:val="00317131"/>
    <w:rsid w:val="003223D2"/>
    <w:rsid w:val="00322450"/>
    <w:rsid w:val="003246B5"/>
    <w:rsid w:val="00324AF4"/>
    <w:rsid w:val="00325CA7"/>
    <w:rsid w:val="00327F7F"/>
    <w:rsid w:val="00330587"/>
    <w:rsid w:val="0033169F"/>
    <w:rsid w:val="0033223E"/>
    <w:rsid w:val="003329DF"/>
    <w:rsid w:val="00332DB9"/>
    <w:rsid w:val="003333C4"/>
    <w:rsid w:val="00333D65"/>
    <w:rsid w:val="003377C9"/>
    <w:rsid w:val="003414AC"/>
    <w:rsid w:val="00341C3C"/>
    <w:rsid w:val="00342AAB"/>
    <w:rsid w:val="00343123"/>
    <w:rsid w:val="00343DBF"/>
    <w:rsid w:val="00346430"/>
    <w:rsid w:val="00350471"/>
    <w:rsid w:val="0035077F"/>
    <w:rsid w:val="00351290"/>
    <w:rsid w:val="00356185"/>
    <w:rsid w:val="00360380"/>
    <w:rsid w:val="00360C79"/>
    <w:rsid w:val="00362D13"/>
    <w:rsid w:val="003636BF"/>
    <w:rsid w:val="0036399E"/>
    <w:rsid w:val="0036423A"/>
    <w:rsid w:val="00371F0F"/>
    <w:rsid w:val="00373C59"/>
    <w:rsid w:val="00375A4D"/>
    <w:rsid w:val="00376E67"/>
    <w:rsid w:val="0037751A"/>
    <w:rsid w:val="003812EE"/>
    <w:rsid w:val="00384D1E"/>
    <w:rsid w:val="00386CF0"/>
    <w:rsid w:val="00386DD5"/>
    <w:rsid w:val="00387334"/>
    <w:rsid w:val="003912E3"/>
    <w:rsid w:val="00391DBB"/>
    <w:rsid w:val="00395FE7"/>
    <w:rsid w:val="00397E46"/>
    <w:rsid w:val="003A0342"/>
    <w:rsid w:val="003A11DA"/>
    <w:rsid w:val="003A155B"/>
    <w:rsid w:val="003A2EB6"/>
    <w:rsid w:val="003A38AB"/>
    <w:rsid w:val="003A5BF2"/>
    <w:rsid w:val="003A77A5"/>
    <w:rsid w:val="003A7909"/>
    <w:rsid w:val="003A7BD8"/>
    <w:rsid w:val="003B1B8C"/>
    <w:rsid w:val="003B1DA0"/>
    <w:rsid w:val="003B4738"/>
    <w:rsid w:val="003B6F7A"/>
    <w:rsid w:val="003C037E"/>
    <w:rsid w:val="003C19CB"/>
    <w:rsid w:val="003C312E"/>
    <w:rsid w:val="003C32BC"/>
    <w:rsid w:val="003C350D"/>
    <w:rsid w:val="003C3D99"/>
    <w:rsid w:val="003C471A"/>
    <w:rsid w:val="003D1970"/>
    <w:rsid w:val="003D4B7E"/>
    <w:rsid w:val="003D66D2"/>
    <w:rsid w:val="003E0DBE"/>
    <w:rsid w:val="003E0F78"/>
    <w:rsid w:val="003E1D30"/>
    <w:rsid w:val="003E2F90"/>
    <w:rsid w:val="003E4A5B"/>
    <w:rsid w:val="003E4E83"/>
    <w:rsid w:val="003E59F7"/>
    <w:rsid w:val="003E781A"/>
    <w:rsid w:val="003F1249"/>
    <w:rsid w:val="003F1BBF"/>
    <w:rsid w:val="003F2BA3"/>
    <w:rsid w:val="003F3434"/>
    <w:rsid w:val="003F6E34"/>
    <w:rsid w:val="00401786"/>
    <w:rsid w:val="0040286E"/>
    <w:rsid w:val="00402FBF"/>
    <w:rsid w:val="00407287"/>
    <w:rsid w:val="004072C3"/>
    <w:rsid w:val="00407ED8"/>
    <w:rsid w:val="00410F67"/>
    <w:rsid w:val="0041212D"/>
    <w:rsid w:val="004129DC"/>
    <w:rsid w:val="00413490"/>
    <w:rsid w:val="00414A2C"/>
    <w:rsid w:val="00415B82"/>
    <w:rsid w:val="00415E4D"/>
    <w:rsid w:val="004165C2"/>
    <w:rsid w:val="00416EC2"/>
    <w:rsid w:val="00424B64"/>
    <w:rsid w:val="00426201"/>
    <w:rsid w:val="00430102"/>
    <w:rsid w:val="00431CD3"/>
    <w:rsid w:val="00431E86"/>
    <w:rsid w:val="004322AF"/>
    <w:rsid w:val="004346DD"/>
    <w:rsid w:val="00440B9D"/>
    <w:rsid w:val="004424BE"/>
    <w:rsid w:val="00442F7F"/>
    <w:rsid w:val="00443602"/>
    <w:rsid w:val="004443C5"/>
    <w:rsid w:val="00446936"/>
    <w:rsid w:val="0044799A"/>
    <w:rsid w:val="00447E32"/>
    <w:rsid w:val="00450A4A"/>
    <w:rsid w:val="00450C78"/>
    <w:rsid w:val="00451130"/>
    <w:rsid w:val="00451228"/>
    <w:rsid w:val="00454A7E"/>
    <w:rsid w:val="00456AF1"/>
    <w:rsid w:val="0046006A"/>
    <w:rsid w:val="0046422F"/>
    <w:rsid w:val="004666FB"/>
    <w:rsid w:val="00466BEA"/>
    <w:rsid w:val="00467B7E"/>
    <w:rsid w:val="004711BA"/>
    <w:rsid w:val="004714F5"/>
    <w:rsid w:val="00474663"/>
    <w:rsid w:val="0047475E"/>
    <w:rsid w:val="0047797F"/>
    <w:rsid w:val="00480852"/>
    <w:rsid w:val="0048707E"/>
    <w:rsid w:val="00487DB4"/>
    <w:rsid w:val="00490620"/>
    <w:rsid w:val="004913FA"/>
    <w:rsid w:val="00493F80"/>
    <w:rsid w:val="0049419D"/>
    <w:rsid w:val="00494E73"/>
    <w:rsid w:val="00496DCD"/>
    <w:rsid w:val="004A30C8"/>
    <w:rsid w:val="004A4395"/>
    <w:rsid w:val="004A447B"/>
    <w:rsid w:val="004A4BDB"/>
    <w:rsid w:val="004A5676"/>
    <w:rsid w:val="004A57F1"/>
    <w:rsid w:val="004A58F7"/>
    <w:rsid w:val="004B1165"/>
    <w:rsid w:val="004B2492"/>
    <w:rsid w:val="004B2762"/>
    <w:rsid w:val="004B7198"/>
    <w:rsid w:val="004B74C0"/>
    <w:rsid w:val="004B7EB6"/>
    <w:rsid w:val="004C00F0"/>
    <w:rsid w:val="004C1A2F"/>
    <w:rsid w:val="004C23CE"/>
    <w:rsid w:val="004C3DF4"/>
    <w:rsid w:val="004C4B62"/>
    <w:rsid w:val="004C5033"/>
    <w:rsid w:val="004C6BA0"/>
    <w:rsid w:val="004C7242"/>
    <w:rsid w:val="004C78C5"/>
    <w:rsid w:val="004D06AB"/>
    <w:rsid w:val="004D1CCB"/>
    <w:rsid w:val="004D3FC7"/>
    <w:rsid w:val="004D54BB"/>
    <w:rsid w:val="004D6025"/>
    <w:rsid w:val="004D70E8"/>
    <w:rsid w:val="004D72BC"/>
    <w:rsid w:val="004D7F12"/>
    <w:rsid w:val="004E0DB6"/>
    <w:rsid w:val="004E26AB"/>
    <w:rsid w:val="004E426E"/>
    <w:rsid w:val="004E4EBA"/>
    <w:rsid w:val="004E5AFF"/>
    <w:rsid w:val="004E68D9"/>
    <w:rsid w:val="004E79DF"/>
    <w:rsid w:val="004E7C3C"/>
    <w:rsid w:val="004E7E16"/>
    <w:rsid w:val="004F0815"/>
    <w:rsid w:val="004F1260"/>
    <w:rsid w:val="004F2227"/>
    <w:rsid w:val="004F2319"/>
    <w:rsid w:val="004F2C01"/>
    <w:rsid w:val="004F69C1"/>
    <w:rsid w:val="004F732D"/>
    <w:rsid w:val="00501399"/>
    <w:rsid w:val="00501AE8"/>
    <w:rsid w:val="00502771"/>
    <w:rsid w:val="00506B91"/>
    <w:rsid w:val="00507BC4"/>
    <w:rsid w:val="00511283"/>
    <w:rsid w:val="00511EAE"/>
    <w:rsid w:val="005128E4"/>
    <w:rsid w:val="00513788"/>
    <w:rsid w:val="0052291B"/>
    <w:rsid w:val="005230B4"/>
    <w:rsid w:val="0052380C"/>
    <w:rsid w:val="00525560"/>
    <w:rsid w:val="00527501"/>
    <w:rsid w:val="00527E44"/>
    <w:rsid w:val="005318EB"/>
    <w:rsid w:val="00534674"/>
    <w:rsid w:val="00534F0C"/>
    <w:rsid w:val="00534FC9"/>
    <w:rsid w:val="005352B3"/>
    <w:rsid w:val="005357A6"/>
    <w:rsid w:val="0053690B"/>
    <w:rsid w:val="005371A9"/>
    <w:rsid w:val="00537E48"/>
    <w:rsid w:val="00540653"/>
    <w:rsid w:val="00541DA8"/>
    <w:rsid w:val="0054202F"/>
    <w:rsid w:val="00543B67"/>
    <w:rsid w:val="00543F0A"/>
    <w:rsid w:val="005444E0"/>
    <w:rsid w:val="00544C49"/>
    <w:rsid w:val="005464F4"/>
    <w:rsid w:val="00552814"/>
    <w:rsid w:val="00552912"/>
    <w:rsid w:val="005531FD"/>
    <w:rsid w:val="0055420D"/>
    <w:rsid w:val="00557FC3"/>
    <w:rsid w:val="00560CFF"/>
    <w:rsid w:val="005621CD"/>
    <w:rsid w:val="00564985"/>
    <w:rsid w:val="00564AF6"/>
    <w:rsid w:val="00566B25"/>
    <w:rsid w:val="005672B3"/>
    <w:rsid w:val="0057020E"/>
    <w:rsid w:val="0057115B"/>
    <w:rsid w:val="005732FD"/>
    <w:rsid w:val="0057402A"/>
    <w:rsid w:val="005759C9"/>
    <w:rsid w:val="00575A1D"/>
    <w:rsid w:val="00575C09"/>
    <w:rsid w:val="00575F0E"/>
    <w:rsid w:val="0057608F"/>
    <w:rsid w:val="005771D0"/>
    <w:rsid w:val="00577A40"/>
    <w:rsid w:val="00580D2D"/>
    <w:rsid w:val="0058391F"/>
    <w:rsid w:val="00585245"/>
    <w:rsid w:val="00585246"/>
    <w:rsid w:val="00586466"/>
    <w:rsid w:val="00586FD9"/>
    <w:rsid w:val="0059191A"/>
    <w:rsid w:val="005921FF"/>
    <w:rsid w:val="00594F9A"/>
    <w:rsid w:val="005978EC"/>
    <w:rsid w:val="005A1D12"/>
    <w:rsid w:val="005A29A0"/>
    <w:rsid w:val="005A3A4B"/>
    <w:rsid w:val="005A46DB"/>
    <w:rsid w:val="005A4ABB"/>
    <w:rsid w:val="005A5E45"/>
    <w:rsid w:val="005A6D0E"/>
    <w:rsid w:val="005A7E4D"/>
    <w:rsid w:val="005B0FD2"/>
    <w:rsid w:val="005B222D"/>
    <w:rsid w:val="005B3872"/>
    <w:rsid w:val="005B41D2"/>
    <w:rsid w:val="005B4B69"/>
    <w:rsid w:val="005B52B0"/>
    <w:rsid w:val="005B6806"/>
    <w:rsid w:val="005B74C2"/>
    <w:rsid w:val="005C00F9"/>
    <w:rsid w:val="005C2516"/>
    <w:rsid w:val="005C2F5F"/>
    <w:rsid w:val="005C4225"/>
    <w:rsid w:val="005C711D"/>
    <w:rsid w:val="005C78D5"/>
    <w:rsid w:val="005D0D67"/>
    <w:rsid w:val="005D23CC"/>
    <w:rsid w:val="005D3E3A"/>
    <w:rsid w:val="005D4ADE"/>
    <w:rsid w:val="005D7575"/>
    <w:rsid w:val="005E00A7"/>
    <w:rsid w:val="005E00D1"/>
    <w:rsid w:val="005E6FCC"/>
    <w:rsid w:val="005F018F"/>
    <w:rsid w:val="005F0489"/>
    <w:rsid w:val="005F0F33"/>
    <w:rsid w:val="005F1E54"/>
    <w:rsid w:val="005F2556"/>
    <w:rsid w:val="005F3C64"/>
    <w:rsid w:val="005F4125"/>
    <w:rsid w:val="005F46A5"/>
    <w:rsid w:val="00600DEB"/>
    <w:rsid w:val="00601699"/>
    <w:rsid w:val="00602C07"/>
    <w:rsid w:val="006032F4"/>
    <w:rsid w:val="006079BE"/>
    <w:rsid w:val="00611A4C"/>
    <w:rsid w:val="00613027"/>
    <w:rsid w:val="006132D5"/>
    <w:rsid w:val="00614011"/>
    <w:rsid w:val="00614BB4"/>
    <w:rsid w:val="00620623"/>
    <w:rsid w:val="00623C9A"/>
    <w:rsid w:val="00624BFD"/>
    <w:rsid w:val="006271B7"/>
    <w:rsid w:val="00627C9F"/>
    <w:rsid w:val="00630947"/>
    <w:rsid w:val="00630EEB"/>
    <w:rsid w:val="006311DA"/>
    <w:rsid w:val="006311E9"/>
    <w:rsid w:val="00632354"/>
    <w:rsid w:val="006331E5"/>
    <w:rsid w:val="00633F8B"/>
    <w:rsid w:val="00635C3B"/>
    <w:rsid w:val="0064201C"/>
    <w:rsid w:val="00642810"/>
    <w:rsid w:val="00642A99"/>
    <w:rsid w:val="00643DDE"/>
    <w:rsid w:val="0064487D"/>
    <w:rsid w:val="00645507"/>
    <w:rsid w:val="006456CB"/>
    <w:rsid w:val="0064748E"/>
    <w:rsid w:val="00652333"/>
    <w:rsid w:val="0065323D"/>
    <w:rsid w:val="0065409B"/>
    <w:rsid w:val="0065502B"/>
    <w:rsid w:val="006565CC"/>
    <w:rsid w:val="0065787D"/>
    <w:rsid w:val="0066148F"/>
    <w:rsid w:val="0066345B"/>
    <w:rsid w:val="00666F24"/>
    <w:rsid w:val="0066742B"/>
    <w:rsid w:val="00667A27"/>
    <w:rsid w:val="006723E7"/>
    <w:rsid w:val="00672692"/>
    <w:rsid w:val="006726B8"/>
    <w:rsid w:val="0067349E"/>
    <w:rsid w:val="0067349F"/>
    <w:rsid w:val="00675A3A"/>
    <w:rsid w:val="00675EA8"/>
    <w:rsid w:val="0068009E"/>
    <w:rsid w:val="006804E0"/>
    <w:rsid w:val="00684287"/>
    <w:rsid w:val="0068574F"/>
    <w:rsid w:val="006861AC"/>
    <w:rsid w:val="0069233A"/>
    <w:rsid w:val="006933C2"/>
    <w:rsid w:val="00694281"/>
    <w:rsid w:val="0069436E"/>
    <w:rsid w:val="00694906"/>
    <w:rsid w:val="00694D97"/>
    <w:rsid w:val="0069673C"/>
    <w:rsid w:val="00696772"/>
    <w:rsid w:val="00697677"/>
    <w:rsid w:val="00697871"/>
    <w:rsid w:val="006A0071"/>
    <w:rsid w:val="006A0508"/>
    <w:rsid w:val="006A07EC"/>
    <w:rsid w:val="006A093B"/>
    <w:rsid w:val="006A101E"/>
    <w:rsid w:val="006A17D2"/>
    <w:rsid w:val="006A6B3D"/>
    <w:rsid w:val="006A73E6"/>
    <w:rsid w:val="006B0CD7"/>
    <w:rsid w:val="006B2497"/>
    <w:rsid w:val="006B2D5C"/>
    <w:rsid w:val="006B7460"/>
    <w:rsid w:val="006B7A9F"/>
    <w:rsid w:val="006C342F"/>
    <w:rsid w:val="006C3D97"/>
    <w:rsid w:val="006C3DE4"/>
    <w:rsid w:val="006C4EB1"/>
    <w:rsid w:val="006C58E3"/>
    <w:rsid w:val="006C64B3"/>
    <w:rsid w:val="006C6C64"/>
    <w:rsid w:val="006C6FB4"/>
    <w:rsid w:val="006C72CB"/>
    <w:rsid w:val="006D11E2"/>
    <w:rsid w:val="006D2703"/>
    <w:rsid w:val="006D28F4"/>
    <w:rsid w:val="006D2994"/>
    <w:rsid w:val="006D3359"/>
    <w:rsid w:val="006D559D"/>
    <w:rsid w:val="006D6028"/>
    <w:rsid w:val="006D75AF"/>
    <w:rsid w:val="006D7BA4"/>
    <w:rsid w:val="006E0166"/>
    <w:rsid w:val="006E1071"/>
    <w:rsid w:val="006E28BE"/>
    <w:rsid w:val="006E2F4A"/>
    <w:rsid w:val="006E7B34"/>
    <w:rsid w:val="006F111E"/>
    <w:rsid w:val="006F4886"/>
    <w:rsid w:val="006F4B2D"/>
    <w:rsid w:val="006F4DDC"/>
    <w:rsid w:val="006F555C"/>
    <w:rsid w:val="006F5FC1"/>
    <w:rsid w:val="006F63D7"/>
    <w:rsid w:val="006F7568"/>
    <w:rsid w:val="00701B24"/>
    <w:rsid w:val="00701D0C"/>
    <w:rsid w:val="00702C06"/>
    <w:rsid w:val="00703440"/>
    <w:rsid w:val="00703F9F"/>
    <w:rsid w:val="00704869"/>
    <w:rsid w:val="0070697D"/>
    <w:rsid w:val="00710696"/>
    <w:rsid w:val="00714731"/>
    <w:rsid w:val="00714D31"/>
    <w:rsid w:val="00717EBD"/>
    <w:rsid w:val="007243E8"/>
    <w:rsid w:val="00725002"/>
    <w:rsid w:val="00726B86"/>
    <w:rsid w:val="007271EA"/>
    <w:rsid w:val="00727FA0"/>
    <w:rsid w:val="00742183"/>
    <w:rsid w:val="00742521"/>
    <w:rsid w:val="00744B57"/>
    <w:rsid w:val="007451A8"/>
    <w:rsid w:val="00745899"/>
    <w:rsid w:val="00747D1E"/>
    <w:rsid w:val="00753CA5"/>
    <w:rsid w:val="00754DD9"/>
    <w:rsid w:val="0075664B"/>
    <w:rsid w:val="0075698F"/>
    <w:rsid w:val="00757E1C"/>
    <w:rsid w:val="0076010E"/>
    <w:rsid w:val="007607C4"/>
    <w:rsid w:val="00760CF6"/>
    <w:rsid w:val="00760EC5"/>
    <w:rsid w:val="0076204E"/>
    <w:rsid w:val="0076215C"/>
    <w:rsid w:val="00762F23"/>
    <w:rsid w:val="00763F3A"/>
    <w:rsid w:val="00765100"/>
    <w:rsid w:val="00765A30"/>
    <w:rsid w:val="0076643F"/>
    <w:rsid w:val="00767A96"/>
    <w:rsid w:val="00770B00"/>
    <w:rsid w:val="007736C8"/>
    <w:rsid w:val="00773EE5"/>
    <w:rsid w:val="00775AA0"/>
    <w:rsid w:val="00777626"/>
    <w:rsid w:val="00783D25"/>
    <w:rsid w:val="007856EC"/>
    <w:rsid w:val="00785C75"/>
    <w:rsid w:val="00787282"/>
    <w:rsid w:val="00790A6D"/>
    <w:rsid w:val="00790C1D"/>
    <w:rsid w:val="007A127A"/>
    <w:rsid w:val="007A12FD"/>
    <w:rsid w:val="007A187B"/>
    <w:rsid w:val="007A2EE8"/>
    <w:rsid w:val="007A2F70"/>
    <w:rsid w:val="007A3B50"/>
    <w:rsid w:val="007A4F32"/>
    <w:rsid w:val="007A6B58"/>
    <w:rsid w:val="007B255E"/>
    <w:rsid w:val="007B3D8E"/>
    <w:rsid w:val="007B3F2A"/>
    <w:rsid w:val="007B46B9"/>
    <w:rsid w:val="007B715D"/>
    <w:rsid w:val="007C039A"/>
    <w:rsid w:val="007C2E5A"/>
    <w:rsid w:val="007C3334"/>
    <w:rsid w:val="007C366F"/>
    <w:rsid w:val="007C386F"/>
    <w:rsid w:val="007C52BB"/>
    <w:rsid w:val="007C5714"/>
    <w:rsid w:val="007C59FF"/>
    <w:rsid w:val="007C7220"/>
    <w:rsid w:val="007D08F9"/>
    <w:rsid w:val="007D0BE7"/>
    <w:rsid w:val="007D159E"/>
    <w:rsid w:val="007D1F60"/>
    <w:rsid w:val="007D2B98"/>
    <w:rsid w:val="007D3E61"/>
    <w:rsid w:val="007D4066"/>
    <w:rsid w:val="007D554A"/>
    <w:rsid w:val="007D6C4A"/>
    <w:rsid w:val="007D742C"/>
    <w:rsid w:val="007E2282"/>
    <w:rsid w:val="007E286B"/>
    <w:rsid w:val="007E2E79"/>
    <w:rsid w:val="007E7607"/>
    <w:rsid w:val="007E7F43"/>
    <w:rsid w:val="007F006B"/>
    <w:rsid w:val="007F0167"/>
    <w:rsid w:val="007F2983"/>
    <w:rsid w:val="007F3EAA"/>
    <w:rsid w:val="007F74D0"/>
    <w:rsid w:val="00803F1C"/>
    <w:rsid w:val="00805465"/>
    <w:rsid w:val="0080600E"/>
    <w:rsid w:val="0081298A"/>
    <w:rsid w:val="0081439B"/>
    <w:rsid w:val="0081673C"/>
    <w:rsid w:val="00816F7A"/>
    <w:rsid w:val="00817612"/>
    <w:rsid w:val="00817FDF"/>
    <w:rsid w:val="00823A61"/>
    <w:rsid w:val="00823B4A"/>
    <w:rsid w:val="00824FF3"/>
    <w:rsid w:val="008259A9"/>
    <w:rsid w:val="00825DBE"/>
    <w:rsid w:val="00827587"/>
    <w:rsid w:val="008277B2"/>
    <w:rsid w:val="00830C84"/>
    <w:rsid w:val="0083120A"/>
    <w:rsid w:val="00832893"/>
    <w:rsid w:val="00834554"/>
    <w:rsid w:val="008345AC"/>
    <w:rsid w:val="00834DF6"/>
    <w:rsid w:val="00836790"/>
    <w:rsid w:val="00836EAE"/>
    <w:rsid w:val="00837C45"/>
    <w:rsid w:val="0084026A"/>
    <w:rsid w:val="0084090E"/>
    <w:rsid w:val="00841D87"/>
    <w:rsid w:val="00843DD1"/>
    <w:rsid w:val="00844765"/>
    <w:rsid w:val="00845BF0"/>
    <w:rsid w:val="008509EC"/>
    <w:rsid w:val="00851EF7"/>
    <w:rsid w:val="008521E9"/>
    <w:rsid w:val="00853419"/>
    <w:rsid w:val="00855311"/>
    <w:rsid w:val="00856A7B"/>
    <w:rsid w:val="00860759"/>
    <w:rsid w:val="00860B60"/>
    <w:rsid w:val="00861947"/>
    <w:rsid w:val="00861DDB"/>
    <w:rsid w:val="00861EAC"/>
    <w:rsid w:val="00862B0E"/>
    <w:rsid w:val="00863454"/>
    <w:rsid w:val="008651BF"/>
    <w:rsid w:val="00872362"/>
    <w:rsid w:val="00872760"/>
    <w:rsid w:val="00872A2A"/>
    <w:rsid w:val="0087619E"/>
    <w:rsid w:val="00876BC8"/>
    <w:rsid w:val="0087728F"/>
    <w:rsid w:val="00880C04"/>
    <w:rsid w:val="00880C29"/>
    <w:rsid w:val="00881DAD"/>
    <w:rsid w:val="00882CC5"/>
    <w:rsid w:val="00884A95"/>
    <w:rsid w:val="00884CCE"/>
    <w:rsid w:val="0088540B"/>
    <w:rsid w:val="0088781C"/>
    <w:rsid w:val="00890E8B"/>
    <w:rsid w:val="00891EBB"/>
    <w:rsid w:val="0089520B"/>
    <w:rsid w:val="00897E12"/>
    <w:rsid w:val="008A6D99"/>
    <w:rsid w:val="008A7173"/>
    <w:rsid w:val="008B0494"/>
    <w:rsid w:val="008B3FD8"/>
    <w:rsid w:val="008C056F"/>
    <w:rsid w:val="008C26DF"/>
    <w:rsid w:val="008C27BB"/>
    <w:rsid w:val="008C4C96"/>
    <w:rsid w:val="008C4D2A"/>
    <w:rsid w:val="008C5539"/>
    <w:rsid w:val="008D032A"/>
    <w:rsid w:val="008D097D"/>
    <w:rsid w:val="008D21CC"/>
    <w:rsid w:val="008D3880"/>
    <w:rsid w:val="008D43BA"/>
    <w:rsid w:val="008D5086"/>
    <w:rsid w:val="008D6EDA"/>
    <w:rsid w:val="008D7C72"/>
    <w:rsid w:val="008E3473"/>
    <w:rsid w:val="008E3759"/>
    <w:rsid w:val="008F001F"/>
    <w:rsid w:val="008F1CB8"/>
    <w:rsid w:val="008F376C"/>
    <w:rsid w:val="008F4432"/>
    <w:rsid w:val="008F63E3"/>
    <w:rsid w:val="009002D7"/>
    <w:rsid w:val="0090124F"/>
    <w:rsid w:val="00901776"/>
    <w:rsid w:val="009041DC"/>
    <w:rsid w:val="00905A5A"/>
    <w:rsid w:val="00905C58"/>
    <w:rsid w:val="00907250"/>
    <w:rsid w:val="0090783D"/>
    <w:rsid w:val="00907D45"/>
    <w:rsid w:val="009104B4"/>
    <w:rsid w:val="009108D2"/>
    <w:rsid w:val="009108D4"/>
    <w:rsid w:val="00912B48"/>
    <w:rsid w:val="00912BC1"/>
    <w:rsid w:val="00913AE3"/>
    <w:rsid w:val="00915175"/>
    <w:rsid w:val="00916D57"/>
    <w:rsid w:val="00916F3F"/>
    <w:rsid w:val="009174A2"/>
    <w:rsid w:val="00917987"/>
    <w:rsid w:val="0092152A"/>
    <w:rsid w:val="00921EEB"/>
    <w:rsid w:val="00923170"/>
    <w:rsid w:val="009251BE"/>
    <w:rsid w:val="00925C26"/>
    <w:rsid w:val="00925FCD"/>
    <w:rsid w:val="00927558"/>
    <w:rsid w:val="0092776E"/>
    <w:rsid w:val="00927CDA"/>
    <w:rsid w:val="00930330"/>
    <w:rsid w:val="00931686"/>
    <w:rsid w:val="0093441A"/>
    <w:rsid w:val="00940901"/>
    <w:rsid w:val="00942E1C"/>
    <w:rsid w:val="009438F9"/>
    <w:rsid w:val="0094442A"/>
    <w:rsid w:val="00944BA5"/>
    <w:rsid w:val="00945E2C"/>
    <w:rsid w:val="009469DB"/>
    <w:rsid w:val="00950447"/>
    <w:rsid w:val="00951135"/>
    <w:rsid w:val="00954BF7"/>
    <w:rsid w:val="0095595B"/>
    <w:rsid w:val="009559BB"/>
    <w:rsid w:val="00955BBE"/>
    <w:rsid w:val="00957B33"/>
    <w:rsid w:val="00957B35"/>
    <w:rsid w:val="00961A46"/>
    <w:rsid w:val="009622B1"/>
    <w:rsid w:val="009646B7"/>
    <w:rsid w:val="009652F2"/>
    <w:rsid w:val="00965804"/>
    <w:rsid w:val="0096706E"/>
    <w:rsid w:val="00971A4D"/>
    <w:rsid w:val="00971F46"/>
    <w:rsid w:val="00973C42"/>
    <w:rsid w:val="00975011"/>
    <w:rsid w:val="00976FB0"/>
    <w:rsid w:val="00977F3D"/>
    <w:rsid w:val="0098032E"/>
    <w:rsid w:val="009805E2"/>
    <w:rsid w:val="00981E9E"/>
    <w:rsid w:val="00981FBA"/>
    <w:rsid w:val="00982815"/>
    <w:rsid w:val="00984E9F"/>
    <w:rsid w:val="009858AC"/>
    <w:rsid w:val="00985AD9"/>
    <w:rsid w:val="0098665D"/>
    <w:rsid w:val="00986C06"/>
    <w:rsid w:val="00986D78"/>
    <w:rsid w:val="00986D7B"/>
    <w:rsid w:val="009870C7"/>
    <w:rsid w:val="00990464"/>
    <w:rsid w:val="00991078"/>
    <w:rsid w:val="009917CF"/>
    <w:rsid w:val="00992C63"/>
    <w:rsid w:val="0099362E"/>
    <w:rsid w:val="00994ADA"/>
    <w:rsid w:val="0099506A"/>
    <w:rsid w:val="0099750E"/>
    <w:rsid w:val="009A147B"/>
    <w:rsid w:val="009A1B75"/>
    <w:rsid w:val="009A2284"/>
    <w:rsid w:val="009A2AAC"/>
    <w:rsid w:val="009A512C"/>
    <w:rsid w:val="009A517D"/>
    <w:rsid w:val="009B381B"/>
    <w:rsid w:val="009B4A2D"/>
    <w:rsid w:val="009B7DA6"/>
    <w:rsid w:val="009C0215"/>
    <w:rsid w:val="009C1738"/>
    <w:rsid w:val="009C348E"/>
    <w:rsid w:val="009C3CDC"/>
    <w:rsid w:val="009C4790"/>
    <w:rsid w:val="009D02AE"/>
    <w:rsid w:val="009D1032"/>
    <w:rsid w:val="009D3FB7"/>
    <w:rsid w:val="009D4468"/>
    <w:rsid w:val="009D6ABB"/>
    <w:rsid w:val="009D75D4"/>
    <w:rsid w:val="009D7611"/>
    <w:rsid w:val="009E53DE"/>
    <w:rsid w:val="009E581C"/>
    <w:rsid w:val="009E63AD"/>
    <w:rsid w:val="009F0CE0"/>
    <w:rsid w:val="009F1380"/>
    <w:rsid w:val="009F1561"/>
    <w:rsid w:val="009F251D"/>
    <w:rsid w:val="009F2703"/>
    <w:rsid w:val="009F3116"/>
    <w:rsid w:val="009F3B9A"/>
    <w:rsid w:val="009F3BBE"/>
    <w:rsid w:val="009F6118"/>
    <w:rsid w:val="009F67D6"/>
    <w:rsid w:val="009F704D"/>
    <w:rsid w:val="009F7AE1"/>
    <w:rsid w:val="00A00F0D"/>
    <w:rsid w:val="00A01F89"/>
    <w:rsid w:val="00A034D7"/>
    <w:rsid w:val="00A0554C"/>
    <w:rsid w:val="00A06088"/>
    <w:rsid w:val="00A067C2"/>
    <w:rsid w:val="00A15516"/>
    <w:rsid w:val="00A16208"/>
    <w:rsid w:val="00A20626"/>
    <w:rsid w:val="00A213EB"/>
    <w:rsid w:val="00A23EB9"/>
    <w:rsid w:val="00A25D9A"/>
    <w:rsid w:val="00A2600A"/>
    <w:rsid w:val="00A2718A"/>
    <w:rsid w:val="00A3194A"/>
    <w:rsid w:val="00A32741"/>
    <w:rsid w:val="00A33897"/>
    <w:rsid w:val="00A348B7"/>
    <w:rsid w:val="00A34F3A"/>
    <w:rsid w:val="00A379B3"/>
    <w:rsid w:val="00A40DEE"/>
    <w:rsid w:val="00A4241A"/>
    <w:rsid w:val="00A43346"/>
    <w:rsid w:val="00A43458"/>
    <w:rsid w:val="00A437E5"/>
    <w:rsid w:val="00A43BED"/>
    <w:rsid w:val="00A45036"/>
    <w:rsid w:val="00A50101"/>
    <w:rsid w:val="00A506F6"/>
    <w:rsid w:val="00A528D1"/>
    <w:rsid w:val="00A57B15"/>
    <w:rsid w:val="00A6364D"/>
    <w:rsid w:val="00A63CD2"/>
    <w:rsid w:val="00A64078"/>
    <w:rsid w:val="00A666FF"/>
    <w:rsid w:val="00A66BE5"/>
    <w:rsid w:val="00A66C7A"/>
    <w:rsid w:val="00A67A03"/>
    <w:rsid w:val="00A7161B"/>
    <w:rsid w:val="00A827F7"/>
    <w:rsid w:val="00A83C80"/>
    <w:rsid w:val="00A84F6A"/>
    <w:rsid w:val="00A85EC6"/>
    <w:rsid w:val="00A904E3"/>
    <w:rsid w:val="00A90D6E"/>
    <w:rsid w:val="00A910E9"/>
    <w:rsid w:val="00A93721"/>
    <w:rsid w:val="00A93ACD"/>
    <w:rsid w:val="00A93B50"/>
    <w:rsid w:val="00A93FF0"/>
    <w:rsid w:val="00A971AA"/>
    <w:rsid w:val="00AA0E10"/>
    <w:rsid w:val="00AA1498"/>
    <w:rsid w:val="00AA1D69"/>
    <w:rsid w:val="00AA6294"/>
    <w:rsid w:val="00AA70AC"/>
    <w:rsid w:val="00AB29EC"/>
    <w:rsid w:val="00AC266D"/>
    <w:rsid w:val="00AC44DF"/>
    <w:rsid w:val="00AD2A24"/>
    <w:rsid w:val="00AD37C1"/>
    <w:rsid w:val="00AD665A"/>
    <w:rsid w:val="00AE05BA"/>
    <w:rsid w:val="00AE0616"/>
    <w:rsid w:val="00AE08F1"/>
    <w:rsid w:val="00AE25BF"/>
    <w:rsid w:val="00AE2EF0"/>
    <w:rsid w:val="00AE4555"/>
    <w:rsid w:val="00AE4DBA"/>
    <w:rsid w:val="00AE5F80"/>
    <w:rsid w:val="00AE66EC"/>
    <w:rsid w:val="00AE6F91"/>
    <w:rsid w:val="00AF09FD"/>
    <w:rsid w:val="00AF19E2"/>
    <w:rsid w:val="00AF3510"/>
    <w:rsid w:val="00AF5571"/>
    <w:rsid w:val="00AF699D"/>
    <w:rsid w:val="00B04575"/>
    <w:rsid w:val="00B049BC"/>
    <w:rsid w:val="00B05F13"/>
    <w:rsid w:val="00B05F9A"/>
    <w:rsid w:val="00B10900"/>
    <w:rsid w:val="00B12DE9"/>
    <w:rsid w:val="00B151BB"/>
    <w:rsid w:val="00B151D4"/>
    <w:rsid w:val="00B153E5"/>
    <w:rsid w:val="00B15EF9"/>
    <w:rsid w:val="00B161D3"/>
    <w:rsid w:val="00B167E9"/>
    <w:rsid w:val="00B22EA1"/>
    <w:rsid w:val="00B23BCD"/>
    <w:rsid w:val="00B24031"/>
    <w:rsid w:val="00B25BD0"/>
    <w:rsid w:val="00B25F69"/>
    <w:rsid w:val="00B3033B"/>
    <w:rsid w:val="00B308E4"/>
    <w:rsid w:val="00B314DB"/>
    <w:rsid w:val="00B31E5A"/>
    <w:rsid w:val="00B31EBE"/>
    <w:rsid w:val="00B32ABC"/>
    <w:rsid w:val="00B34EE2"/>
    <w:rsid w:val="00B34F9D"/>
    <w:rsid w:val="00B35110"/>
    <w:rsid w:val="00B35F5A"/>
    <w:rsid w:val="00B368FA"/>
    <w:rsid w:val="00B3718B"/>
    <w:rsid w:val="00B40012"/>
    <w:rsid w:val="00B40015"/>
    <w:rsid w:val="00B404B8"/>
    <w:rsid w:val="00B40E61"/>
    <w:rsid w:val="00B4213B"/>
    <w:rsid w:val="00B425B7"/>
    <w:rsid w:val="00B4632A"/>
    <w:rsid w:val="00B52AD3"/>
    <w:rsid w:val="00B54BC8"/>
    <w:rsid w:val="00B57C48"/>
    <w:rsid w:val="00B6037C"/>
    <w:rsid w:val="00B66A63"/>
    <w:rsid w:val="00B67D4D"/>
    <w:rsid w:val="00B721D8"/>
    <w:rsid w:val="00B72C96"/>
    <w:rsid w:val="00B74520"/>
    <w:rsid w:val="00B80E53"/>
    <w:rsid w:val="00B84613"/>
    <w:rsid w:val="00B85120"/>
    <w:rsid w:val="00B865BB"/>
    <w:rsid w:val="00B90A5E"/>
    <w:rsid w:val="00B91137"/>
    <w:rsid w:val="00B91585"/>
    <w:rsid w:val="00B92E8F"/>
    <w:rsid w:val="00B946DF"/>
    <w:rsid w:val="00B969C5"/>
    <w:rsid w:val="00B97215"/>
    <w:rsid w:val="00B97779"/>
    <w:rsid w:val="00B979F9"/>
    <w:rsid w:val="00BA1984"/>
    <w:rsid w:val="00BA1E27"/>
    <w:rsid w:val="00BA1E78"/>
    <w:rsid w:val="00BA276C"/>
    <w:rsid w:val="00BA2C65"/>
    <w:rsid w:val="00BA4062"/>
    <w:rsid w:val="00BA4CCE"/>
    <w:rsid w:val="00BA4FEC"/>
    <w:rsid w:val="00BA6DE6"/>
    <w:rsid w:val="00BA7077"/>
    <w:rsid w:val="00BB0B7C"/>
    <w:rsid w:val="00BB110C"/>
    <w:rsid w:val="00BB2F55"/>
    <w:rsid w:val="00BB306F"/>
    <w:rsid w:val="00BB41ED"/>
    <w:rsid w:val="00BC0FC0"/>
    <w:rsid w:val="00BC2958"/>
    <w:rsid w:val="00BC2F55"/>
    <w:rsid w:val="00BC3F78"/>
    <w:rsid w:val="00BC4068"/>
    <w:rsid w:val="00BC4E81"/>
    <w:rsid w:val="00BC5683"/>
    <w:rsid w:val="00BC5B97"/>
    <w:rsid w:val="00BC5E9D"/>
    <w:rsid w:val="00BD232B"/>
    <w:rsid w:val="00BD38A6"/>
    <w:rsid w:val="00BD46AE"/>
    <w:rsid w:val="00BD46D6"/>
    <w:rsid w:val="00BD4B89"/>
    <w:rsid w:val="00BE2A3B"/>
    <w:rsid w:val="00BE5002"/>
    <w:rsid w:val="00BE5982"/>
    <w:rsid w:val="00BE5BC0"/>
    <w:rsid w:val="00BE6684"/>
    <w:rsid w:val="00BE75A0"/>
    <w:rsid w:val="00BF12AC"/>
    <w:rsid w:val="00BF39DB"/>
    <w:rsid w:val="00BF71A5"/>
    <w:rsid w:val="00BF779E"/>
    <w:rsid w:val="00C03BE7"/>
    <w:rsid w:val="00C0549F"/>
    <w:rsid w:val="00C06B89"/>
    <w:rsid w:val="00C11FDB"/>
    <w:rsid w:val="00C12094"/>
    <w:rsid w:val="00C13666"/>
    <w:rsid w:val="00C14F55"/>
    <w:rsid w:val="00C17423"/>
    <w:rsid w:val="00C1798F"/>
    <w:rsid w:val="00C20F83"/>
    <w:rsid w:val="00C21153"/>
    <w:rsid w:val="00C21762"/>
    <w:rsid w:val="00C22FC1"/>
    <w:rsid w:val="00C24543"/>
    <w:rsid w:val="00C2558E"/>
    <w:rsid w:val="00C25679"/>
    <w:rsid w:val="00C256A2"/>
    <w:rsid w:val="00C26299"/>
    <w:rsid w:val="00C275EB"/>
    <w:rsid w:val="00C279CC"/>
    <w:rsid w:val="00C332C6"/>
    <w:rsid w:val="00C342E1"/>
    <w:rsid w:val="00C3492D"/>
    <w:rsid w:val="00C35DA2"/>
    <w:rsid w:val="00C36AEB"/>
    <w:rsid w:val="00C408FF"/>
    <w:rsid w:val="00C40A00"/>
    <w:rsid w:val="00C40D61"/>
    <w:rsid w:val="00C40EF2"/>
    <w:rsid w:val="00C414FD"/>
    <w:rsid w:val="00C41B2E"/>
    <w:rsid w:val="00C4614B"/>
    <w:rsid w:val="00C47657"/>
    <w:rsid w:val="00C50268"/>
    <w:rsid w:val="00C50574"/>
    <w:rsid w:val="00C55560"/>
    <w:rsid w:val="00C566B2"/>
    <w:rsid w:val="00C56A06"/>
    <w:rsid w:val="00C61058"/>
    <w:rsid w:val="00C61678"/>
    <w:rsid w:val="00C62BC0"/>
    <w:rsid w:val="00C648C1"/>
    <w:rsid w:val="00C64DDA"/>
    <w:rsid w:val="00C66B72"/>
    <w:rsid w:val="00C700A3"/>
    <w:rsid w:val="00C720C6"/>
    <w:rsid w:val="00C7256B"/>
    <w:rsid w:val="00C7427B"/>
    <w:rsid w:val="00C7620D"/>
    <w:rsid w:val="00C81DB0"/>
    <w:rsid w:val="00C8427D"/>
    <w:rsid w:val="00C85BBF"/>
    <w:rsid w:val="00C86BDA"/>
    <w:rsid w:val="00C86D4F"/>
    <w:rsid w:val="00C86F55"/>
    <w:rsid w:val="00C8764B"/>
    <w:rsid w:val="00C876C6"/>
    <w:rsid w:val="00C905CB"/>
    <w:rsid w:val="00C918F9"/>
    <w:rsid w:val="00C91BEE"/>
    <w:rsid w:val="00C950EE"/>
    <w:rsid w:val="00C9567A"/>
    <w:rsid w:val="00CA0338"/>
    <w:rsid w:val="00CA1A5C"/>
    <w:rsid w:val="00CA1AF9"/>
    <w:rsid w:val="00CA234A"/>
    <w:rsid w:val="00CA382A"/>
    <w:rsid w:val="00CA439F"/>
    <w:rsid w:val="00CA51C0"/>
    <w:rsid w:val="00CA5BB9"/>
    <w:rsid w:val="00CB128A"/>
    <w:rsid w:val="00CB2660"/>
    <w:rsid w:val="00CB5C27"/>
    <w:rsid w:val="00CB7AA4"/>
    <w:rsid w:val="00CB7E91"/>
    <w:rsid w:val="00CC15E8"/>
    <w:rsid w:val="00CC1BE7"/>
    <w:rsid w:val="00CC1C38"/>
    <w:rsid w:val="00CC2D20"/>
    <w:rsid w:val="00CC3873"/>
    <w:rsid w:val="00CC3EA5"/>
    <w:rsid w:val="00CC4CD1"/>
    <w:rsid w:val="00CC4D57"/>
    <w:rsid w:val="00CC5E90"/>
    <w:rsid w:val="00CD046C"/>
    <w:rsid w:val="00CD1ABD"/>
    <w:rsid w:val="00CD29AE"/>
    <w:rsid w:val="00CD2FB6"/>
    <w:rsid w:val="00CD31B5"/>
    <w:rsid w:val="00CD343B"/>
    <w:rsid w:val="00CD5416"/>
    <w:rsid w:val="00CE0EC0"/>
    <w:rsid w:val="00CE18B1"/>
    <w:rsid w:val="00CE5199"/>
    <w:rsid w:val="00CE53DA"/>
    <w:rsid w:val="00CE66D5"/>
    <w:rsid w:val="00CE689C"/>
    <w:rsid w:val="00CF2481"/>
    <w:rsid w:val="00CF2757"/>
    <w:rsid w:val="00CF6E5F"/>
    <w:rsid w:val="00D02530"/>
    <w:rsid w:val="00D02D3C"/>
    <w:rsid w:val="00D0710E"/>
    <w:rsid w:val="00D07A72"/>
    <w:rsid w:val="00D07BD5"/>
    <w:rsid w:val="00D12008"/>
    <w:rsid w:val="00D12EA0"/>
    <w:rsid w:val="00D16925"/>
    <w:rsid w:val="00D20D79"/>
    <w:rsid w:val="00D21822"/>
    <w:rsid w:val="00D2375D"/>
    <w:rsid w:val="00D2487B"/>
    <w:rsid w:val="00D24F21"/>
    <w:rsid w:val="00D2693F"/>
    <w:rsid w:val="00D27430"/>
    <w:rsid w:val="00D31382"/>
    <w:rsid w:val="00D31CBD"/>
    <w:rsid w:val="00D31ECB"/>
    <w:rsid w:val="00D34786"/>
    <w:rsid w:val="00D35C43"/>
    <w:rsid w:val="00D3616E"/>
    <w:rsid w:val="00D36D8C"/>
    <w:rsid w:val="00D3765C"/>
    <w:rsid w:val="00D40A1E"/>
    <w:rsid w:val="00D433BE"/>
    <w:rsid w:val="00D4431A"/>
    <w:rsid w:val="00D45242"/>
    <w:rsid w:val="00D50A64"/>
    <w:rsid w:val="00D52917"/>
    <w:rsid w:val="00D54A19"/>
    <w:rsid w:val="00D54E20"/>
    <w:rsid w:val="00D54FA5"/>
    <w:rsid w:val="00D565C5"/>
    <w:rsid w:val="00D60E85"/>
    <w:rsid w:val="00D611AC"/>
    <w:rsid w:val="00D6181D"/>
    <w:rsid w:val="00D62872"/>
    <w:rsid w:val="00D62A03"/>
    <w:rsid w:val="00D62F8C"/>
    <w:rsid w:val="00D64170"/>
    <w:rsid w:val="00D7021F"/>
    <w:rsid w:val="00D7053E"/>
    <w:rsid w:val="00D712D3"/>
    <w:rsid w:val="00D71422"/>
    <w:rsid w:val="00D7145E"/>
    <w:rsid w:val="00D723E0"/>
    <w:rsid w:val="00D73405"/>
    <w:rsid w:val="00D73542"/>
    <w:rsid w:val="00D7362D"/>
    <w:rsid w:val="00D7558D"/>
    <w:rsid w:val="00D76627"/>
    <w:rsid w:val="00D76D2E"/>
    <w:rsid w:val="00D80547"/>
    <w:rsid w:val="00D81D92"/>
    <w:rsid w:val="00D81E50"/>
    <w:rsid w:val="00D81EAA"/>
    <w:rsid w:val="00D828C7"/>
    <w:rsid w:val="00D82ED1"/>
    <w:rsid w:val="00D8518D"/>
    <w:rsid w:val="00D86D63"/>
    <w:rsid w:val="00D92DB0"/>
    <w:rsid w:val="00D93446"/>
    <w:rsid w:val="00D93B9F"/>
    <w:rsid w:val="00D960BE"/>
    <w:rsid w:val="00D97B2D"/>
    <w:rsid w:val="00DA0626"/>
    <w:rsid w:val="00DA1B48"/>
    <w:rsid w:val="00DA3DB1"/>
    <w:rsid w:val="00DA65C5"/>
    <w:rsid w:val="00DA70D0"/>
    <w:rsid w:val="00DA7B5F"/>
    <w:rsid w:val="00DB043B"/>
    <w:rsid w:val="00DB1E3E"/>
    <w:rsid w:val="00DB268A"/>
    <w:rsid w:val="00DB2AB8"/>
    <w:rsid w:val="00DB38C0"/>
    <w:rsid w:val="00DB4265"/>
    <w:rsid w:val="00DB47A7"/>
    <w:rsid w:val="00DB52A8"/>
    <w:rsid w:val="00DB55C5"/>
    <w:rsid w:val="00DB65B3"/>
    <w:rsid w:val="00DC0434"/>
    <w:rsid w:val="00DC0945"/>
    <w:rsid w:val="00DC2EDC"/>
    <w:rsid w:val="00DC2FAC"/>
    <w:rsid w:val="00DC3543"/>
    <w:rsid w:val="00DC587B"/>
    <w:rsid w:val="00DC64CD"/>
    <w:rsid w:val="00DC75D7"/>
    <w:rsid w:val="00DD0F93"/>
    <w:rsid w:val="00DD1B08"/>
    <w:rsid w:val="00DD25D1"/>
    <w:rsid w:val="00DD757E"/>
    <w:rsid w:val="00DE08BA"/>
    <w:rsid w:val="00DE2AD3"/>
    <w:rsid w:val="00DE2B82"/>
    <w:rsid w:val="00DE3B1B"/>
    <w:rsid w:val="00DE4A12"/>
    <w:rsid w:val="00DE4AA5"/>
    <w:rsid w:val="00DE6716"/>
    <w:rsid w:val="00DF0D91"/>
    <w:rsid w:val="00DF25AA"/>
    <w:rsid w:val="00DF37A5"/>
    <w:rsid w:val="00DF428E"/>
    <w:rsid w:val="00DF4CE9"/>
    <w:rsid w:val="00DF5264"/>
    <w:rsid w:val="00DF5727"/>
    <w:rsid w:val="00DF5C0B"/>
    <w:rsid w:val="00DF610B"/>
    <w:rsid w:val="00DF7B34"/>
    <w:rsid w:val="00E0126C"/>
    <w:rsid w:val="00E029A1"/>
    <w:rsid w:val="00E06931"/>
    <w:rsid w:val="00E12155"/>
    <w:rsid w:val="00E12C6E"/>
    <w:rsid w:val="00E14CE9"/>
    <w:rsid w:val="00E15E1C"/>
    <w:rsid w:val="00E17288"/>
    <w:rsid w:val="00E21A63"/>
    <w:rsid w:val="00E228D7"/>
    <w:rsid w:val="00E2421F"/>
    <w:rsid w:val="00E252C5"/>
    <w:rsid w:val="00E30D9F"/>
    <w:rsid w:val="00E31ACF"/>
    <w:rsid w:val="00E31D4D"/>
    <w:rsid w:val="00E31DB8"/>
    <w:rsid w:val="00E33C05"/>
    <w:rsid w:val="00E34EAF"/>
    <w:rsid w:val="00E36918"/>
    <w:rsid w:val="00E36962"/>
    <w:rsid w:val="00E369B7"/>
    <w:rsid w:val="00E41256"/>
    <w:rsid w:val="00E43157"/>
    <w:rsid w:val="00E43387"/>
    <w:rsid w:val="00E43988"/>
    <w:rsid w:val="00E47EBF"/>
    <w:rsid w:val="00E528DE"/>
    <w:rsid w:val="00E533FF"/>
    <w:rsid w:val="00E568E1"/>
    <w:rsid w:val="00E574D9"/>
    <w:rsid w:val="00E57E85"/>
    <w:rsid w:val="00E61090"/>
    <w:rsid w:val="00E615C6"/>
    <w:rsid w:val="00E61FB8"/>
    <w:rsid w:val="00E64A6D"/>
    <w:rsid w:val="00E64B00"/>
    <w:rsid w:val="00E65038"/>
    <w:rsid w:val="00E65F22"/>
    <w:rsid w:val="00E70778"/>
    <w:rsid w:val="00E709B3"/>
    <w:rsid w:val="00E72DE7"/>
    <w:rsid w:val="00E76C03"/>
    <w:rsid w:val="00E82DFC"/>
    <w:rsid w:val="00E8411C"/>
    <w:rsid w:val="00E85770"/>
    <w:rsid w:val="00E87892"/>
    <w:rsid w:val="00E8789F"/>
    <w:rsid w:val="00E9066D"/>
    <w:rsid w:val="00E95266"/>
    <w:rsid w:val="00E957CA"/>
    <w:rsid w:val="00E959C2"/>
    <w:rsid w:val="00E97B71"/>
    <w:rsid w:val="00EA0E02"/>
    <w:rsid w:val="00EA0E08"/>
    <w:rsid w:val="00EA18F4"/>
    <w:rsid w:val="00EA25E7"/>
    <w:rsid w:val="00EA77BE"/>
    <w:rsid w:val="00EB2A53"/>
    <w:rsid w:val="00EB454D"/>
    <w:rsid w:val="00EB749D"/>
    <w:rsid w:val="00EB7F9D"/>
    <w:rsid w:val="00EC0BC4"/>
    <w:rsid w:val="00EC0CC1"/>
    <w:rsid w:val="00EC0F61"/>
    <w:rsid w:val="00EC10ED"/>
    <w:rsid w:val="00EC1497"/>
    <w:rsid w:val="00EC16A8"/>
    <w:rsid w:val="00EC2C13"/>
    <w:rsid w:val="00EC3CB3"/>
    <w:rsid w:val="00EC4078"/>
    <w:rsid w:val="00EC631B"/>
    <w:rsid w:val="00ED1C48"/>
    <w:rsid w:val="00ED1E80"/>
    <w:rsid w:val="00ED209B"/>
    <w:rsid w:val="00ED43C0"/>
    <w:rsid w:val="00EE3522"/>
    <w:rsid w:val="00EE3810"/>
    <w:rsid w:val="00EE483D"/>
    <w:rsid w:val="00EE4878"/>
    <w:rsid w:val="00EE7C66"/>
    <w:rsid w:val="00EF3127"/>
    <w:rsid w:val="00EF319F"/>
    <w:rsid w:val="00EF4223"/>
    <w:rsid w:val="00EF502F"/>
    <w:rsid w:val="00EF5E9E"/>
    <w:rsid w:val="00EF619B"/>
    <w:rsid w:val="00EF70A1"/>
    <w:rsid w:val="00EF70A3"/>
    <w:rsid w:val="00EF78AB"/>
    <w:rsid w:val="00F00B55"/>
    <w:rsid w:val="00F06566"/>
    <w:rsid w:val="00F1109F"/>
    <w:rsid w:val="00F1380F"/>
    <w:rsid w:val="00F14979"/>
    <w:rsid w:val="00F14F0E"/>
    <w:rsid w:val="00F17368"/>
    <w:rsid w:val="00F206E5"/>
    <w:rsid w:val="00F20C08"/>
    <w:rsid w:val="00F24C29"/>
    <w:rsid w:val="00F253CC"/>
    <w:rsid w:val="00F275D0"/>
    <w:rsid w:val="00F30C72"/>
    <w:rsid w:val="00F32BB3"/>
    <w:rsid w:val="00F33691"/>
    <w:rsid w:val="00F3520E"/>
    <w:rsid w:val="00F35224"/>
    <w:rsid w:val="00F4240B"/>
    <w:rsid w:val="00F434C9"/>
    <w:rsid w:val="00F547C0"/>
    <w:rsid w:val="00F5622A"/>
    <w:rsid w:val="00F5629D"/>
    <w:rsid w:val="00F56A1A"/>
    <w:rsid w:val="00F56BA5"/>
    <w:rsid w:val="00F63945"/>
    <w:rsid w:val="00F63C54"/>
    <w:rsid w:val="00F644E6"/>
    <w:rsid w:val="00F64EFC"/>
    <w:rsid w:val="00F65A27"/>
    <w:rsid w:val="00F7052E"/>
    <w:rsid w:val="00F73DD8"/>
    <w:rsid w:val="00F743AC"/>
    <w:rsid w:val="00F743B9"/>
    <w:rsid w:val="00F76887"/>
    <w:rsid w:val="00F77C5B"/>
    <w:rsid w:val="00F8086A"/>
    <w:rsid w:val="00F80C68"/>
    <w:rsid w:val="00F86166"/>
    <w:rsid w:val="00F874C1"/>
    <w:rsid w:val="00F9293D"/>
    <w:rsid w:val="00F93C47"/>
    <w:rsid w:val="00F944EB"/>
    <w:rsid w:val="00F95399"/>
    <w:rsid w:val="00F963B4"/>
    <w:rsid w:val="00F9653B"/>
    <w:rsid w:val="00F97CD6"/>
    <w:rsid w:val="00FA0474"/>
    <w:rsid w:val="00FA5F16"/>
    <w:rsid w:val="00FA66B5"/>
    <w:rsid w:val="00FA76BF"/>
    <w:rsid w:val="00FB03BF"/>
    <w:rsid w:val="00FB3063"/>
    <w:rsid w:val="00FB4CC0"/>
    <w:rsid w:val="00FB57E5"/>
    <w:rsid w:val="00FB62CF"/>
    <w:rsid w:val="00FB7A62"/>
    <w:rsid w:val="00FC31DE"/>
    <w:rsid w:val="00FC3B1C"/>
    <w:rsid w:val="00FC3EB4"/>
    <w:rsid w:val="00FC6C58"/>
    <w:rsid w:val="00FC7EA1"/>
    <w:rsid w:val="00FD01B6"/>
    <w:rsid w:val="00FD39AF"/>
    <w:rsid w:val="00FD4C0A"/>
    <w:rsid w:val="00FD5313"/>
    <w:rsid w:val="00FD5E8D"/>
    <w:rsid w:val="00FE0331"/>
    <w:rsid w:val="00FE141F"/>
    <w:rsid w:val="00FE1E16"/>
    <w:rsid w:val="00FE2C08"/>
    <w:rsid w:val="00FE6B45"/>
    <w:rsid w:val="00FE768E"/>
    <w:rsid w:val="00FF084A"/>
    <w:rsid w:val="00FF2B74"/>
    <w:rsid w:val="00FF2F46"/>
    <w:rsid w:val="00FF3ECA"/>
    <w:rsid w:val="00FF48C5"/>
    <w:rsid w:val="00FF5851"/>
    <w:rsid w:val="00FF79D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D75D4"/>
    <w:pPr>
      <w:keepNext/>
      <w:keepLines/>
      <w:numPr>
        <w:numId w:val="58"/>
      </w:numPr>
      <w:ind w:firstLine="0"/>
      <w:outlineLvl w:val="0"/>
    </w:pPr>
    <w:rPr>
      <w:rFonts w:asciiTheme="majorHAnsi" w:eastAsiaTheme="majorEastAsia" w:hAnsiTheme="majorHAnsi" w:cstheme="majorBidi"/>
      <w:b/>
      <w:bCs/>
      <w:sz w:val="20"/>
      <w:szCs w:val="20"/>
      <w:lang w:val="es-ES_tradnl"/>
    </w:rPr>
  </w:style>
  <w:style w:type="paragraph" w:styleId="Heading2">
    <w:name w:val="heading 2"/>
    <w:basedOn w:val="Normal"/>
    <w:next w:val="Normal"/>
    <w:link w:val="Heading2Char"/>
    <w:unhideWhenUsed/>
    <w:qFormat/>
    <w:rsid w:val="009D75D4"/>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heme="majorEastAsia" w:hAnsiTheme="majorHAnsi" w:cstheme="majorBidi"/>
      <w:b/>
      <w:sz w:val="20"/>
      <w:szCs w:val="20"/>
      <w:lang w:val="es-ES_tradnl"/>
    </w:rPr>
  </w:style>
  <w:style w:type="paragraph" w:styleId="Heading3">
    <w:name w:val="heading 3"/>
    <w:basedOn w:val="Normal"/>
    <w:next w:val="Normal"/>
    <w:link w:val="Heading3Char"/>
    <w:unhideWhenUsed/>
    <w:qFormat/>
    <w:rsid w:val="009D75D4"/>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sz w:val="20"/>
      <w:szCs w:val="20"/>
      <w:lang w:val="es-VE"/>
    </w:rPr>
  </w:style>
  <w:style w:type="paragraph" w:styleId="Heading4">
    <w:name w:val="heading 4"/>
    <w:basedOn w:val="Normal"/>
    <w:next w:val="Normal"/>
    <w:link w:val="Heading4Char"/>
    <w:qFormat/>
    <w:rsid w:val="00D02D3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6"/>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7"/>
      </w:numPr>
    </w:pPr>
  </w:style>
  <w:style w:type="numbering" w:customStyle="1" w:styleId="Estiloimportado3">
    <w:name w:val="Estilo importado 3"/>
  </w:style>
  <w:style w:type="numbering" w:customStyle="1" w:styleId="List31">
    <w:name w:val="List 31"/>
    <w:basedOn w:val="Estiloimportado4"/>
    <w:pPr>
      <w:numPr>
        <w:numId w:val="56"/>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9"/>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7"/>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1"/>
      </w:numPr>
    </w:pPr>
  </w:style>
  <w:style w:type="numbering" w:customStyle="1" w:styleId="Estiloimportado13">
    <w:name w:val="Estilo importado 13"/>
  </w:style>
  <w:style w:type="numbering" w:customStyle="1" w:styleId="List13">
    <w:name w:val="List 13"/>
    <w:basedOn w:val="Estiloimportado14"/>
    <w:pPr>
      <w:numPr>
        <w:numId w:val="47"/>
      </w:numPr>
    </w:pPr>
  </w:style>
  <w:style w:type="numbering" w:customStyle="1" w:styleId="Estiloimportado14">
    <w:name w:val="Estilo importado 14"/>
  </w:style>
  <w:style w:type="numbering" w:customStyle="1" w:styleId="List14">
    <w:name w:val="List 14"/>
    <w:basedOn w:val="Estiloimportado15"/>
    <w:pPr>
      <w:numPr>
        <w:numId w:val="22"/>
      </w:numPr>
    </w:pPr>
  </w:style>
  <w:style w:type="numbering" w:customStyle="1" w:styleId="Estiloimportado15">
    <w:name w:val="Estilo importado 15"/>
  </w:style>
  <w:style w:type="numbering" w:customStyle="1" w:styleId="List15">
    <w:name w:val="List 15"/>
    <w:basedOn w:val="Estiloimportado16"/>
    <w:pPr>
      <w:numPr>
        <w:numId w:val="21"/>
      </w:numPr>
    </w:pPr>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pPr>
      <w:numPr>
        <w:numId w:val="30"/>
      </w:numPr>
    </w:pPr>
  </w:style>
  <w:style w:type="numbering" w:customStyle="1" w:styleId="Estiloimportado17">
    <w:name w:val="Estilo importado 17"/>
  </w:style>
  <w:style w:type="numbering" w:customStyle="1" w:styleId="List18">
    <w:name w:val="List 18"/>
    <w:basedOn w:val="Estiloimportado18"/>
    <w:pPr>
      <w:numPr>
        <w:numId w:val="32"/>
      </w:numPr>
    </w:pPr>
  </w:style>
  <w:style w:type="numbering" w:customStyle="1" w:styleId="Estiloimportado18">
    <w:name w:val="Estilo importado 18"/>
  </w:style>
  <w:style w:type="numbering" w:customStyle="1" w:styleId="List19">
    <w:name w:val="List 19"/>
    <w:basedOn w:val="Estiloimportado10"/>
    <w:pPr>
      <w:numPr>
        <w:numId w:val="24"/>
      </w:numPr>
    </w:pPr>
  </w:style>
  <w:style w:type="numbering" w:customStyle="1" w:styleId="List20">
    <w:name w:val="List 20"/>
    <w:basedOn w:val="Estiloimportado12"/>
    <w:pPr>
      <w:numPr>
        <w:numId w:val="48"/>
      </w:numPr>
    </w:pPr>
  </w:style>
  <w:style w:type="numbering" w:customStyle="1" w:styleId="List21">
    <w:name w:val="List 21"/>
    <w:basedOn w:val="Estiloimportado19"/>
    <w:pPr>
      <w:numPr>
        <w:numId w:val="43"/>
      </w:numPr>
    </w:pPr>
  </w:style>
  <w:style w:type="numbering" w:customStyle="1" w:styleId="Estiloimportado19">
    <w:name w:val="Estilo importado 19"/>
  </w:style>
  <w:style w:type="numbering" w:customStyle="1" w:styleId="List22">
    <w:name w:val="List 22"/>
    <w:basedOn w:val="Estiloimportado19"/>
    <w:pPr>
      <w:numPr>
        <w:numId w:val="33"/>
      </w:numPr>
    </w:pPr>
  </w:style>
  <w:style w:type="numbering" w:customStyle="1" w:styleId="List23">
    <w:name w:val="List 23"/>
    <w:basedOn w:val="Estiloimportado19"/>
    <w:pPr>
      <w:numPr>
        <w:numId w:val="23"/>
      </w:numPr>
    </w:pPr>
  </w:style>
  <w:style w:type="numbering" w:customStyle="1" w:styleId="List24">
    <w:name w:val="List 24"/>
    <w:basedOn w:val="Estiloimportado20"/>
    <w:pPr>
      <w:numPr>
        <w:numId w:val="18"/>
      </w:numPr>
    </w:pPr>
  </w:style>
  <w:style w:type="numbering" w:customStyle="1" w:styleId="Estiloimportado20">
    <w:name w:val="Estilo importado 20"/>
  </w:style>
  <w:style w:type="numbering" w:customStyle="1" w:styleId="List25">
    <w:name w:val="List 25"/>
    <w:basedOn w:val="Estiloimportado21"/>
    <w:pPr>
      <w:numPr>
        <w:numId w:val="20"/>
      </w:numPr>
    </w:pPr>
  </w:style>
  <w:style w:type="numbering" w:customStyle="1" w:styleId="Estiloimportado21">
    <w:name w:val="Estilo importado 21"/>
  </w:style>
  <w:style w:type="numbering" w:customStyle="1" w:styleId="List26">
    <w:name w:val="List 26"/>
    <w:basedOn w:val="Estiloimportado22"/>
    <w:pPr>
      <w:numPr>
        <w:numId w:val="54"/>
      </w:numPr>
    </w:pPr>
  </w:style>
  <w:style w:type="numbering" w:customStyle="1" w:styleId="Estiloimportado22">
    <w:name w:val="Estilo importado 22"/>
  </w:style>
  <w:style w:type="numbering" w:customStyle="1" w:styleId="List27">
    <w:name w:val="List 27"/>
    <w:basedOn w:val="Estiloimportado23"/>
    <w:pPr>
      <w:numPr>
        <w:numId w:val="46"/>
      </w:numPr>
    </w:pPr>
  </w:style>
  <w:style w:type="numbering" w:customStyle="1" w:styleId="Estiloimportado23">
    <w:name w:val="Estilo importado 23"/>
  </w:style>
  <w:style w:type="numbering" w:customStyle="1" w:styleId="List28">
    <w:name w:val="List 28"/>
    <w:basedOn w:val="Estiloimportado24"/>
    <w:pPr>
      <w:numPr>
        <w:numId w:val="35"/>
      </w:numPr>
    </w:pPr>
  </w:style>
  <w:style w:type="numbering" w:customStyle="1" w:styleId="Estiloimportado24">
    <w:name w:val="Estilo importado 24"/>
  </w:style>
  <w:style w:type="numbering" w:customStyle="1" w:styleId="List29">
    <w:name w:val="List 29"/>
    <w:basedOn w:val="Estiloimportado25"/>
    <w:pPr>
      <w:numPr>
        <w:numId w:val="39"/>
      </w:numPr>
    </w:pPr>
  </w:style>
  <w:style w:type="numbering" w:customStyle="1" w:styleId="Estiloimportado25">
    <w:name w:val="Estilo importado 25"/>
  </w:style>
  <w:style w:type="numbering" w:customStyle="1" w:styleId="List30">
    <w:name w:val="List 30"/>
    <w:basedOn w:val="Estiloimportado26"/>
    <w:pPr>
      <w:numPr>
        <w:numId w:val="37"/>
      </w:numPr>
    </w:pPr>
  </w:style>
  <w:style w:type="numbering" w:customStyle="1" w:styleId="Estiloimportado26">
    <w:name w:val="Estilo importado 26"/>
  </w:style>
  <w:style w:type="numbering" w:customStyle="1" w:styleId="List310">
    <w:name w:val="List 31"/>
    <w:basedOn w:val="Estiloimportado27"/>
    <w:pPr>
      <w:numPr>
        <w:numId w:val="50"/>
      </w:numPr>
    </w:pPr>
  </w:style>
  <w:style w:type="numbering" w:customStyle="1" w:styleId="Estiloimportado27">
    <w:name w:val="Estilo importado 27"/>
  </w:style>
  <w:style w:type="numbering" w:customStyle="1" w:styleId="List32">
    <w:name w:val="List 32"/>
    <w:basedOn w:val="Estiloimportado28"/>
    <w:pPr>
      <w:numPr>
        <w:numId w:val="53"/>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6"/>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9"/>
      </w:numPr>
    </w:pPr>
  </w:style>
  <w:style w:type="numbering" w:customStyle="1" w:styleId="Estiloimportado32">
    <w:name w:val="Estilo importado 32"/>
  </w:style>
  <w:style w:type="numbering" w:customStyle="1" w:styleId="List37">
    <w:name w:val="List 37"/>
    <w:basedOn w:val="Estiloimportado33"/>
    <w:pPr>
      <w:numPr>
        <w:numId w:val="52"/>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1"/>
      </w:numPr>
    </w:pPr>
  </w:style>
  <w:style w:type="numbering" w:customStyle="1" w:styleId="Estiloimportado35">
    <w:name w:val="Estilo importado 35"/>
  </w:style>
  <w:style w:type="numbering" w:customStyle="1" w:styleId="List40">
    <w:name w:val="List 40"/>
    <w:basedOn w:val="Estiloimportado36"/>
    <w:pPr>
      <w:numPr>
        <w:numId w:val="26"/>
      </w:numPr>
    </w:pPr>
  </w:style>
  <w:style w:type="numbering" w:customStyle="1" w:styleId="Estiloimportado36">
    <w:name w:val="Estilo importado 36"/>
  </w:style>
  <w:style w:type="numbering" w:customStyle="1" w:styleId="List410">
    <w:name w:val="List 41"/>
    <w:basedOn w:val="Estiloimportado37"/>
    <w:pPr>
      <w:numPr>
        <w:numId w:val="49"/>
      </w:numPr>
    </w:pPr>
  </w:style>
  <w:style w:type="numbering" w:customStyle="1" w:styleId="Estiloimportado37">
    <w:name w:val="Estilo importado 37"/>
  </w:style>
  <w:style w:type="numbering" w:customStyle="1" w:styleId="List42">
    <w:name w:val="List 42"/>
    <w:basedOn w:val="Estiloimportado12"/>
    <w:pPr>
      <w:numPr>
        <w:numId w:val="17"/>
      </w:numPr>
    </w:pPr>
  </w:style>
  <w:style w:type="numbering" w:customStyle="1" w:styleId="List43">
    <w:name w:val="List 43"/>
    <w:basedOn w:val="Estiloimportado38"/>
    <w:pPr>
      <w:numPr>
        <w:numId w:val="28"/>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9"/>
      </w:numPr>
    </w:pPr>
  </w:style>
  <w:style w:type="numbering" w:customStyle="1" w:styleId="Estiloimportado41">
    <w:name w:val="Estilo importado 41"/>
  </w:style>
  <w:style w:type="numbering" w:customStyle="1" w:styleId="List47">
    <w:name w:val="List 47"/>
    <w:basedOn w:val="Estiloimportado42"/>
    <w:pPr>
      <w:numPr>
        <w:numId w:val="34"/>
      </w:numPr>
    </w:pPr>
  </w:style>
  <w:style w:type="numbering" w:customStyle="1" w:styleId="Estiloimportado42">
    <w:name w:val="Estilo importado 42"/>
  </w:style>
  <w:style w:type="numbering" w:customStyle="1" w:styleId="List48">
    <w:name w:val="List 48"/>
    <w:basedOn w:val="Estiloimportado43"/>
    <w:pPr>
      <w:numPr>
        <w:numId w:val="55"/>
      </w:numPr>
    </w:pPr>
  </w:style>
  <w:style w:type="numbering" w:customStyle="1" w:styleId="Estiloimportado43">
    <w:name w:val="Estilo importado 43"/>
  </w:style>
  <w:style w:type="numbering" w:customStyle="1" w:styleId="List49">
    <w:name w:val="List 49"/>
    <w:basedOn w:val="Estiloimportado44"/>
    <w:pPr>
      <w:numPr>
        <w:numId w:val="44"/>
      </w:numPr>
    </w:pPr>
  </w:style>
  <w:style w:type="numbering" w:customStyle="1" w:styleId="Estiloimportado44">
    <w:name w:val="Estilo importado 44"/>
  </w:style>
  <w:style w:type="numbering" w:customStyle="1" w:styleId="List50">
    <w:name w:val="List 50"/>
    <w:basedOn w:val="Estiloimportado45"/>
    <w:pPr>
      <w:numPr>
        <w:numId w:val="42"/>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D75D4"/>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666FF"/>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D75D4"/>
    <w:rPr>
      <w:rFonts w:asciiTheme="majorHAnsi" w:eastAsiaTheme="majorEastAsia" w:hAnsiTheme="majorHAnsi" w:cstheme="majorBidi"/>
      <w:b/>
      <w:lang w:val="es-ES_tradnl" w:eastAsia="en-US"/>
    </w:rPr>
  </w:style>
  <w:style w:type="character" w:customStyle="1" w:styleId="Heading3Char">
    <w:name w:val="Heading 3 Char"/>
    <w:basedOn w:val="DefaultParagraphFont"/>
    <w:link w:val="Heading3"/>
    <w:rsid w:val="009D75D4"/>
    <w:rPr>
      <w:rFonts w:asciiTheme="majorHAnsi" w:eastAsiaTheme="majorEastAsia" w:hAnsiTheme="majorHAnsi" w:cstheme="majorBidi"/>
      <w:b/>
      <w:lang w:val="es-VE"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05D7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105D7F"/>
    <w:rPr>
      <w:rFonts w:ascii="Cambria" w:eastAsia="Cambria" w:hAnsi="Cambria" w:cs="Cambria"/>
      <w:color w:val="000000"/>
      <w:sz w:val="24"/>
      <w:szCs w:val="24"/>
      <w:u w:color="000000"/>
      <w:lang w:val="en-US"/>
    </w:rPr>
  </w:style>
  <w:style w:type="character" w:customStyle="1" w:styleId="BodyTextIndentChar">
    <w:name w:val="Body Text Indent Char"/>
    <w:basedOn w:val="DefaultParagraphFont"/>
    <w:link w:val="BodyTextIndent"/>
    <w:rsid w:val="00105D7F"/>
    <w:rPr>
      <w:rFonts w:eastAsia="Times New Roman"/>
      <w:color w:val="000000"/>
      <w:sz w:val="24"/>
      <w:szCs w:val="24"/>
      <w:u w:color="000000"/>
      <w:lang w:val="es-ES_tradnl"/>
    </w:rPr>
  </w:style>
  <w:style w:type="paragraph" w:styleId="TOCHeading">
    <w:name w:val="TOC Heading"/>
    <w:basedOn w:val="Heading1"/>
    <w:next w:val="Normal"/>
    <w:uiPriority w:val="39"/>
    <w:semiHidden/>
    <w:unhideWhenUsed/>
    <w:qFormat/>
    <w:rsid w:val="00F63C5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themeColor="accent1" w:themeShade="BF"/>
      <w:sz w:val="28"/>
      <w:szCs w:val="28"/>
      <w:bdr w:val="none" w:sz="0" w:space="0" w:color="auto"/>
      <w:lang w:val="en-US" w:eastAsia="ja-JP"/>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character" w:customStyle="1" w:styleId="Heading4Char">
    <w:name w:val="Heading 4 Char"/>
    <w:basedOn w:val="DefaultParagraphFont"/>
    <w:link w:val="Heading4"/>
    <w:rsid w:val="00D02D3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02D3C"/>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D02D3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02D3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02D3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02D3C"/>
    <w:rPr>
      <w:rFonts w:ascii="Arial" w:eastAsia="Times New Roman" w:hAnsi="Arial"/>
      <w:b/>
      <w:i/>
      <w:sz w:val="18"/>
      <w:bdr w:val="none" w:sz="0" w:space="0" w:color="auto"/>
      <w:lang w:val="en-US" w:eastAsia="en-US"/>
    </w:rPr>
  </w:style>
  <w:style w:type="numbering" w:customStyle="1" w:styleId="List211">
    <w:name w:val="List 211"/>
    <w:basedOn w:val="Estiloimportado3"/>
    <w:rsid w:val="00D02D3C"/>
    <w:pPr>
      <w:numPr>
        <w:numId w:val="14"/>
      </w:numPr>
    </w:pPr>
  </w:style>
  <w:style w:type="numbering" w:customStyle="1" w:styleId="List311">
    <w:name w:val="List 311"/>
    <w:basedOn w:val="Estiloimportado4"/>
    <w:rsid w:val="00D02D3C"/>
    <w:pPr>
      <w:numPr>
        <w:numId w:val="38"/>
      </w:numPr>
    </w:pPr>
  </w:style>
  <w:style w:type="numbering" w:customStyle="1" w:styleId="List411">
    <w:name w:val="List 411"/>
    <w:basedOn w:val="Estiloimportado5"/>
    <w:rsid w:val="00D02D3C"/>
    <w:pPr>
      <w:numPr>
        <w:numId w:val="1"/>
      </w:numPr>
    </w:pPr>
  </w:style>
  <w:style w:type="numbering" w:customStyle="1" w:styleId="List511">
    <w:name w:val="List 511"/>
    <w:basedOn w:val="Estiloimportado6"/>
    <w:rsid w:val="00D02D3C"/>
    <w:pPr>
      <w:numPr>
        <w:numId w:val="15"/>
      </w:numPr>
    </w:pPr>
  </w:style>
  <w:style w:type="numbering" w:customStyle="1" w:styleId="List2111">
    <w:name w:val="List 2111"/>
    <w:basedOn w:val="Estiloimportado19"/>
    <w:rsid w:val="00D02D3C"/>
    <w:pPr>
      <w:numPr>
        <w:numId w:val="40"/>
      </w:numPr>
    </w:pPr>
  </w:style>
  <w:style w:type="numbering" w:customStyle="1" w:styleId="List3111">
    <w:name w:val="List 3111"/>
    <w:basedOn w:val="Estiloimportado27"/>
    <w:rsid w:val="00D02D3C"/>
    <w:pPr>
      <w:numPr>
        <w:numId w:val="25"/>
      </w:numPr>
    </w:pPr>
  </w:style>
  <w:style w:type="numbering" w:customStyle="1" w:styleId="List4111">
    <w:name w:val="List 4111"/>
    <w:basedOn w:val="Estiloimportado37"/>
    <w:rsid w:val="00D02D3C"/>
    <w:pPr>
      <w:numPr>
        <w:numId w:val="45"/>
      </w:numPr>
    </w:pPr>
  </w:style>
  <w:style w:type="numbering" w:customStyle="1" w:styleId="List5111">
    <w:name w:val="List 5111"/>
    <w:basedOn w:val="Estiloimportado46"/>
    <w:rsid w:val="00D02D3C"/>
    <w:pPr>
      <w:numPr>
        <w:numId w:val="31"/>
      </w:numPr>
    </w:pPr>
  </w:style>
  <w:style w:type="numbering" w:customStyle="1" w:styleId="NoList1">
    <w:name w:val="No List1"/>
    <w:next w:val="NoList"/>
    <w:semiHidden/>
    <w:unhideWhenUsed/>
    <w:rsid w:val="00D02D3C"/>
  </w:style>
  <w:style w:type="character" w:customStyle="1" w:styleId="Style">
    <w:name w:val="Style"/>
    <w:rsid w:val="00D02D3C"/>
    <w:rPr>
      <w:rFonts w:ascii="Times New Roman" w:hAnsi="Times New Roman"/>
      <w:sz w:val="22"/>
      <w:vertAlign w:val="superscript"/>
    </w:rPr>
  </w:style>
  <w:style w:type="paragraph" w:customStyle="1" w:styleId="Style1">
    <w:name w:val="Style1"/>
    <w:basedOn w:val="FootnoteText"/>
    <w:autoRedefine/>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02D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D02D3C"/>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02D3C"/>
    <w:rPr>
      <w:b/>
      <w:bCs/>
    </w:rPr>
  </w:style>
  <w:style w:type="character" w:customStyle="1" w:styleId="Heading1CharCharCharCharCharChar">
    <w:name w:val="Heading 1 Char Char Char Char Char Char"/>
    <w:rsid w:val="00D02D3C"/>
    <w:rPr>
      <w:rFonts w:ascii="Univers" w:hAnsi="Univers" w:cs="Arial"/>
      <w:kern w:val="36"/>
      <w:sz w:val="22"/>
      <w:szCs w:val="22"/>
      <w:lang w:val="en-US" w:eastAsia="en-US" w:bidi="ar-SA"/>
    </w:rPr>
  </w:style>
  <w:style w:type="paragraph" w:styleId="BodyTextIndent2">
    <w:name w:val="Body Text Indent 2"/>
    <w:basedOn w:val="Normal"/>
    <w:link w:val="BodyTextIndent2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02D3C"/>
    <w:rPr>
      <w:rFonts w:eastAsia="Times New Roman"/>
      <w:bdr w:val="none" w:sz="0" w:space="0" w:color="auto"/>
      <w:lang w:val="en-US" w:eastAsia="en-US"/>
    </w:rPr>
  </w:style>
  <w:style w:type="paragraph" w:customStyle="1" w:styleId="Default">
    <w:name w:val="Default"/>
    <w:link w:val="DefaultChar"/>
    <w:rsid w:val="00D02D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D02D3C"/>
  </w:style>
  <w:style w:type="paragraph" w:customStyle="1" w:styleId="Sinespaciado">
    <w:name w:val="Sin espaciado"/>
    <w:qFormat/>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02D3C"/>
  </w:style>
  <w:style w:type="paragraph" w:styleId="Title">
    <w:name w:val="Title"/>
    <w:basedOn w:val="Normal"/>
    <w:link w:val="Title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D02D3C"/>
    <w:rPr>
      <w:rFonts w:ascii="Univers" w:eastAsia="Times New Roman" w:hAnsi="Univers"/>
      <w:b/>
      <w:sz w:val="22"/>
      <w:bdr w:val="none" w:sz="0" w:space="0" w:color="auto"/>
      <w:lang w:eastAsia="en-US"/>
    </w:rPr>
  </w:style>
  <w:style w:type="character" w:customStyle="1" w:styleId="antetitulo1">
    <w:name w:val="antetitulo1"/>
    <w:rsid w:val="00D02D3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02D3C"/>
  </w:style>
  <w:style w:type="paragraph" w:customStyle="1" w:styleId="Blockquote">
    <w:name w:val="Blockquote"/>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02D3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02D3C"/>
    <w:rPr>
      <w:rFonts w:cs="Times New Roman"/>
      <w:lang w:val="es-ES_tradnl" w:eastAsia="en-US" w:bidi="ar-SA"/>
    </w:rPr>
  </w:style>
  <w:style w:type="paragraph" w:customStyle="1" w:styleId="Car">
    <w:name w:val="Car"/>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02D3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02D3C"/>
    <w:rPr>
      <w:rFonts w:eastAsia="Times New Roman"/>
      <w:sz w:val="16"/>
      <w:szCs w:val="16"/>
      <w:bdr w:val="none" w:sz="0" w:space="0" w:color="auto"/>
      <w:lang w:val="en-US" w:eastAsia="en-US"/>
    </w:rPr>
  </w:style>
  <w:style w:type="character" w:customStyle="1" w:styleId="FootnoteCharacters">
    <w:name w:val="Footnote Characters"/>
    <w:rsid w:val="00D02D3C"/>
    <w:rPr>
      <w:vertAlign w:val="superscript"/>
    </w:rPr>
  </w:style>
  <w:style w:type="character" w:customStyle="1" w:styleId="WW-FootnoteCharacters">
    <w:name w:val="WW-Footnote Characters"/>
    <w:rsid w:val="00D02D3C"/>
    <w:rPr>
      <w:rFonts w:ascii="Universal" w:hAnsi="Universal"/>
      <w:sz w:val="16"/>
      <w:vertAlign w:val="superscript"/>
    </w:rPr>
  </w:style>
  <w:style w:type="character" w:customStyle="1" w:styleId="textonavy1">
    <w:name w:val="texto_navy1"/>
    <w:rsid w:val="00D02D3C"/>
    <w:rPr>
      <w:color w:val="000080"/>
    </w:rPr>
  </w:style>
  <w:style w:type="paragraph" w:customStyle="1" w:styleId="Style3">
    <w:name w:val="Style 3"/>
    <w:basedOn w:val="Normal"/>
    <w:uiPriority w:val="99"/>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D02D3C"/>
    <w:rPr>
      <w:i/>
      <w:iCs/>
    </w:rPr>
  </w:style>
  <w:style w:type="character" w:styleId="CommentReference">
    <w:name w:val="annotation reference"/>
    <w:semiHidden/>
    <w:rsid w:val="00D02D3C"/>
    <w:rPr>
      <w:sz w:val="16"/>
      <w:szCs w:val="16"/>
    </w:rPr>
  </w:style>
  <w:style w:type="paragraph" w:styleId="CommentText">
    <w:name w:val="annotation text"/>
    <w:basedOn w:val="Normal"/>
    <w:link w:val="CommentTextChar"/>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02D3C"/>
    <w:rPr>
      <w:rFonts w:eastAsia="Times New Roman"/>
      <w:bdr w:val="none" w:sz="0" w:space="0" w:color="auto"/>
      <w:lang w:val="en-US" w:eastAsia="en-US"/>
    </w:rPr>
  </w:style>
  <w:style w:type="character" w:customStyle="1" w:styleId="st1">
    <w:name w:val="st1"/>
    <w:basedOn w:val="DefaultParagraphFont"/>
    <w:rsid w:val="00D02D3C"/>
  </w:style>
  <w:style w:type="paragraph" w:styleId="BodyText2">
    <w:name w:val="Body Text 2"/>
    <w:basedOn w:val="Normal"/>
    <w:link w:val="BodyText2Char"/>
    <w:unhideWhenUsed/>
    <w:rsid w:val="00D02D3C"/>
    <w:pPr>
      <w:spacing w:after="120" w:line="480" w:lineRule="auto"/>
    </w:pPr>
  </w:style>
  <w:style w:type="character" w:customStyle="1" w:styleId="BodyText2Char">
    <w:name w:val="Body Text 2 Char"/>
    <w:basedOn w:val="DefaultParagraphFont"/>
    <w:link w:val="BodyText2"/>
    <w:rsid w:val="00D02D3C"/>
    <w:rPr>
      <w:sz w:val="24"/>
      <w:szCs w:val="24"/>
      <w:lang w:val="en-US" w:eastAsia="en-US"/>
    </w:rPr>
  </w:style>
  <w:style w:type="paragraph" w:styleId="PlainText">
    <w:name w:val="Plain Text"/>
    <w:basedOn w:val="Normal"/>
    <w:link w:val="PlainTextChar"/>
    <w:uiPriority w:val="99"/>
    <w:unhideWhenUsed/>
    <w:rsid w:val="00D02D3C"/>
    <w:rPr>
      <w:rFonts w:ascii="Consolas" w:hAnsi="Consolas" w:cs="Consolas"/>
      <w:sz w:val="21"/>
      <w:szCs w:val="21"/>
    </w:rPr>
  </w:style>
  <w:style w:type="character" w:customStyle="1" w:styleId="PlainTextChar">
    <w:name w:val="Plain Text Char"/>
    <w:basedOn w:val="DefaultParagraphFont"/>
    <w:link w:val="PlainText"/>
    <w:uiPriority w:val="99"/>
    <w:rsid w:val="00D02D3C"/>
    <w:rPr>
      <w:rFonts w:ascii="Consolas" w:hAnsi="Consolas" w:cs="Consolas"/>
      <w:sz w:val="21"/>
      <w:szCs w:val="21"/>
      <w:lang w:val="en-US" w:eastAsia="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02D3C"/>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02D3C"/>
    <w:rPr>
      <w:rFonts w:ascii="Univers" w:hAnsi="Univers" w:cs="Times New Roman"/>
      <w:lang w:val="es-ES_tradnl" w:eastAsia="x-none"/>
    </w:rPr>
  </w:style>
  <w:style w:type="paragraph" w:styleId="Subtitle">
    <w:name w:val="Subtitle"/>
    <w:basedOn w:val="Normal"/>
    <w:link w:val="Subtitle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D02D3C"/>
    <w:rPr>
      <w:rFonts w:ascii="Arial" w:eastAsia="Batang" w:hAnsi="Arial" w:cs="Arial"/>
      <w:sz w:val="24"/>
      <w:szCs w:val="24"/>
      <w:bdr w:val="none" w:sz="0" w:space="0" w:color="auto"/>
      <w:lang w:val="es-ES_tradnl" w:eastAsia="en-US"/>
    </w:rPr>
  </w:style>
  <w:style w:type="paragraph" w:styleId="List2">
    <w:name w:val="List 2"/>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02D3C"/>
    <w:rPr>
      <w:sz w:val="24"/>
      <w:lang w:val="en-US" w:eastAsia="en-US"/>
    </w:rPr>
  </w:style>
  <w:style w:type="paragraph" w:styleId="BlockText">
    <w:name w:val="Block Text"/>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02D3C"/>
    <w:rPr>
      <w:rFonts w:cs="Times New Roman"/>
      <w:color w:val="800080"/>
      <w:u w:val="single"/>
    </w:rPr>
  </w:style>
  <w:style w:type="character" w:customStyle="1" w:styleId="ifinal011">
    <w:name w:val="ifinal011"/>
    <w:rsid w:val="00D02D3C"/>
    <w:rPr>
      <w:rFonts w:ascii="Verdana" w:hAnsi="Verdana"/>
      <w:color w:val="003399"/>
      <w:sz w:val="12"/>
    </w:rPr>
  </w:style>
  <w:style w:type="paragraph" w:customStyle="1" w:styleId="PlaceholderText1">
    <w:name w:val="Placeholder Text1"/>
    <w:basedOn w:val="Normal"/>
    <w:rsid w:val="00D02D3C"/>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D02D3C"/>
    <w:pPr>
      <w:keepNext/>
      <w:numPr>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D02D3C"/>
    <w:pPr>
      <w:keepNext/>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D02D3C"/>
    <w:pPr>
      <w:keepNex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D02D3C"/>
    <w:pPr>
      <w:keepNext/>
      <w:numPr>
        <w:ilvl w:val="3"/>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D02D3C"/>
    <w:pPr>
      <w:keepNext/>
      <w:numPr>
        <w:ilvl w:val="4"/>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D02D3C"/>
    <w:pPr>
      <w:keepNext/>
      <w:numPr>
        <w:ilvl w:val="5"/>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D02D3C"/>
    <w:pPr>
      <w:keepNext/>
      <w:numPr>
        <w:ilvl w:val="6"/>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D02D3C"/>
    <w:pPr>
      <w:keepNext/>
      <w:numPr>
        <w:ilvl w:val="7"/>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D02D3C"/>
    <w:pPr>
      <w:keepLines w:val="0"/>
      <w:numPr>
        <w:ilvl w:val="8"/>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kern w:val="32"/>
      <w:szCs w:val="24"/>
      <w:bdr w:val="none" w:sz="0" w:space="0" w:color="auto"/>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02D3C"/>
    <w:rPr>
      <w:rFonts w:ascii="Univers" w:eastAsia="Batang" w:hAnsi="Univers"/>
      <w:lang w:val="es-CO" w:eastAsia="en-US" w:bidi="ar-SA"/>
    </w:rPr>
  </w:style>
  <w:style w:type="character" w:customStyle="1" w:styleId="apple-converted-space">
    <w:name w:val="apple-converted-space"/>
    <w:rsid w:val="00D02D3C"/>
    <w:rPr>
      <w:rFonts w:cs="Times New Roman"/>
    </w:rPr>
  </w:style>
  <w:style w:type="paragraph" w:customStyle="1" w:styleId="Estilo7">
    <w:name w:val="Estilo7"/>
    <w:basedOn w:val="Normal"/>
    <w:rsid w:val="00D02D3C"/>
    <w:pPr>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02D3C"/>
    <w:rPr>
      <w:rFonts w:cs="Times New Roman"/>
    </w:rPr>
  </w:style>
  <w:style w:type="character" w:customStyle="1" w:styleId="skypepnhcontainer">
    <w:name w:val="skype_pnh_container"/>
    <w:rsid w:val="00D02D3C"/>
    <w:rPr>
      <w:rFonts w:cs="Times New Roman"/>
    </w:rPr>
  </w:style>
  <w:style w:type="character" w:customStyle="1" w:styleId="s6b621b36">
    <w:name w:val="s6b621b36"/>
    <w:rsid w:val="00D02D3C"/>
    <w:rPr>
      <w:rFonts w:cs="Times New Roman"/>
    </w:rPr>
  </w:style>
  <w:style w:type="character" w:customStyle="1" w:styleId="tituloarticulo1">
    <w:name w:val="titulo_articulo1"/>
    <w:rsid w:val="00D02D3C"/>
    <w:rPr>
      <w:rFonts w:ascii="Arial" w:hAnsi="Arial"/>
      <w:b/>
      <w:sz w:val="36"/>
    </w:rPr>
  </w:style>
  <w:style w:type="paragraph" w:styleId="CommentSubject">
    <w:name w:val="annotation subject"/>
    <w:basedOn w:val="CommentText"/>
    <w:next w:val="CommentText"/>
    <w:link w:val="CommentSubjectChar"/>
    <w:semiHidden/>
    <w:rsid w:val="00D02D3C"/>
    <w:rPr>
      <w:rFonts w:ascii="Univers" w:eastAsia="Batang" w:hAnsi="Univers"/>
      <w:sz w:val="22"/>
      <w:lang w:val="es-ES_tradnl"/>
    </w:rPr>
  </w:style>
  <w:style w:type="character" w:customStyle="1" w:styleId="CommentSubjectChar">
    <w:name w:val="Comment Subject Char"/>
    <w:basedOn w:val="CommentTextChar"/>
    <w:link w:val="CommentSubject"/>
    <w:semiHidden/>
    <w:rsid w:val="00D02D3C"/>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02D3C"/>
    <w:rPr>
      <w:rFonts w:ascii="Verdana" w:hAnsi="Verdana"/>
      <w:lang w:val="es-ES_tradnl" w:eastAsia="x-none"/>
    </w:rPr>
  </w:style>
  <w:style w:type="paragraph" w:styleId="Revision">
    <w:name w:val="Revision"/>
    <w:hidden/>
    <w:uiPriority w:val="71"/>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D02D3C"/>
  </w:style>
  <w:style w:type="character" w:customStyle="1" w:styleId="DefaultChar">
    <w:name w:val="Default Char"/>
    <w:link w:val="Default"/>
    <w:rsid w:val="00D02D3C"/>
    <w:rPr>
      <w:rFonts w:eastAsia="Times New Roman"/>
      <w:color w:val="000000"/>
      <w:sz w:val="24"/>
      <w:szCs w:val="24"/>
      <w:bdr w:val="none" w:sz="0" w:space="0" w:color="auto"/>
      <w:lang w:val="en-US" w:eastAsia="en-US"/>
    </w:rPr>
  </w:style>
  <w:style w:type="paragraph" w:customStyle="1" w:styleId="ColorfulList-Accent12">
    <w:name w:val="Colorful List - Accent 12"/>
    <w:link w:val="ColorfulList-Accent1Char"/>
    <w:uiPriority w:val="34"/>
    <w:qFormat/>
    <w:rsid w:val="00D02D3C"/>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D02D3C"/>
    <w:rPr>
      <w:rFonts w:ascii="Cambria" w:eastAsia="Cambria" w:hAnsi="Cambria" w:cs="Cambria"/>
      <w:color w:val="000000"/>
      <w:sz w:val="24"/>
      <w:szCs w:val="24"/>
      <w:u w:color="000000"/>
      <w:lang w:val="en-US"/>
    </w:rPr>
  </w:style>
  <w:style w:type="paragraph" w:customStyle="1" w:styleId="footnote">
    <w:name w:val="footnote"/>
    <w:basedOn w:val="NormalWeb"/>
    <w:rsid w:val="00D02D3C"/>
  </w:style>
  <w:style w:type="character" w:styleId="PlaceholderText">
    <w:name w:val="Placeholder Text"/>
    <w:basedOn w:val="DefaultParagraphFont"/>
    <w:uiPriority w:val="99"/>
    <w:semiHidden/>
    <w:rsid w:val="00D02D3C"/>
    <w:rPr>
      <w:color w:val="808080"/>
    </w:rPr>
  </w:style>
  <w:style w:type="character" w:customStyle="1" w:styleId="sb8d990e2">
    <w:name w:val="sb8d990e2"/>
    <w:basedOn w:val="DefaultParagraphFont"/>
    <w:rsid w:val="00D02D3C"/>
  </w:style>
  <w:style w:type="paragraph" w:styleId="HTMLPreformatted">
    <w:name w:val="HTML Preformatted"/>
    <w:basedOn w:val="Normal"/>
    <w:link w:val="HTMLPreformattedChar"/>
    <w:uiPriority w:val="99"/>
    <w:unhideWhenUsed/>
    <w:rsid w:val="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02D3C"/>
    <w:rPr>
      <w:rFonts w:ascii="Courier New" w:eastAsia="Times New Roman" w:hAnsi="Courier New" w:cs="Courier New"/>
      <w:bdr w:val="none" w:sz="0" w:space="0" w:color="auto"/>
      <w:lang w:val="en-US" w:eastAsia="en-US"/>
    </w:rPr>
  </w:style>
  <w:style w:type="paragraph" w:styleId="EndnoteText">
    <w:name w:val="endnote text"/>
    <w:basedOn w:val="Normal"/>
    <w:link w:val="EndnoteTextChar"/>
    <w:uiPriority w:val="99"/>
    <w:semiHidden/>
    <w:unhideWhenUsed/>
    <w:rsid w:val="00D02D3C"/>
    <w:rPr>
      <w:sz w:val="20"/>
      <w:szCs w:val="20"/>
    </w:rPr>
  </w:style>
  <w:style w:type="character" w:customStyle="1" w:styleId="EndnoteTextChar">
    <w:name w:val="Endnote Text Char"/>
    <w:basedOn w:val="DefaultParagraphFont"/>
    <w:link w:val="EndnoteText"/>
    <w:uiPriority w:val="99"/>
    <w:semiHidden/>
    <w:rsid w:val="00D02D3C"/>
    <w:rPr>
      <w:lang w:val="en-US" w:eastAsia="en-US"/>
    </w:rPr>
  </w:style>
  <w:style w:type="character" w:styleId="EndnoteReference">
    <w:name w:val="endnote reference"/>
    <w:basedOn w:val="DefaultParagraphFont"/>
    <w:uiPriority w:val="99"/>
    <w:semiHidden/>
    <w:unhideWhenUsed/>
    <w:rsid w:val="00D02D3C"/>
    <w:rPr>
      <w:vertAlign w:val="superscript"/>
    </w:rPr>
  </w:style>
  <w:style w:type="table" w:styleId="MediumGrid1">
    <w:name w:val="Medium Grid 1"/>
    <w:basedOn w:val="TableNormal"/>
    <w:uiPriority w:val="67"/>
    <w:rsid w:val="00D02D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02D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D02D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BodyTextIndentChar1">
    <w:name w:val="Body Text Indent Char1"/>
    <w:locked/>
    <w:rsid w:val="00D02D3C"/>
    <w:rPr>
      <w:rFonts w:eastAsia="Times New Roman"/>
      <w:color w:val="000000"/>
      <w:sz w:val="24"/>
      <w:szCs w:val="24"/>
      <w:u w:color="000000"/>
      <w:lang w:val="es-ES_tradnl"/>
    </w:rPr>
  </w:style>
  <w:style w:type="paragraph" w:customStyle="1" w:styleId="1">
    <w:name w:val="1"/>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2D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FootnoteAnchor">
    <w:name w:val="Footnote Anchor"/>
    <w:rsid w:val="00D02D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9D75D4"/>
    <w:pPr>
      <w:keepNext/>
      <w:keepLines/>
      <w:numPr>
        <w:numId w:val="58"/>
      </w:numPr>
      <w:ind w:firstLine="0"/>
      <w:outlineLvl w:val="0"/>
    </w:pPr>
    <w:rPr>
      <w:rFonts w:asciiTheme="majorHAnsi" w:eastAsiaTheme="majorEastAsia" w:hAnsiTheme="majorHAnsi" w:cstheme="majorBidi"/>
      <w:b/>
      <w:bCs/>
      <w:sz w:val="20"/>
      <w:szCs w:val="20"/>
      <w:lang w:val="es-ES_tradnl"/>
    </w:rPr>
  </w:style>
  <w:style w:type="paragraph" w:styleId="Heading2">
    <w:name w:val="heading 2"/>
    <w:basedOn w:val="Normal"/>
    <w:next w:val="Normal"/>
    <w:link w:val="Heading2Char"/>
    <w:unhideWhenUsed/>
    <w:qFormat/>
    <w:rsid w:val="009D75D4"/>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pPr>
    <w:rPr>
      <w:rFonts w:asciiTheme="majorHAnsi" w:eastAsiaTheme="majorEastAsia" w:hAnsiTheme="majorHAnsi" w:cstheme="majorBidi"/>
      <w:b/>
      <w:sz w:val="20"/>
      <w:szCs w:val="20"/>
      <w:lang w:val="es-ES_tradnl"/>
    </w:rPr>
  </w:style>
  <w:style w:type="paragraph" w:styleId="Heading3">
    <w:name w:val="heading 3"/>
    <w:basedOn w:val="Normal"/>
    <w:next w:val="Normal"/>
    <w:link w:val="Heading3Char"/>
    <w:unhideWhenUsed/>
    <w:qFormat/>
    <w:rsid w:val="009D75D4"/>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Theme="majorHAnsi" w:eastAsiaTheme="majorEastAsia" w:hAnsiTheme="majorHAnsi" w:cstheme="majorBidi"/>
      <w:b/>
      <w:sz w:val="20"/>
      <w:szCs w:val="20"/>
      <w:lang w:val="es-VE"/>
    </w:rPr>
  </w:style>
  <w:style w:type="paragraph" w:styleId="Heading4">
    <w:name w:val="heading 4"/>
    <w:basedOn w:val="Normal"/>
    <w:next w:val="Normal"/>
    <w:link w:val="Heading4Char"/>
    <w:qFormat/>
    <w:rsid w:val="00D02D3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6"/>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7"/>
      </w:numPr>
    </w:pPr>
  </w:style>
  <w:style w:type="numbering" w:customStyle="1" w:styleId="Estiloimportado3">
    <w:name w:val="Estilo importado 3"/>
  </w:style>
  <w:style w:type="numbering" w:customStyle="1" w:styleId="List31">
    <w:name w:val="List 31"/>
    <w:basedOn w:val="Estiloimportado4"/>
    <w:pPr>
      <w:numPr>
        <w:numId w:val="56"/>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9"/>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7"/>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1"/>
      </w:numPr>
    </w:pPr>
  </w:style>
  <w:style w:type="numbering" w:customStyle="1" w:styleId="Estiloimportado13">
    <w:name w:val="Estilo importado 13"/>
  </w:style>
  <w:style w:type="numbering" w:customStyle="1" w:styleId="List13">
    <w:name w:val="List 13"/>
    <w:basedOn w:val="Estiloimportado14"/>
    <w:pPr>
      <w:numPr>
        <w:numId w:val="47"/>
      </w:numPr>
    </w:pPr>
  </w:style>
  <w:style w:type="numbering" w:customStyle="1" w:styleId="Estiloimportado14">
    <w:name w:val="Estilo importado 14"/>
  </w:style>
  <w:style w:type="numbering" w:customStyle="1" w:styleId="List14">
    <w:name w:val="List 14"/>
    <w:basedOn w:val="Estiloimportado15"/>
    <w:pPr>
      <w:numPr>
        <w:numId w:val="22"/>
      </w:numPr>
    </w:pPr>
  </w:style>
  <w:style w:type="numbering" w:customStyle="1" w:styleId="Estiloimportado15">
    <w:name w:val="Estilo importado 15"/>
  </w:style>
  <w:style w:type="numbering" w:customStyle="1" w:styleId="List15">
    <w:name w:val="List 15"/>
    <w:basedOn w:val="Estiloimportado16"/>
    <w:pPr>
      <w:numPr>
        <w:numId w:val="21"/>
      </w:numPr>
    </w:pPr>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pPr>
      <w:numPr>
        <w:numId w:val="30"/>
      </w:numPr>
    </w:pPr>
  </w:style>
  <w:style w:type="numbering" w:customStyle="1" w:styleId="Estiloimportado17">
    <w:name w:val="Estilo importado 17"/>
  </w:style>
  <w:style w:type="numbering" w:customStyle="1" w:styleId="List18">
    <w:name w:val="List 18"/>
    <w:basedOn w:val="Estiloimportado18"/>
    <w:pPr>
      <w:numPr>
        <w:numId w:val="32"/>
      </w:numPr>
    </w:pPr>
  </w:style>
  <w:style w:type="numbering" w:customStyle="1" w:styleId="Estiloimportado18">
    <w:name w:val="Estilo importado 18"/>
  </w:style>
  <w:style w:type="numbering" w:customStyle="1" w:styleId="List19">
    <w:name w:val="List 19"/>
    <w:basedOn w:val="Estiloimportado10"/>
    <w:pPr>
      <w:numPr>
        <w:numId w:val="24"/>
      </w:numPr>
    </w:pPr>
  </w:style>
  <w:style w:type="numbering" w:customStyle="1" w:styleId="List20">
    <w:name w:val="List 20"/>
    <w:basedOn w:val="Estiloimportado12"/>
    <w:pPr>
      <w:numPr>
        <w:numId w:val="48"/>
      </w:numPr>
    </w:pPr>
  </w:style>
  <w:style w:type="numbering" w:customStyle="1" w:styleId="List21">
    <w:name w:val="List 21"/>
    <w:basedOn w:val="Estiloimportado19"/>
    <w:pPr>
      <w:numPr>
        <w:numId w:val="43"/>
      </w:numPr>
    </w:pPr>
  </w:style>
  <w:style w:type="numbering" w:customStyle="1" w:styleId="Estiloimportado19">
    <w:name w:val="Estilo importado 19"/>
  </w:style>
  <w:style w:type="numbering" w:customStyle="1" w:styleId="List22">
    <w:name w:val="List 22"/>
    <w:basedOn w:val="Estiloimportado19"/>
    <w:pPr>
      <w:numPr>
        <w:numId w:val="33"/>
      </w:numPr>
    </w:pPr>
  </w:style>
  <w:style w:type="numbering" w:customStyle="1" w:styleId="List23">
    <w:name w:val="List 23"/>
    <w:basedOn w:val="Estiloimportado19"/>
    <w:pPr>
      <w:numPr>
        <w:numId w:val="23"/>
      </w:numPr>
    </w:pPr>
  </w:style>
  <w:style w:type="numbering" w:customStyle="1" w:styleId="List24">
    <w:name w:val="List 24"/>
    <w:basedOn w:val="Estiloimportado20"/>
    <w:pPr>
      <w:numPr>
        <w:numId w:val="18"/>
      </w:numPr>
    </w:pPr>
  </w:style>
  <w:style w:type="numbering" w:customStyle="1" w:styleId="Estiloimportado20">
    <w:name w:val="Estilo importado 20"/>
  </w:style>
  <w:style w:type="numbering" w:customStyle="1" w:styleId="List25">
    <w:name w:val="List 25"/>
    <w:basedOn w:val="Estiloimportado21"/>
    <w:pPr>
      <w:numPr>
        <w:numId w:val="20"/>
      </w:numPr>
    </w:pPr>
  </w:style>
  <w:style w:type="numbering" w:customStyle="1" w:styleId="Estiloimportado21">
    <w:name w:val="Estilo importado 21"/>
  </w:style>
  <w:style w:type="numbering" w:customStyle="1" w:styleId="List26">
    <w:name w:val="List 26"/>
    <w:basedOn w:val="Estiloimportado22"/>
    <w:pPr>
      <w:numPr>
        <w:numId w:val="54"/>
      </w:numPr>
    </w:pPr>
  </w:style>
  <w:style w:type="numbering" w:customStyle="1" w:styleId="Estiloimportado22">
    <w:name w:val="Estilo importado 22"/>
  </w:style>
  <w:style w:type="numbering" w:customStyle="1" w:styleId="List27">
    <w:name w:val="List 27"/>
    <w:basedOn w:val="Estiloimportado23"/>
    <w:pPr>
      <w:numPr>
        <w:numId w:val="46"/>
      </w:numPr>
    </w:pPr>
  </w:style>
  <w:style w:type="numbering" w:customStyle="1" w:styleId="Estiloimportado23">
    <w:name w:val="Estilo importado 23"/>
  </w:style>
  <w:style w:type="numbering" w:customStyle="1" w:styleId="List28">
    <w:name w:val="List 28"/>
    <w:basedOn w:val="Estiloimportado24"/>
    <w:pPr>
      <w:numPr>
        <w:numId w:val="35"/>
      </w:numPr>
    </w:pPr>
  </w:style>
  <w:style w:type="numbering" w:customStyle="1" w:styleId="Estiloimportado24">
    <w:name w:val="Estilo importado 24"/>
  </w:style>
  <w:style w:type="numbering" w:customStyle="1" w:styleId="List29">
    <w:name w:val="List 29"/>
    <w:basedOn w:val="Estiloimportado25"/>
    <w:pPr>
      <w:numPr>
        <w:numId w:val="39"/>
      </w:numPr>
    </w:pPr>
  </w:style>
  <w:style w:type="numbering" w:customStyle="1" w:styleId="Estiloimportado25">
    <w:name w:val="Estilo importado 25"/>
  </w:style>
  <w:style w:type="numbering" w:customStyle="1" w:styleId="List30">
    <w:name w:val="List 30"/>
    <w:basedOn w:val="Estiloimportado26"/>
    <w:pPr>
      <w:numPr>
        <w:numId w:val="37"/>
      </w:numPr>
    </w:pPr>
  </w:style>
  <w:style w:type="numbering" w:customStyle="1" w:styleId="Estiloimportado26">
    <w:name w:val="Estilo importado 26"/>
  </w:style>
  <w:style w:type="numbering" w:customStyle="1" w:styleId="List310">
    <w:name w:val="List 31"/>
    <w:basedOn w:val="Estiloimportado27"/>
    <w:pPr>
      <w:numPr>
        <w:numId w:val="50"/>
      </w:numPr>
    </w:pPr>
  </w:style>
  <w:style w:type="numbering" w:customStyle="1" w:styleId="Estiloimportado27">
    <w:name w:val="Estilo importado 27"/>
  </w:style>
  <w:style w:type="numbering" w:customStyle="1" w:styleId="List32">
    <w:name w:val="List 32"/>
    <w:basedOn w:val="Estiloimportado28"/>
    <w:pPr>
      <w:numPr>
        <w:numId w:val="53"/>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6"/>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9"/>
      </w:numPr>
    </w:pPr>
  </w:style>
  <w:style w:type="numbering" w:customStyle="1" w:styleId="Estiloimportado32">
    <w:name w:val="Estilo importado 32"/>
  </w:style>
  <w:style w:type="numbering" w:customStyle="1" w:styleId="List37">
    <w:name w:val="List 37"/>
    <w:basedOn w:val="Estiloimportado33"/>
    <w:pPr>
      <w:numPr>
        <w:numId w:val="52"/>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1"/>
      </w:numPr>
    </w:pPr>
  </w:style>
  <w:style w:type="numbering" w:customStyle="1" w:styleId="Estiloimportado35">
    <w:name w:val="Estilo importado 35"/>
  </w:style>
  <w:style w:type="numbering" w:customStyle="1" w:styleId="List40">
    <w:name w:val="List 40"/>
    <w:basedOn w:val="Estiloimportado36"/>
    <w:pPr>
      <w:numPr>
        <w:numId w:val="26"/>
      </w:numPr>
    </w:pPr>
  </w:style>
  <w:style w:type="numbering" w:customStyle="1" w:styleId="Estiloimportado36">
    <w:name w:val="Estilo importado 36"/>
  </w:style>
  <w:style w:type="numbering" w:customStyle="1" w:styleId="List410">
    <w:name w:val="List 41"/>
    <w:basedOn w:val="Estiloimportado37"/>
    <w:pPr>
      <w:numPr>
        <w:numId w:val="49"/>
      </w:numPr>
    </w:pPr>
  </w:style>
  <w:style w:type="numbering" w:customStyle="1" w:styleId="Estiloimportado37">
    <w:name w:val="Estilo importado 37"/>
  </w:style>
  <w:style w:type="numbering" w:customStyle="1" w:styleId="List42">
    <w:name w:val="List 42"/>
    <w:basedOn w:val="Estiloimportado12"/>
    <w:pPr>
      <w:numPr>
        <w:numId w:val="17"/>
      </w:numPr>
    </w:pPr>
  </w:style>
  <w:style w:type="numbering" w:customStyle="1" w:styleId="List43">
    <w:name w:val="List 43"/>
    <w:basedOn w:val="Estiloimportado38"/>
    <w:pPr>
      <w:numPr>
        <w:numId w:val="28"/>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9"/>
      </w:numPr>
    </w:pPr>
  </w:style>
  <w:style w:type="numbering" w:customStyle="1" w:styleId="Estiloimportado41">
    <w:name w:val="Estilo importado 41"/>
  </w:style>
  <w:style w:type="numbering" w:customStyle="1" w:styleId="List47">
    <w:name w:val="List 47"/>
    <w:basedOn w:val="Estiloimportado42"/>
    <w:pPr>
      <w:numPr>
        <w:numId w:val="34"/>
      </w:numPr>
    </w:pPr>
  </w:style>
  <w:style w:type="numbering" w:customStyle="1" w:styleId="Estiloimportado42">
    <w:name w:val="Estilo importado 42"/>
  </w:style>
  <w:style w:type="numbering" w:customStyle="1" w:styleId="List48">
    <w:name w:val="List 48"/>
    <w:basedOn w:val="Estiloimportado43"/>
    <w:pPr>
      <w:numPr>
        <w:numId w:val="55"/>
      </w:numPr>
    </w:pPr>
  </w:style>
  <w:style w:type="numbering" w:customStyle="1" w:styleId="Estiloimportado43">
    <w:name w:val="Estilo importado 43"/>
  </w:style>
  <w:style w:type="numbering" w:customStyle="1" w:styleId="List49">
    <w:name w:val="List 49"/>
    <w:basedOn w:val="Estiloimportado44"/>
    <w:pPr>
      <w:numPr>
        <w:numId w:val="44"/>
      </w:numPr>
    </w:pPr>
  </w:style>
  <w:style w:type="numbering" w:customStyle="1" w:styleId="Estiloimportado44">
    <w:name w:val="Estilo importado 44"/>
  </w:style>
  <w:style w:type="numbering" w:customStyle="1" w:styleId="List50">
    <w:name w:val="List 50"/>
    <w:basedOn w:val="Estiloimportado45"/>
    <w:pPr>
      <w:numPr>
        <w:numId w:val="42"/>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D75D4"/>
    <w:rPr>
      <w:rFonts w:asciiTheme="majorHAnsi" w:eastAsiaTheme="majorEastAsia" w:hAnsiTheme="majorHAnsi" w:cstheme="majorBidi"/>
      <w:b/>
      <w:bCs/>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666FF"/>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036A8A"/>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D75D4"/>
    <w:rPr>
      <w:rFonts w:asciiTheme="majorHAnsi" w:eastAsiaTheme="majorEastAsia" w:hAnsiTheme="majorHAnsi" w:cstheme="majorBidi"/>
      <w:b/>
      <w:lang w:val="es-ES_tradnl" w:eastAsia="en-US"/>
    </w:rPr>
  </w:style>
  <w:style w:type="character" w:customStyle="1" w:styleId="Heading3Char">
    <w:name w:val="Heading 3 Char"/>
    <w:basedOn w:val="DefaultParagraphFont"/>
    <w:link w:val="Heading3"/>
    <w:rsid w:val="009D75D4"/>
    <w:rPr>
      <w:rFonts w:asciiTheme="majorHAnsi" w:eastAsiaTheme="majorEastAsia" w:hAnsiTheme="majorHAnsi" w:cstheme="majorBidi"/>
      <w:b/>
      <w:lang w:val="es-VE"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05D7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105D7F"/>
    <w:rPr>
      <w:rFonts w:ascii="Cambria" w:eastAsia="Cambria" w:hAnsi="Cambria" w:cs="Cambria"/>
      <w:color w:val="000000"/>
      <w:sz w:val="24"/>
      <w:szCs w:val="24"/>
      <w:u w:color="000000"/>
      <w:lang w:val="en-US"/>
    </w:rPr>
  </w:style>
  <w:style w:type="character" w:customStyle="1" w:styleId="BodyTextIndentChar">
    <w:name w:val="Body Text Indent Char"/>
    <w:basedOn w:val="DefaultParagraphFont"/>
    <w:link w:val="BodyTextIndent"/>
    <w:rsid w:val="00105D7F"/>
    <w:rPr>
      <w:rFonts w:eastAsia="Times New Roman"/>
      <w:color w:val="000000"/>
      <w:sz w:val="24"/>
      <w:szCs w:val="24"/>
      <w:u w:color="000000"/>
      <w:lang w:val="es-ES_tradnl"/>
    </w:rPr>
  </w:style>
  <w:style w:type="paragraph" w:styleId="TOCHeading">
    <w:name w:val="TOC Heading"/>
    <w:basedOn w:val="Heading1"/>
    <w:next w:val="Normal"/>
    <w:uiPriority w:val="39"/>
    <w:semiHidden/>
    <w:unhideWhenUsed/>
    <w:qFormat/>
    <w:rsid w:val="00F63C5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color w:val="365F91" w:themeColor="accent1" w:themeShade="BF"/>
      <w:sz w:val="28"/>
      <w:szCs w:val="28"/>
      <w:bdr w:val="none" w:sz="0" w:space="0" w:color="auto"/>
      <w:lang w:val="en-US" w:eastAsia="ja-JP"/>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character" w:customStyle="1" w:styleId="Heading4Char">
    <w:name w:val="Heading 4 Char"/>
    <w:basedOn w:val="DefaultParagraphFont"/>
    <w:link w:val="Heading4"/>
    <w:rsid w:val="00D02D3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D02D3C"/>
    <w:rPr>
      <w:rFonts w:eastAsia="Times New Roman"/>
      <w:sz w:val="22"/>
      <w:bdr w:val="none" w:sz="0" w:space="0" w:color="auto"/>
      <w:lang w:val="en-US" w:eastAsia="en-US"/>
    </w:rPr>
  </w:style>
  <w:style w:type="character" w:customStyle="1" w:styleId="Heading6Char">
    <w:name w:val="Heading 6 Char"/>
    <w:basedOn w:val="DefaultParagraphFont"/>
    <w:link w:val="Heading6"/>
    <w:uiPriority w:val="9"/>
    <w:rsid w:val="00D02D3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D02D3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D02D3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D02D3C"/>
    <w:rPr>
      <w:rFonts w:ascii="Arial" w:eastAsia="Times New Roman" w:hAnsi="Arial"/>
      <w:b/>
      <w:i/>
      <w:sz w:val="18"/>
      <w:bdr w:val="none" w:sz="0" w:space="0" w:color="auto"/>
      <w:lang w:val="en-US" w:eastAsia="en-US"/>
    </w:rPr>
  </w:style>
  <w:style w:type="numbering" w:customStyle="1" w:styleId="List211">
    <w:name w:val="List 211"/>
    <w:basedOn w:val="Estiloimportado3"/>
    <w:rsid w:val="00D02D3C"/>
    <w:pPr>
      <w:numPr>
        <w:numId w:val="14"/>
      </w:numPr>
    </w:pPr>
  </w:style>
  <w:style w:type="numbering" w:customStyle="1" w:styleId="List311">
    <w:name w:val="List 311"/>
    <w:basedOn w:val="Estiloimportado4"/>
    <w:rsid w:val="00D02D3C"/>
    <w:pPr>
      <w:numPr>
        <w:numId w:val="38"/>
      </w:numPr>
    </w:pPr>
  </w:style>
  <w:style w:type="numbering" w:customStyle="1" w:styleId="List411">
    <w:name w:val="List 411"/>
    <w:basedOn w:val="Estiloimportado5"/>
    <w:rsid w:val="00D02D3C"/>
    <w:pPr>
      <w:numPr>
        <w:numId w:val="1"/>
      </w:numPr>
    </w:pPr>
  </w:style>
  <w:style w:type="numbering" w:customStyle="1" w:styleId="List511">
    <w:name w:val="List 511"/>
    <w:basedOn w:val="Estiloimportado6"/>
    <w:rsid w:val="00D02D3C"/>
    <w:pPr>
      <w:numPr>
        <w:numId w:val="15"/>
      </w:numPr>
    </w:pPr>
  </w:style>
  <w:style w:type="numbering" w:customStyle="1" w:styleId="List2111">
    <w:name w:val="List 2111"/>
    <w:basedOn w:val="Estiloimportado19"/>
    <w:rsid w:val="00D02D3C"/>
    <w:pPr>
      <w:numPr>
        <w:numId w:val="40"/>
      </w:numPr>
    </w:pPr>
  </w:style>
  <w:style w:type="numbering" w:customStyle="1" w:styleId="List3111">
    <w:name w:val="List 3111"/>
    <w:basedOn w:val="Estiloimportado27"/>
    <w:rsid w:val="00D02D3C"/>
    <w:pPr>
      <w:numPr>
        <w:numId w:val="25"/>
      </w:numPr>
    </w:pPr>
  </w:style>
  <w:style w:type="numbering" w:customStyle="1" w:styleId="List4111">
    <w:name w:val="List 4111"/>
    <w:basedOn w:val="Estiloimportado37"/>
    <w:rsid w:val="00D02D3C"/>
    <w:pPr>
      <w:numPr>
        <w:numId w:val="45"/>
      </w:numPr>
    </w:pPr>
  </w:style>
  <w:style w:type="numbering" w:customStyle="1" w:styleId="List5111">
    <w:name w:val="List 5111"/>
    <w:basedOn w:val="Estiloimportado46"/>
    <w:rsid w:val="00D02D3C"/>
    <w:pPr>
      <w:numPr>
        <w:numId w:val="31"/>
      </w:numPr>
    </w:pPr>
  </w:style>
  <w:style w:type="numbering" w:customStyle="1" w:styleId="NoList1">
    <w:name w:val="No List1"/>
    <w:next w:val="NoList"/>
    <w:semiHidden/>
    <w:unhideWhenUsed/>
    <w:rsid w:val="00D02D3C"/>
  </w:style>
  <w:style w:type="character" w:customStyle="1" w:styleId="Style">
    <w:name w:val="Style"/>
    <w:rsid w:val="00D02D3C"/>
    <w:rPr>
      <w:rFonts w:ascii="Times New Roman" w:hAnsi="Times New Roman"/>
      <w:sz w:val="22"/>
      <w:vertAlign w:val="superscript"/>
    </w:rPr>
  </w:style>
  <w:style w:type="paragraph" w:customStyle="1" w:styleId="Style1">
    <w:name w:val="Style1"/>
    <w:basedOn w:val="FootnoteText"/>
    <w:autoRedefine/>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D02D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D02D3C"/>
    <w:rPr>
      <w:rFonts w:ascii="Tahoma" w:eastAsia="Times New Roman" w:hAnsi="Tahoma" w:cs="Tahoma"/>
      <w:bdr w:val="none" w:sz="0" w:space="0" w:color="auto"/>
      <w:shd w:val="clear" w:color="auto" w:fill="000080"/>
      <w:lang w:val="en-US" w:eastAsia="en-US"/>
    </w:rPr>
  </w:style>
  <w:style w:type="paragraph" w:customStyle="1" w:styleId="Style6">
    <w:name w:val="Style 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D02D3C"/>
    <w:rPr>
      <w:b/>
      <w:bCs/>
    </w:rPr>
  </w:style>
  <w:style w:type="character" w:customStyle="1" w:styleId="Heading1CharCharCharCharCharChar">
    <w:name w:val="Heading 1 Char Char Char Char Char Char"/>
    <w:rsid w:val="00D02D3C"/>
    <w:rPr>
      <w:rFonts w:ascii="Univers" w:hAnsi="Univers" w:cs="Arial"/>
      <w:kern w:val="36"/>
      <w:sz w:val="22"/>
      <w:szCs w:val="22"/>
      <w:lang w:val="en-US" w:eastAsia="en-US" w:bidi="ar-SA"/>
    </w:rPr>
  </w:style>
  <w:style w:type="paragraph" w:styleId="BodyTextIndent2">
    <w:name w:val="Body Text Indent 2"/>
    <w:basedOn w:val="Normal"/>
    <w:link w:val="BodyTextIndent2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D02D3C"/>
    <w:rPr>
      <w:rFonts w:eastAsia="Times New Roman"/>
      <w:bdr w:val="none" w:sz="0" w:space="0" w:color="auto"/>
      <w:lang w:val="en-US" w:eastAsia="en-US"/>
    </w:rPr>
  </w:style>
  <w:style w:type="paragraph" w:customStyle="1" w:styleId="Default">
    <w:name w:val="Default"/>
    <w:link w:val="DefaultChar"/>
    <w:rsid w:val="00D02D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D02D3C"/>
  </w:style>
  <w:style w:type="paragraph" w:customStyle="1" w:styleId="Sinespaciado">
    <w:name w:val="Sin espaciado"/>
    <w:qFormat/>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D02D3C"/>
  </w:style>
  <w:style w:type="paragraph" w:styleId="Title">
    <w:name w:val="Title"/>
    <w:basedOn w:val="Normal"/>
    <w:link w:val="Title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D02D3C"/>
    <w:rPr>
      <w:rFonts w:ascii="Univers" w:eastAsia="Times New Roman" w:hAnsi="Univers"/>
      <w:b/>
      <w:sz w:val="22"/>
      <w:bdr w:val="none" w:sz="0" w:space="0" w:color="auto"/>
      <w:lang w:eastAsia="en-US"/>
    </w:rPr>
  </w:style>
  <w:style w:type="character" w:customStyle="1" w:styleId="antetitulo1">
    <w:name w:val="antetitulo1"/>
    <w:rsid w:val="00D02D3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D02D3C"/>
  </w:style>
  <w:style w:type="paragraph" w:customStyle="1" w:styleId="Blockquote">
    <w:name w:val="Blockquote"/>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D02D3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D02D3C"/>
    <w:rPr>
      <w:rFonts w:cs="Times New Roman"/>
      <w:lang w:val="es-ES_tradnl" w:eastAsia="en-US" w:bidi="ar-SA"/>
    </w:rPr>
  </w:style>
  <w:style w:type="paragraph" w:customStyle="1" w:styleId="Car">
    <w:name w:val="Car"/>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D02D3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D02D3C"/>
    <w:rPr>
      <w:rFonts w:eastAsia="Times New Roman"/>
      <w:sz w:val="16"/>
      <w:szCs w:val="16"/>
      <w:bdr w:val="none" w:sz="0" w:space="0" w:color="auto"/>
      <w:lang w:val="en-US" w:eastAsia="en-US"/>
    </w:rPr>
  </w:style>
  <w:style w:type="character" w:customStyle="1" w:styleId="FootnoteCharacters">
    <w:name w:val="Footnote Characters"/>
    <w:rsid w:val="00D02D3C"/>
    <w:rPr>
      <w:vertAlign w:val="superscript"/>
    </w:rPr>
  </w:style>
  <w:style w:type="character" w:customStyle="1" w:styleId="WW-FootnoteCharacters">
    <w:name w:val="WW-Footnote Characters"/>
    <w:rsid w:val="00D02D3C"/>
    <w:rPr>
      <w:rFonts w:ascii="Universal" w:hAnsi="Universal"/>
      <w:sz w:val="16"/>
      <w:vertAlign w:val="superscript"/>
    </w:rPr>
  </w:style>
  <w:style w:type="character" w:customStyle="1" w:styleId="textonavy1">
    <w:name w:val="texto_navy1"/>
    <w:rsid w:val="00D02D3C"/>
    <w:rPr>
      <w:color w:val="000080"/>
    </w:rPr>
  </w:style>
  <w:style w:type="paragraph" w:customStyle="1" w:styleId="Style3">
    <w:name w:val="Style 3"/>
    <w:basedOn w:val="Normal"/>
    <w:uiPriority w:val="99"/>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D02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uiPriority w:val="20"/>
    <w:qFormat/>
    <w:rsid w:val="00D02D3C"/>
    <w:rPr>
      <w:i/>
      <w:iCs/>
    </w:rPr>
  </w:style>
  <w:style w:type="character" w:styleId="CommentReference">
    <w:name w:val="annotation reference"/>
    <w:semiHidden/>
    <w:rsid w:val="00D02D3C"/>
    <w:rPr>
      <w:sz w:val="16"/>
      <w:szCs w:val="16"/>
    </w:rPr>
  </w:style>
  <w:style w:type="paragraph" w:styleId="CommentText">
    <w:name w:val="annotation text"/>
    <w:basedOn w:val="Normal"/>
    <w:link w:val="CommentTextChar"/>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D02D3C"/>
    <w:rPr>
      <w:rFonts w:eastAsia="Times New Roman"/>
      <w:bdr w:val="none" w:sz="0" w:space="0" w:color="auto"/>
      <w:lang w:val="en-US" w:eastAsia="en-US"/>
    </w:rPr>
  </w:style>
  <w:style w:type="character" w:customStyle="1" w:styleId="st1">
    <w:name w:val="st1"/>
    <w:basedOn w:val="DefaultParagraphFont"/>
    <w:rsid w:val="00D02D3C"/>
  </w:style>
  <w:style w:type="paragraph" w:styleId="BodyText2">
    <w:name w:val="Body Text 2"/>
    <w:basedOn w:val="Normal"/>
    <w:link w:val="BodyText2Char"/>
    <w:unhideWhenUsed/>
    <w:rsid w:val="00D02D3C"/>
    <w:pPr>
      <w:spacing w:after="120" w:line="480" w:lineRule="auto"/>
    </w:pPr>
  </w:style>
  <w:style w:type="character" w:customStyle="1" w:styleId="BodyText2Char">
    <w:name w:val="Body Text 2 Char"/>
    <w:basedOn w:val="DefaultParagraphFont"/>
    <w:link w:val="BodyText2"/>
    <w:rsid w:val="00D02D3C"/>
    <w:rPr>
      <w:sz w:val="24"/>
      <w:szCs w:val="24"/>
      <w:lang w:val="en-US" w:eastAsia="en-US"/>
    </w:rPr>
  </w:style>
  <w:style w:type="paragraph" w:styleId="PlainText">
    <w:name w:val="Plain Text"/>
    <w:basedOn w:val="Normal"/>
    <w:link w:val="PlainTextChar"/>
    <w:uiPriority w:val="99"/>
    <w:unhideWhenUsed/>
    <w:rsid w:val="00D02D3C"/>
    <w:rPr>
      <w:rFonts w:ascii="Consolas" w:hAnsi="Consolas" w:cs="Consolas"/>
      <w:sz w:val="21"/>
      <w:szCs w:val="21"/>
    </w:rPr>
  </w:style>
  <w:style w:type="character" w:customStyle="1" w:styleId="PlainTextChar">
    <w:name w:val="Plain Text Char"/>
    <w:basedOn w:val="DefaultParagraphFont"/>
    <w:link w:val="PlainText"/>
    <w:uiPriority w:val="99"/>
    <w:rsid w:val="00D02D3C"/>
    <w:rPr>
      <w:rFonts w:ascii="Consolas" w:hAnsi="Consolas" w:cs="Consolas"/>
      <w:sz w:val="21"/>
      <w:szCs w:val="21"/>
      <w:lang w:val="en-US" w:eastAsia="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D02D3C"/>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D02D3C"/>
    <w:rPr>
      <w:rFonts w:ascii="Univers" w:hAnsi="Univers" w:cs="Times New Roman"/>
      <w:lang w:val="es-ES_tradnl" w:eastAsia="x-none"/>
    </w:rPr>
  </w:style>
  <w:style w:type="paragraph" w:styleId="Subtitle">
    <w:name w:val="Subtitle"/>
    <w:basedOn w:val="Normal"/>
    <w:link w:val="SubtitleChar"/>
    <w:qFormat/>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D02D3C"/>
    <w:rPr>
      <w:rFonts w:ascii="Arial" w:eastAsia="Batang" w:hAnsi="Arial" w:cs="Arial"/>
      <w:sz w:val="24"/>
      <w:szCs w:val="24"/>
      <w:bdr w:val="none" w:sz="0" w:space="0" w:color="auto"/>
      <w:lang w:val="es-ES_tradnl" w:eastAsia="en-US"/>
    </w:rPr>
  </w:style>
  <w:style w:type="paragraph" w:styleId="List2">
    <w:name w:val="List 2"/>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D02D3C"/>
    <w:rPr>
      <w:sz w:val="24"/>
      <w:lang w:val="en-US" w:eastAsia="en-US"/>
    </w:rPr>
  </w:style>
  <w:style w:type="paragraph" w:styleId="BlockText">
    <w:name w:val="Block Text"/>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D02D3C"/>
    <w:rPr>
      <w:rFonts w:cs="Times New Roman"/>
      <w:color w:val="800080"/>
      <w:u w:val="single"/>
    </w:rPr>
  </w:style>
  <w:style w:type="character" w:customStyle="1" w:styleId="ifinal011">
    <w:name w:val="ifinal011"/>
    <w:rsid w:val="00D02D3C"/>
    <w:rPr>
      <w:rFonts w:ascii="Verdana" w:hAnsi="Verdana"/>
      <w:color w:val="003399"/>
      <w:sz w:val="12"/>
    </w:rPr>
  </w:style>
  <w:style w:type="paragraph" w:customStyle="1" w:styleId="PlaceholderText1">
    <w:name w:val="Placeholder Text1"/>
    <w:basedOn w:val="Normal"/>
    <w:rsid w:val="00D02D3C"/>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D02D3C"/>
    <w:pPr>
      <w:keepNext/>
      <w:numPr>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D02D3C"/>
    <w:pPr>
      <w:keepNext/>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D02D3C"/>
    <w:pPr>
      <w:keepNext/>
      <w:numPr>
        <w:ilvl w:val="2"/>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D02D3C"/>
    <w:pPr>
      <w:keepNext/>
      <w:numPr>
        <w:ilvl w:val="3"/>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D02D3C"/>
    <w:pPr>
      <w:keepNext/>
      <w:numPr>
        <w:ilvl w:val="4"/>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D02D3C"/>
    <w:pPr>
      <w:keepNext/>
      <w:numPr>
        <w:ilvl w:val="5"/>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D02D3C"/>
    <w:pPr>
      <w:keepNext/>
      <w:numPr>
        <w:ilvl w:val="6"/>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D02D3C"/>
    <w:pPr>
      <w:keepNext/>
      <w:numPr>
        <w:ilvl w:val="7"/>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D02D3C"/>
    <w:pPr>
      <w:keepLines w:val="0"/>
      <w:numPr>
        <w:ilvl w:val="8"/>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kern w:val="32"/>
      <w:szCs w:val="24"/>
      <w:bdr w:val="none" w:sz="0" w:space="0" w:color="auto"/>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D02D3C"/>
    <w:rPr>
      <w:rFonts w:ascii="Univers" w:eastAsia="Batang" w:hAnsi="Univers"/>
      <w:lang w:val="es-CO" w:eastAsia="en-US" w:bidi="ar-SA"/>
    </w:rPr>
  </w:style>
  <w:style w:type="character" w:customStyle="1" w:styleId="apple-converted-space">
    <w:name w:val="apple-converted-space"/>
    <w:rsid w:val="00D02D3C"/>
    <w:rPr>
      <w:rFonts w:cs="Times New Roman"/>
    </w:rPr>
  </w:style>
  <w:style w:type="paragraph" w:customStyle="1" w:styleId="Estilo7">
    <w:name w:val="Estilo7"/>
    <w:basedOn w:val="Normal"/>
    <w:rsid w:val="00D02D3C"/>
    <w:pPr>
      <w:numPr>
        <w:ilvl w:val="2"/>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D02D3C"/>
    <w:rPr>
      <w:rFonts w:cs="Times New Roman"/>
    </w:rPr>
  </w:style>
  <w:style w:type="character" w:customStyle="1" w:styleId="skypepnhcontainer">
    <w:name w:val="skype_pnh_container"/>
    <w:rsid w:val="00D02D3C"/>
    <w:rPr>
      <w:rFonts w:cs="Times New Roman"/>
    </w:rPr>
  </w:style>
  <w:style w:type="character" w:customStyle="1" w:styleId="s6b621b36">
    <w:name w:val="s6b621b36"/>
    <w:rsid w:val="00D02D3C"/>
    <w:rPr>
      <w:rFonts w:cs="Times New Roman"/>
    </w:rPr>
  </w:style>
  <w:style w:type="character" w:customStyle="1" w:styleId="tituloarticulo1">
    <w:name w:val="titulo_articulo1"/>
    <w:rsid w:val="00D02D3C"/>
    <w:rPr>
      <w:rFonts w:ascii="Arial" w:hAnsi="Arial"/>
      <w:b/>
      <w:sz w:val="36"/>
    </w:rPr>
  </w:style>
  <w:style w:type="paragraph" w:styleId="CommentSubject">
    <w:name w:val="annotation subject"/>
    <w:basedOn w:val="CommentText"/>
    <w:next w:val="CommentText"/>
    <w:link w:val="CommentSubjectChar"/>
    <w:semiHidden/>
    <w:rsid w:val="00D02D3C"/>
    <w:rPr>
      <w:rFonts w:ascii="Univers" w:eastAsia="Batang" w:hAnsi="Univers"/>
      <w:sz w:val="22"/>
      <w:lang w:val="es-ES_tradnl"/>
    </w:rPr>
  </w:style>
  <w:style w:type="character" w:customStyle="1" w:styleId="CommentSubjectChar">
    <w:name w:val="Comment Subject Char"/>
    <w:basedOn w:val="CommentTextChar"/>
    <w:link w:val="CommentSubject"/>
    <w:semiHidden/>
    <w:rsid w:val="00D02D3C"/>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D02D3C"/>
    <w:rPr>
      <w:rFonts w:ascii="Verdana" w:hAnsi="Verdana"/>
      <w:lang w:val="es-ES_tradnl" w:eastAsia="x-none"/>
    </w:rPr>
  </w:style>
  <w:style w:type="paragraph" w:styleId="Revision">
    <w:name w:val="Revision"/>
    <w:hidden/>
    <w:uiPriority w:val="71"/>
    <w:rsid w:val="00D02D3C"/>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D02D3C"/>
  </w:style>
  <w:style w:type="character" w:customStyle="1" w:styleId="DefaultChar">
    <w:name w:val="Default Char"/>
    <w:link w:val="Default"/>
    <w:rsid w:val="00D02D3C"/>
    <w:rPr>
      <w:rFonts w:eastAsia="Times New Roman"/>
      <w:color w:val="000000"/>
      <w:sz w:val="24"/>
      <w:szCs w:val="24"/>
      <w:bdr w:val="none" w:sz="0" w:space="0" w:color="auto"/>
      <w:lang w:val="en-US" w:eastAsia="en-US"/>
    </w:rPr>
  </w:style>
  <w:style w:type="paragraph" w:customStyle="1" w:styleId="ColorfulList-Accent12">
    <w:name w:val="Colorful List - Accent 12"/>
    <w:link w:val="ColorfulList-Accent1Char"/>
    <w:uiPriority w:val="34"/>
    <w:qFormat/>
    <w:rsid w:val="00D02D3C"/>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D02D3C"/>
    <w:rPr>
      <w:rFonts w:ascii="Cambria" w:eastAsia="Cambria" w:hAnsi="Cambria" w:cs="Cambria"/>
      <w:color w:val="000000"/>
      <w:sz w:val="24"/>
      <w:szCs w:val="24"/>
      <w:u w:color="000000"/>
      <w:lang w:val="en-US"/>
    </w:rPr>
  </w:style>
  <w:style w:type="paragraph" w:customStyle="1" w:styleId="footnote">
    <w:name w:val="footnote"/>
    <w:basedOn w:val="NormalWeb"/>
    <w:rsid w:val="00D02D3C"/>
  </w:style>
  <w:style w:type="character" w:styleId="PlaceholderText">
    <w:name w:val="Placeholder Text"/>
    <w:basedOn w:val="DefaultParagraphFont"/>
    <w:uiPriority w:val="99"/>
    <w:semiHidden/>
    <w:rsid w:val="00D02D3C"/>
    <w:rPr>
      <w:color w:val="808080"/>
    </w:rPr>
  </w:style>
  <w:style w:type="character" w:customStyle="1" w:styleId="sb8d990e2">
    <w:name w:val="sb8d990e2"/>
    <w:basedOn w:val="DefaultParagraphFont"/>
    <w:rsid w:val="00D02D3C"/>
  </w:style>
  <w:style w:type="paragraph" w:styleId="HTMLPreformatted">
    <w:name w:val="HTML Preformatted"/>
    <w:basedOn w:val="Normal"/>
    <w:link w:val="HTMLPreformattedChar"/>
    <w:uiPriority w:val="99"/>
    <w:unhideWhenUsed/>
    <w:rsid w:val="00D02D3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02D3C"/>
    <w:rPr>
      <w:rFonts w:ascii="Courier New" w:eastAsia="Times New Roman" w:hAnsi="Courier New" w:cs="Courier New"/>
      <w:bdr w:val="none" w:sz="0" w:space="0" w:color="auto"/>
      <w:lang w:val="en-US" w:eastAsia="en-US"/>
    </w:rPr>
  </w:style>
  <w:style w:type="paragraph" w:styleId="EndnoteText">
    <w:name w:val="endnote text"/>
    <w:basedOn w:val="Normal"/>
    <w:link w:val="EndnoteTextChar"/>
    <w:uiPriority w:val="99"/>
    <w:semiHidden/>
    <w:unhideWhenUsed/>
    <w:rsid w:val="00D02D3C"/>
    <w:rPr>
      <w:sz w:val="20"/>
      <w:szCs w:val="20"/>
    </w:rPr>
  </w:style>
  <w:style w:type="character" w:customStyle="1" w:styleId="EndnoteTextChar">
    <w:name w:val="Endnote Text Char"/>
    <w:basedOn w:val="DefaultParagraphFont"/>
    <w:link w:val="EndnoteText"/>
    <w:uiPriority w:val="99"/>
    <w:semiHidden/>
    <w:rsid w:val="00D02D3C"/>
    <w:rPr>
      <w:lang w:val="en-US" w:eastAsia="en-US"/>
    </w:rPr>
  </w:style>
  <w:style w:type="character" w:styleId="EndnoteReference">
    <w:name w:val="endnote reference"/>
    <w:basedOn w:val="DefaultParagraphFont"/>
    <w:uiPriority w:val="99"/>
    <w:semiHidden/>
    <w:unhideWhenUsed/>
    <w:rsid w:val="00D02D3C"/>
    <w:rPr>
      <w:vertAlign w:val="superscript"/>
    </w:rPr>
  </w:style>
  <w:style w:type="table" w:styleId="MediumGrid1">
    <w:name w:val="Medium Grid 1"/>
    <w:basedOn w:val="TableNormal"/>
    <w:uiPriority w:val="67"/>
    <w:rsid w:val="00D02D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D02D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D02D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BodyTextIndentChar1">
    <w:name w:val="Body Text Indent Char1"/>
    <w:locked/>
    <w:rsid w:val="00D02D3C"/>
    <w:rPr>
      <w:rFonts w:eastAsia="Times New Roman"/>
      <w:color w:val="000000"/>
      <w:sz w:val="24"/>
      <w:szCs w:val="24"/>
      <w:u w:color="000000"/>
      <w:lang w:val="es-ES_tradnl"/>
    </w:rPr>
  </w:style>
  <w:style w:type="paragraph" w:customStyle="1" w:styleId="1">
    <w:name w:val="1"/>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ection1">
    <w:name w:val="section1"/>
    <w:basedOn w:val="Normal"/>
    <w:rsid w:val="00D02D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2D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FootnoteAnchor">
    <w:name w:val="Footnote Anchor"/>
    <w:rsid w:val="00D02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738-corte-idh-caso-claude-reyes-y-otros-vs-chile-fondo-reparaciones-y-costas-sentencia-de-19-de-septiembre-de-2006-serie-c-no-151" TargetMode="External"/><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7"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9" Type="http://schemas.openxmlformats.org/officeDocument/2006/relationships/hyperlink" Target="http://joomla.corteidh.or.cr:8080/joomla/es/casos-contenciosos/38-jurisprudencia/1505-corte-idh-caso-barbani-duarte-y-otros-vs-uruguay-fondo-reparaciones-y-costas-sentencia-de-13-de-octubre-de-2011-serie-c-no-2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2F5F-FFC5-4297-BCF3-1CA26989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18</Pages>
  <Words>7783</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Fontana, Maria Eva</cp:lastModifiedBy>
  <cp:revision>1313</cp:revision>
  <cp:lastPrinted>2014-06-04T21:22:00Z</cp:lastPrinted>
  <dcterms:created xsi:type="dcterms:W3CDTF">2018-08-08T13:44:00Z</dcterms:created>
  <dcterms:modified xsi:type="dcterms:W3CDTF">2019-10-01T20:07:00Z</dcterms:modified>
</cp:coreProperties>
</file>