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D0400" w14:textId="77777777" w:rsidR="009A0CCA" w:rsidRPr="005B197C" w:rsidRDefault="009A0CCA" w:rsidP="009A0CCA">
      <w:pPr>
        <w:pStyle w:val="NoSpacing"/>
        <w:ind w:right="-604"/>
        <w:rPr>
          <w:rFonts w:ascii="Cambria" w:hAnsi="Cambria"/>
          <w:b/>
          <w:color w:val="000000"/>
          <w:sz w:val="20"/>
          <w:szCs w:val="20"/>
        </w:rPr>
      </w:pPr>
    </w:p>
    <w:p w14:paraId="6CBF3BA1" w14:textId="77777777" w:rsidR="009A0CCA" w:rsidRPr="00FA6D77" w:rsidRDefault="009A0CCA" w:rsidP="009A0CCA">
      <w:pPr>
        <w:pStyle w:val="NoSpacing"/>
        <w:ind w:left="-720" w:right="-604"/>
        <w:jc w:val="center"/>
        <w:rPr>
          <w:rFonts w:ascii="Cambria" w:hAnsi="Cambria"/>
          <w:b/>
          <w:color w:val="000000"/>
          <w:sz w:val="20"/>
          <w:szCs w:val="20"/>
        </w:rPr>
      </w:pPr>
      <w:r w:rsidRPr="00FA6D77">
        <w:rPr>
          <w:rFonts w:ascii="Cambria" w:hAnsi="Cambria"/>
          <w:b/>
          <w:color w:val="000000"/>
          <w:sz w:val="20"/>
          <w:szCs w:val="20"/>
        </w:rPr>
        <w:t xml:space="preserve">FOLLOW-UP FACTSHEET OF REPORT No. </w:t>
      </w:r>
      <w:r w:rsidRPr="00FA6D77">
        <w:rPr>
          <w:rFonts w:ascii="Cambria" w:hAnsi="Cambria" w:cs="Calibri"/>
          <w:b/>
          <w:bCs/>
          <w:color w:val="000000"/>
          <w:sz w:val="20"/>
          <w:szCs w:val="20"/>
        </w:rPr>
        <w:t>60/01</w:t>
      </w:r>
    </w:p>
    <w:p w14:paraId="7F5F8233" w14:textId="77777777" w:rsidR="009A0CCA" w:rsidRPr="00FA6D77" w:rsidRDefault="009A0CCA" w:rsidP="009A0CCA">
      <w:pPr>
        <w:pStyle w:val="NoSpacing"/>
        <w:ind w:left="-720" w:right="-604"/>
        <w:jc w:val="center"/>
        <w:rPr>
          <w:rFonts w:ascii="Cambria" w:hAnsi="Cambria"/>
          <w:b/>
          <w:color w:val="000000"/>
          <w:sz w:val="20"/>
          <w:szCs w:val="20"/>
        </w:rPr>
      </w:pPr>
      <w:r w:rsidRPr="00FA6D77">
        <w:rPr>
          <w:rFonts w:ascii="Cambria" w:hAnsi="Cambria"/>
          <w:b/>
          <w:color w:val="000000"/>
          <w:sz w:val="20"/>
          <w:szCs w:val="20"/>
        </w:rPr>
        <w:t>CASE 9.111</w:t>
      </w:r>
    </w:p>
    <w:p w14:paraId="0E12E254" w14:textId="77777777" w:rsidR="009A0CCA" w:rsidRPr="00FA6D77" w:rsidRDefault="009A0CCA" w:rsidP="009A0CCA">
      <w:pPr>
        <w:pStyle w:val="NoSpacing"/>
        <w:ind w:left="-720" w:right="-604"/>
        <w:jc w:val="center"/>
        <w:rPr>
          <w:rFonts w:ascii="Cambria" w:hAnsi="Cambria"/>
          <w:b/>
          <w:color w:val="000000"/>
          <w:sz w:val="20"/>
          <w:szCs w:val="20"/>
        </w:rPr>
      </w:pPr>
      <w:r w:rsidRPr="00FA6D77">
        <w:rPr>
          <w:rFonts w:ascii="Cambria" w:hAnsi="Cambria"/>
          <w:b/>
          <w:color w:val="000000"/>
          <w:sz w:val="20"/>
          <w:szCs w:val="20"/>
        </w:rPr>
        <w:t>ILEANA DEL ROSARIO SOLARES CASTILLO AND OTHERS</w:t>
      </w:r>
    </w:p>
    <w:p w14:paraId="0581777A" w14:textId="77777777" w:rsidR="009A0CCA" w:rsidRPr="00FA6D77" w:rsidRDefault="009A0CCA" w:rsidP="009A0CCA">
      <w:pPr>
        <w:pStyle w:val="NoSpacing"/>
        <w:ind w:left="-720" w:right="-604"/>
        <w:jc w:val="center"/>
        <w:rPr>
          <w:rFonts w:ascii="Cambria" w:hAnsi="Cambria"/>
          <w:b/>
          <w:color w:val="000000"/>
          <w:sz w:val="20"/>
          <w:szCs w:val="20"/>
        </w:rPr>
      </w:pPr>
      <w:r w:rsidRPr="00FA6D77">
        <w:rPr>
          <w:rFonts w:ascii="Cambria" w:hAnsi="Cambria"/>
          <w:b/>
          <w:color w:val="000000"/>
          <w:sz w:val="20"/>
          <w:szCs w:val="20"/>
        </w:rPr>
        <w:t>(Guatemala)</w:t>
      </w:r>
    </w:p>
    <w:p w14:paraId="52D13752" w14:textId="77777777" w:rsidR="009A0CCA" w:rsidRPr="00FA6D77" w:rsidRDefault="009A0CCA" w:rsidP="009A0CCA">
      <w:pPr>
        <w:pStyle w:val="NoSpacing"/>
        <w:jc w:val="center"/>
        <w:rPr>
          <w:color w:val="000000"/>
          <w:sz w:val="20"/>
          <w:szCs w:val="20"/>
        </w:rPr>
      </w:pPr>
    </w:p>
    <w:p w14:paraId="3F4420E0" w14:textId="77777777" w:rsidR="009A0CCA" w:rsidRPr="00FA6D77" w:rsidRDefault="009A0CCA" w:rsidP="009A0CCA">
      <w:pPr>
        <w:numPr>
          <w:ilvl w:val="0"/>
          <w:numId w:val="1"/>
        </w:numPr>
        <w:spacing w:after="0" w:line="240" w:lineRule="auto"/>
        <w:ind w:left="1440"/>
        <w:rPr>
          <w:rFonts w:ascii="Cambria" w:hAnsi="Cambria" w:cs="Calibri Light"/>
          <w:b/>
          <w:color w:val="000000"/>
          <w:sz w:val="20"/>
          <w:szCs w:val="20"/>
        </w:rPr>
      </w:pPr>
      <w:r w:rsidRPr="00FA6D77">
        <w:rPr>
          <w:rFonts w:ascii="Cambria" w:hAnsi="Cambria" w:cs="Calibri Light"/>
          <w:b/>
          <w:color w:val="000000"/>
          <w:sz w:val="20"/>
          <w:szCs w:val="20"/>
        </w:rPr>
        <w:t xml:space="preserve">Summary of Case </w:t>
      </w:r>
    </w:p>
    <w:p w14:paraId="33AE1448" w14:textId="77777777" w:rsidR="009A0CCA" w:rsidRPr="00FA6D77" w:rsidRDefault="009A0CCA" w:rsidP="009A0CCA">
      <w:pPr>
        <w:spacing w:after="0" w:line="240" w:lineRule="auto"/>
        <w:ind w:left="1080"/>
        <w:rPr>
          <w:rFonts w:ascii="Cambria" w:hAnsi="Cambria" w:cs="Calibri Light"/>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9A0CCA" w:rsidRPr="00FA6D77" w14:paraId="1FA95EF7" w14:textId="77777777" w:rsidTr="000B6D53">
        <w:trPr>
          <w:jc w:val="center"/>
        </w:trPr>
        <w:tc>
          <w:tcPr>
            <w:tcW w:w="9576" w:type="dxa"/>
            <w:shd w:val="clear" w:color="auto" w:fill="F2F2F2"/>
          </w:tcPr>
          <w:p w14:paraId="384CDF01" w14:textId="77777777" w:rsidR="009A0CCA" w:rsidRPr="00FA6D77" w:rsidRDefault="009A0CCA" w:rsidP="000B6D53">
            <w:pPr>
              <w:pStyle w:val="NoSpacing"/>
              <w:spacing w:before="120"/>
              <w:jc w:val="both"/>
              <w:rPr>
                <w:rFonts w:ascii="Cambria" w:hAnsi="Cambria"/>
                <w:color w:val="000000"/>
                <w:sz w:val="20"/>
                <w:szCs w:val="20"/>
                <w:lang w:val="es-CO"/>
              </w:rPr>
            </w:pPr>
            <w:proofErr w:type="spellStart"/>
            <w:r w:rsidRPr="00FA6D77">
              <w:rPr>
                <w:rFonts w:ascii="Cambria" w:hAnsi="Cambria"/>
                <w:b/>
                <w:color w:val="000000"/>
                <w:sz w:val="20"/>
                <w:szCs w:val="20"/>
                <w:lang w:val="es-CO"/>
              </w:rPr>
              <w:t>Victim</w:t>
            </w:r>
            <w:proofErr w:type="spellEnd"/>
            <w:r w:rsidRPr="00FA6D77">
              <w:rPr>
                <w:rFonts w:ascii="Cambria" w:hAnsi="Cambria"/>
                <w:b/>
                <w:color w:val="000000"/>
                <w:sz w:val="20"/>
                <w:szCs w:val="20"/>
                <w:lang w:val="es-CO"/>
              </w:rPr>
              <w:t xml:space="preserve"> (s): </w:t>
            </w:r>
            <w:r w:rsidRPr="00FA6D77">
              <w:rPr>
                <w:rFonts w:ascii="Cambria" w:hAnsi="Cambria"/>
                <w:color w:val="000000"/>
                <w:sz w:val="20"/>
                <w:szCs w:val="20"/>
                <w:lang w:val="es-CO"/>
              </w:rPr>
              <w:t>Ileana del Rosario Solares Castillo, María Ana López Rodríguez and Luz Leticia Hernández</w:t>
            </w:r>
          </w:p>
          <w:p w14:paraId="781402D3" w14:textId="77777777" w:rsidR="009A0CCA" w:rsidRPr="00FA6D77" w:rsidRDefault="009A0CCA" w:rsidP="000B6D53">
            <w:pPr>
              <w:pStyle w:val="NoSpacing"/>
              <w:jc w:val="both"/>
              <w:rPr>
                <w:rFonts w:ascii="Cambria" w:hAnsi="Cambria"/>
                <w:color w:val="000000"/>
                <w:sz w:val="20"/>
                <w:szCs w:val="20"/>
              </w:rPr>
            </w:pPr>
            <w:r w:rsidRPr="00FA6D77">
              <w:rPr>
                <w:rFonts w:ascii="Cambria" w:hAnsi="Cambria"/>
                <w:b/>
                <w:color w:val="000000"/>
                <w:sz w:val="20"/>
                <w:szCs w:val="20"/>
              </w:rPr>
              <w:t xml:space="preserve">Petitioner (s): </w:t>
            </w:r>
            <w:r w:rsidRPr="00FA6D77">
              <w:rPr>
                <w:rFonts w:ascii="Cambria" w:hAnsi="Cambria"/>
                <w:color w:val="000000"/>
                <w:sz w:val="20"/>
                <w:szCs w:val="20"/>
              </w:rPr>
              <w:t xml:space="preserve">Edgar Pérez </w:t>
            </w:r>
            <w:proofErr w:type="spellStart"/>
            <w:r w:rsidRPr="00FA6D77">
              <w:rPr>
                <w:rFonts w:ascii="Cambria" w:hAnsi="Cambria"/>
                <w:color w:val="000000"/>
                <w:sz w:val="20"/>
                <w:szCs w:val="20"/>
              </w:rPr>
              <w:t>Archila</w:t>
            </w:r>
            <w:proofErr w:type="spellEnd"/>
            <w:r w:rsidRPr="00FA6D77">
              <w:rPr>
                <w:rFonts w:ascii="Cambria" w:hAnsi="Cambria"/>
                <w:color w:val="000000"/>
                <w:sz w:val="20"/>
                <w:szCs w:val="20"/>
              </w:rPr>
              <w:t xml:space="preserve">, Ana </w:t>
            </w:r>
            <w:proofErr w:type="spellStart"/>
            <w:r w:rsidRPr="00FA6D77">
              <w:rPr>
                <w:rFonts w:ascii="Cambria" w:hAnsi="Cambria"/>
                <w:color w:val="000000"/>
                <w:sz w:val="20"/>
                <w:szCs w:val="20"/>
              </w:rPr>
              <w:t>Julieta</w:t>
            </w:r>
            <w:proofErr w:type="spellEnd"/>
            <w:r w:rsidRPr="00FA6D77">
              <w:rPr>
                <w:rFonts w:ascii="Cambria" w:hAnsi="Cambria"/>
                <w:color w:val="000000"/>
                <w:sz w:val="20"/>
                <w:szCs w:val="20"/>
              </w:rPr>
              <w:t xml:space="preserve"> </w:t>
            </w:r>
            <w:proofErr w:type="spellStart"/>
            <w:r w:rsidRPr="00FA6D77">
              <w:rPr>
                <w:rFonts w:ascii="Cambria" w:hAnsi="Cambria"/>
                <w:color w:val="000000"/>
                <w:sz w:val="20"/>
                <w:szCs w:val="20"/>
              </w:rPr>
              <w:t>Solares</w:t>
            </w:r>
            <w:proofErr w:type="spellEnd"/>
            <w:r w:rsidRPr="00FA6D77">
              <w:rPr>
                <w:rFonts w:ascii="Cambria" w:hAnsi="Cambria"/>
                <w:color w:val="000000"/>
                <w:sz w:val="20"/>
                <w:szCs w:val="20"/>
              </w:rPr>
              <w:t>, Mutual Support Group (GAM)</w:t>
            </w:r>
          </w:p>
          <w:p w14:paraId="32BD5436" w14:textId="77777777" w:rsidR="009A0CCA" w:rsidRPr="00FA6D77" w:rsidRDefault="009A0CCA" w:rsidP="000B6D53">
            <w:pPr>
              <w:pStyle w:val="NoSpacing"/>
              <w:jc w:val="both"/>
              <w:rPr>
                <w:rFonts w:ascii="Cambria" w:hAnsi="Cambria"/>
                <w:color w:val="000000"/>
                <w:sz w:val="20"/>
                <w:szCs w:val="20"/>
              </w:rPr>
            </w:pPr>
            <w:r w:rsidRPr="00FA6D77">
              <w:rPr>
                <w:rFonts w:ascii="Cambria" w:hAnsi="Cambria"/>
                <w:b/>
                <w:color w:val="000000"/>
                <w:sz w:val="20"/>
                <w:szCs w:val="20"/>
              </w:rPr>
              <w:t>State:</w:t>
            </w:r>
            <w:r w:rsidRPr="00FA6D77">
              <w:rPr>
                <w:rFonts w:ascii="Cambria" w:hAnsi="Cambria"/>
                <w:color w:val="000000"/>
                <w:sz w:val="20"/>
                <w:szCs w:val="20"/>
              </w:rPr>
              <w:t xml:space="preserve"> Guatemala</w:t>
            </w:r>
          </w:p>
          <w:p w14:paraId="24546353" w14:textId="77777777" w:rsidR="009A0CCA" w:rsidRPr="00FA6D77" w:rsidRDefault="009A0CCA" w:rsidP="000B6D53">
            <w:pPr>
              <w:pStyle w:val="NoSpacing"/>
              <w:jc w:val="both"/>
              <w:rPr>
                <w:rFonts w:ascii="Cambria" w:hAnsi="Cambria"/>
                <w:color w:val="000000"/>
                <w:sz w:val="20"/>
                <w:szCs w:val="20"/>
              </w:rPr>
            </w:pPr>
            <w:r w:rsidRPr="00FA6D77">
              <w:rPr>
                <w:rFonts w:ascii="Cambria" w:hAnsi="Cambria"/>
                <w:b/>
                <w:color w:val="000000"/>
                <w:sz w:val="20"/>
                <w:szCs w:val="20"/>
              </w:rPr>
              <w:t xml:space="preserve">Merits Report No.: </w:t>
            </w:r>
            <w:hyperlink r:id="rId7" w:history="1">
              <w:r w:rsidRPr="00FA6D77">
                <w:rPr>
                  <w:rStyle w:val="Hyperlink"/>
                  <w:rFonts w:ascii="Cambria" w:hAnsi="Cambria"/>
                  <w:color w:val="000000"/>
                  <w:sz w:val="20"/>
                  <w:szCs w:val="20"/>
                </w:rPr>
                <w:t>60/01</w:t>
              </w:r>
            </w:hyperlink>
            <w:r w:rsidRPr="00FA6D77">
              <w:rPr>
                <w:rFonts w:ascii="Cambria" w:hAnsi="Cambria"/>
                <w:color w:val="000000"/>
                <w:sz w:val="20"/>
                <w:szCs w:val="20"/>
              </w:rPr>
              <w:t xml:space="preserve">, published on April 4, 2001 </w:t>
            </w:r>
          </w:p>
          <w:p w14:paraId="54733A79" w14:textId="77777777" w:rsidR="009A0CCA" w:rsidRPr="00FA6D77" w:rsidRDefault="009A0CCA" w:rsidP="000B6D53">
            <w:pPr>
              <w:pStyle w:val="NoSpacing"/>
              <w:jc w:val="both"/>
              <w:rPr>
                <w:rFonts w:ascii="Cambria" w:hAnsi="Cambria"/>
                <w:color w:val="000000"/>
                <w:sz w:val="20"/>
                <w:szCs w:val="20"/>
              </w:rPr>
            </w:pPr>
            <w:r w:rsidRPr="00FA6D77">
              <w:rPr>
                <w:rFonts w:ascii="Cambria" w:hAnsi="Cambria"/>
                <w:b/>
                <w:color w:val="000000"/>
                <w:sz w:val="20"/>
                <w:szCs w:val="20"/>
              </w:rPr>
              <w:t>Admissibility Report:</w:t>
            </w:r>
            <w:r w:rsidRPr="00FA6D77">
              <w:rPr>
                <w:rFonts w:ascii="Cambria" w:hAnsi="Cambria"/>
                <w:color w:val="000000"/>
                <w:sz w:val="20"/>
                <w:szCs w:val="20"/>
              </w:rPr>
              <w:t xml:space="preserve"> Analyzed in Merits Report No. 60/01</w:t>
            </w:r>
          </w:p>
          <w:p w14:paraId="63970D32" w14:textId="77777777" w:rsidR="009A0CCA" w:rsidRPr="00FA6D77" w:rsidRDefault="009A0CCA" w:rsidP="000B6D53">
            <w:pPr>
              <w:pStyle w:val="NoSpacing"/>
              <w:spacing w:after="120"/>
              <w:jc w:val="both"/>
              <w:rPr>
                <w:rFonts w:ascii="Cambria" w:hAnsi="Cambria"/>
                <w:color w:val="000000"/>
                <w:sz w:val="20"/>
                <w:szCs w:val="20"/>
              </w:rPr>
            </w:pPr>
            <w:r w:rsidRPr="00FA6D77">
              <w:rPr>
                <w:rFonts w:ascii="Cambria" w:hAnsi="Cambria"/>
                <w:b/>
                <w:color w:val="000000"/>
                <w:sz w:val="20"/>
                <w:szCs w:val="20"/>
              </w:rPr>
              <w:t>Themes:</w:t>
            </w:r>
            <w:r w:rsidRPr="00FA6D77">
              <w:rPr>
                <w:rFonts w:ascii="Cambria" w:hAnsi="Cambria"/>
                <w:color w:val="000000"/>
                <w:sz w:val="20"/>
                <w:szCs w:val="20"/>
              </w:rPr>
              <w:t xml:space="preserve"> Right to Life /</w:t>
            </w:r>
            <w:r w:rsidRPr="00FA6D77">
              <w:rPr>
                <w:rFonts w:ascii="Cambria" w:hAnsi="Cambria"/>
                <w:b/>
                <w:color w:val="000000"/>
                <w:sz w:val="20"/>
                <w:szCs w:val="20"/>
              </w:rPr>
              <w:t xml:space="preserve"> </w:t>
            </w:r>
            <w:r w:rsidRPr="00FA6D77">
              <w:rPr>
                <w:rFonts w:ascii="Cambria" w:eastAsia="Times New Roman" w:hAnsi="Cambria"/>
                <w:color w:val="000000"/>
                <w:sz w:val="20"/>
                <w:szCs w:val="20"/>
                <w:lang w:eastAsia="es-MX"/>
              </w:rPr>
              <w:t>Right to Humane Treatment / Right to Personal Liberty / Right to a Fair Trial / Judicial Protection / Enforced Disappearance / Investigation and Due Diligence</w:t>
            </w:r>
          </w:p>
          <w:p w14:paraId="34E21DD1" w14:textId="77777777" w:rsidR="009A0CCA" w:rsidRPr="00FA6D77" w:rsidRDefault="009A0CCA" w:rsidP="000B6D53">
            <w:pPr>
              <w:pStyle w:val="NoSpacing"/>
              <w:spacing w:after="120"/>
              <w:jc w:val="both"/>
              <w:rPr>
                <w:rFonts w:ascii="Cambria" w:hAnsi="Cambria"/>
                <w:color w:val="000000"/>
                <w:sz w:val="20"/>
                <w:szCs w:val="20"/>
                <w:lang w:eastAsia="pt-BR"/>
              </w:rPr>
            </w:pPr>
            <w:r w:rsidRPr="00FA6D77">
              <w:rPr>
                <w:rFonts w:ascii="Cambria" w:hAnsi="Cambria"/>
                <w:b/>
                <w:color w:val="000000"/>
                <w:sz w:val="20"/>
                <w:szCs w:val="20"/>
              </w:rPr>
              <w:t>Facts:</w:t>
            </w:r>
            <w:r w:rsidRPr="00FA6D77">
              <w:rPr>
                <w:rFonts w:ascii="Cambria" w:hAnsi="Cambria"/>
                <w:color w:val="000000"/>
                <w:sz w:val="20"/>
                <w:szCs w:val="20"/>
              </w:rPr>
              <w:t xml:space="preserve"> On September 25, </w:t>
            </w:r>
            <w:r w:rsidRPr="00FA6D77">
              <w:rPr>
                <w:rFonts w:ascii="Cambria" w:hAnsi="Cambria"/>
                <w:color w:val="000000"/>
                <w:sz w:val="20"/>
                <w:szCs w:val="20"/>
                <w:lang w:eastAsia="pt-BR"/>
              </w:rPr>
              <w:t xml:space="preserve">1982, </w:t>
            </w:r>
            <w:r w:rsidRPr="00FA6D77">
              <w:rPr>
                <w:rFonts w:ascii="Cambria" w:hAnsi="Cambria"/>
                <w:color w:val="000000"/>
                <w:sz w:val="20"/>
                <w:szCs w:val="20"/>
              </w:rPr>
              <w:t xml:space="preserve">the victim was abducted by agents of the Guatemalan State—specifically, members of the army’s intelligence service (G2)—at the junction of 7th Street and 16th Avenue in Zone 11 of Guatemala City. This complaint was later expanded to cover María Ana López Rodríguez and Luz Leticia Hernández, who were abducted on November 21, 1982, by security forces from the Special Operations Reaction Battalion (BROE) and the Military Intelligence Service (SIM) while they were at the house located on Lot 13, Block 4E, in the Monte Real II district of </w:t>
            </w:r>
            <w:proofErr w:type="spellStart"/>
            <w:r w:rsidRPr="00FA6D77">
              <w:rPr>
                <w:rFonts w:ascii="Cambria" w:hAnsi="Cambria"/>
                <w:color w:val="000000"/>
                <w:sz w:val="20"/>
                <w:szCs w:val="20"/>
              </w:rPr>
              <w:t>Mixco’s</w:t>
            </w:r>
            <w:proofErr w:type="spellEnd"/>
            <w:r w:rsidRPr="00FA6D77">
              <w:rPr>
                <w:rFonts w:ascii="Cambria" w:hAnsi="Cambria"/>
                <w:color w:val="000000"/>
                <w:sz w:val="20"/>
                <w:szCs w:val="20"/>
              </w:rPr>
              <w:t xml:space="preserve"> Zone 4</w:t>
            </w:r>
            <w:r w:rsidRPr="00FA6D77">
              <w:rPr>
                <w:rFonts w:ascii="Cambria" w:hAnsi="Cambria"/>
                <w:color w:val="000000"/>
                <w:sz w:val="20"/>
                <w:szCs w:val="20"/>
                <w:lang w:eastAsia="pt-BR"/>
              </w:rPr>
              <w:t xml:space="preserve">. </w:t>
            </w:r>
            <w:r w:rsidRPr="00FA6D77">
              <w:rPr>
                <w:rFonts w:ascii="Cambria" w:hAnsi="Cambria"/>
                <w:color w:val="000000"/>
                <w:sz w:val="20"/>
                <w:szCs w:val="20"/>
              </w:rPr>
              <w:t xml:space="preserve">Ever since the victims were taken into custody their whereabouts has remained unknown, even though the applicable judicial remedies have been pursued and numerous efforts have been made to locate them. In addition, as regards the victim Ileana </w:t>
            </w:r>
            <w:proofErr w:type="spellStart"/>
            <w:r w:rsidRPr="00FA6D77">
              <w:rPr>
                <w:rFonts w:ascii="Cambria" w:hAnsi="Cambria"/>
                <w:color w:val="000000"/>
                <w:sz w:val="20"/>
                <w:szCs w:val="20"/>
              </w:rPr>
              <w:t>Solares</w:t>
            </w:r>
            <w:proofErr w:type="spellEnd"/>
            <w:r w:rsidRPr="00FA6D77">
              <w:rPr>
                <w:rFonts w:ascii="Cambria" w:hAnsi="Cambria"/>
                <w:color w:val="000000"/>
                <w:sz w:val="20"/>
                <w:szCs w:val="20"/>
              </w:rPr>
              <w:t xml:space="preserve"> Castillo, her parents sent several open letters to the then President of the Republic</w:t>
            </w:r>
            <w:r w:rsidRPr="00FA6D77">
              <w:rPr>
                <w:rFonts w:ascii="Cambria" w:hAnsi="Cambria"/>
                <w:color w:val="000000"/>
                <w:sz w:val="20"/>
                <w:szCs w:val="20"/>
                <w:lang w:eastAsia="pt-BR"/>
              </w:rPr>
              <w:t xml:space="preserve">. </w:t>
            </w:r>
          </w:p>
          <w:p w14:paraId="619EAEEB" w14:textId="77777777" w:rsidR="009A0CCA" w:rsidRPr="00FA6D77" w:rsidRDefault="009A0CCA" w:rsidP="000B6D53">
            <w:pPr>
              <w:pStyle w:val="NoSpacing"/>
              <w:spacing w:after="120"/>
              <w:jc w:val="both"/>
              <w:rPr>
                <w:rFonts w:ascii="Cambria" w:hAnsi="Cambria"/>
                <w:color w:val="000000"/>
                <w:sz w:val="20"/>
                <w:szCs w:val="20"/>
              </w:rPr>
            </w:pPr>
            <w:r w:rsidRPr="00FA6D77">
              <w:rPr>
                <w:rFonts w:ascii="Cambria" w:hAnsi="Cambria"/>
                <w:b/>
                <w:color w:val="000000"/>
                <w:sz w:val="20"/>
                <w:szCs w:val="20"/>
              </w:rPr>
              <w:t xml:space="preserve">Rights violated: </w:t>
            </w:r>
            <w:r w:rsidRPr="00FA6D77">
              <w:rPr>
                <w:rFonts w:ascii="Cambria" w:hAnsi="Cambria"/>
                <w:color w:val="000000"/>
                <w:sz w:val="20"/>
                <w:szCs w:val="20"/>
              </w:rPr>
              <w:t xml:space="preserve">The Commission concluded that the Guatemalan State violated the rights of Ileana del Rosario </w:t>
            </w:r>
            <w:proofErr w:type="spellStart"/>
            <w:r w:rsidRPr="00FA6D77">
              <w:rPr>
                <w:rFonts w:ascii="Cambria" w:hAnsi="Cambria"/>
                <w:color w:val="000000"/>
                <w:sz w:val="20"/>
                <w:szCs w:val="20"/>
              </w:rPr>
              <w:t>Solares</w:t>
            </w:r>
            <w:proofErr w:type="spellEnd"/>
            <w:r w:rsidRPr="00FA6D77">
              <w:rPr>
                <w:rFonts w:ascii="Cambria" w:hAnsi="Cambria"/>
                <w:color w:val="000000"/>
                <w:sz w:val="20"/>
                <w:szCs w:val="20"/>
              </w:rPr>
              <w:t xml:space="preserve"> Castillo, María Ana López Rodríguez and Luz Leticia Hernández to life (Article 4 of the American Convention on Human Rights), to humane treatment (Article 5), to personal liberty (Article 7), to a fair trial (Article 8), and to judicial protection (Article 25), together with the obligation of ensuring the rights protected by the Convention as set forth in Article 1(1) thereof.</w:t>
            </w:r>
          </w:p>
        </w:tc>
      </w:tr>
    </w:tbl>
    <w:p w14:paraId="3FACEB4B" w14:textId="77777777" w:rsidR="009A0CCA" w:rsidRPr="00FA6D77" w:rsidRDefault="009A0CCA" w:rsidP="009A0CCA">
      <w:pPr>
        <w:spacing w:after="0" w:line="240" w:lineRule="auto"/>
        <w:rPr>
          <w:rFonts w:ascii="Cambria" w:hAnsi="Cambria"/>
          <w:color w:val="000000"/>
          <w:sz w:val="20"/>
          <w:szCs w:val="20"/>
        </w:rPr>
      </w:pPr>
    </w:p>
    <w:p w14:paraId="67CB739C" w14:textId="77777777" w:rsidR="009A0CCA" w:rsidRPr="00FA6D77" w:rsidRDefault="009A0CCA" w:rsidP="009A0CCA">
      <w:pPr>
        <w:numPr>
          <w:ilvl w:val="0"/>
          <w:numId w:val="1"/>
        </w:numPr>
        <w:spacing w:after="0" w:line="240" w:lineRule="auto"/>
        <w:ind w:left="1440"/>
        <w:jc w:val="both"/>
        <w:rPr>
          <w:rFonts w:ascii="Cambria" w:hAnsi="Cambria" w:cs="Calibri Light"/>
          <w:b/>
          <w:color w:val="000000"/>
          <w:sz w:val="20"/>
          <w:szCs w:val="20"/>
        </w:rPr>
      </w:pPr>
      <w:r w:rsidRPr="00FA6D77">
        <w:rPr>
          <w:rFonts w:ascii="Cambria" w:hAnsi="Cambria" w:cs="Calibri Light"/>
          <w:b/>
          <w:color w:val="000000"/>
          <w:sz w:val="20"/>
          <w:szCs w:val="20"/>
        </w:rPr>
        <w:t xml:space="preserve">Recommendations </w:t>
      </w:r>
    </w:p>
    <w:p w14:paraId="031F1FF0" w14:textId="77777777" w:rsidR="009A0CCA" w:rsidRPr="00FA6D77" w:rsidRDefault="009A0CCA" w:rsidP="009A0CCA">
      <w:pPr>
        <w:spacing w:after="0" w:line="240" w:lineRule="auto"/>
        <w:jc w:val="both"/>
        <w:rPr>
          <w:rFonts w:ascii="Cambria" w:hAnsi="Cambria" w:cs="Calibri Light"/>
          <w:color w:val="000000"/>
          <w:sz w:val="20"/>
          <w:szCs w:val="20"/>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0"/>
        <w:gridCol w:w="2250"/>
      </w:tblGrid>
      <w:tr w:rsidR="009A0CCA" w:rsidRPr="00FA6D77" w14:paraId="3CF6E47C" w14:textId="77777777" w:rsidTr="000B6D53">
        <w:trPr>
          <w:trHeight w:val="387"/>
        </w:trPr>
        <w:tc>
          <w:tcPr>
            <w:tcW w:w="6930" w:type="dxa"/>
            <w:shd w:val="clear" w:color="auto" w:fill="auto"/>
            <w:vAlign w:val="center"/>
          </w:tcPr>
          <w:p w14:paraId="5C18DBC1" w14:textId="77777777" w:rsidR="009A0CCA" w:rsidRPr="00FA6D77" w:rsidRDefault="009A0CCA" w:rsidP="000B6D53">
            <w:pPr>
              <w:spacing w:after="0" w:line="240" w:lineRule="auto"/>
              <w:jc w:val="center"/>
              <w:rPr>
                <w:rFonts w:ascii="Cambria" w:hAnsi="Cambria" w:cs="Calibri Light"/>
                <w:b/>
                <w:color w:val="000000"/>
                <w:sz w:val="18"/>
                <w:szCs w:val="18"/>
              </w:rPr>
            </w:pPr>
            <w:r w:rsidRPr="00FA6D77">
              <w:rPr>
                <w:rFonts w:ascii="Cambria" w:hAnsi="Cambria" w:cs="Calibri Light"/>
                <w:b/>
                <w:color w:val="000000"/>
                <w:sz w:val="18"/>
                <w:szCs w:val="18"/>
              </w:rPr>
              <w:t>Recommendations</w:t>
            </w:r>
          </w:p>
        </w:tc>
        <w:tc>
          <w:tcPr>
            <w:tcW w:w="2250" w:type="dxa"/>
            <w:shd w:val="clear" w:color="auto" w:fill="auto"/>
            <w:vAlign w:val="center"/>
          </w:tcPr>
          <w:p w14:paraId="40B36357" w14:textId="5D5F444D" w:rsidR="009A0CCA" w:rsidRPr="00FA6D77" w:rsidRDefault="009A0CCA" w:rsidP="000D3FA9">
            <w:pPr>
              <w:spacing w:after="0" w:line="240" w:lineRule="auto"/>
              <w:jc w:val="center"/>
              <w:rPr>
                <w:rFonts w:ascii="Cambria" w:hAnsi="Cambria" w:cs="Calibri Light"/>
                <w:b/>
                <w:color w:val="000000"/>
                <w:sz w:val="18"/>
                <w:szCs w:val="18"/>
              </w:rPr>
            </w:pPr>
            <w:r w:rsidRPr="00FA6D77">
              <w:rPr>
                <w:rFonts w:ascii="Cambria" w:hAnsi="Cambria" w:cs="Calibri Light"/>
                <w:b/>
                <w:color w:val="000000"/>
                <w:sz w:val="18"/>
                <w:szCs w:val="18"/>
              </w:rPr>
              <w:t>State of compliance in 20</w:t>
            </w:r>
            <w:r w:rsidR="000D3FA9" w:rsidRPr="00FA6D77">
              <w:rPr>
                <w:rFonts w:ascii="Cambria" w:hAnsi="Cambria" w:cs="Calibri Light"/>
                <w:b/>
                <w:color w:val="000000"/>
                <w:sz w:val="18"/>
                <w:szCs w:val="18"/>
              </w:rPr>
              <w:t>20</w:t>
            </w:r>
          </w:p>
        </w:tc>
      </w:tr>
      <w:tr w:rsidR="009A0CCA" w:rsidRPr="00FA6D77" w14:paraId="7F908AFE" w14:textId="77777777" w:rsidTr="000B6D53">
        <w:trPr>
          <w:trHeight w:val="791"/>
        </w:trPr>
        <w:tc>
          <w:tcPr>
            <w:tcW w:w="6930" w:type="dxa"/>
            <w:shd w:val="clear" w:color="auto" w:fill="auto"/>
            <w:vAlign w:val="center"/>
          </w:tcPr>
          <w:p w14:paraId="66A847C1" w14:textId="77777777" w:rsidR="009A0CCA" w:rsidRPr="00FA6D77" w:rsidRDefault="009A0CCA" w:rsidP="000B6D53">
            <w:pPr>
              <w:spacing w:after="0" w:line="240" w:lineRule="auto"/>
              <w:jc w:val="both"/>
              <w:rPr>
                <w:rFonts w:ascii="Cambria" w:hAnsi="Cambria"/>
                <w:color w:val="000000"/>
                <w:sz w:val="18"/>
                <w:szCs w:val="18"/>
              </w:rPr>
            </w:pPr>
            <w:r w:rsidRPr="00FA6D77">
              <w:rPr>
                <w:rFonts w:ascii="Cambria" w:hAnsi="Cambria"/>
                <w:color w:val="000000"/>
                <w:sz w:val="18"/>
                <w:szCs w:val="18"/>
              </w:rPr>
              <w:t xml:space="preserve">1. Conduct an impartial and effective investigation into the facts of this complaint to determine the whereabouts and condition of Ileana del Rosario </w:t>
            </w:r>
            <w:proofErr w:type="spellStart"/>
            <w:r w:rsidRPr="00FA6D77">
              <w:rPr>
                <w:rFonts w:ascii="Cambria" w:hAnsi="Cambria"/>
                <w:color w:val="000000"/>
                <w:sz w:val="18"/>
                <w:szCs w:val="18"/>
              </w:rPr>
              <w:t>Solares</w:t>
            </w:r>
            <w:proofErr w:type="spellEnd"/>
            <w:r w:rsidRPr="00FA6D77">
              <w:rPr>
                <w:rFonts w:ascii="Cambria" w:hAnsi="Cambria"/>
                <w:color w:val="000000"/>
                <w:sz w:val="18"/>
                <w:szCs w:val="18"/>
              </w:rPr>
              <w:t xml:space="preserve"> Castillo, María Ana López Rodríguez, and Luz Leticia Hernández, to identify the persons responsible for their disappearance, and to punish them in accordance with the rules of due legal process.</w:t>
            </w:r>
          </w:p>
        </w:tc>
        <w:tc>
          <w:tcPr>
            <w:tcW w:w="2250" w:type="dxa"/>
            <w:shd w:val="clear" w:color="auto" w:fill="auto"/>
            <w:vAlign w:val="center"/>
          </w:tcPr>
          <w:p w14:paraId="60D5A7BB" w14:textId="77777777" w:rsidR="009A0CCA" w:rsidRPr="00FA6D77" w:rsidRDefault="009A0CCA" w:rsidP="000B6D53">
            <w:pPr>
              <w:spacing w:after="0" w:line="240" w:lineRule="auto"/>
              <w:jc w:val="center"/>
              <w:rPr>
                <w:rFonts w:ascii="Cambria" w:hAnsi="Cambria"/>
                <w:color w:val="000000"/>
                <w:sz w:val="18"/>
                <w:szCs w:val="18"/>
              </w:rPr>
            </w:pPr>
            <w:r w:rsidRPr="00FA6D77">
              <w:rPr>
                <w:rFonts w:ascii="Cambria" w:hAnsi="Cambria"/>
                <w:color w:val="000000"/>
                <w:sz w:val="18"/>
                <w:szCs w:val="18"/>
              </w:rPr>
              <w:t>Pending compliance</w:t>
            </w:r>
          </w:p>
        </w:tc>
      </w:tr>
      <w:tr w:rsidR="009A0CCA" w:rsidRPr="00FA6D77" w14:paraId="738471F2" w14:textId="77777777" w:rsidTr="000B6D53">
        <w:trPr>
          <w:trHeight w:val="926"/>
        </w:trPr>
        <w:tc>
          <w:tcPr>
            <w:tcW w:w="6930" w:type="dxa"/>
            <w:shd w:val="clear" w:color="auto" w:fill="auto"/>
            <w:vAlign w:val="center"/>
          </w:tcPr>
          <w:p w14:paraId="67313F36" w14:textId="77777777" w:rsidR="009A0CCA" w:rsidRPr="00FA6D77" w:rsidRDefault="009A0CCA" w:rsidP="000B6D53">
            <w:pPr>
              <w:spacing w:after="0" w:line="240" w:lineRule="auto"/>
              <w:jc w:val="both"/>
              <w:rPr>
                <w:rFonts w:ascii="Cambria" w:hAnsi="Cambria"/>
                <w:color w:val="000000"/>
                <w:sz w:val="18"/>
                <w:szCs w:val="18"/>
              </w:rPr>
            </w:pPr>
            <w:r w:rsidRPr="00FA6D77">
              <w:rPr>
                <w:rFonts w:ascii="Cambria" w:hAnsi="Cambria"/>
                <w:color w:val="000000"/>
                <w:sz w:val="18"/>
                <w:szCs w:val="18"/>
              </w:rPr>
              <w:t xml:space="preserve">2. Take steps to make full amends for the proven violations, including measures to locate the remains of Ileana del Rosario </w:t>
            </w:r>
            <w:proofErr w:type="spellStart"/>
            <w:r w:rsidRPr="00FA6D77">
              <w:rPr>
                <w:rFonts w:ascii="Cambria" w:hAnsi="Cambria"/>
                <w:color w:val="000000"/>
                <w:sz w:val="18"/>
                <w:szCs w:val="18"/>
              </w:rPr>
              <w:t>Solares</w:t>
            </w:r>
            <w:proofErr w:type="spellEnd"/>
            <w:r w:rsidRPr="00FA6D77">
              <w:rPr>
                <w:rFonts w:ascii="Cambria" w:hAnsi="Cambria"/>
                <w:color w:val="000000"/>
                <w:sz w:val="18"/>
                <w:szCs w:val="18"/>
              </w:rPr>
              <w:t xml:space="preserve"> Castillo, María Ana López Rodríguez, and Luz Leticia Hernández, the arrangements necessary to fulfill their families’ wishes regarding the final resting place of their remains, and adequate and timely compensation for the victims’ relatives.</w:t>
            </w:r>
          </w:p>
        </w:tc>
        <w:tc>
          <w:tcPr>
            <w:tcW w:w="2250" w:type="dxa"/>
            <w:shd w:val="clear" w:color="auto" w:fill="auto"/>
            <w:vAlign w:val="center"/>
          </w:tcPr>
          <w:p w14:paraId="6752EE14" w14:textId="77777777" w:rsidR="009A0CCA" w:rsidRPr="00FA6D77" w:rsidRDefault="009A0CCA" w:rsidP="000B6D53">
            <w:pPr>
              <w:spacing w:after="0" w:line="240" w:lineRule="auto"/>
              <w:jc w:val="center"/>
              <w:rPr>
                <w:rFonts w:ascii="Cambria" w:hAnsi="Cambria"/>
                <w:color w:val="000000"/>
                <w:sz w:val="18"/>
                <w:szCs w:val="18"/>
              </w:rPr>
            </w:pPr>
            <w:r w:rsidRPr="00FA6D77">
              <w:rPr>
                <w:rFonts w:ascii="Cambria" w:hAnsi="Cambria"/>
                <w:color w:val="000000"/>
                <w:sz w:val="18"/>
                <w:szCs w:val="18"/>
              </w:rPr>
              <w:t>Partial compliance</w:t>
            </w:r>
          </w:p>
        </w:tc>
      </w:tr>
      <w:tr w:rsidR="009A0CCA" w:rsidRPr="00FA6D77" w14:paraId="285D9113" w14:textId="77777777" w:rsidTr="000B6D53">
        <w:trPr>
          <w:trHeight w:val="521"/>
        </w:trPr>
        <w:tc>
          <w:tcPr>
            <w:tcW w:w="6930" w:type="dxa"/>
            <w:vMerge w:val="restart"/>
            <w:shd w:val="clear" w:color="auto" w:fill="auto"/>
            <w:vAlign w:val="center"/>
          </w:tcPr>
          <w:p w14:paraId="3B143458" w14:textId="77777777" w:rsidR="009A0CCA" w:rsidRPr="00FA6D77" w:rsidRDefault="009A0CCA" w:rsidP="000B6D53">
            <w:pPr>
              <w:spacing w:after="0" w:line="240" w:lineRule="auto"/>
              <w:jc w:val="both"/>
              <w:rPr>
                <w:rFonts w:ascii="Cambria" w:hAnsi="Cambria"/>
                <w:b/>
                <w:color w:val="000000"/>
                <w:sz w:val="18"/>
                <w:szCs w:val="18"/>
              </w:rPr>
            </w:pPr>
          </w:p>
          <w:p w14:paraId="1128EF4F" w14:textId="77777777" w:rsidR="009A0CCA" w:rsidRPr="00FA6D77" w:rsidRDefault="009A0CCA" w:rsidP="000B6D53">
            <w:pPr>
              <w:spacing w:after="120" w:line="240" w:lineRule="auto"/>
              <w:jc w:val="both"/>
              <w:rPr>
                <w:rFonts w:ascii="Cambria" w:hAnsi="Cambria"/>
                <w:b/>
                <w:color w:val="000000"/>
                <w:sz w:val="18"/>
                <w:szCs w:val="18"/>
              </w:rPr>
            </w:pPr>
            <w:r w:rsidRPr="00FA6D77">
              <w:rPr>
                <w:rFonts w:ascii="Cambria" w:hAnsi="Cambria"/>
                <w:b/>
                <w:color w:val="000000"/>
                <w:sz w:val="18"/>
                <w:szCs w:val="18"/>
              </w:rPr>
              <w:t xml:space="preserve">*Compliance Agreement signed with the relatives of the victim Ileana del Rosario </w:t>
            </w:r>
            <w:proofErr w:type="spellStart"/>
            <w:r w:rsidRPr="00FA6D77">
              <w:rPr>
                <w:rFonts w:ascii="Cambria" w:hAnsi="Cambria"/>
                <w:b/>
                <w:color w:val="000000"/>
                <w:sz w:val="18"/>
                <w:szCs w:val="18"/>
              </w:rPr>
              <w:t>Solares</w:t>
            </w:r>
            <w:proofErr w:type="spellEnd"/>
            <w:r w:rsidRPr="00FA6D77">
              <w:rPr>
                <w:rFonts w:ascii="Cambria" w:hAnsi="Cambria"/>
                <w:b/>
                <w:color w:val="000000"/>
                <w:sz w:val="18"/>
                <w:szCs w:val="18"/>
              </w:rPr>
              <w:t xml:space="preserve"> Castillo and the relatives of the victim Ana María López Rodríguez:</w:t>
            </w:r>
          </w:p>
          <w:p w14:paraId="6A716D48" w14:textId="77777777" w:rsidR="009A0CCA" w:rsidRPr="00FA6D77" w:rsidRDefault="009A0CCA" w:rsidP="000B6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Courier New"/>
                <w:color w:val="000000"/>
                <w:sz w:val="18"/>
                <w:szCs w:val="18"/>
              </w:rPr>
            </w:pPr>
            <w:r w:rsidRPr="00FA6D77">
              <w:rPr>
                <w:rFonts w:ascii="Cambria" w:eastAsia="Times New Roman" w:hAnsi="Cambria" w:cs="Courier New"/>
                <w:color w:val="000000"/>
                <w:sz w:val="18"/>
                <w:szCs w:val="18"/>
              </w:rPr>
              <w:t>Promoting trial and punishment of those responsible for these enforced disappearances.</w:t>
            </w:r>
          </w:p>
        </w:tc>
        <w:tc>
          <w:tcPr>
            <w:tcW w:w="2250" w:type="dxa"/>
            <w:tcBorders>
              <w:bottom w:val="single" w:sz="4" w:space="0" w:color="auto"/>
            </w:tcBorders>
            <w:vAlign w:val="center"/>
          </w:tcPr>
          <w:p w14:paraId="1C7A5D38" w14:textId="77777777" w:rsidR="009A0CCA" w:rsidRPr="00FA6D77" w:rsidRDefault="009A0CCA" w:rsidP="000B6D53">
            <w:pPr>
              <w:spacing w:after="0" w:line="240" w:lineRule="auto"/>
              <w:contextualSpacing/>
              <w:jc w:val="center"/>
              <w:rPr>
                <w:rFonts w:ascii="Cambria" w:eastAsia="MS Mincho" w:hAnsi="Cambria"/>
                <w:b/>
                <w:color w:val="000000"/>
                <w:sz w:val="18"/>
                <w:szCs w:val="18"/>
                <w:lang w:eastAsia="es-ES_tradnl"/>
              </w:rPr>
            </w:pPr>
            <w:r w:rsidRPr="00FA6D77">
              <w:rPr>
                <w:rFonts w:ascii="Cambria" w:eastAsia="MS Mincho" w:hAnsi="Cambria"/>
                <w:b/>
                <w:color w:val="000000"/>
                <w:sz w:val="18"/>
                <w:szCs w:val="18"/>
                <w:lang w:eastAsia="es-ES_tradnl"/>
              </w:rPr>
              <w:t xml:space="preserve">Next of kin of Ileana del Rosario </w:t>
            </w:r>
            <w:proofErr w:type="spellStart"/>
            <w:r w:rsidRPr="00FA6D77">
              <w:rPr>
                <w:rFonts w:ascii="Cambria" w:eastAsia="MS Mincho" w:hAnsi="Cambria"/>
                <w:b/>
                <w:color w:val="000000"/>
                <w:sz w:val="18"/>
                <w:szCs w:val="18"/>
                <w:lang w:eastAsia="es-ES_tradnl"/>
              </w:rPr>
              <w:t>Solares</w:t>
            </w:r>
            <w:proofErr w:type="spellEnd"/>
            <w:r w:rsidRPr="00FA6D77">
              <w:rPr>
                <w:rFonts w:ascii="Cambria" w:eastAsia="MS Mincho" w:hAnsi="Cambria"/>
                <w:b/>
                <w:color w:val="000000"/>
                <w:sz w:val="18"/>
                <w:szCs w:val="18"/>
                <w:lang w:eastAsia="es-ES_tradnl"/>
              </w:rPr>
              <w:t xml:space="preserve"> Castillo</w:t>
            </w:r>
          </w:p>
          <w:p w14:paraId="1D56DCB3" w14:textId="77777777" w:rsidR="009A0CCA" w:rsidRPr="00FA6D77" w:rsidRDefault="009A0CCA" w:rsidP="000B6D53">
            <w:pPr>
              <w:spacing w:after="0" w:line="240" w:lineRule="auto"/>
              <w:jc w:val="center"/>
              <w:rPr>
                <w:rFonts w:ascii="Cambria" w:eastAsia="MS Mincho" w:hAnsi="Cambria"/>
                <w:color w:val="000000"/>
                <w:sz w:val="18"/>
                <w:szCs w:val="18"/>
                <w:lang w:eastAsia="es-ES_tradnl"/>
              </w:rPr>
            </w:pPr>
            <w:r w:rsidRPr="00FA6D77">
              <w:rPr>
                <w:rFonts w:ascii="Cambria" w:hAnsi="Cambria"/>
                <w:color w:val="000000"/>
                <w:sz w:val="18"/>
                <w:szCs w:val="18"/>
              </w:rPr>
              <w:t>Pending compliance</w:t>
            </w:r>
          </w:p>
        </w:tc>
      </w:tr>
      <w:tr w:rsidR="009A0CCA" w:rsidRPr="00FA6D77" w14:paraId="66A7EF90" w14:textId="77777777" w:rsidTr="000B6D53">
        <w:trPr>
          <w:trHeight w:val="423"/>
        </w:trPr>
        <w:tc>
          <w:tcPr>
            <w:tcW w:w="6930" w:type="dxa"/>
            <w:vMerge/>
            <w:shd w:val="clear" w:color="auto" w:fill="auto"/>
            <w:vAlign w:val="center"/>
          </w:tcPr>
          <w:p w14:paraId="28935BC6" w14:textId="77777777" w:rsidR="009A0CCA" w:rsidRPr="00FA6D77" w:rsidRDefault="009A0CCA" w:rsidP="000B6D53">
            <w:pPr>
              <w:spacing w:after="0" w:line="240" w:lineRule="auto"/>
              <w:jc w:val="both"/>
              <w:rPr>
                <w:rFonts w:ascii="Cambria" w:hAnsi="Cambria"/>
                <w:b/>
                <w:color w:val="000000"/>
                <w:sz w:val="18"/>
                <w:szCs w:val="18"/>
              </w:rPr>
            </w:pPr>
          </w:p>
        </w:tc>
        <w:tc>
          <w:tcPr>
            <w:tcW w:w="2250" w:type="dxa"/>
            <w:tcBorders>
              <w:bottom w:val="single" w:sz="4" w:space="0" w:color="auto"/>
            </w:tcBorders>
            <w:vAlign w:val="center"/>
          </w:tcPr>
          <w:p w14:paraId="3834748D" w14:textId="77777777" w:rsidR="009A0CCA" w:rsidRPr="00FA6D77" w:rsidRDefault="009A0CCA" w:rsidP="000B6D53">
            <w:pPr>
              <w:spacing w:after="0" w:line="240" w:lineRule="auto"/>
              <w:jc w:val="center"/>
              <w:rPr>
                <w:rFonts w:ascii="Cambria" w:eastAsia="MS Mincho" w:hAnsi="Cambria"/>
                <w:color w:val="000000"/>
                <w:sz w:val="18"/>
                <w:szCs w:val="18"/>
                <w:lang w:eastAsia="es-ES_tradnl"/>
              </w:rPr>
            </w:pPr>
            <w:r w:rsidRPr="00FA6D77">
              <w:rPr>
                <w:rFonts w:ascii="Cambria" w:eastAsia="MS Mincho" w:hAnsi="Cambria"/>
                <w:b/>
                <w:color w:val="000000"/>
                <w:sz w:val="18"/>
                <w:szCs w:val="18"/>
                <w:lang w:eastAsia="es-ES_tradnl"/>
              </w:rPr>
              <w:t>Next of kin of Ana María López Rodríguez</w:t>
            </w:r>
          </w:p>
          <w:p w14:paraId="4F6812D9" w14:textId="77777777" w:rsidR="009A0CCA" w:rsidRPr="00FA6D77" w:rsidRDefault="009A0CCA" w:rsidP="000B6D53">
            <w:pPr>
              <w:spacing w:after="0" w:line="240" w:lineRule="auto"/>
              <w:jc w:val="center"/>
              <w:rPr>
                <w:rFonts w:ascii="Cambria" w:eastAsia="MS Mincho" w:hAnsi="Cambria"/>
                <w:b/>
                <w:color w:val="000000"/>
                <w:sz w:val="18"/>
                <w:szCs w:val="18"/>
                <w:lang w:eastAsia="es-ES_tradnl"/>
              </w:rPr>
            </w:pPr>
            <w:r w:rsidRPr="00FA6D77">
              <w:rPr>
                <w:rFonts w:ascii="Cambria" w:hAnsi="Cambria"/>
                <w:color w:val="000000"/>
                <w:sz w:val="18"/>
                <w:szCs w:val="18"/>
              </w:rPr>
              <w:lastRenderedPageBreak/>
              <w:t>Pending compliance</w:t>
            </w:r>
          </w:p>
        </w:tc>
      </w:tr>
      <w:tr w:rsidR="009A0CCA" w:rsidRPr="00FA6D77" w14:paraId="6B53DD11" w14:textId="77777777" w:rsidTr="000B6D53">
        <w:trPr>
          <w:trHeight w:val="764"/>
        </w:trPr>
        <w:tc>
          <w:tcPr>
            <w:tcW w:w="6930" w:type="dxa"/>
            <w:vMerge w:val="restart"/>
            <w:shd w:val="clear" w:color="auto" w:fill="auto"/>
            <w:vAlign w:val="center"/>
          </w:tcPr>
          <w:p w14:paraId="539E5442" w14:textId="77777777" w:rsidR="009A0CCA" w:rsidRPr="00FA6D77" w:rsidRDefault="009A0CCA" w:rsidP="000B6D53">
            <w:pPr>
              <w:spacing w:after="0" w:line="240" w:lineRule="auto"/>
              <w:jc w:val="both"/>
              <w:rPr>
                <w:rFonts w:ascii="Cambria" w:hAnsi="Cambria"/>
                <w:color w:val="000000"/>
                <w:sz w:val="18"/>
                <w:szCs w:val="18"/>
              </w:rPr>
            </w:pPr>
            <w:r w:rsidRPr="00FA6D77">
              <w:rPr>
                <w:rFonts w:ascii="Cambria" w:hAnsi="Cambria"/>
                <w:color w:val="000000"/>
                <w:sz w:val="18"/>
                <w:szCs w:val="18"/>
              </w:rPr>
              <w:lastRenderedPageBreak/>
              <w:t xml:space="preserve">Recognition of international responsibility and apology. </w:t>
            </w:r>
          </w:p>
        </w:tc>
        <w:tc>
          <w:tcPr>
            <w:tcW w:w="2250" w:type="dxa"/>
            <w:tcBorders>
              <w:bottom w:val="single" w:sz="4" w:space="0" w:color="auto"/>
            </w:tcBorders>
            <w:shd w:val="clear" w:color="auto" w:fill="auto"/>
            <w:vAlign w:val="center"/>
          </w:tcPr>
          <w:p w14:paraId="7C1345DC" w14:textId="77777777" w:rsidR="009A0CCA" w:rsidRPr="00FA6D77" w:rsidRDefault="009A0CCA" w:rsidP="000B6D53">
            <w:pPr>
              <w:spacing w:after="0" w:line="240" w:lineRule="auto"/>
              <w:jc w:val="center"/>
              <w:rPr>
                <w:rFonts w:ascii="Cambria" w:eastAsia="MS Mincho" w:hAnsi="Cambria"/>
                <w:b/>
                <w:color w:val="000000"/>
                <w:sz w:val="18"/>
                <w:szCs w:val="18"/>
                <w:lang w:eastAsia="es-ES_tradnl"/>
              </w:rPr>
            </w:pPr>
            <w:r w:rsidRPr="00FA6D77">
              <w:rPr>
                <w:rFonts w:ascii="Cambria" w:eastAsia="MS Mincho" w:hAnsi="Cambria"/>
                <w:b/>
                <w:color w:val="000000"/>
                <w:sz w:val="18"/>
                <w:szCs w:val="18"/>
                <w:lang w:eastAsia="es-ES_tradnl"/>
              </w:rPr>
              <w:t xml:space="preserve">Next of kin of Ileana del Rosario </w:t>
            </w:r>
            <w:proofErr w:type="spellStart"/>
            <w:r w:rsidRPr="00FA6D77">
              <w:rPr>
                <w:rFonts w:ascii="Cambria" w:eastAsia="MS Mincho" w:hAnsi="Cambria"/>
                <w:b/>
                <w:color w:val="000000"/>
                <w:sz w:val="18"/>
                <w:szCs w:val="18"/>
                <w:lang w:eastAsia="es-ES_tradnl"/>
              </w:rPr>
              <w:t>Solares</w:t>
            </w:r>
            <w:proofErr w:type="spellEnd"/>
            <w:r w:rsidRPr="00FA6D77">
              <w:rPr>
                <w:rFonts w:ascii="Cambria" w:eastAsia="MS Mincho" w:hAnsi="Cambria"/>
                <w:b/>
                <w:color w:val="000000"/>
                <w:sz w:val="18"/>
                <w:szCs w:val="18"/>
                <w:lang w:eastAsia="es-ES_tradnl"/>
              </w:rPr>
              <w:t xml:space="preserve"> Castillo</w:t>
            </w:r>
          </w:p>
          <w:p w14:paraId="0A6BF99E" w14:textId="77777777" w:rsidR="009A0CCA" w:rsidRPr="00FA6D77" w:rsidRDefault="009A0CCA" w:rsidP="000B6D53">
            <w:pPr>
              <w:spacing w:after="0" w:line="240" w:lineRule="auto"/>
              <w:jc w:val="center"/>
              <w:rPr>
                <w:rFonts w:ascii="Cambria" w:eastAsia="MS Mincho" w:hAnsi="Cambria"/>
                <w:color w:val="000000"/>
                <w:sz w:val="18"/>
                <w:szCs w:val="18"/>
                <w:lang w:eastAsia="es-ES_tradnl"/>
              </w:rPr>
            </w:pPr>
            <w:r w:rsidRPr="00FA6D77">
              <w:rPr>
                <w:rFonts w:ascii="Cambria" w:eastAsia="MS Mincho" w:hAnsi="Cambria"/>
                <w:color w:val="000000"/>
                <w:sz w:val="18"/>
                <w:szCs w:val="18"/>
                <w:lang w:eastAsia="es-ES_tradnl"/>
              </w:rPr>
              <w:t>Total compliance</w:t>
            </w:r>
            <w:r w:rsidRPr="00FA6D77">
              <w:rPr>
                <w:rStyle w:val="FootnoteReference"/>
                <w:rFonts w:ascii="Cambria" w:eastAsia="MS Mincho" w:hAnsi="Cambria"/>
                <w:color w:val="000000"/>
                <w:sz w:val="18"/>
                <w:szCs w:val="18"/>
                <w:lang w:eastAsia="es-ES_tradnl"/>
              </w:rPr>
              <w:footnoteReference w:id="1"/>
            </w:r>
          </w:p>
        </w:tc>
      </w:tr>
      <w:tr w:rsidR="009A0CCA" w:rsidRPr="00FA6D77" w14:paraId="7FB0A1C6" w14:textId="77777777" w:rsidTr="000B6D53">
        <w:trPr>
          <w:trHeight w:val="782"/>
        </w:trPr>
        <w:tc>
          <w:tcPr>
            <w:tcW w:w="6930" w:type="dxa"/>
            <w:vMerge/>
            <w:shd w:val="clear" w:color="auto" w:fill="auto"/>
            <w:vAlign w:val="center"/>
          </w:tcPr>
          <w:p w14:paraId="0B54B7A3" w14:textId="77777777" w:rsidR="009A0CCA" w:rsidRPr="00FA6D77" w:rsidRDefault="009A0CCA" w:rsidP="000B6D53">
            <w:pPr>
              <w:spacing w:after="0" w:line="240" w:lineRule="auto"/>
              <w:jc w:val="both"/>
              <w:rPr>
                <w:rFonts w:ascii="Cambria" w:eastAsia="MS Mincho" w:hAnsi="Cambria"/>
                <w:color w:val="000000"/>
                <w:sz w:val="18"/>
                <w:szCs w:val="18"/>
                <w:lang w:eastAsia="es-ES_tradnl"/>
              </w:rPr>
            </w:pPr>
          </w:p>
        </w:tc>
        <w:tc>
          <w:tcPr>
            <w:tcW w:w="2250" w:type="dxa"/>
            <w:tcBorders>
              <w:bottom w:val="single" w:sz="4" w:space="0" w:color="auto"/>
            </w:tcBorders>
            <w:shd w:val="clear" w:color="auto" w:fill="auto"/>
            <w:vAlign w:val="center"/>
          </w:tcPr>
          <w:p w14:paraId="4C158F67" w14:textId="77777777" w:rsidR="009A0CCA" w:rsidRPr="00FA6D77" w:rsidRDefault="009A0CCA" w:rsidP="000B6D53">
            <w:pPr>
              <w:spacing w:after="0" w:line="240" w:lineRule="auto"/>
              <w:jc w:val="center"/>
              <w:rPr>
                <w:rFonts w:ascii="Cambria" w:eastAsia="MS Mincho" w:hAnsi="Cambria"/>
                <w:color w:val="000000"/>
                <w:sz w:val="18"/>
                <w:szCs w:val="18"/>
                <w:lang w:eastAsia="es-ES_tradnl"/>
              </w:rPr>
            </w:pPr>
            <w:r w:rsidRPr="00FA6D77">
              <w:rPr>
                <w:rFonts w:ascii="Cambria" w:eastAsia="MS Mincho" w:hAnsi="Cambria"/>
                <w:b/>
                <w:color w:val="000000"/>
                <w:sz w:val="18"/>
                <w:szCs w:val="18"/>
                <w:lang w:eastAsia="es-ES_tradnl"/>
              </w:rPr>
              <w:t>Next of kin of Ana María López Rodríguez</w:t>
            </w:r>
          </w:p>
          <w:p w14:paraId="722B3C2E" w14:textId="77777777" w:rsidR="009A0CCA" w:rsidRPr="00FA6D77" w:rsidRDefault="009A0CCA" w:rsidP="000B6D53">
            <w:pPr>
              <w:spacing w:after="0" w:line="240" w:lineRule="auto"/>
              <w:jc w:val="center"/>
              <w:rPr>
                <w:rFonts w:ascii="Cambria" w:eastAsia="MS Mincho" w:hAnsi="Cambria"/>
                <w:b/>
                <w:color w:val="000000"/>
                <w:sz w:val="18"/>
                <w:szCs w:val="18"/>
                <w:lang w:eastAsia="es-ES_tradnl"/>
              </w:rPr>
            </w:pPr>
            <w:r w:rsidRPr="00FA6D77">
              <w:rPr>
                <w:rFonts w:ascii="Cambria" w:eastAsia="MS Mincho" w:hAnsi="Cambria"/>
                <w:color w:val="000000"/>
                <w:sz w:val="18"/>
                <w:szCs w:val="18"/>
                <w:lang w:eastAsia="es-ES_tradnl"/>
              </w:rPr>
              <w:t>Total compliance</w:t>
            </w:r>
            <w:r w:rsidRPr="00FA6D77">
              <w:rPr>
                <w:rStyle w:val="FootnoteReference"/>
                <w:rFonts w:ascii="Cambria" w:eastAsia="MS Mincho" w:hAnsi="Cambria"/>
                <w:color w:val="000000"/>
                <w:sz w:val="18"/>
                <w:szCs w:val="18"/>
                <w:lang w:eastAsia="es-ES_tradnl"/>
              </w:rPr>
              <w:footnoteReference w:id="2"/>
            </w:r>
          </w:p>
        </w:tc>
      </w:tr>
      <w:tr w:rsidR="009A0CCA" w:rsidRPr="00FA6D77" w14:paraId="2FABAD4B" w14:textId="77777777" w:rsidTr="000B6D53">
        <w:trPr>
          <w:trHeight w:val="809"/>
        </w:trPr>
        <w:tc>
          <w:tcPr>
            <w:tcW w:w="6930" w:type="dxa"/>
            <w:vMerge w:val="restart"/>
            <w:shd w:val="clear" w:color="auto" w:fill="auto"/>
            <w:vAlign w:val="center"/>
          </w:tcPr>
          <w:p w14:paraId="363B2CE1" w14:textId="77777777" w:rsidR="009A0CCA" w:rsidRPr="00FA6D77" w:rsidRDefault="009A0CCA" w:rsidP="000B6D53">
            <w:pPr>
              <w:spacing w:after="0" w:line="240" w:lineRule="auto"/>
              <w:jc w:val="both"/>
              <w:rPr>
                <w:rFonts w:ascii="Cambria" w:hAnsi="Cambria"/>
                <w:color w:val="000000"/>
                <w:sz w:val="18"/>
                <w:szCs w:val="18"/>
              </w:rPr>
            </w:pPr>
            <w:r w:rsidRPr="00FA6D77">
              <w:rPr>
                <w:rFonts w:ascii="Cambria" w:hAnsi="Cambria"/>
                <w:color w:val="000000"/>
                <w:sz w:val="18"/>
                <w:szCs w:val="18"/>
              </w:rPr>
              <w:t>Unveiling of commemorative plaque in memory of the victim.</w:t>
            </w:r>
          </w:p>
        </w:tc>
        <w:tc>
          <w:tcPr>
            <w:tcW w:w="2250" w:type="dxa"/>
            <w:vAlign w:val="center"/>
          </w:tcPr>
          <w:p w14:paraId="173588A3" w14:textId="77777777" w:rsidR="009A0CCA" w:rsidRPr="00FA6D77" w:rsidRDefault="009A0CCA" w:rsidP="000B6D53">
            <w:pPr>
              <w:spacing w:after="0" w:line="240" w:lineRule="auto"/>
              <w:jc w:val="center"/>
              <w:rPr>
                <w:rFonts w:ascii="Cambria" w:eastAsia="MS Mincho" w:hAnsi="Cambria"/>
                <w:b/>
                <w:color w:val="000000"/>
                <w:sz w:val="18"/>
                <w:szCs w:val="18"/>
                <w:lang w:eastAsia="es-ES_tradnl"/>
              </w:rPr>
            </w:pPr>
            <w:r w:rsidRPr="00FA6D77">
              <w:rPr>
                <w:rFonts w:ascii="Cambria" w:eastAsia="MS Mincho" w:hAnsi="Cambria"/>
                <w:b/>
                <w:color w:val="000000"/>
                <w:sz w:val="18"/>
                <w:szCs w:val="18"/>
                <w:lang w:eastAsia="es-ES_tradnl"/>
              </w:rPr>
              <w:t xml:space="preserve">Next of kin of Ileana del Rosario </w:t>
            </w:r>
            <w:proofErr w:type="spellStart"/>
            <w:r w:rsidRPr="00FA6D77">
              <w:rPr>
                <w:rFonts w:ascii="Cambria" w:eastAsia="MS Mincho" w:hAnsi="Cambria"/>
                <w:b/>
                <w:color w:val="000000"/>
                <w:sz w:val="18"/>
                <w:szCs w:val="18"/>
                <w:lang w:eastAsia="es-ES_tradnl"/>
              </w:rPr>
              <w:t>Solares</w:t>
            </w:r>
            <w:proofErr w:type="spellEnd"/>
            <w:r w:rsidRPr="00FA6D77">
              <w:rPr>
                <w:rFonts w:ascii="Cambria" w:eastAsia="MS Mincho" w:hAnsi="Cambria"/>
                <w:b/>
                <w:color w:val="000000"/>
                <w:sz w:val="18"/>
                <w:szCs w:val="18"/>
                <w:lang w:eastAsia="es-ES_tradnl"/>
              </w:rPr>
              <w:t xml:space="preserve"> Castillo</w:t>
            </w:r>
          </w:p>
          <w:p w14:paraId="7BC780F8" w14:textId="77777777" w:rsidR="009A0CCA" w:rsidRPr="00FA6D77" w:rsidRDefault="009A0CCA" w:rsidP="000B6D53">
            <w:pPr>
              <w:spacing w:after="0" w:line="240" w:lineRule="auto"/>
              <w:jc w:val="center"/>
              <w:rPr>
                <w:rFonts w:ascii="Cambria" w:hAnsi="Cambria"/>
                <w:color w:val="000000"/>
                <w:sz w:val="18"/>
                <w:szCs w:val="18"/>
              </w:rPr>
            </w:pPr>
            <w:r w:rsidRPr="00FA6D77">
              <w:rPr>
                <w:rFonts w:ascii="Cambria" w:eastAsia="MS Mincho" w:hAnsi="Cambria"/>
                <w:color w:val="000000"/>
                <w:sz w:val="18"/>
                <w:szCs w:val="18"/>
                <w:lang w:eastAsia="es-ES_tradnl"/>
              </w:rPr>
              <w:t>Total compliance</w:t>
            </w:r>
            <w:r w:rsidRPr="00FA6D77">
              <w:rPr>
                <w:rStyle w:val="FootnoteReference"/>
                <w:rFonts w:ascii="Cambria" w:eastAsia="MS Mincho" w:hAnsi="Cambria"/>
                <w:color w:val="000000"/>
                <w:sz w:val="18"/>
                <w:szCs w:val="18"/>
                <w:lang w:eastAsia="es-ES_tradnl"/>
              </w:rPr>
              <w:footnoteReference w:id="3"/>
            </w:r>
          </w:p>
        </w:tc>
      </w:tr>
      <w:tr w:rsidR="009A0CCA" w:rsidRPr="00FA6D77" w14:paraId="38ECE1B5" w14:textId="77777777" w:rsidTr="000B6D53">
        <w:trPr>
          <w:trHeight w:val="719"/>
        </w:trPr>
        <w:tc>
          <w:tcPr>
            <w:tcW w:w="6930" w:type="dxa"/>
            <w:vMerge/>
            <w:shd w:val="clear" w:color="auto" w:fill="auto"/>
            <w:vAlign w:val="center"/>
          </w:tcPr>
          <w:p w14:paraId="6823F22E" w14:textId="77777777" w:rsidR="009A0CCA" w:rsidRPr="00FA6D77" w:rsidRDefault="009A0CCA" w:rsidP="000B6D53">
            <w:pPr>
              <w:spacing w:after="0" w:line="240" w:lineRule="auto"/>
              <w:jc w:val="both"/>
              <w:rPr>
                <w:rFonts w:ascii="Cambria" w:eastAsia="MS Mincho" w:hAnsi="Cambria"/>
                <w:color w:val="000000"/>
                <w:sz w:val="18"/>
                <w:szCs w:val="18"/>
                <w:lang w:eastAsia="es-ES_tradnl"/>
              </w:rPr>
            </w:pPr>
          </w:p>
        </w:tc>
        <w:tc>
          <w:tcPr>
            <w:tcW w:w="2250" w:type="dxa"/>
            <w:vAlign w:val="center"/>
          </w:tcPr>
          <w:p w14:paraId="460ECA0B" w14:textId="77777777" w:rsidR="009A0CCA" w:rsidRPr="00FA6D77" w:rsidRDefault="009A0CCA" w:rsidP="000B6D53">
            <w:pPr>
              <w:spacing w:after="0" w:line="240" w:lineRule="auto"/>
              <w:jc w:val="center"/>
              <w:rPr>
                <w:rFonts w:ascii="Cambria" w:eastAsia="MS Mincho" w:hAnsi="Cambria"/>
                <w:color w:val="000000"/>
                <w:sz w:val="18"/>
                <w:szCs w:val="18"/>
                <w:lang w:eastAsia="es-ES_tradnl"/>
              </w:rPr>
            </w:pPr>
            <w:r w:rsidRPr="00FA6D77">
              <w:rPr>
                <w:rFonts w:ascii="Cambria" w:eastAsia="MS Mincho" w:hAnsi="Cambria"/>
                <w:b/>
                <w:color w:val="000000"/>
                <w:sz w:val="18"/>
                <w:szCs w:val="18"/>
                <w:lang w:eastAsia="es-ES_tradnl"/>
              </w:rPr>
              <w:t>Next of kin of Ana María López Rodríguez</w:t>
            </w:r>
          </w:p>
          <w:p w14:paraId="4069E116" w14:textId="77777777" w:rsidR="009A0CCA" w:rsidRPr="00FA6D77" w:rsidRDefault="009A0CCA" w:rsidP="000B6D53">
            <w:pPr>
              <w:spacing w:after="0" w:line="240" w:lineRule="auto"/>
              <w:jc w:val="center"/>
              <w:rPr>
                <w:rFonts w:ascii="Cambria" w:eastAsia="MS Mincho" w:hAnsi="Cambria"/>
                <w:b/>
                <w:color w:val="000000"/>
                <w:sz w:val="18"/>
                <w:szCs w:val="18"/>
                <w:lang w:eastAsia="es-ES_tradnl"/>
              </w:rPr>
            </w:pPr>
            <w:r w:rsidRPr="00FA6D77">
              <w:rPr>
                <w:rFonts w:ascii="Cambria" w:hAnsi="Cambria"/>
                <w:color w:val="000000"/>
                <w:sz w:val="18"/>
                <w:szCs w:val="18"/>
              </w:rPr>
              <w:t>Pending compliance</w:t>
            </w:r>
          </w:p>
        </w:tc>
      </w:tr>
      <w:tr w:rsidR="009A0CCA" w:rsidRPr="00FA6D77" w14:paraId="42B652CD" w14:textId="77777777" w:rsidTr="000B6D53">
        <w:trPr>
          <w:trHeight w:val="701"/>
        </w:trPr>
        <w:tc>
          <w:tcPr>
            <w:tcW w:w="6930" w:type="dxa"/>
            <w:vMerge w:val="restart"/>
            <w:shd w:val="clear" w:color="auto" w:fill="auto"/>
            <w:vAlign w:val="center"/>
          </w:tcPr>
          <w:p w14:paraId="729BB8FD" w14:textId="77777777" w:rsidR="009A0CCA" w:rsidRPr="00FA6D77" w:rsidRDefault="009A0CCA" w:rsidP="000B6D53">
            <w:pPr>
              <w:spacing w:after="0" w:line="240" w:lineRule="auto"/>
              <w:jc w:val="both"/>
              <w:rPr>
                <w:rFonts w:ascii="Cambria" w:hAnsi="Cambria"/>
                <w:color w:val="000000"/>
                <w:sz w:val="18"/>
                <w:szCs w:val="18"/>
              </w:rPr>
            </w:pPr>
            <w:r w:rsidRPr="00FA6D77">
              <w:rPr>
                <w:rFonts w:ascii="Cambria" w:hAnsi="Cambria"/>
                <w:color w:val="000000"/>
                <w:sz w:val="18"/>
                <w:szCs w:val="18"/>
              </w:rPr>
              <w:t xml:space="preserve">Payment of financial compensation </w:t>
            </w:r>
          </w:p>
        </w:tc>
        <w:tc>
          <w:tcPr>
            <w:tcW w:w="2250" w:type="dxa"/>
          </w:tcPr>
          <w:p w14:paraId="5B14B2C0" w14:textId="77777777" w:rsidR="009A0CCA" w:rsidRPr="00FA6D77" w:rsidRDefault="009A0CCA" w:rsidP="000B6D53">
            <w:pPr>
              <w:spacing w:after="0" w:line="240" w:lineRule="auto"/>
              <w:jc w:val="center"/>
              <w:rPr>
                <w:rFonts w:ascii="Cambria" w:eastAsia="MS Mincho" w:hAnsi="Cambria"/>
                <w:b/>
                <w:color w:val="000000"/>
                <w:sz w:val="18"/>
                <w:szCs w:val="18"/>
                <w:lang w:eastAsia="es-ES_tradnl"/>
              </w:rPr>
            </w:pPr>
            <w:r w:rsidRPr="00FA6D77">
              <w:rPr>
                <w:rFonts w:ascii="Cambria" w:eastAsia="MS Mincho" w:hAnsi="Cambria"/>
                <w:b/>
                <w:color w:val="000000"/>
                <w:sz w:val="18"/>
                <w:szCs w:val="18"/>
                <w:lang w:eastAsia="es-ES_tradnl"/>
              </w:rPr>
              <w:t xml:space="preserve">Next of kin of Ileana del Rosario </w:t>
            </w:r>
            <w:proofErr w:type="spellStart"/>
            <w:r w:rsidRPr="00FA6D77">
              <w:rPr>
                <w:rFonts w:ascii="Cambria" w:eastAsia="MS Mincho" w:hAnsi="Cambria"/>
                <w:b/>
                <w:color w:val="000000"/>
                <w:sz w:val="18"/>
                <w:szCs w:val="18"/>
                <w:lang w:eastAsia="es-ES_tradnl"/>
              </w:rPr>
              <w:t>Solares</w:t>
            </w:r>
            <w:proofErr w:type="spellEnd"/>
            <w:r w:rsidRPr="00FA6D77">
              <w:rPr>
                <w:rFonts w:ascii="Cambria" w:eastAsia="MS Mincho" w:hAnsi="Cambria"/>
                <w:b/>
                <w:color w:val="000000"/>
                <w:sz w:val="18"/>
                <w:szCs w:val="18"/>
                <w:lang w:eastAsia="es-ES_tradnl"/>
              </w:rPr>
              <w:t xml:space="preserve"> Castillo</w:t>
            </w:r>
          </w:p>
          <w:p w14:paraId="441A5EDE" w14:textId="77777777" w:rsidR="009A0CCA" w:rsidRPr="00FA6D77" w:rsidRDefault="009A0CCA" w:rsidP="000B6D53">
            <w:pPr>
              <w:spacing w:after="0" w:line="240" w:lineRule="auto"/>
              <w:jc w:val="center"/>
              <w:rPr>
                <w:rFonts w:ascii="Cambria" w:hAnsi="Cambria"/>
                <w:color w:val="000000"/>
                <w:sz w:val="18"/>
                <w:szCs w:val="18"/>
              </w:rPr>
            </w:pPr>
            <w:r w:rsidRPr="00FA6D77">
              <w:rPr>
                <w:rFonts w:ascii="Cambria" w:eastAsia="MS Mincho" w:hAnsi="Cambria"/>
                <w:color w:val="000000"/>
                <w:sz w:val="18"/>
                <w:szCs w:val="18"/>
                <w:lang w:eastAsia="es-ES_tradnl"/>
              </w:rPr>
              <w:t>Total compliance</w:t>
            </w:r>
            <w:r w:rsidRPr="00FA6D77">
              <w:rPr>
                <w:rStyle w:val="FootnoteReference"/>
                <w:rFonts w:ascii="Cambria" w:eastAsia="MS Mincho" w:hAnsi="Cambria"/>
                <w:color w:val="000000"/>
                <w:sz w:val="18"/>
                <w:szCs w:val="18"/>
                <w:lang w:eastAsia="es-ES_tradnl"/>
              </w:rPr>
              <w:footnoteReference w:id="4"/>
            </w:r>
          </w:p>
        </w:tc>
      </w:tr>
      <w:tr w:rsidR="009A0CCA" w:rsidRPr="00FA6D77" w14:paraId="64D1333A" w14:textId="77777777" w:rsidTr="000B6D53">
        <w:trPr>
          <w:trHeight w:val="539"/>
        </w:trPr>
        <w:tc>
          <w:tcPr>
            <w:tcW w:w="6930" w:type="dxa"/>
            <w:vMerge/>
            <w:shd w:val="clear" w:color="auto" w:fill="auto"/>
            <w:vAlign w:val="center"/>
          </w:tcPr>
          <w:p w14:paraId="67934861" w14:textId="77777777" w:rsidR="009A0CCA" w:rsidRPr="00FA6D77" w:rsidRDefault="009A0CCA" w:rsidP="000B6D53">
            <w:pPr>
              <w:spacing w:after="0" w:line="240" w:lineRule="auto"/>
              <w:jc w:val="both"/>
              <w:rPr>
                <w:rFonts w:ascii="Cambria" w:eastAsia="MS Mincho" w:hAnsi="Cambria"/>
                <w:color w:val="000000"/>
                <w:sz w:val="18"/>
                <w:szCs w:val="18"/>
                <w:lang w:eastAsia="es-ES_tradnl"/>
              </w:rPr>
            </w:pPr>
          </w:p>
        </w:tc>
        <w:tc>
          <w:tcPr>
            <w:tcW w:w="2250" w:type="dxa"/>
          </w:tcPr>
          <w:p w14:paraId="184C9D23" w14:textId="77777777" w:rsidR="009A0CCA" w:rsidRPr="00FA6D77" w:rsidRDefault="009A0CCA" w:rsidP="000B6D53">
            <w:pPr>
              <w:spacing w:after="0" w:line="240" w:lineRule="auto"/>
              <w:jc w:val="center"/>
              <w:rPr>
                <w:rFonts w:ascii="Cambria" w:eastAsia="MS Mincho" w:hAnsi="Cambria"/>
                <w:color w:val="000000"/>
                <w:sz w:val="18"/>
                <w:szCs w:val="18"/>
                <w:lang w:eastAsia="es-ES_tradnl"/>
              </w:rPr>
            </w:pPr>
            <w:r w:rsidRPr="00FA6D77">
              <w:rPr>
                <w:rFonts w:ascii="Cambria" w:eastAsia="MS Mincho" w:hAnsi="Cambria"/>
                <w:b/>
                <w:color w:val="000000"/>
                <w:sz w:val="18"/>
                <w:szCs w:val="18"/>
                <w:lang w:eastAsia="es-ES_tradnl"/>
              </w:rPr>
              <w:t>Next of kin of Ana María López Rodríguez</w:t>
            </w:r>
          </w:p>
          <w:p w14:paraId="4E3510C5" w14:textId="77777777" w:rsidR="009A0CCA" w:rsidRPr="00FA6D77" w:rsidRDefault="009A0CCA" w:rsidP="000B6D53">
            <w:pPr>
              <w:spacing w:after="0" w:line="240" w:lineRule="auto"/>
              <w:jc w:val="center"/>
              <w:rPr>
                <w:rFonts w:ascii="Cambria" w:eastAsia="MS Mincho" w:hAnsi="Cambria"/>
                <w:b/>
                <w:color w:val="000000"/>
                <w:sz w:val="18"/>
                <w:szCs w:val="18"/>
                <w:lang w:eastAsia="es-ES_tradnl"/>
              </w:rPr>
            </w:pPr>
            <w:r w:rsidRPr="00FA6D77">
              <w:rPr>
                <w:rFonts w:ascii="Cambria" w:eastAsia="MS Mincho" w:hAnsi="Cambria"/>
                <w:color w:val="000000"/>
                <w:sz w:val="18"/>
                <w:szCs w:val="18"/>
                <w:lang w:eastAsia="es-ES_tradnl"/>
              </w:rPr>
              <w:t>Total compliance</w:t>
            </w:r>
            <w:r w:rsidRPr="00FA6D77">
              <w:rPr>
                <w:rStyle w:val="FootnoteReference"/>
                <w:rFonts w:ascii="Cambria" w:eastAsia="MS Mincho" w:hAnsi="Cambria"/>
                <w:color w:val="000000"/>
                <w:sz w:val="18"/>
                <w:szCs w:val="18"/>
                <w:lang w:eastAsia="es-ES_tradnl"/>
              </w:rPr>
              <w:footnoteReference w:id="5"/>
            </w:r>
          </w:p>
        </w:tc>
      </w:tr>
      <w:tr w:rsidR="009A0CCA" w:rsidRPr="00FA6D77" w14:paraId="4C39C26C" w14:textId="77777777" w:rsidTr="000B6D53">
        <w:trPr>
          <w:trHeight w:val="629"/>
        </w:trPr>
        <w:tc>
          <w:tcPr>
            <w:tcW w:w="6930" w:type="dxa"/>
            <w:vMerge w:val="restart"/>
            <w:shd w:val="clear" w:color="auto" w:fill="auto"/>
            <w:vAlign w:val="center"/>
          </w:tcPr>
          <w:p w14:paraId="48A713DB" w14:textId="77777777" w:rsidR="009A0CCA" w:rsidRPr="00FA6D77" w:rsidRDefault="009A0CCA" w:rsidP="000B6D53">
            <w:pPr>
              <w:spacing w:after="0" w:line="240" w:lineRule="auto"/>
              <w:jc w:val="both"/>
              <w:rPr>
                <w:rFonts w:ascii="Cambria" w:hAnsi="Cambria"/>
                <w:color w:val="000000"/>
                <w:sz w:val="18"/>
                <w:szCs w:val="18"/>
              </w:rPr>
            </w:pPr>
            <w:r w:rsidRPr="00FA6D77">
              <w:rPr>
                <w:rFonts w:ascii="Cambria" w:hAnsi="Cambria"/>
                <w:color w:val="000000"/>
                <w:sz w:val="18"/>
                <w:szCs w:val="18"/>
              </w:rPr>
              <w:t>Seed capital funding for the establishment of a foundation</w:t>
            </w:r>
          </w:p>
        </w:tc>
        <w:tc>
          <w:tcPr>
            <w:tcW w:w="2250" w:type="dxa"/>
          </w:tcPr>
          <w:p w14:paraId="4CB1A5F4" w14:textId="77777777" w:rsidR="009A0CCA" w:rsidRPr="00FA6D77" w:rsidRDefault="009A0CCA" w:rsidP="000B6D53">
            <w:pPr>
              <w:spacing w:after="0" w:line="240" w:lineRule="auto"/>
              <w:jc w:val="center"/>
              <w:rPr>
                <w:rFonts w:ascii="Cambria" w:eastAsia="MS Mincho" w:hAnsi="Cambria"/>
                <w:b/>
                <w:color w:val="000000"/>
                <w:sz w:val="18"/>
                <w:szCs w:val="18"/>
                <w:lang w:eastAsia="es-ES_tradnl"/>
              </w:rPr>
            </w:pPr>
            <w:r w:rsidRPr="00FA6D77">
              <w:rPr>
                <w:rFonts w:ascii="Cambria" w:eastAsia="MS Mincho" w:hAnsi="Cambria"/>
                <w:b/>
                <w:color w:val="000000"/>
                <w:sz w:val="18"/>
                <w:szCs w:val="18"/>
                <w:lang w:eastAsia="es-ES_tradnl"/>
              </w:rPr>
              <w:t xml:space="preserve">Next of kin of Ileana del Rosario </w:t>
            </w:r>
            <w:proofErr w:type="spellStart"/>
            <w:r w:rsidRPr="00FA6D77">
              <w:rPr>
                <w:rFonts w:ascii="Cambria" w:eastAsia="MS Mincho" w:hAnsi="Cambria"/>
                <w:b/>
                <w:color w:val="000000"/>
                <w:sz w:val="18"/>
                <w:szCs w:val="18"/>
                <w:lang w:eastAsia="es-ES_tradnl"/>
              </w:rPr>
              <w:t>Solares</w:t>
            </w:r>
            <w:proofErr w:type="spellEnd"/>
            <w:r w:rsidRPr="00FA6D77">
              <w:rPr>
                <w:rFonts w:ascii="Cambria" w:eastAsia="MS Mincho" w:hAnsi="Cambria"/>
                <w:b/>
                <w:color w:val="000000"/>
                <w:sz w:val="18"/>
                <w:szCs w:val="18"/>
                <w:lang w:eastAsia="es-ES_tradnl"/>
              </w:rPr>
              <w:t xml:space="preserve"> Castillo</w:t>
            </w:r>
          </w:p>
          <w:p w14:paraId="563862F9" w14:textId="77777777" w:rsidR="009A0CCA" w:rsidRPr="00FA6D77" w:rsidRDefault="009A0CCA" w:rsidP="000B6D53">
            <w:pPr>
              <w:spacing w:after="0" w:line="240" w:lineRule="auto"/>
              <w:jc w:val="center"/>
              <w:rPr>
                <w:rFonts w:ascii="Cambria" w:hAnsi="Cambria"/>
                <w:color w:val="000000"/>
                <w:sz w:val="18"/>
                <w:szCs w:val="18"/>
              </w:rPr>
            </w:pPr>
            <w:r w:rsidRPr="00FA6D77">
              <w:rPr>
                <w:rFonts w:ascii="Cambria" w:eastAsia="MS Mincho" w:hAnsi="Cambria"/>
                <w:color w:val="000000"/>
                <w:sz w:val="18"/>
                <w:szCs w:val="18"/>
                <w:lang w:eastAsia="es-ES_tradnl"/>
              </w:rPr>
              <w:t>Total compliance</w:t>
            </w:r>
            <w:r w:rsidRPr="00FA6D77">
              <w:rPr>
                <w:rStyle w:val="FootnoteReference"/>
                <w:rFonts w:ascii="Cambria" w:eastAsia="MS Mincho" w:hAnsi="Cambria"/>
                <w:color w:val="000000"/>
                <w:sz w:val="18"/>
                <w:szCs w:val="18"/>
                <w:lang w:eastAsia="es-ES_tradnl"/>
              </w:rPr>
              <w:footnoteReference w:id="6"/>
            </w:r>
          </w:p>
        </w:tc>
      </w:tr>
      <w:tr w:rsidR="009A0CCA" w:rsidRPr="00FA6D77" w14:paraId="43431C85" w14:textId="77777777" w:rsidTr="000B6D53">
        <w:trPr>
          <w:trHeight w:val="503"/>
        </w:trPr>
        <w:tc>
          <w:tcPr>
            <w:tcW w:w="6930" w:type="dxa"/>
            <w:vMerge/>
            <w:shd w:val="clear" w:color="auto" w:fill="auto"/>
            <w:vAlign w:val="center"/>
          </w:tcPr>
          <w:p w14:paraId="5EE48C83" w14:textId="77777777" w:rsidR="009A0CCA" w:rsidRPr="00FA6D77" w:rsidRDefault="009A0CCA" w:rsidP="000B6D53">
            <w:pPr>
              <w:spacing w:after="0" w:line="240" w:lineRule="auto"/>
              <w:jc w:val="both"/>
              <w:rPr>
                <w:rFonts w:ascii="Cambria" w:eastAsia="MS Mincho" w:hAnsi="Cambria"/>
                <w:color w:val="000000"/>
                <w:sz w:val="18"/>
                <w:szCs w:val="18"/>
                <w:lang w:eastAsia="es-ES_tradnl"/>
              </w:rPr>
            </w:pPr>
          </w:p>
        </w:tc>
        <w:tc>
          <w:tcPr>
            <w:tcW w:w="2250" w:type="dxa"/>
          </w:tcPr>
          <w:p w14:paraId="00EF7149" w14:textId="77777777" w:rsidR="009A0CCA" w:rsidRPr="00FA6D77" w:rsidRDefault="009A0CCA" w:rsidP="000B6D53">
            <w:pPr>
              <w:spacing w:after="0" w:line="240" w:lineRule="auto"/>
              <w:jc w:val="center"/>
              <w:rPr>
                <w:rFonts w:ascii="Cambria" w:eastAsia="MS Mincho" w:hAnsi="Cambria"/>
                <w:color w:val="000000"/>
                <w:sz w:val="18"/>
                <w:szCs w:val="18"/>
                <w:lang w:eastAsia="es-ES_tradnl"/>
              </w:rPr>
            </w:pPr>
            <w:r w:rsidRPr="00FA6D77">
              <w:rPr>
                <w:rFonts w:ascii="Cambria" w:eastAsia="MS Mincho" w:hAnsi="Cambria"/>
                <w:b/>
                <w:color w:val="000000"/>
                <w:sz w:val="18"/>
                <w:szCs w:val="18"/>
                <w:lang w:eastAsia="es-ES_tradnl"/>
              </w:rPr>
              <w:t>Next of kin of Ana María López Rodríguez</w:t>
            </w:r>
          </w:p>
          <w:p w14:paraId="7CD99C03" w14:textId="77777777" w:rsidR="009A0CCA" w:rsidRPr="00FA6D77" w:rsidRDefault="009A0CCA" w:rsidP="000B6D53">
            <w:pPr>
              <w:spacing w:after="0" w:line="240" w:lineRule="auto"/>
              <w:jc w:val="center"/>
              <w:rPr>
                <w:rFonts w:ascii="Cambria" w:eastAsia="MS Mincho" w:hAnsi="Cambria"/>
                <w:b/>
                <w:color w:val="000000"/>
                <w:sz w:val="18"/>
                <w:szCs w:val="18"/>
                <w:lang w:eastAsia="es-ES_tradnl"/>
              </w:rPr>
            </w:pPr>
            <w:r w:rsidRPr="00FA6D77">
              <w:rPr>
                <w:rFonts w:ascii="Cambria" w:eastAsia="MS Mincho" w:hAnsi="Cambria"/>
                <w:color w:val="000000"/>
                <w:sz w:val="18"/>
                <w:szCs w:val="18"/>
                <w:lang w:eastAsia="es-ES_tradnl"/>
              </w:rPr>
              <w:t>Total compliance</w:t>
            </w:r>
            <w:r w:rsidRPr="00FA6D77">
              <w:rPr>
                <w:rStyle w:val="FootnoteReference"/>
                <w:rFonts w:ascii="Cambria" w:eastAsia="MS Mincho" w:hAnsi="Cambria"/>
                <w:color w:val="000000"/>
                <w:sz w:val="18"/>
                <w:szCs w:val="18"/>
                <w:lang w:eastAsia="es-ES_tradnl"/>
              </w:rPr>
              <w:footnoteReference w:id="7"/>
            </w:r>
          </w:p>
        </w:tc>
      </w:tr>
      <w:tr w:rsidR="009A0CCA" w:rsidRPr="00FA6D77" w14:paraId="29413201" w14:textId="77777777" w:rsidTr="000B6D53">
        <w:trPr>
          <w:trHeight w:val="494"/>
        </w:trPr>
        <w:tc>
          <w:tcPr>
            <w:tcW w:w="6930" w:type="dxa"/>
            <w:shd w:val="clear" w:color="auto" w:fill="auto"/>
            <w:vAlign w:val="center"/>
          </w:tcPr>
          <w:p w14:paraId="00AA023F" w14:textId="77777777" w:rsidR="009A0CCA" w:rsidRPr="00FA6D77" w:rsidRDefault="009A0CCA" w:rsidP="000B6D53">
            <w:pPr>
              <w:spacing w:after="0" w:line="240" w:lineRule="auto"/>
              <w:jc w:val="both"/>
              <w:rPr>
                <w:rFonts w:ascii="Cambria" w:hAnsi="Cambria"/>
                <w:color w:val="000000"/>
                <w:sz w:val="18"/>
                <w:szCs w:val="18"/>
              </w:rPr>
            </w:pPr>
            <w:r w:rsidRPr="00FA6D77">
              <w:rPr>
                <w:rFonts w:ascii="Cambria" w:hAnsi="Cambria"/>
                <w:color w:val="000000"/>
                <w:sz w:val="18"/>
                <w:szCs w:val="18"/>
              </w:rPr>
              <w:t>Creation of a CD with a biography of the victim and a summary of the case</w:t>
            </w:r>
          </w:p>
        </w:tc>
        <w:tc>
          <w:tcPr>
            <w:tcW w:w="2250" w:type="dxa"/>
          </w:tcPr>
          <w:p w14:paraId="1524DBE5" w14:textId="77777777" w:rsidR="009A0CCA" w:rsidRPr="00FA6D77" w:rsidRDefault="009A0CCA" w:rsidP="000B6D53">
            <w:pPr>
              <w:spacing w:after="0" w:line="240" w:lineRule="auto"/>
              <w:jc w:val="center"/>
              <w:rPr>
                <w:rFonts w:ascii="Cambria" w:eastAsia="MS Mincho" w:hAnsi="Cambria"/>
                <w:b/>
                <w:color w:val="000000"/>
                <w:sz w:val="18"/>
                <w:szCs w:val="18"/>
                <w:lang w:eastAsia="es-ES_tradnl"/>
              </w:rPr>
            </w:pPr>
            <w:r w:rsidRPr="00FA6D77">
              <w:rPr>
                <w:rFonts w:ascii="Cambria" w:eastAsia="MS Mincho" w:hAnsi="Cambria"/>
                <w:b/>
                <w:color w:val="000000"/>
                <w:sz w:val="18"/>
                <w:szCs w:val="18"/>
                <w:lang w:eastAsia="es-ES_tradnl"/>
              </w:rPr>
              <w:t xml:space="preserve">Next of kin of Ileana del Rosario </w:t>
            </w:r>
            <w:proofErr w:type="spellStart"/>
            <w:r w:rsidRPr="00FA6D77">
              <w:rPr>
                <w:rFonts w:ascii="Cambria" w:eastAsia="MS Mincho" w:hAnsi="Cambria"/>
                <w:b/>
                <w:color w:val="000000"/>
                <w:sz w:val="18"/>
                <w:szCs w:val="18"/>
                <w:lang w:eastAsia="es-ES_tradnl"/>
              </w:rPr>
              <w:t>Solares</w:t>
            </w:r>
            <w:proofErr w:type="spellEnd"/>
            <w:r w:rsidRPr="00FA6D77">
              <w:rPr>
                <w:rFonts w:ascii="Cambria" w:eastAsia="MS Mincho" w:hAnsi="Cambria"/>
                <w:b/>
                <w:color w:val="000000"/>
                <w:sz w:val="18"/>
                <w:szCs w:val="18"/>
                <w:lang w:eastAsia="es-ES_tradnl"/>
              </w:rPr>
              <w:t xml:space="preserve"> Castillo</w:t>
            </w:r>
          </w:p>
          <w:p w14:paraId="42148BBA" w14:textId="77777777" w:rsidR="009A0CCA" w:rsidRPr="00FA6D77" w:rsidRDefault="009A0CCA" w:rsidP="000B6D53">
            <w:pPr>
              <w:spacing w:after="0" w:line="240" w:lineRule="auto"/>
              <w:jc w:val="center"/>
              <w:rPr>
                <w:rFonts w:ascii="Cambria" w:hAnsi="Cambria"/>
                <w:color w:val="000000"/>
                <w:sz w:val="18"/>
                <w:szCs w:val="18"/>
              </w:rPr>
            </w:pPr>
            <w:r w:rsidRPr="00FA6D77">
              <w:rPr>
                <w:rFonts w:ascii="Cambria" w:eastAsia="MS Mincho" w:hAnsi="Cambria"/>
                <w:color w:val="000000"/>
                <w:sz w:val="18"/>
                <w:szCs w:val="18"/>
                <w:lang w:eastAsia="es-ES_tradnl"/>
              </w:rPr>
              <w:t>Total compliance</w:t>
            </w:r>
            <w:r w:rsidRPr="00FA6D77">
              <w:rPr>
                <w:rStyle w:val="FootnoteReference"/>
                <w:rFonts w:ascii="Cambria" w:eastAsia="MS Mincho" w:hAnsi="Cambria"/>
                <w:color w:val="000000"/>
                <w:sz w:val="18"/>
                <w:szCs w:val="18"/>
                <w:lang w:eastAsia="es-ES_tradnl"/>
              </w:rPr>
              <w:footnoteReference w:id="8"/>
            </w:r>
            <w:r w:rsidRPr="00FA6D77">
              <w:rPr>
                <w:rFonts w:ascii="Cambria" w:eastAsia="MS Mincho" w:hAnsi="Cambria"/>
                <w:b/>
                <w:color w:val="000000"/>
                <w:sz w:val="18"/>
                <w:szCs w:val="18"/>
                <w:lang w:eastAsia="es-ES_tradnl"/>
              </w:rPr>
              <w:t xml:space="preserve"> </w:t>
            </w:r>
          </w:p>
        </w:tc>
      </w:tr>
      <w:tr w:rsidR="009A0CCA" w:rsidRPr="00FA6D77" w14:paraId="2D878545" w14:textId="77777777" w:rsidTr="000B6D53">
        <w:trPr>
          <w:trHeight w:val="566"/>
        </w:trPr>
        <w:tc>
          <w:tcPr>
            <w:tcW w:w="6930" w:type="dxa"/>
            <w:shd w:val="clear" w:color="auto" w:fill="auto"/>
            <w:vAlign w:val="center"/>
          </w:tcPr>
          <w:p w14:paraId="452820D6" w14:textId="77777777" w:rsidR="009A0CCA" w:rsidRPr="00FA6D77" w:rsidRDefault="009A0CCA" w:rsidP="000B6D53">
            <w:pPr>
              <w:spacing w:after="0" w:line="240" w:lineRule="auto"/>
              <w:jc w:val="both"/>
              <w:rPr>
                <w:rFonts w:ascii="Cambria" w:hAnsi="Cambria"/>
                <w:color w:val="000000"/>
                <w:sz w:val="18"/>
                <w:szCs w:val="18"/>
              </w:rPr>
            </w:pPr>
            <w:r w:rsidRPr="00FA6D77">
              <w:rPr>
                <w:rFonts w:ascii="Cambria" w:hAnsi="Cambria"/>
                <w:color w:val="000000"/>
                <w:sz w:val="18"/>
                <w:szCs w:val="18"/>
              </w:rPr>
              <w:t>Creation of educational brochure</w:t>
            </w:r>
          </w:p>
        </w:tc>
        <w:tc>
          <w:tcPr>
            <w:tcW w:w="2250" w:type="dxa"/>
          </w:tcPr>
          <w:p w14:paraId="2F808EBB" w14:textId="77777777" w:rsidR="009A0CCA" w:rsidRPr="00FA6D77" w:rsidRDefault="009A0CCA" w:rsidP="000B6D53">
            <w:pPr>
              <w:spacing w:after="0" w:line="240" w:lineRule="auto"/>
              <w:jc w:val="center"/>
              <w:rPr>
                <w:rFonts w:ascii="Cambria" w:eastAsia="MS Mincho" w:hAnsi="Cambria"/>
                <w:color w:val="000000"/>
                <w:sz w:val="18"/>
                <w:szCs w:val="18"/>
                <w:lang w:eastAsia="es-ES_tradnl"/>
              </w:rPr>
            </w:pPr>
            <w:r w:rsidRPr="00FA6D77">
              <w:rPr>
                <w:rFonts w:ascii="Cambria" w:eastAsia="MS Mincho" w:hAnsi="Cambria"/>
                <w:b/>
                <w:color w:val="000000"/>
                <w:sz w:val="18"/>
                <w:szCs w:val="18"/>
                <w:lang w:eastAsia="es-ES_tradnl"/>
              </w:rPr>
              <w:t>Next of kin of Ana María López Rodríguez</w:t>
            </w:r>
          </w:p>
          <w:p w14:paraId="71F05F5E" w14:textId="77777777" w:rsidR="009A0CCA" w:rsidRPr="00FA6D77" w:rsidRDefault="009A0CCA" w:rsidP="000B6D53">
            <w:pPr>
              <w:spacing w:after="0" w:line="240" w:lineRule="auto"/>
              <w:jc w:val="center"/>
              <w:rPr>
                <w:rFonts w:ascii="Cambria" w:hAnsi="Cambria"/>
                <w:color w:val="000000"/>
                <w:sz w:val="18"/>
                <w:szCs w:val="18"/>
              </w:rPr>
            </w:pPr>
            <w:r w:rsidRPr="00FA6D77">
              <w:rPr>
                <w:rFonts w:ascii="Cambria" w:hAnsi="Cambria"/>
                <w:color w:val="000000"/>
                <w:sz w:val="18"/>
                <w:szCs w:val="18"/>
              </w:rPr>
              <w:t>Pending compliance</w:t>
            </w:r>
          </w:p>
        </w:tc>
      </w:tr>
      <w:tr w:rsidR="009A0CCA" w:rsidRPr="00FA6D77" w14:paraId="35E69090" w14:textId="77777777" w:rsidTr="000B6D53">
        <w:trPr>
          <w:trHeight w:val="548"/>
        </w:trPr>
        <w:tc>
          <w:tcPr>
            <w:tcW w:w="6930" w:type="dxa"/>
            <w:shd w:val="clear" w:color="auto" w:fill="auto"/>
            <w:vAlign w:val="center"/>
          </w:tcPr>
          <w:p w14:paraId="4310861A" w14:textId="77777777" w:rsidR="009A0CCA" w:rsidRPr="00FA6D77" w:rsidRDefault="009A0CCA" w:rsidP="000B6D53">
            <w:pPr>
              <w:spacing w:after="0" w:line="240" w:lineRule="auto"/>
              <w:jc w:val="both"/>
              <w:rPr>
                <w:rFonts w:ascii="Cambria" w:hAnsi="Cambria"/>
                <w:color w:val="000000"/>
                <w:sz w:val="18"/>
                <w:szCs w:val="18"/>
              </w:rPr>
            </w:pPr>
            <w:r w:rsidRPr="00FA6D77">
              <w:rPr>
                <w:rFonts w:ascii="Cambria" w:eastAsia="MS Mincho" w:hAnsi="Cambria"/>
                <w:color w:val="000000"/>
                <w:sz w:val="18"/>
                <w:szCs w:val="18"/>
                <w:lang w:eastAsia="es-ES_tradnl"/>
              </w:rPr>
              <w:t xml:space="preserve">Scholarships </w:t>
            </w:r>
          </w:p>
        </w:tc>
        <w:tc>
          <w:tcPr>
            <w:tcW w:w="2250" w:type="dxa"/>
          </w:tcPr>
          <w:p w14:paraId="6BF56BB5" w14:textId="77777777" w:rsidR="009A0CCA" w:rsidRPr="00FA6D77" w:rsidRDefault="009A0CCA" w:rsidP="000B6D53">
            <w:pPr>
              <w:spacing w:after="0" w:line="240" w:lineRule="auto"/>
              <w:jc w:val="center"/>
              <w:rPr>
                <w:rFonts w:ascii="Cambria" w:eastAsia="MS Mincho" w:hAnsi="Cambria"/>
                <w:color w:val="000000"/>
                <w:sz w:val="18"/>
                <w:szCs w:val="18"/>
                <w:lang w:eastAsia="es-ES_tradnl"/>
              </w:rPr>
            </w:pPr>
            <w:r w:rsidRPr="00FA6D77">
              <w:rPr>
                <w:rFonts w:ascii="Cambria" w:eastAsia="MS Mincho" w:hAnsi="Cambria"/>
                <w:b/>
                <w:color w:val="000000"/>
                <w:sz w:val="18"/>
                <w:szCs w:val="18"/>
                <w:lang w:eastAsia="es-ES_tradnl"/>
              </w:rPr>
              <w:t>Next of kin of Ana María López Rodríguez</w:t>
            </w:r>
          </w:p>
          <w:p w14:paraId="4131FDE8" w14:textId="77777777" w:rsidR="009A0CCA" w:rsidRPr="00FA6D77" w:rsidRDefault="009A0CCA" w:rsidP="000B6D53">
            <w:pPr>
              <w:spacing w:after="0" w:line="240" w:lineRule="auto"/>
              <w:jc w:val="center"/>
              <w:rPr>
                <w:rFonts w:ascii="Cambria" w:hAnsi="Cambria"/>
                <w:color w:val="000000"/>
                <w:sz w:val="18"/>
                <w:szCs w:val="18"/>
              </w:rPr>
            </w:pPr>
            <w:r w:rsidRPr="00FA6D77">
              <w:rPr>
                <w:rFonts w:ascii="Cambria" w:eastAsia="MS Mincho" w:hAnsi="Cambria"/>
                <w:color w:val="000000"/>
                <w:sz w:val="18"/>
                <w:szCs w:val="18"/>
                <w:lang w:eastAsia="es-ES_tradnl"/>
              </w:rPr>
              <w:t>Total compliance</w:t>
            </w:r>
            <w:r w:rsidRPr="00FA6D77">
              <w:rPr>
                <w:rStyle w:val="FootnoteReference"/>
                <w:rFonts w:ascii="Cambria" w:eastAsia="MS Mincho" w:hAnsi="Cambria"/>
                <w:color w:val="000000"/>
                <w:sz w:val="18"/>
                <w:szCs w:val="18"/>
                <w:lang w:eastAsia="es-ES_tradnl"/>
              </w:rPr>
              <w:footnoteReference w:id="9"/>
            </w:r>
          </w:p>
        </w:tc>
      </w:tr>
      <w:tr w:rsidR="009A0CCA" w:rsidRPr="00FA6D77" w14:paraId="00701881" w14:textId="77777777" w:rsidTr="000B6D53">
        <w:trPr>
          <w:trHeight w:val="584"/>
        </w:trPr>
        <w:tc>
          <w:tcPr>
            <w:tcW w:w="6930" w:type="dxa"/>
            <w:vMerge w:val="restart"/>
            <w:shd w:val="clear" w:color="auto" w:fill="auto"/>
            <w:vAlign w:val="center"/>
          </w:tcPr>
          <w:p w14:paraId="6944B1A3" w14:textId="77777777" w:rsidR="009A0CCA" w:rsidRPr="00FA6D77" w:rsidRDefault="009A0CCA" w:rsidP="000B6D53">
            <w:pPr>
              <w:spacing w:after="0" w:line="240" w:lineRule="auto"/>
              <w:jc w:val="both"/>
              <w:rPr>
                <w:rFonts w:ascii="Cambria" w:hAnsi="Cambria"/>
                <w:color w:val="000000"/>
                <w:sz w:val="18"/>
                <w:szCs w:val="18"/>
              </w:rPr>
            </w:pPr>
            <w:r w:rsidRPr="00FA6D77">
              <w:rPr>
                <w:rFonts w:ascii="Cambria" w:hAnsi="Cambria"/>
                <w:color w:val="000000"/>
                <w:sz w:val="18"/>
                <w:szCs w:val="18"/>
              </w:rPr>
              <w:t>Promote approval of Law No. 3.590 (which creates the Commission for the Search for the Detained and Disappeared)</w:t>
            </w:r>
          </w:p>
        </w:tc>
        <w:tc>
          <w:tcPr>
            <w:tcW w:w="2250" w:type="dxa"/>
          </w:tcPr>
          <w:p w14:paraId="0B5FA571" w14:textId="77777777" w:rsidR="009A0CCA" w:rsidRPr="00FA6D77" w:rsidRDefault="009A0CCA" w:rsidP="000B6D53">
            <w:pPr>
              <w:spacing w:after="0" w:line="240" w:lineRule="auto"/>
              <w:jc w:val="center"/>
              <w:rPr>
                <w:rFonts w:ascii="Cambria" w:eastAsia="MS Mincho" w:hAnsi="Cambria"/>
                <w:b/>
                <w:color w:val="000000"/>
                <w:sz w:val="18"/>
                <w:szCs w:val="18"/>
                <w:lang w:eastAsia="es-ES_tradnl"/>
              </w:rPr>
            </w:pPr>
            <w:r w:rsidRPr="00FA6D77">
              <w:rPr>
                <w:rFonts w:ascii="Cambria" w:eastAsia="MS Mincho" w:hAnsi="Cambria"/>
                <w:b/>
                <w:color w:val="000000"/>
                <w:sz w:val="18"/>
                <w:szCs w:val="18"/>
                <w:lang w:eastAsia="es-ES_tradnl"/>
              </w:rPr>
              <w:t xml:space="preserve">Next of kin of Ileana del Rosario </w:t>
            </w:r>
            <w:proofErr w:type="spellStart"/>
            <w:r w:rsidRPr="00FA6D77">
              <w:rPr>
                <w:rFonts w:ascii="Cambria" w:eastAsia="MS Mincho" w:hAnsi="Cambria"/>
                <w:b/>
                <w:color w:val="000000"/>
                <w:sz w:val="18"/>
                <w:szCs w:val="18"/>
                <w:lang w:eastAsia="es-ES_tradnl"/>
              </w:rPr>
              <w:t>Solares</w:t>
            </w:r>
            <w:proofErr w:type="spellEnd"/>
            <w:r w:rsidRPr="00FA6D77">
              <w:rPr>
                <w:rFonts w:ascii="Cambria" w:eastAsia="MS Mincho" w:hAnsi="Cambria"/>
                <w:b/>
                <w:color w:val="000000"/>
                <w:sz w:val="18"/>
                <w:szCs w:val="18"/>
                <w:lang w:eastAsia="es-ES_tradnl"/>
              </w:rPr>
              <w:t xml:space="preserve"> Castillo</w:t>
            </w:r>
          </w:p>
          <w:p w14:paraId="6F5A90C0" w14:textId="77777777" w:rsidR="009A0CCA" w:rsidRPr="00FA6D77" w:rsidRDefault="009A0CCA" w:rsidP="000B6D53">
            <w:pPr>
              <w:spacing w:after="0" w:line="240" w:lineRule="auto"/>
              <w:jc w:val="center"/>
              <w:rPr>
                <w:rFonts w:ascii="Cambria" w:hAnsi="Cambria"/>
                <w:color w:val="000000"/>
                <w:sz w:val="18"/>
                <w:szCs w:val="18"/>
              </w:rPr>
            </w:pPr>
            <w:r w:rsidRPr="00FA6D77">
              <w:rPr>
                <w:rFonts w:ascii="Cambria" w:hAnsi="Cambria"/>
                <w:color w:val="000000"/>
                <w:sz w:val="18"/>
                <w:szCs w:val="18"/>
              </w:rPr>
              <w:t>Pending compliance</w:t>
            </w:r>
          </w:p>
        </w:tc>
      </w:tr>
      <w:tr w:rsidR="009A0CCA" w:rsidRPr="00FA6D77" w14:paraId="138C1DDE" w14:textId="77777777" w:rsidTr="000B6D53">
        <w:trPr>
          <w:trHeight w:val="521"/>
        </w:trPr>
        <w:tc>
          <w:tcPr>
            <w:tcW w:w="6930" w:type="dxa"/>
            <w:vMerge/>
            <w:shd w:val="clear" w:color="auto" w:fill="auto"/>
            <w:vAlign w:val="center"/>
          </w:tcPr>
          <w:p w14:paraId="6768BEFD" w14:textId="77777777" w:rsidR="009A0CCA" w:rsidRPr="00FA6D77" w:rsidRDefault="009A0CCA" w:rsidP="000B6D53">
            <w:pPr>
              <w:spacing w:after="0" w:line="240" w:lineRule="auto"/>
              <w:jc w:val="both"/>
              <w:rPr>
                <w:rFonts w:ascii="Cambria" w:eastAsia="MS Mincho" w:hAnsi="Cambria"/>
                <w:color w:val="000000"/>
                <w:sz w:val="18"/>
                <w:szCs w:val="18"/>
                <w:lang w:eastAsia="es-ES_tradnl"/>
              </w:rPr>
            </w:pPr>
          </w:p>
        </w:tc>
        <w:tc>
          <w:tcPr>
            <w:tcW w:w="2250" w:type="dxa"/>
          </w:tcPr>
          <w:p w14:paraId="3873DD9B" w14:textId="77777777" w:rsidR="009A0CCA" w:rsidRPr="00FA6D77" w:rsidRDefault="009A0CCA" w:rsidP="000B6D53">
            <w:pPr>
              <w:spacing w:after="0" w:line="240" w:lineRule="auto"/>
              <w:jc w:val="center"/>
              <w:rPr>
                <w:rFonts w:ascii="Cambria" w:eastAsia="MS Mincho" w:hAnsi="Cambria"/>
                <w:color w:val="000000"/>
                <w:sz w:val="18"/>
                <w:szCs w:val="18"/>
                <w:lang w:eastAsia="es-ES_tradnl"/>
              </w:rPr>
            </w:pPr>
            <w:r w:rsidRPr="00FA6D77">
              <w:rPr>
                <w:rFonts w:ascii="Cambria" w:eastAsia="MS Mincho" w:hAnsi="Cambria"/>
                <w:b/>
                <w:color w:val="000000"/>
                <w:sz w:val="18"/>
                <w:szCs w:val="18"/>
                <w:lang w:eastAsia="es-ES_tradnl"/>
              </w:rPr>
              <w:t>Next of kin of Ana María López Rodríguez</w:t>
            </w:r>
          </w:p>
          <w:p w14:paraId="5009659D" w14:textId="77777777" w:rsidR="009A0CCA" w:rsidRPr="00FA6D77" w:rsidRDefault="009A0CCA" w:rsidP="000B6D53">
            <w:pPr>
              <w:spacing w:after="0" w:line="240" w:lineRule="auto"/>
              <w:jc w:val="center"/>
              <w:rPr>
                <w:rFonts w:ascii="Cambria" w:eastAsia="MS Mincho" w:hAnsi="Cambria"/>
                <w:b/>
                <w:color w:val="000000"/>
                <w:sz w:val="18"/>
                <w:szCs w:val="18"/>
                <w:lang w:eastAsia="es-ES_tradnl"/>
              </w:rPr>
            </w:pPr>
            <w:r w:rsidRPr="00FA6D77">
              <w:rPr>
                <w:rFonts w:ascii="Cambria" w:hAnsi="Cambria"/>
                <w:color w:val="000000"/>
                <w:sz w:val="18"/>
                <w:szCs w:val="18"/>
              </w:rPr>
              <w:t>Pending compliance</w:t>
            </w:r>
          </w:p>
        </w:tc>
      </w:tr>
      <w:tr w:rsidR="009A0CCA" w:rsidRPr="00FA6D77" w14:paraId="4166AD14" w14:textId="77777777" w:rsidTr="000B6D53">
        <w:trPr>
          <w:trHeight w:val="728"/>
        </w:trPr>
        <w:tc>
          <w:tcPr>
            <w:tcW w:w="6930" w:type="dxa"/>
            <w:shd w:val="clear" w:color="auto" w:fill="auto"/>
            <w:vAlign w:val="center"/>
          </w:tcPr>
          <w:p w14:paraId="01627B5C" w14:textId="77777777" w:rsidR="009A0CCA" w:rsidRPr="00FA6D77" w:rsidRDefault="009A0CCA" w:rsidP="000B6D53">
            <w:pPr>
              <w:spacing w:after="0" w:line="240" w:lineRule="auto"/>
              <w:jc w:val="both"/>
              <w:rPr>
                <w:rFonts w:ascii="Cambria" w:hAnsi="Cambria"/>
                <w:color w:val="000000"/>
                <w:sz w:val="18"/>
                <w:szCs w:val="18"/>
              </w:rPr>
            </w:pPr>
            <w:r w:rsidRPr="00FA6D77">
              <w:rPr>
                <w:rFonts w:ascii="Cambria" w:hAnsi="Cambria"/>
                <w:color w:val="000000"/>
                <w:sz w:val="18"/>
                <w:szCs w:val="18"/>
              </w:rPr>
              <w:t>Construction of a wall in the USAC square</w:t>
            </w:r>
          </w:p>
        </w:tc>
        <w:tc>
          <w:tcPr>
            <w:tcW w:w="2250" w:type="dxa"/>
            <w:vAlign w:val="center"/>
          </w:tcPr>
          <w:p w14:paraId="3A232441" w14:textId="77777777" w:rsidR="009A0CCA" w:rsidRPr="00FA6D77" w:rsidRDefault="009A0CCA" w:rsidP="000B6D53">
            <w:pPr>
              <w:spacing w:after="0" w:line="240" w:lineRule="auto"/>
              <w:jc w:val="center"/>
              <w:rPr>
                <w:rFonts w:ascii="Cambria" w:eastAsia="MS Mincho" w:hAnsi="Cambria"/>
                <w:b/>
                <w:color w:val="000000"/>
                <w:sz w:val="18"/>
                <w:szCs w:val="18"/>
                <w:lang w:eastAsia="es-ES_tradnl"/>
              </w:rPr>
            </w:pPr>
            <w:r w:rsidRPr="00FA6D77">
              <w:rPr>
                <w:rFonts w:ascii="Cambria" w:eastAsia="MS Mincho" w:hAnsi="Cambria"/>
                <w:b/>
                <w:color w:val="000000"/>
                <w:sz w:val="18"/>
                <w:szCs w:val="18"/>
                <w:lang w:eastAsia="es-ES_tradnl"/>
              </w:rPr>
              <w:t xml:space="preserve">Next of kin of Ileana del Rosario </w:t>
            </w:r>
            <w:proofErr w:type="spellStart"/>
            <w:r w:rsidRPr="00FA6D77">
              <w:rPr>
                <w:rFonts w:ascii="Cambria" w:eastAsia="MS Mincho" w:hAnsi="Cambria"/>
                <w:b/>
                <w:color w:val="000000"/>
                <w:sz w:val="18"/>
                <w:szCs w:val="18"/>
                <w:lang w:eastAsia="es-ES_tradnl"/>
              </w:rPr>
              <w:t>Solares</w:t>
            </w:r>
            <w:proofErr w:type="spellEnd"/>
            <w:r w:rsidRPr="00FA6D77">
              <w:rPr>
                <w:rFonts w:ascii="Cambria" w:eastAsia="MS Mincho" w:hAnsi="Cambria"/>
                <w:b/>
                <w:color w:val="000000"/>
                <w:sz w:val="18"/>
                <w:szCs w:val="18"/>
                <w:lang w:eastAsia="es-ES_tradnl"/>
              </w:rPr>
              <w:t xml:space="preserve"> Castillo</w:t>
            </w:r>
          </w:p>
          <w:p w14:paraId="7132B56B" w14:textId="77777777" w:rsidR="009A0CCA" w:rsidRPr="00FA6D77" w:rsidRDefault="009A0CCA" w:rsidP="000B6D53">
            <w:pPr>
              <w:spacing w:after="0" w:line="240" w:lineRule="auto"/>
              <w:jc w:val="center"/>
              <w:rPr>
                <w:rFonts w:ascii="Cambria" w:hAnsi="Cambria"/>
                <w:color w:val="000000"/>
                <w:sz w:val="18"/>
                <w:szCs w:val="18"/>
              </w:rPr>
            </w:pPr>
            <w:r w:rsidRPr="00FA6D77">
              <w:rPr>
                <w:rFonts w:ascii="Cambria" w:hAnsi="Cambria"/>
                <w:color w:val="000000"/>
                <w:sz w:val="18"/>
                <w:szCs w:val="18"/>
              </w:rPr>
              <w:t>Pending compliance</w:t>
            </w:r>
          </w:p>
        </w:tc>
      </w:tr>
    </w:tbl>
    <w:p w14:paraId="1B0A9EA0" w14:textId="77777777" w:rsidR="009A0CCA" w:rsidRPr="00FA6D77" w:rsidRDefault="009A0CCA" w:rsidP="009A0CCA">
      <w:pPr>
        <w:spacing w:after="0" w:line="240" w:lineRule="auto"/>
        <w:jc w:val="both"/>
        <w:rPr>
          <w:rFonts w:ascii="Cambria" w:hAnsi="Cambria" w:cs="Calibri Light"/>
          <w:b/>
          <w:color w:val="000000"/>
        </w:rPr>
      </w:pPr>
    </w:p>
    <w:p w14:paraId="0174291C" w14:textId="77777777" w:rsidR="009A0CCA" w:rsidRPr="00FA6D77" w:rsidRDefault="009A0CCA" w:rsidP="009A0CCA">
      <w:pPr>
        <w:pStyle w:val="ListParagraph"/>
        <w:numPr>
          <w:ilvl w:val="0"/>
          <w:numId w:val="1"/>
        </w:numPr>
        <w:spacing w:after="0" w:line="240" w:lineRule="auto"/>
        <w:ind w:left="1440"/>
        <w:jc w:val="both"/>
        <w:rPr>
          <w:rFonts w:ascii="Cambria" w:hAnsi="Cambria" w:cs="Calibri Light"/>
          <w:b/>
          <w:color w:val="000000"/>
          <w:sz w:val="20"/>
          <w:szCs w:val="20"/>
        </w:rPr>
      </w:pPr>
      <w:r w:rsidRPr="00FA6D77">
        <w:rPr>
          <w:rFonts w:ascii="Cambria" w:hAnsi="Cambria"/>
          <w:b/>
          <w:color w:val="000000"/>
          <w:sz w:val="20"/>
          <w:szCs w:val="20"/>
        </w:rPr>
        <w:t>Procedural Activity</w:t>
      </w:r>
    </w:p>
    <w:p w14:paraId="6059C780" w14:textId="77777777" w:rsidR="009A0CCA" w:rsidRPr="00FA6D77" w:rsidRDefault="009A0CCA" w:rsidP="009A0CCA">
      <w:pPr>
        <w:spacing w:after="0" w:line="240" w:lineRule="auto"/>
        <w:jc w:val="both"/>
        <w:rPr>
          <w:rFonts w:ascii="Cambria" w:hAnsi="Cambria" w:cs="Calibri Light"/>
          <w:color w:val="000000"/>
          <w:sz w:val="20"/>
          <w:szCs w:val="20"/>
        </w:rPr>
      </w:pPr>
    </w:p>
    <w:p w14:paraId="6F475968" w14:textId="77777777" w:rsidR="009A0CCA" w:rsidRPr="00FA6D77" w:rsidRDefault="009A0CCA" w:rsidP="009A0CCA">
      <w:pPr>
        <w:numPr>
          <w:ilvl w:val="0"/>
          <w:numId w:val="11"/>
        </w:numPr>
        <w:autoSpaceDE w:val="0"/>
        <w:autoSpaceDN w:val="0"/>
        <w:adjustRightInd w:val="0"/>
        <w:spacing w:after="0" w:line="240" w:lineRule="auto"/>
        <w:ind w:left="0" w:firstLine="720"/>
        <w:jc w:val="both"/>
        <w:rPr>
          <w:rFonts w:ascii="Cambria" w:hAnsi="Cambria" w:cs="Cambria"/>
          <w:color w:val="000000"/>
          <w:sz w:val="24"/>
          <w:szCs w:val="24"/>
        </w:rPr>
      </w:pPr>
      <w:r w:rsidRPr="00FA6D77">
        <w:rPr>
          <w:rFonts w:ascii="Cambria" w:hAnsi="Cambria" w:cs="Cambria"/>
          <w:color w:val="000000"/>
          <w:sz w:val="20"/>
          <w:szCs w:val="20"/>
        </w:rPr>
        <w:t xml:space="preserve">The State entered into an agreement on compliance with the recommendations issued by the IACHR in Merits Report No. 60/01 on December 19, 2007 with the next-of-kin of victim Ileana del Rosario </w:t>
      </w:r>
      <w:proofErr w:type="spellStart"/>
      <w:r w:rsidRPr="00FA6D77">
        <w:rPr>
          <w:rFonts w:ascii="Cambria" w:hAnsi="Cambria" w:cs="Cambria"/>
          <w:color w:val="000000"/>
          <w:sz w:val="20"/>
          <w:szCs w:val="20"/>
        </w:rPr>
        <w:t>Solares</w:t>
      </w:r>
      <w:proofErr w:type="spellEnd"/>
      <w:r w:rsidRPr="00FA6D77">
        <w:rPr>
          <w:rFonts w:ascii="Cambria" w:hAnsi="Cambria" w:cs="Cambria"/>
          <w:color w:val="000000"/>
          <w:sz w:val="20"/>
          <w:szCs w:val="20"/>
        </w:rPr>
        <w:t xml:space="preserve"> Castillo, and on October 14, 2010 with the next-of-kin of Ana Maria Lopez Rodriguez</w:t>
      </w:r>
      <w:r w:rsidRPr="00FA6D77">
        <w:rPr>
          <w:rFonts w:ascii="Cambria" w:hAnsi="Cambria" w:cs="Calibri Light"/>
          <w:color w:val="000000"/>
          <w:sz w:val="20"/>
          <w:szCs w:val="20"/>
        </w:rPr>
        <w:t>.</w:t>
      </w:r>
    </w:p>
    <w:p w14:paraId="1F3DE345" w14:textId="77777777" w:rsidR="009A0CCA" w:rsidRPr="00FA6D77" w:rsidRDefault="009A0CCA" w:rsidP="009A0CCA">
      <w:pPr>
        <w:spacing w:after="0" w:line="240" w:lineRule="auto"/>
        <w:ind w:left="720"/>
        <w:jc w:val="both"/>
        <w:rPr>
          <w:rFonts w:ascii="Cambria" w:hAnsi="Cambria" w:cs="Calibri Light"/>
          <w:color w:val="000000"/>
          <w:sz w:val="20"/>
          <w:szCs w:val="20"/>
        </w:rPr>
      </w:pPr>
    </w:p>
    <w:p w14:paraId="2444848B" w14:textId="77777777" w:rsidR="009A0CCA" w:rsidRPr="00FA6D77" w:rsidRDefault="009A0CCA" w:rsidP="009A0CCA">
      <w:pPr>
        <w:numPr>
          <w:ilvl w:val="0"/>
          <w:numId w:val="11"/>
        </w:numPr>
        <w:spacing w:after="0" w:line="240" w:lineRule="auto"/>
        <w:ind w:left="0" w:firstLine="720"/>
        <w:jc w:val="both"/>
        <w:rPr>
          <w:rFonts w:ascii="Cambria" w:hAnsi="Cambria" w:cs="Calibri Light"/>
          <w:color w:val="000000"/>
          <w:sz w:val="20"/>
          <w:szCs w:val="20"/>
        </w:rPr>
      </w:pPr>
      <w:r w:rsidRPr="00FA6D77">
        <w:rPr>
          <w:rFonts w:ascii="Cambria" w:hAnsi="Cambria" w:cs="Calibri Light"/>
          <w:color w:val="000000"/>
          <w:sz w:val="20"/>
          <w:szCs w:val="20"/>
        </w:rPr>
        <w:t>On March 26, 2014, the IACHR held a meeting with the parties during its 150</w:t>
      </w:r>
      <w:r w:rsidRPr="00FA6D77">
        <w:rPr>
          <w:rFonts w:ascii="Cambria" w:hAnsi="Cambria" w:cs="Calibri Light"/>
          <w:color w:val="000000"/>
          <w:sz w:val="20"/>
          <w:szCs w:val="20"/>
          <w:vertAlign w:val="superscript"/>
        </w:rPr>
        <w:t>th</w:t>
      </w:r>
      <w:r w:rsidRPr="00FA6D77">
        <w:rPr>
          <w:rFonts w:ascii="Cambria" w:hAnsi="Cambria" w:cs="Calibri Light"/>
          <w:color w:val="000000"/>
          <w:sz w:val="20"/>
          <w:szCs w:val="20"/>
        </w:rPr>
        <w:t xml:space="preserve"> Period of Sessions regarding the follow-up of the cases of forced disappearance in follow-up stage and friendly settlement against the Guatemalan State.</w:t>
      </w:r>
    </w:p>
    <w:p w14:paraId="739D7DFE" w14:textId="77777777" w:rsidR="009A0CCA" w:rsidRPr="00FA6D77" w:rsidRDefault="009A0CCA" w:rsidP="009A0CCA">
      <w:pPr>
        <w:spacing w:after="0" w:line="240" w:lineRule="auto"/>
        <w:jc w:val="both"/>
        <w:rPr>
          <w:rFonts w:ascii="Cambria" w:hAnsi="Cambria" w:cs="Calibri Light"/>
          <w:color w:val="000000"/>
          <w:sz w:val="20"/>
          <w:szCs w:val="20"/>
        </w:rPr>
      </w:pPr>
    </w:p>
    <w:p w14:paraId="7BF76DA2" w14:textId="77777777" w:rsidR="009A0CCA" w:rsidRPr="00FA6D77" w:rsidRDefault="009A0CCA" w:rsidP="009A0CCA">
      <w:pPr>
        <w:numPr>
          <w:ilvl w:val="0"/>
          <w:numId w:val="11"/>
        </w:numPr>
        <w:spacing w:after="0" w:line="240" w:lineRule="auto"/>
        <w:ind w:left="0" w:firstLine="720"/>
        <w:jc w:val="both"/>
        <w:rPr>
          <w:rFonts w:ascii="Cambria" w:hAnsi="Cambria" w:cs="Calibri Light"/>
          <w:color w:val="000000"/>
          <w:sz w:val="20"/>
          <w:szCs w:val="20"/>
        </w:rPr>
      </w:pPr>
      <w:r w:rsidRPr="00FA6D77">
        <w:rPr>
          <w:rFonts w:ascii="Cambria" w:hAnsi="Cambria" w:cs="Calibri Light"/>
          <w:color w:val="000000"/>
          <w:sz w:val="20"/>
          <w:szCs w:val="20"/>
        </w:rPr>
        <w:t>On October 2, 2018, the IACHR held a working meeting with the parties during its 169</w:t>
      </w:r>
      <w:r w:rsidRPr="00FA6D77">
        <w:rPr>
          <w:rFonts w:ascii="Cambria" w:hAnsi="Cambria" w:cs="Calibri Light"/>
          <w:color w:val="000000"/>
          <w:sz w:val="20"/>
          <w:szCs w:val="20"/>
          <w:vertAlign w:val="superscript"/>
        </w:rPr>
        <w:t>th</w:t>
      </w:r>
      <w:r w:rsidRPr="00FA6D77">
        <w:rPr>
          <w:rFonts w:ascii="Cambria" w:hAnsi="Cambria" w:cs="Calibri Light"/>
          <w:color w:val="000000"/>
          <w:sz w:val="20"/>
          <w:szCs w:val="20"/>
        </w:rPr>
        <w:t xml:space="preserve"> Period of Sessions, in Boulder, Colorado, regarding the follow-up of the recommendations issued in the Merits Report No. 60/01. In this working meeting, the petitioners of Ana María López Rodríguez and the State of Guatemala were the only assistants. </w:t>
      </w:r>
    </w:p>
    <w:p w14:paraId="5E35E380" w14:textId="77777777" w:rsidR="009A0CCA" w:rsidRPr="00FA6D77" w:rsidRDefault="009A0CCA" w:rsidP="009A0CCA">
      <w:pPr>
        <w:spacing w:after="0" w:line="240" w:lineRule="auto"/>
        <w:jc w:val="both"/>
        <w:rPr>
          <w:rFonts w:ascii="Cambria" w:hAnsi="Cambria" w:cs="Calibri Light"/>
          <w:color w:val="000000"/>
          <w:sz w:val="20"/>
          <w:szCs w:val="20"/>
        </w:rPr>
      </w:pPr>
    </w:p>
    <w:p w14:paraId="546584E2" w14:textId="2B27B983" w:rsidR="009A0CCA" w:rsidRPr="00FA6D77" w:rsidRDefault="00221640" w:rsidP="009A0CCA">
      <w:pPr>
        <w:numPr>
          <w:ilvl w:val="0"/>
          <w:numId w:val="11"/>
        </w:numPr>
        <w:spacing w:after="0" w:line="240" w:lineRule="auto"/>
        <w:ind w:left="0" w:firstLine="720"/>
        <w:jc w:val="both"/>
        <w:rPr>
          <w:rFonts w:ascii="Cambria" w:hAnsi="Cambria" w:cs="Calibri Light"/>
          <w:color w:val="000000" w:themeColor="text1"/>
          <w:sz w:val="20"/>
          <w:szCs w:val="20"/>
        </w:rPr>
      </w:pPr>
      <w:r w:rsidRPr="00FA6D77">
        <w:rPr>
          <w:rFonts w:ascii="Cambria" w:hAnsi="Cambria" w:cs="Calibri Light"/>
          <w:color w:val="000000" w:themeColor="text1"/>
          <w:sz w:val="20"/>
          <w:szCs w:val="20"/>
        </w:rPr>
        <w:t>In 2020, the IACHR requested updated information from the State about compliance with the recommendations on June 10. On July 10, the State submitted that information. Subsequently, the IACHR once again requested updated information about compliance with the recommendations on August 6.  On August 19, the State requested an extension from the Commission and submitted that information on September 22 and October 12 and 23</w:t>
      </w:r>
      <w:r w:rsidR="009A0CCA" w:rsidRPr="00FA6D77">
        <w:rPr>
          <w:rFonts w:ascii="Cambria" w:hAnsi="Cambria" w:cs="Calibri Light"/>
          <w:color w:val="000000" w:themeColor="text1"/>
          <w:sz w:val="20"/>
          <w:szCs w:val="20"/>
        </w:rPr>
        <w:t>.</w:t>
      </w:r>
    </w:p>
    <w:p w14:paraId="55A7B4B5" w14:textId="77777777" w:rsidR="009A0CCA" w:rsidRPr="00FA6D77" w:rsidRDefault="009A0CCA" w:rsidP="009A0CCA">
      <w:pPr>
        <w:spacing w:after="0" w:line="240" w:lineRule="auto"/>
        <w:ind w:left="720"/>
        <w:jc w:val="both"/>
        <w:rPr>
          <w:rFonts w:ascii="Cambria" w:hAnsi="Cambria" w:cs="Calibri Light"/>
          <w:color w:val="000000" w:themeColor="text1"/>
          <w:sz w:val="20"/>
          <w:szCs w:val="20"/>
        </w:rPr>
      </w:pPr>
    </w:p>
    <w:p w14:paraId="1DCC5F18" w14:textId="4AF3D535" w:rsidR="009A0CCA" w:rsidRPr="00FA6D77" w:rsidRDefault="00221640" w:rsidP="009A0CCA">
      <w:pPr>
        <w:numPr>
          <w:ilvl w:val="0"/>
          <w:numId w:val="11"/>
        </w:numPr>
        <w:spacing w:after="0" w:line="240" w:lineRule="auto"/>
        <w:ind w:left="0" w:firstLine="720"/>
        <w:jc w:val="both"/>
        <w:rPr>
          <w:rFonts w:ascii="Cambria" w:hAnsi="Cambria" w:cs="Calibri Light"/>
          <w:color w:val="000000" w:themeColor="text1"/>
          <w:sz w:val="20"/>
          <w:szCs w:val="20"/>
        </w:rPr>
      </w:pPr>
      <w:r w:rsidRPr="00FA6D77">
        <w:rPr>
          <w:rFonts w:ascii="Cambria" w:hAnsi="Cambria" w:cs="Calibri Light"/>
          <w:color w:val="000000" w:themeColor="text1"/>
          <w:sz w:val="20"/>
          <w:szCs w:val="20"/>
        </w:rPr>
        <w:t>The IACHR requested updated information from the petitioners about compliance with the recommendations on June 10 and August 6, 2020. As of the date of publication of this report, the Commission had not received that information from the petitioners</w:t>
      </w:r>
      <w:r w:rsidR="009A0CCA" w:rsidRPr="00FA6D77">
        <w:rPr>
          <w:rFonts w:ascii="Cambria" w:hAnsi="Cambria" w:cs="Calibri Light"/>
          <w:color w:val="000000" w:themeColor="text1"/>
          <w:sz w:val="20"/>
          <w:szCs w:val="20"/>
        </w:rPr>
        <w:t>.</w:t>
      </w:r>
    </w:p>
    <w:p w14:paraId="4468DF4E" w14:textId="77777777" w:rsidR="009A0CCA" w:rsidRPr="00FA6D77" w:rsidRDefault="009A0CCA" w:rsidP="009A0CCA">
      <w:pPr>
        <w:spacing w:after="0" w:line="240" w:lineRule="auto"/>
        <w:ind w:firstLine="720"/>
        <w:jc w:val="both"/>
        <w:rPr>
          <w:rFonts w:ascii="Cambria" w:hAnsi="Cambria" w:cs="Calibri Light"/>
          <w:color w:val="000000"/>
          <w:sz w:val="20"/>
          <w:szCs w:val="20"/>
        </w:rPr>
      </w:pPr>
    </w:p>
    <w:p w14:paraId="064B8709" w14:textId="77777777" w:rsidR="009A0CCA" w:rsidRPr="00FA6D77" w:rsidRDefault="009A0CCA" w:rsidP="009A0CCA">
      <w:pPr>
        <w:pStyle w:val="ListParagraph"/>
        <w:numPr>
          <w:ilvl w:val="0"/>
          <w:numId w:val="1"/>
        </w:numPr>
        <w:spacing w:after="0" w:line="240" w:lineRule="auto"/>
        <w:ind w:left="0" w:firstLine="720"/>
        <w:jc w:val="both"/>
        <w:rPr>
          <w:rFonts w:ascii="Cambria" w:hAnsi="Cambria" w:cs="Calibri Light"/>
          <w:b/>
          <w:color w:val="000000"/>
          <w:sz w:val="20"/>
          <w:szCs w:val="20"/>
        </w:rPr>
      </w:pPr>
      <w:r w:rsidRPr="00FA6D77">
        <w:rPr>
          <w:rFonts w:ascii="Cambria" w:hAnsi="Cambria" w:cs="Calibri Light"/>
          <w:b/>
          <w:color w:val="000000"/>
          <w:sz w:val="20"/>
          <w:szCs w:val="20"/>
        </w:rPr>
        <w:t>Analysis of the information presented</w:t>
      </w:r>
    </w:p>
    <w:p w14:paraId="1A8813A0" w14:textId="77777777" w:rsidR="009A0CCA" w:rsidRPr="00FA6D77" w:rsidRDefault="009A0CCA" w:rsidP="009A0CCA">
      <w:pPr>
        <w:spacing w:after="0" w:line="240" w:lineRule="auto"/>
        <w:ind w:firstLine="720"/>
        <w:jc w:val="both"/>
        <w:rPr>
          <w:rFonts w:ascii="Cambria" w:hAnsi="Cambria" w:cs="Calibri Light"/>
          <w:color w:val="000000" w:themeColor="text1"/>
          <w:sz w:val="20"/>
          <w:szCs w:val="20"/>
        </w:rPr>
      </w:pPr>
    </w:p>
    <w:p w14:paraId="7165B32B" w14:textId="14195C26" w:rsidR="009A0CCA" w:rsidRPr="00FA6D77" w:rsidRDefault="00221640" w:rsidP="009A0CCA">
      <w:pPr>
        <w:numPr>
          <w:ilvl w:val="0"/>
          <w:numId w:val="11"/>
        </w:numPr>
        <w:spacing w:after="0" w:line="240" w:lineRule="auto"/>
        <w:ind w:left="0" w:firstLine="720"/>
        <w:jc w:val="both"/>
        <w:rPr>
          <w:rFonts w:ascii="Cambria" w:hAnsi="Cambria" w:cs="Calibri Light"/>
          <w:b/>
          <w:color w:val="000000" w:themeColor="text1"/>
          <w:sz w:val="20"/>
          <w:szCs w:val="20"/>
        </w:rPr>
      </w:pPr>
      <w:r w:rsidRPr="00FA6D77">
        <w:rPr>
          <w:rFonts w:ascii="Cambria" w:eastAsia="Cambria" w:hAnsi="Cambria" w:cs="Cambria"/>
          <w:color w:val="000000" w:themeColor="text1"/>
          <w:sz w:val="20"/>
          <w:szCs w:val="20"/>
        </w:rPr>
        <w:t>The Commission finds that the information provided by the State in 2020 is relevant to the measures adopted relating to compliance with at least one of the recommendations issued in Report No.  60/01</w:t>
      </w:r>
      <w:r w:rsidR="000D3FA9" w:rsidRPr="00FA6D77">
        <w:rPr>
          <w:rFonts w:ascii="Cambria" w:eastAsia="Cambria" w:hAnsi="Cambria" w:cs="Cambria"/>
          <w:color w:val="000000" w:themeColor="text1"/>
          <w:sz w:val="20"/>
          <w:szCs w:val="20"/>
        </w:rPr>
        <w:t>.</w:t>
      </w:r>
    </w:p>
    <w:p w14:paraId="5DD50514" w14:textId="77777777" w:rsidR="009A0CCA" w:rsidRPr="00FA6D77" w:rsidRDefault="009A0CCA" w:rsidP="009A0CCA">
      <w:pPr>
        <w:spacing w:after="0" w:line="240" w:lineRule="auto"/>
        <w:ind w:left="720"/>
        <w:jc w:val="both"/>
        <w:rPr>
          <w:rFonts w:ascii="Cambria" w:hAnsi="Cambria" w:cs="Calibri Light"/>
          <w:b/>
          <w:color w:val="000000"/>
          <w:sz w:val="20"/>
          <w:szCs w:val="20"/>
        </w:rPr>
      </w:pPr>
    </w:p>
    <w:p w14:paraId="5030A8E8" w14:textId="77777777" w:rsidR="009A0CCA" w:rsidRPr="00FA6D77" w:rsidRDefault="009A0CCA" w:rsidP="009A0CCA">
      <w:pPr>
        <w:pStyle w:val="ListParagraph"/>
        <w:numPr>
          <w:ilvl w:val="0"/>
          <w:numId w:val="1"/>
        </w:numPr>
        <w:spacing w:after="0" w:line="240" w:lineRule="auto"/>
        <w:ind w:left="0" w:firstLine="720"/>
        <w:jc w:val="both"/>
        <w:rPr>
          <w:rFonts w:ascii="Cambria" w:hAnsi="Cambria" w:cs="Calibri Light"/>
          <w:b/>
          <w:color w:val="000000"/>
          <w:sz w:val="20"/>
          <w:szCs w:val="20"/>
        </w:rPr>
      </w:pPr>
      <w:r w:rsidRPr="00FA6D77">
        <w:rPr>
          <w:rFonts w:ascii="Cambria" w:hAnsi="Cambria" w:cs="Calibri Light"/>
          <w:b/>
          <w:color w:val="000000"/>
          <w:sz w:val="20"/>
          <w:szCs w:val="20"/>
        </w:rPr>
        <w:t>Analysis of compliance with the recommendations</w:t>
      </w:r>
    </w:p>
    <w:p w14:paraId="75CCA18C" w14:textId="77777777" w:rsidR="009A0CCA" w:rsidRPr="00FA6D77" w:rsidRDefault="009A0CCA" w:rsidP="009A0CCA">
      <w:pPr>
        <w:spacing w:after="0" w:line="240" w:lineRule="auto"/>
        <w:jc w:val="both"/>
        <w:rPr>
          <w:rFonts w:ascii="Cambria" w:hAnsi="Cambria" w:cs="Calibri Light"/>
          <w:color w:val="000000"/>
          <w:sz w:val="20"/>
          <w:szCs w:val="20"/>
        </w:rPr>
      </w:pPr>
    </w:p>
    <w:p w14:paraId="465E6CD3" w14:textId="77777777" w:rsidR="009A0CCA" w:rsidRPr="00FA6D77" w:rsidRDefault="009A0CCA" w:rsidP="009A0CCA">
      <w:pPr>
        <w:pStyle w:val="Default"/>
        <w:numPr>
          <w:ilvl w:val="0"/>
          <w:numId w:val="11"/>
        </w:numPr>
        <w:ind w:left="0" w:firstLine="720"/>
        <w:jc w:val="both"/>
      </w:pPr>
      <w:r w:rsidRPr="00FA6D77">
        <w:rPr>
          <w:rFonts w:cs="Calibri Light"/>
          <w:b/>
          <w:sz w:val="20"/>
          <w:szCs w:val="20"/>
        </w:rPr>
        <w:t>As for the first recommendation</w:t>
      </w:r>
      <w:r w:rsidRPr="00FA6D77">
        <w:rPr>
          <w:rFonts w:cs="Calibri Light"/>
          <w:sz w:val="20"/>
          <w:szCs w:val="20"/>
        </w:rPr>
        <w:t xml:space="preserve">, </w:t>
      </w:r>
      <w:r w:rsidRPr="00FA6D77">
        <w:rPr>
          <w:sz w:val="20"/>
          <w:szCs w:val="20"/>
        </w:rPr>
        <w:t xml:space="preserve">that is, to investigate the incidents that were the subject of the complaint pertaining to the forced disappearance of Ileana del Rosario </w:t>
      </w:r>
      <w:proofErr w:type="spellStart"/>
      <w:r w:rsidRPr="00FA6D77">
        <w:rPr>
          <w:sz w:val="20"/>
          <w:szCs w:val="20"/>
        </w:rPr>
        <w:t>Solares</w:t>
      </w:r>
      <w:proofErr w:type="spellEnd"/>
      <w:r w:rsidRPr="00FA6D77">
        <w:rPr>
          <w:sz w:val="20"/>
          <w:szCs w:val="20"/>
        </w:rPr>
        <w:t xml:space="preserve"> Castillo, Ana Maria Lopez Rodriguez and Luz Leticia Hernandez, which took place in 1982, to determine those who are responsible for it and punish them, the State reported that the Office of the Public Prosecutors had opened two investigations (File MP001/2006/12842 for the forced disappearance of Ileana del Rosario </w:t>
      </w:r>
      <w:proofErr w:type="spellStart"/>
      <w:r w:rsidRPr="00FA6D77">
        <w:rPr>
          <w:sz w:val="20"/>
          <w:szCs w:val="20"/>
        </w:rPr>
        <w:t>Solares</w:t>
      </w:r>
      <w:proofErr w:type="spellEnd"/>
      <w:r w:rsidRPr="00FA6D77">
        <w:rPr>
          <w:sz w:val="20"/>
          <w:szCs w:val="20"/>
        </w:rPr>
        <w:t xml:space="preserve"> Castillo and File MP001/2006/67766 for the forced disappearance of Ana Maria Lopez Rodriguez and Luz Leticia Hernandez) and that the investigations are still on-going.</w:t>
      </w:r>
      <w:r w:rsidRPr="00FA6D77">
        <w:rPr>
          <w:rStyle w:val="FootnoteReference"/>
          <w:rFonts w:cs="Calibri Light"/>
          <w:sz w:val="20"/>
          <w:szCs w:val="20"/>
        </w:rPr>
        <w:footnoteReference w:id="10"/>
      </w:r>
      <w:r w:rsidRPr="00FA6D77">
        <w:rPr>
          <w:rFonts w:cs="Calibri Light"/>
          <w:sz w:val="20"/>
          <w:szCs w:val="20"/>
        </w:rPr>
        <w:t xml:space="preserve"> In 2018, the State reported that, in order to provide updated information to the IACHR, the Presidential Coordinating Commission on Human Rights Policy (COPREDEH) </w:t>
      </w:r>
      <w:r w:rsidRPr="00FA6D77">
        <w:rPr>
          <w:rFonts w:cs="Calibri Light"/>
          <w:sz w:val="20"/>
          <w:szCs w:val="20"/>
        </w:rPr>
        <w:lastRenderedPageBreak/>
        <w:t>requested information from the Office of the Public Prosecutor, specifically the Special Cases Unit of the Human Rights Section, on the case identified by the number MP001-2006-67766.</w:t>
      </w:r>
    </w:p>
    <w:p w14:paraId="2F81A2F6" w14:textId="77777777" w:rsidR="009A0CCA" w:rsidRPr="00FA6D77" w:rsidRDefault="009A0CCA" w:rsidP="009A0CCA">
      <w:pPr>
        <w:pStyle w:val="Default"/>
        <w:jc w:val="both"/>
      </w:pPr>
    </w:p>
    <w:p w14:paraId="6CFAB1DB" w14:textId="4DAECACB" w:rsidR="00221640" w:rsidRPr="00FA6D77" w:rsidRDefault="009A0CCA" w:rsidP="00221640">
      <w:pPr>
        <w:numPr>
          <w:ilvl w:val="0"/>
          <w:numId w:val="11"/>
        </w:numPr>
        <w:spacing w:after="0" w:line="240" w:lineRule="auto"/>
        <w:ind w:left="0" w:firstLine="720"/>
        <w:jc w:val="both"/>
        <w:rPr>
          <w:rFonts w:ascii="Cambria" w:hAnsi="Cambria" w:cs="Calibri Light"/>
          <w:color w:val="000000"/>
          <w:sz w:val="20"/>
          <w:szCs w:val="20"/>
        </w:rPr>
      </w:pPr>
      <w:r w:rsidRPr="00FA6D77">
        <w:rPr>
          <w:rFonts w:ascii="Cambria" w:hAnsi="Cambria" w:cs="Calibri Light"/>
          <w:color w:val="000000"/>
          <w:sz w:val="20"/>
          <w:szCs w:val="20"/>
        </w:rPr>
        <w:t>In 2019, the State reported that, in response to the request made, the Public Prosecutor, through the Office of the Human Rights Public Prosecutor of the Special Internal Armed Conflict Cases Unit, informed the COPREDEH that, with the aim of solving the facts established in Report 60/01, a series of steps had been taken consisting of requests for information sent to a variety of government and nongovernment offices. The State did not provide more details on the content of or responses to those requests. Likewise, the State reported that, although it had not been possible to identify any individual connected with the acts perpetrated against Ana María López Rodríguez and Luz Leticia Hernández, the Public Ministry would continue with the corresponding investigations.</w:t>
      </w:r>
    </w:p>
    <w:p w14:paraId="45A6ACAE" w14:textId="51060036" w:rsidR="000D3FA9" w:rsidRPr="00FA6D77" w:rsidRDefault="000D3FA9" w:rsidP="000D3FA9">
      <w:pPr>
        <w:spacing w:after="0" w:line="240" w:lineRule="auto"/>
        <w:jc w:val="both"/>
        <w:rPr>
          <w:rFonts w:ascii="Cambria" w:hAnsi="Cambria" w:cs="Calibri Light"/>
          <w:color w:val="000000"/>
          <w:sz w:val="20"/>
          <w:szCs w:val="20"/>
        </w:rPr>
      </w:pPr>
    </w:p>
    <w:p w14:paraId="6798D39A" w14:textId="6E42FF51" w:rsidR="00221640" w:rsidRPr="00FA6D77" w:rsidRDefault="00221640" w:rsidP="009A0CCA">
      <w:pPr>
        <w:numPr>
          <w:ilvl w:val="0"/>
          <w:numId w:val="11"/>
        </w:numPr>
        <w:spacing w:after="0" w:line="240" w:lineRule="auto"/>
        <w:ind w:left="0" w:firstLine="720"/>
        <w:jc w:val="both"/>
        <w:rPr>
          <w:rFonts w:ascii="Cambria" w:hAnsi="Cambria" w:cs="Calibri Light"/>
          <w:color w:val="000000" w:themeColor="text1"/>
          <w:sz w:val="20"/>
          <w:szCs w:val="20"/>
        </w:rPr>
      </w:pPr>
      <w:r w:rsidRPr="00FA6D77">
        <w:rPr>
          <w:rFonts w:ascii="Cambria" w:hAnsi="Cambria" w:cs="Calibri Light"/>
          <w:color w:val="000000" w:themeColor="text1"/>
          <w:sz w:val="20"/>
          <w:szCs w:val="20"/>
        </w:rPr>
        <w:t xml:space="preserve">In 2020, the State reiterated the information submitted in 2019. It claimed that the Public Prosecutor’s Office located the following case files relating to the facts of this case: two case files for the crime of forced disappearance, with respect to Ileana del Rosario (one of the cases at the investigation stage); two case files with respect to Ana María López, one for the crime of murder and forced disappearance, at the investigation stage and one for the crime of threats, currently filed away at the discretion of the prosecutor; and two case files with respect to Luz Leticia Hernández, one for the crimes of murder and forced disappearance and another for the crime of forced disappearance, both at the investigation stage. The State also attached three records relating to these three case files: in two of them, the records show several investigative steps for 2020, some with </w:t>
      </w:r>
      <w:r w:rsidRPr="00FA6D77">
        <w:rPr>
          <w:rFonts w:ascii="Cambria" w:hAnsi="Cambria" w:cs="Calibri Light"/>
          <w:i/>
          <w:iCs/>
          <w:color w:val="000000" w:themeColor="text1"/>
          <w:sz w:val="20"/>
          <w:szCs w:val="20"/>
        </w:rPr>
        <w:t xml:space="preserve">status </w:t>
      </w:r>
      <w:r w:rsidRPr="00FA6D77">
        <w:rPr>
          <w:rFonts w:ascii="Cambria" w:hAnsi="Cambria" w:cs="Calibri Light"/>
          <w:color w:val="000000" w:themeColor="text1"/>
          <w:sz w:val="20"/>
          <w:szCs w:val="20"/>
        </w:rPr>
        <w:t>“completed” and others “pending.” The State also noted that, in the case file regarding Ileana del Rosario, prior to 2020, some investigative steps were taken such as locating the exact site of the grave in order to perform the respective exhumation. It said that, in 2020, the Public Prosecutor made several requests for information to institutions. Additionally, with respect to the case file relating to Luz Leticia Hernández and Ana María López, the State claimed that, in 2020, investigative steps were taken, including requesting evidence in advance and some requests for information. The State also reported that implementation of some investigative steps is pending</w:t>
      </w:r>
      <w:r w:rsidR="000D3FA9" w:rsidRPr="00FA6D77">
        <w:rPr>
          <w:rFonts w:ascii="Cambria" w:hAnsi="Cambria" w:cs="Calibri Light"/>
          <w:color w:val="000000" w:themeColor="text1"/>
          <w:sz w:val="20"/>
          <w:szCs w:val="20"/>
        </w:rPr>
        <w:t>.</w:t>
      </w:r>
    </w:p>
    <w:p w14:paraId="38917F64" w14:textId="77777777" w:rsidR="009A0CCA" w:rsidRPr="00FA6D77" w:rsidRDefault="009A0CCA" w:rsidP="009A0CCA">
      <w:pPr>
        <w:pStyle w:val="Default"/>
        <w:jc w:val="both"/>
      </w:pPr>
    </w:p>
    <w:p w14:paraId="40D0E29D" w14:textId="77777777" w:rsidR="009A0CCA" w:rsidRPr="00FA6D77" w:rsidRDefault="009A0CCA" w:rsidP="009A0CCA">
      <w:pPr>
        <w:numPr>
          <w:ilvl w:val="0"/>
          <w:numId w:val="11"/>
        </w:numPr>
        <w:spacing w:after="0" w:line="240" w:lineRule="auto"/>
        <w:ind w:left="0" w:firstLine="540"/>
        <w:jc w:val="both"/>
        <w:rPr>
          <w:rFonts w:ascii="Cambria" w:hAnsi="Cambria" w:cs="Calibri Light"/>
          <w:b/>
          <w:color w:val="000000"/>
          <w:sz w:val="20"/>
          <w:szCs w:val="20"/>
        </w:rPr>
      </w:pPr>
      <w:r w:rsidRPr="00FA6D77">
        <w:rPr>
          <w:rFonts w:ascii="Cambria" w:hAnsi="Cambria" w:cs="Calibri Light"/>
          <w:color w:val="000000"/>
          <w:sz w:val="20"/>
          <w:szCs w:val="20"/>
        </w:rPr>
        <w:t>In 2018, the petitioners of Ana María López Rodríguez and her next of kin indicated that there has been no significant progress in the investigations, nor have high-level authorities in charge of the Office of the Public Prosecutor had the political will to conduct a serious, impartial investigation to shed light on the victim’s whereabouts and identify the perpetrators. Consequently, they consider that the State has not complied with this recommendation. During 2019, the petitioners did not provide information on compliance with this recommendation.</w:t>
      </w:r>
    </w:p>
    <w:p w14:paraId="28927F39" w14:textId="77777777" w:rsidR="009A0CCA" w:rsidRPr="00FA6D77" w:rsidRDefault="009A0CCA" w:rsidP="009A0CCA">
      <w:pPr>
        <w:spacing w:after="0" w:line="240" w:lineRule="auto"/>
        <w:jc w:val="both"/>
        <w:rPr>
          <w:rFonts w:ascii="Cambria" w:hAnsi="Cambria" w:cs="Calibri Light"/>
          <w:b/>
          <w:color w:val="000000"/>
          <w:sz w:val="20"/>
          <w:szCs w:val="20"/>
        </w:rPr>
      </w:pPr>
    </w:p>
    <w:p w14:paraId="17276D8C" w14:textId="0F0FA548" w:rsidR="009A0CCA" w:rsidRPr="00FA6D77" w:rsidRDefault="00221640" w:rsidP="009A0CCA">
      <w:pPr>
        <w:numPr>
          <w:ilvl w:val="0"/>
          <w:numId w:val="11"/>
        </w:numPr>
        <w:spacing w:after="0" w:line="240" w:lineRule="auto"/>
        <w:ind w:left="0" w:firstLine="540"/>
        <w:jc w:val="both"/>
        <w:rPr>
          <w:rFonts w:ascii="Cambria" w:hAnsi="Cambria"/>
          <w:color w:val="000000" w:themeColor="text1"/>
          <w:sz w:val="20"/>
          <w:szCs w:val="20"/>
        </w:rPr>
      </w:pPr>
      <w:r w:rsidRPr="00FA6D77">
        <w:rPr>
          <w:rFonts w:ascii="Cambria" w:hAnsi="Cambria"/>
          <w:color w:val="000000" w:themeColor="text1"/>
          <w:sz w:val="20"/>
          <w:szCs w:val="20"/>
        </w:rPr>
        <w:t xml:space="preserve">In the instant case, the Commission takes note of the information provided </w:t>
      </w:r>
      <w:proofErr w:type="gramStart"/>
      <w:r w:rsidRPr="00FA6D77">
        <w:rPr>
          <w:rFonts w:ascii="Cambria" w:hAnsi="Cambria"/>
          <w:color w:val="000000" w:themeColor="text1"/>
          <w:sz w:val="20"/>
          <w:szCs w:val="20"/>
        </w:rPr>
        <w:t>by the State with respect to the case files for crimes against the victims of this case</w:t>
      </w:r>
      <w:proofErr w:type="gramEnd"/>
      <w:r w:rsidRPr="00FA6D77">
        <w:rPr>
          <w:rFonts w:ascii="Cambria" w:hAnsi="Cambria"/>
          <w:color w:val="000000" w:themeColor="text1"/>
          <w:sz w:val="20"/>
          <w:szCs w:val="20"/>
        </w:rPr>
        <w:t>. Particularly, the IACHR notes that the case files continue at the investigation stage and that, even though the records of some of these case files show some investigative steps taken over 2020, the status of some of them is pending. In the view of the Commission, it is especially worrying that, after thirty years have elapsed since the forced disappearance of the three women victims in the case, still no concrete results have been reported in the investigations into the identity of those responsible for their disappearance and the punishment that should be imposed on them pursuant to the norms of due process of law</w:t>
      </w:r>
      <w:r w:rsidR="009A0CCA" w:rsidRPr="00FA6D77">
        <w:rPr>
          <w:rFonts w:ascii="Cambria" w:hAnsi="Cambria"/>
          <w:color w:val="000000" w:themeColor="text1"/>
          <w:sz w:val="20"/>
          <w:szCs w:val="20"/>
        </w:rPr>
        <w:t>.</w:t>
      </w:r>
    </w:p>
    <w:p w14:paraId="5EA26468" w14:textId="77777777" w:rsidR="009A0CCA" w:rsidRPr="00FA6D77" w:rsidRDefault="009A0CCA" w:rsidP="009A0CCA">
      <w:pPr>
        <w:spacing w:after="0" w:line="240" w:lineRule="auto"/>
        <w:ind w:left="540"/>
        <w:jc w:val="both"/>
        <w:rPr>
          <w:rFonts w:ascii="Cambria" w:hAnsi="Cambria"/>
          <w:color w:val="000000"/>
          <w:sz w:val="20"/>
          <w:szCs w:val="20"/>
        </w:rPr>
      </w:pPr>
    </w:p>
    <w:p w14:paraId="16F2CDBD" w14:textId="77777777" w:rsidR="009A0CCA" w:rsidRPr="00FA6D77" w:rsidRDefault="009A0CCA" w:rsidP="009A0CCA">
      <w:pPr>
        <w:numPr>
          <w:ilvl w:val="0"/>
          <w:numId w:val="11"/>
        </w:numPr>
        <w:spacing w:after="0" w:line="240" w:lineRule="auto"/>
        <w:ind w:left="0" w:firstLine="540"/>
        <w:jc w:val="both"/>
        <w:rPr>
          <w:rFonts w:ascii="Cambria" w:hAnsi="Cambria"/>
          <w:color w:val="000000"/>
          <w:sz w:val="20"/>
          <w:szCs w:val="20"/>
        </w:rPr>
      </w:pPr>
      <w:r w:rsidRPr="00FA6D77">
        <w:rPr>
          <w:rFonts w:ascii="Cambria" w:hAnsi="Cambria" w:cs="Calibri Light"/>
          <w:color w:val="000000"/>
          <w:sz w:val="20"/>
          <w:szCs w:val="20"/>
        </w:rPr>
        <w:t xml:space="preserve">In that regard, the IACHR calls to mind that “the duty to investigate must be discharged in a serious manner, not as a mere formality that is doomed to fail from the very beginning, and it must pursue a goal and be undertaken by the State as its own legal duty rather than a mere processing of private interests, dependent upon the procedural initiative of the victim or the victim’s next of kin or on the contribution of </w:t>
      </w:r>
      <w:r w:rsidRPr="00FA6D77">
        <w:rPr>
          <w:rFonts w:ascii="Cambria" w:hAnsi="Cambria" w:cs="Calibri Light"/>
          <w:color w:val="000000"/>
          <w:sz w:val="20"/>
          <w:szCs w:val="20"/>
        </w:rPr>
        <w:lastRenderedPageBreak/>
        <w:t>evidence by private parties, without an actual quest for truth on the part of the public authorities.”</w:t>
      </w:r>
      <w:r w:rsidRPr="00FA6D77">
        <w:rPr>
          <w:rStyle w:val="FootnoteReference"/>
          <w:rFonts w:ascii="Cambria" w:hAnsi="Cambria" w:cs="Arial"/>
          <w:color w:val="000000"/>
          <w:sz w:val="20"/>
          <w:szCs w:val="20"/>
        </w:rPr>
        <w:footnoteReference w:id="11"/>
      </w:r>
      <w:r w:rsidRPr="00FA6D77">
        <w:rPr>
          <w:rFonts w:ascii="Cambria" w:hAnsi="Cambria"/>
          <w:color w:val="000000"/>
          <w:sz w:val="20"/>
          <w:szCs w:val="20"/>
        </w:rPr>
        <w:t xml:space="preserve"> Specifically, the obligation to investigate facts related to forced disappearance “persists as long as the uncertainty about the final fate of the disappeared person remains, because the right of the victim’s next of kin to know his or her fate and, as appropriate, where the victim’s remains are, represents a reasonable expectation that the State must satisfy using all the means at its disposal.”</w:t>
      </w:r>
      <w:r w:rsidRPr="00FA6D77">
        <w:rPr>
          <w:rFonts w:ascii="Cambria" w:hAnsi="Cambria"/>
          <w:color w:val="000000"/>
          <w:sz w:val="20"/>
          <w:szCs w:val="20"/>
          <w:vertAlign w:val="superscript"/>
        </w:rPr>
        <w:footnoteReference w:id="12"/>
      </w:r>
    </w:p>
    <w:p w14:paraId="7BCB8AF9" w14:textId="77777777" w:rsidR="009A0CCA" w:rsidRPr="00FA6D77" w:rsidRDefault="009A0CCA" w:rsidP="009A0CCA">
      <w:pPr>
        <w:spacing w:after="0" w:line="240" w:lineRule="auto"/>
        <w:ind w:left="540"/>
        <w:jc w:val="both"/>
        <w:rPr>
          <w:rFonts w:ascii="Cambria" w:hAnsi="Cambria"/>
          <w:color w:val="000000"/>
          <w:sz w:val="20"/>
          <w:szCs w:val="20"/>
        </w:rPr>
      </w:pPr>
    </w:p>
    <w:p w14:paraId="4A9F5EF4" w14:textId="77777777" w:rsidR="009A0CCA" w:rsidRPr="00FA6D77" w:rsidRDefault="009A0CCA" w:rsidP="009A0CCA">
      <w:pPr>
        <w:numPr>
          <w:ilvl w:val="0"/>
          <w:numId w:val="11"/>
        </w:numPr>
        <w:spacing w:after="0" w:line="240" w:lineRule="auto"/>
        <w:ind w:left="0" w:firstLine="540"/>
        <w:jc w:val="both"/>
        <w:rPr>
          <w:rFonts w:ascii="Cambria" w:hAnsi="Cambria"/>
          <w:color w:val="000000"/>
          <w:sz w:val="20"/>
          <w:szCs w:val="20"/>
        </w:rPr>
      </w:pPr>
      <w:r w:rsidRPr="00FA6D77">
        <w:rPr>
          <w:rFonts w:ascii="Cambria" w:hAnsi="Cambria" w:cs="Calibri Light"/>
          <w:color w:val="000000"/>
          <w:sz w:val="20"/>
          <w:szCs w:val="20"/>
        </w:rPr>
        <w:t xml:space="preserve">The IACHR therefore considers that in terms of the first recommendation—related to conducting a complete, impartial, and effective investigation into the facts of the complaint to determine the fate of </w:t>
      </w:r>
      <w:r w:rsidRPr="00FA6D77">
        <w:rPr>
          <w:rFonts w:ascii="Cambria" w:hAnsi="Cambria"/>
          <w:color w:val="000000"/>
          <w:sz w:val="20"/>
          <w:szCs w:val="20"/>
        </w:rPr>
        <w:t xml:space="preserve">Ileana del Rosario </w:t>
      </w:r>
      <w:proofErr w:type="spellStart"/>
      <w:r w:rsidRPr="00FA6D77">
        <w:rPr>
          <w:rFonts w:ascii="Cambria" w:hAnsi="Cambria"/>
          <w:color w:val="000000"/>
          <w:sz w:val="20"/>
          <w:szCs w:val="20"/>
        </w:rPr>
        <w:t>Solares</w:t>
      </w:r>
      <w:proofErr w:type="spellEnd"/>
      <w:r w:rsidRPr="00FA6D77">
        <w:rPr>
          <w:rFonts w:ascii="Cambria" w:hAnsi="Cambria"/>
          <w:color w:val="000000"/>
          <w:sz w:val="20"/>
          <w:szCs w:val="20"/>
        </w:rPr>
        <w:t xml:space="preserve"> Castillo, Ana María López Rodríguez, and Luz Leticia Hernández, as well as prosecuting and punishing those responsible for the human rights violations committed against the three women—</w:t>
      </w:r>
      <w:r w:rsidRPr="00FA6D77">
        <w:rPr>
          <w:rFonts w:ascii="Cambria" w:hAnsi="Cambria" w:cs="Calibri Light"/>
          <w:color w:val="000000"/>
          <w:sz w:val="20"/>
          <w:szCs w:val="20"/>
        </w:rPr>
        <w:t xml:space="preserve">compliance </w:t>
      </w:r>
      <w:r w:rsidRPr="00FA6D77">
        <w:rPr>
          <w:rFonts w:ascii="Cambria" w:hAnsi="Cambria"/>
          <w:color w:val="000000"/>
          <w:sz w:val="20"/>
          <w:szCs w:val="20"/>
        </w:rPr>
        <w:t xml:space="preserve">remains pending. </w:t>
      </w:r>
    </w:p>
    <w:p w14:paraId="5F0A9114" w14:textId="77777777" w:rsidR="009A0CCA" w:rsidRPr="00FA6D77" w:rsidRDefault="009A0CCA" w:rsidP="009A0CCA">
      <w:pPr>
        <w:spacing w:after="0" w:line="240" w:lineRule="auto"/>
        <w:ind w:left="540"/>
        <w:jc w:val="both"/>
        <w:rPr>
          <w:rFonts w:ascii="Cambria" w:hAnsi="Cambria"/>
          <w:color w:val="000000"/>
          <w:sz w:val="20"/>
          <w:szCs w:val="20"/>
        </w:rPr>
      </w:pPr>
    </w:p>
    <w:p w14:paraId="60498CAC" w14:textId="12C3F118" w:rsidR="00221640" w:rsidRPr="00FA6D77" w:rsidRDefault="009A0CCA" w:rsidP="00221640">
      <w:pPr>
        <w:numPr>
          <w:ilvl w:val="0"/>
          <w:numId w:val="11"/>
        </w:numPr>
        <w:spacing w:after="0" w:line="240" w:lineRule="auto"/>
        <w:ind w:left="0" w:firstLine="540"/>
        <w:jc w:val="both"/>
        <w:rPr>
          <w:rFonts w:ascii="Cambria" w:hAnsi="Cambria"/>
          <w:color w:val="000000" w:themeColor="text1"/>
          <w:sz w:val="20"/>
          <w:szCs w:val="20"/>
        </w:rPr>
      </w:pPr>
      <w:r w:rsidRPr="00FA6D77">
        <w:rPr>
          <w:rFonts w:ascii="Cambria" w:hAnsi="Cambria"/>
          <w:b/>
          <w:color w:val="000000"/>
          <w:sz w:val="20"/>
          <w:szCs w:val="20"/>
        </w:rPr>
        <w:t>With respect to the second recommendation</w:t>
      </w:r>
      <w:r w:rsidRPr="00FA6D77">
        <w:rPr>
          <w:rFonts w:ascii="Cambria" w:hAnsi="Cambria"/>
          <w:color w:val="000000"/>
          <w:sz w:val="20"/>
          <w:szCs w:val="20"/>
        </w:rPr>
        <w:t xml:space="preserve">, although the State of Guatemala signed a compliance agreement with the next of kin of Ileana del Rosario </w:t>
      </w:r>
      <w:proofErr w:type="spellStart"/>
      <w:r w:rsidRPr="00FA6D77">
        <w:rPr>
          <w:rFonts w:ascii="Cambria" w:hAnsi="Cambria"/>
          <w:color w:val="000000"/>
          <w:sz w:val="20"/>
          <w:szCs w:val="20"/>
        </w:rPr>
        <w:t>Solares</w:t>
      </w:r>
      <w:proofErr w:type="spellEnd"/>
      <w:r w:rsidRPr="00FA6D77">
        <w:rPr>
          <w:rFonts w:ascii="Cambria" w:hAnsi="Cambria"/>
          <w:color w:val="000000"/>
          <w:sz w:val="20"/>
          <w:szCs w:val="20"/>
        </w:rPr>
        <w:t xml:space="preserve"> Castillo and Ana María López Rodríguez, its comments in 2019 addressed only the agreement entered into in the case of the latter victim. In this regard, the State indicated that on January 21, 2011, COPREDEH held the ceremony to recognize the State’s international responsibility; on February 14, 2011, a summary of the case was published in the newspaper </w:t>
      </w:r>
      <w:r w:rsidRPr="00FA6D77">
        <w:rPr>
          <w:rFonts w:ascii="Cambria" w:hAnsi="Cambria"/>
          <w:i/>
          <w:color w:val="000000"/>
          <w:sz w:val="20"/>
          <w:szCs w:val="20"/>
        </w:rPr>
        <w:t>Al Día</w:t>
      </w:r>
      <w:r w:rsidRPr="00FA6D77">
        <w:rPr>
          <w:rFonts w:ascii="Cambria" w:hAnsi="Cambria"/>
          <w:color w:val="000000"/>
          <w:sz w:val="20"/>
          <w:szCs w:val="20"/>
        </w:rPr>
        <w:t xml:space="preserve"> and on February 23, in the </w:t>
      </w:r>
      <w:proofErr w:type="spellStart"/>
      <w:r w:rsidRPr="00FA6D77">
        <w:rPr>
          <w:rFonts w:ascii="Cambria" w:hAnsi="Cambria"/>
          <w:i/>
          <w:color w:val="000000"/>
          <w:sz w:val="20"/>
          <w:szCs w:val="20"/>
        </w:rPr>
        <w:t>Diario</w:t>
      </w:r>
      <w:proofErr w:type="spellEnd"/>
      <w:r w:rsidRPr="00FA6D77">
        <w:rPr>
          <w:rFonts w:ascii="Cambria" w:hAnsi="Cambria"/>
          <w:i/>
          <w:color w:val="000000"/>
          <w:sz w:val="20"/>
          <w:szCs w:val="20"/>
        </w:rPr>
        <w:t xml:space="preserve"> de Centro </w:t>
      </w:r>
      <w:proofErr w:type="spellStart"/>
      <w:r w:rsidRPr="00FA6D77">
        <w:rPr>
          <w:rFonts w:ascii="Cambria" w:hAnsi="Cambria"/>
          <w:i/>
          <w:color w:val="000000"/>
          <w:sz w:val="20"/>
          <w:szCs w:val="20"/>
        </w:rPr>
        <w:t>América</w:t>
      </w:r>
      <w:proofErr w:type="spellEnd"/>
      <w:r w:rsidRPr="00FA6D77">
        <w:rPr>
          <w:rFonts w:ascii="Cambria" w:hAnsi="Cambria"/>
          <w:color w:val="000000"/>
          <w:sz w:val="20"/>
          <w:szCs w:val="20"/>
        </w:rPr>
        <w:t xml:space="preserve">; and on February 27, 2012, Guatemala’s </w:t>
      </w:r>
      <w:proofErr w:type="spellStart"/>
      <w:r w:rsidRPr="00FA6D77">
        <w:rPr>
          <w:rFonts w:ascii="Cambria" w:hAnsi="Cambria"/>
          <w:i/>
          <w:color w:val="000000"/>
          <w:sz w:val="20"/>
          <w:szCs w:val="20"/>
        </w:rPr>
        <w:t>Diario</w:t>
      </w:r>
      <w:proofErr w:type="spellEnd"/>
      <w:r w:rsidRPr="00FA6D77">
        <w:rPr>
          <w:rFonts w:ascii="Cambria" w:hAnsi="Cambria"/>
          <w:i/>
          <w:color w:val="000000"/>
          <w:sz w:val="20"/>
          <w:szCs w:val="20"/>
        </w:rPr>
        <w:t xml:space="preserve"> de </w:t>
      </w:r>
      <w:proofErr w:type="spellStart"/>
      <w:r w:rsidRPr="00FA6D77">
        <w:rPr>
          <w:rFonts w:ascii="Cambria" w:hAnsi="Cambria"/>
          <w:i/>
          <w:color w:val="000000"/>
          <w:sz w:val="20"/>
          <w:szCs w:val="20"/>
        </w:rPr>
        <w:t>Centroamérica</w:t>
      </w:r>
      <w:proofErr w:type="spellEnd"/>
      <w:r w:rsidRPr="00FA6D77">
        <w:rPr>
          <w:rFonts w:ascii="Cambria" w:hAnsi="Cambria"/>
          <w:color w:val="000000"/>
          <w:sz w:val="20"/>
          <w:szCs w:val="20"/>
        </w:rPr>
        <w:t xml:space="preserve"> published the authorization of the Interior Ministry recognizing the legal status and approving the bylaws of the foundation called the </w:t>
      </w:r>
      <w:proofErr w:type="spellStart"/>
      <w:r w:rsidRPr="00FA6D77">
        <w:rPr>
          <w:rFonts w:ascii="Cambria" w:hAnsi="Cambria"/>
          <w:color w:val="000000"/>
          <w:sz w:val="20"/>
          <w:szCs w:val="20"/>
        </w:rPr>
        <w:t>Fundación</w:t>
      </w:r>
      <w:proofErr w:type="spellEnd"/>
      <w:r w:rsidRPr="00FA6D77">
        <w:rPr>
          <w:rFonts w:ascii="Cambria" w:hAnsi="Cambria"/>
          <w:color w:val="000000"/>
          <w:sz w:val="20"/>
          <w:szCs w:val="20"/>
        </w:rPr>
        <w:t xml:space="preserve"> Derechos Humanos </w:t>
      </w:r>
      <w:proofErr w:type="spellStart"/>
      <w:r w:rsidRPr="00FA6D77">
        <w:rPr>
          <w:rFonts w:ascii="Cambria" w:hAnsi="Cambria"/>
          <w:color w:val="000000"/>
          <w:sz w:val="20"/>
          <w:szCs w:val="20"/>
        </w:rPr>
        <w:t>en</w:t>
      </w:r>
      <w:proofErr w:type="spellEnd"/>
      <w:r w:rsidRPr="00FA6D77">
        <w:rPr>
          <w:rFonts w:ascii="Cambria" w:hAnsi="Cambria"/>
          <w:color w:val="000000"/>
          <w:sz w:val="20"/>
          <w:szCs w:val="20"/>
        </w:rPr>
        <w:t xml:space="preserve"> </w:t>
      </w:r>
      <w:proofErr w:type="spellStart"/>
      <w:r w:rsidRPr="00FA6D77">
        <w:rPr>
          <w:rFonts w:ascii="Cambria" w:hAnsi="Cambria"/>
          <w:color w:val="000000"/>
          <w:sz w:val="20"/>
          <w:szCs w:val="20"/>
        </w:rPr>
        <w:t>Acción</w:t>
      </w:r>
      <w:proofErr w:type="spellEnd"/>
      <w:r w:rsidRPr="00FA6D77">
        <w:rPr>
          <w:rFonts w:ascii="Cambria" w:hAnsi="Cambria"/>
          <w:color w:val="000000"/>
          <w:sz w:val="20"/>
          <w:szCs w:val="20"/>
        </w:rPr>
        <w:t xml:space="preserve"> (FUNDHA). The Guatemalan State reported that since December 28, 2010, it has paid compensation to the victim’s mother and allocated the sum of seventy-nine thousand two hundred quetzals (Q79,200) to fund three scholarships. In terms of draft Law No. 3.590, the “National Law on the Search for Disappeared Persons,” which was introduced in the Congress of the Republic of Guatemala in 2016, the Guatemalan State reported that the bill is going through the legislative process. The bill came up for debate on January 13, 2014, and again on February 4, 2016. A third debate before the full Congress is now said to be pending. </w:t>
      </w:r>
      <w:r w:rsidR="00221640" w:rsidRPr="00FA6D77">
        <w:rPr>
          <w:rFonts w:ascii="Cambria" w:hAnsi="Cambria" w:cs="Calibri Light"/>
          <w:color w:val="000000" w:themeColor="text1"/>
          <w:sz w:val="20"/>
          <w:szCs w:val="20"/>
        </w:rPr>
        <w:t>In 2020, the State reiterated the information submitted in 2019 with respect to the status of the legislative process for draft Law No. 3590 “National Disappeared Persons Search Law.” It further reported that on October 30, the State of Guatemala installed a steel plaque in the Martyrs Square (</w:t>
      </w:r>
      <w:r w:rsidR="00221640" w:rsidRPr="00FA6D77">
        <w:rPr>
          <w:rFonts w:ascii="Cambria" w:hAnsi="Cambria" w:cs="Calibri Light"/>
          <w:i/>
          <w:color w:val="000000" w:themeColor="text1"/>
          <w:sz w:val="20"/>
          <w:szCs w:val="20"/>
        </w:rPr>
        <w:t xml:space="preserve">Plaza de </w:t>
      </w:r>
      <w:proofErr w:type="spellStart"/>
      <w:r w:rsidR="00221640" w:rsidRPr="00FA6D77">
        <w:rPr>
          <w:rFonts w:ascii="Cambria" w:hAnsi="Cambria" w:cs="Calibri Light"/>
          <w:i/>
          <w:color w:val="000000" w:themeColor="text1"/>
          <w:sz w:val="20"/>
          <w:szCs w:val="20"/>
        </w:rPr>
        <w:t>los</w:t>
      </w:r>
      <w:proofErr w:type="spellEnd"/>
      <w:r w:rsidR="00221640" w:rsidRPr="00FA6D77">
        <w:rPr>
          <w:rFonts w:ascii="Cambria" w:hAnsi="Cambria" w:cs="Calibri Light"/>
          <w:i/>
          <w:color w:val="000000" w:themeColor="text1"/>
          <w:sz w:val="20"/>
          <w:szCs w:val="20"/>
        </w:rPr>
        <w:t xml:space="preserve"> </w:t>
      </w:r>
      <w:proofErr w:type="spellStart"/>
      <w:r w:rsidR="00221640" w:rsidRPr="00FA6D77">
        <w:rPr>
          <w:rFonts w:ascii="Cambria" w:hAnsi="Cambria" w:cs="Calibri Light"/>
          <w:i/>
          <w:color w:val="000000" w:themeColor="text1"/>
          <w:sz w:val="20"/>
          <w:szCs w:val="20"/>
        </w:rPr>
        <w:t>Mártires</w:t>
      </w:r>
      <w:proofErr w:type="spellEnd"/>
      <w:r w:rsidR="00221640" w:rsidRPr="00FA6D77">
        <w:rPr>
          <w:rFonts w:ascii="Cambria" w:hAnsi="Cambria" w:cs="Calibri Light"/>
          <w:color w:val="000000" w:themeColor="text1"/>
          <w:sz w:val="20"/>
          <w:szCs w:val="20"/>
        </w:rPr>
        <w:t>) of the Central</w:t>
      </w:r>
      <w:r w:rsidR="000D3FA9" w:rsidRPr="00FA6D77">
        <w:rPr>
          <w:rFonts w:ascii="Cambria" w:hAnsi="Cambria" w:cs="Calibri Light"/>
          <w:color w:val="000000" w:themeColor="text1"/>
          <w:sz w:val="20"/>
          <w:szCs w:val="20"/>
        </w:rPr>
        <w:t xml:space="preserve"> </w:t>
      </w:r>
      <w:r w:rsidR="00221640" w:rsidRPr="00FA6D77">
        <w:rPr>
          <w:rFonts w:ascii="Cambria" w:hAnsi="Cambria" w:cs="Calibri Light"/>
          <w:color w:val="000000" w:themeColor="text1"/>
          <w:sz w:val="20"/>
          <w:szCs w:val="20"/>
        </w:rPr>
        <w:t xml:space="preserve">Campus of the University </w:t>
      </w:r>
      <w:proofErr w:type="gramStart"/>
      <w:r w:rsidR="00221640" w:rsidRPr="00FA6D77">
        <w:rPr>
          <w:rFonts w:ascii="Cambria" w:hAnsi="Cambria" w:cs="Calibri Light"/>
          <w:color w:val="000000" w:themeColor="text1"/>
          <w:sz w:val="20"/>
          <w:szCs w:val="20"/>
        </w:rPr>
        <w:t>of San Carlos of</w:t>
      </w:r>
      <w:proofErr w:type="gramEnd"/>
      <w:r w:rsidR="00221640" w:rsidRPr="00FA6D77">
        <w:rPr>
          <w:rFonts w:ascii="Cambria" w:hAnsi="Cambria" w:cs="Calibri Light"/>
          <w:color w:val="000000" w:themeColor="text1"/>
          <w:sz w:val="20"/>
          <w:szCs w:val="20"/>
        </w:rPr>
        <w:t xml:space="preserve"> Guatemala, in memory of Rosario </w:t>
      </w:r>
      <w:proofErr w:type="spellStart"/>
      <w:r w:rsidR="00221640" w:rsidRPr="00FA6D77">
        <w:rPr>
          <w:rFonts w:ascii="Cambria" w:hAnsi="Cambria" w:cs="Calibri Light"/>
          <w:color w:val="000000" w:themeColor="text1"/>
          <w:sz w:val="20"/>
          <w:szCs w:val="20"/>
        </w:rPr>
        <w:t>Solares</w:t>
      </w:r>
      <w:proofErr w:type="spellEnd"/>
      <w:r w:rsidR="00221640" w:rsidRPr="00FA6D77">
        <w:rPr>
          <w:rFonts w:ascii="Cambria" w:hAnsi="Cambria" w:cs="Calibri Light"/>
          <w:color w:val="000000" w:themeColor="text1"/>
          <w:sz w:val="20"/>
          <w:szCs w:val="20"/>
        </w:rPr>
        <w:t xml:space="preserve"> Castillo and of the other victims of gross human rights violations during the internal armed conflict.</w:t>
      </w:r>
    </w:p>
    <w:p w14:paraId="66C31B92" w14:textId="57813465" w:rsidR="009A0CCA" w:rsidRPr="00FA6D77" w:rsidRDefault="009A0CCA" w:rsidP="000D3FA9">
      <w:pPr>
        <w:spacing w:after="0" w:line="240" w:lineRule="auto"/>
        <w:jc w:val="both"/>
        <w:rPr>
          <w:rFonts w:ascii="Cambria" w:hAnsi="Cambria"/>
          <w:color w:val="000000"/>
          <w:sz w:val="20"/>
          <w:szCs w:val="20"/>
        </w:rPr>
      </w:pPr>
    </w:p>
    <w:p w14:paraId="6605A79F" w14:textId="77777777" w:rsidR="009A0CCA" w:rsidRPr="00FA6D77" w:rsidRDefault="009A0CCA" w:rsidP="009A0CCA">
      <w:pPr>
        <w:numPr>
          <w:ilvl w:val="0"/>
          <w:numId w:val="11"/>
        </w:numPr>
        <w:spacing w:after="0" w:line="240" w:lineRule="auto"/>
        <w:ind w:left="0" w:firstLine="540"/>
        <w:jc w:val="both"/>
        <w:rPr>
          <w:rFonts w:ascii="Cambria" w:hAnsi="Cambria"/>
          <w:color w:val="000000"/>
          <w:sz w:val="20"/>
          <w:szCs w:val="20"/>
        </w:rPr>
      </w:pPr>
      <w:r w:rsidRPr="00FA6D77">
        <w:rPr>
          <w:rFonts w:ascii="Cambria" w:hAnsi="Cambria"/>
          <w:color w:val="000000"/>
          <w:sz w:val="20"/>
          <w:szCs w:val="20"/>
        </w:rPr>
        <w:t xml:space="preserve">In 2018, the representatives of Ana María López Rodríguez reported that the State of Guatemala had in previous years met its commitments related to “Education, three scholarships,” “Funds to establish a foundation,” and “Letter of apology from the State of Guatemala.” They also requested that the State of Guatemala present a timetable for promoting draft Law No. 3.590. </w:t>
      </w:r>
    </w:p>
    <w:p w14:paraId="01FC7B12" w14:textId="77777777" w:rsidR="009A0CCA" w:rsidRPr="00FA6D77" w:rsidRDefault="009A0CCA" w:rsidP="009A0CCA">
      <w:pPr>
        <w:spacing w:after="0" w:line="240" w:lineRule="auto"/>
        <w:ind w:left="540"/>
        <w:jc w:val="both"/>
        <w:rPr>
          <w:rFonts w:ascii="Cambria" w:hAnsi="Cambria"/>
          <w:color w:val="000000"/>
          <w:sz w:val="20"/>
          <w:szCs w:val="20"/>
        </w:rPr>
      </w:pPr>
    </w:p>
    <w:p w14:paraId="4E0A2220" w14:textId="77777777" w:rsidR="009A0CCA" w:rsidRPr="00FA6D77" w:rsidRDefault="009A0CCA" w:rsidP="009A0CCA">
      <w:pPr>
        <w:numPr>
          <w:ilvl w:val="0"/>
          <w:numId w:val="11"/>
        </w:numPr>
        <w:spacing w:after="0" w:line="240" w:lineRule="auto"/>
        <w:ind w:left="0" w:firstLine="540"/>
        <w:jc w:val="both"/>
        <w:rPr>
          <w:rFonts w:ascii="Cambria" w:hAnsi="Cambria"/>
          <w:color w:val="000000"/>
          <w:sz w:val="20"/>
          <w:szCs w:val="20"/>
        </w:rPr>
      </w:pPr>
      <w:r w:rsidRPr="00FA6D77">
        <w:rPr>
          <w:rFonts w:ascii="Cambria" w:hAnsi="Cambria" w:cs="Calibri Light"/>
          <w:color w:val="000000"/>
          <w:sz w:val="20"/>
          <w:szCs w:val="20"/>
        </w:rPr>
        <w:t>During 2019, the petitioners did not provide information on compliance with this recommendation.</w:t>
      </w:r>
      <w:r w:rsidRPr="00FA6D77">
        <w:rPr>
          <w:rFonts w:ascii="Cambria" w:hAnsi="Cambria"/>
          <w:color w:val="000000"/>
          <w:sz w:val="20"/>
          <w:szCs w:val="20"/>
        </w:rPr>
        <w:t xml:space="preserve"> </w:t>
      </w:r>
    </w:p>
    <w:p w14:paraId="75CC157E" w14:textId="77777777" w:rsidR="009A0CCA" w:rsidRPr="00FA6D77" w:rsidRDefault="009A0CCA" w:rsidP="009A0CCA">
      <w:pPr>
        <w:spacing w:after="0" w:line="240" w:lineRule="auto"/>
        <w:ind w:left="540"/>
        <w:jc w:val="both"/>
        <w:rPr>
          <w:rFonts w:ascii="Cambria" w:hAnsi="Cambria"/>
          <w:color w:val="000000"/>
          <w:sz w:val="20"/>
          <w:szCs w:val="20"/>
        </w:rPr>
      </w:pPr>
    </w:p>
    <w:p w14:paraId="31617AE2" w14:textId="77777777" w:rsidR="009A0CCA" w:rsidRPr="00FA6D77" w:rsidRDefault="009A0CCA" w:rsidP="009A0CCA">
      <w:pPr>
        <w:numPr>
          <w:ilvl w:val="0"/>
          <w:numId w:val="11"/>
        </w:numPr>
        <w:spacing w:after="0" w:line="240" w:lineRule="auto"/>
        <w:ind w:left="0" w:firstLine="540"/>
        <w:jc w:val="both"/>
        <w:rPr>
          <w:rFonts w:ascii="Cambria" w:hAnsi="Cambria"/>
          <w:color w:val="000000"/>
          <w:sz w:val="20"/>
          <w:szCs w:val="20"/>
        </w:rPr>
      </w:pPr>
      <w:r w:rsidRPr="00FA6D77">
        <w:rPr>
          <w:rFonts w:ascii="Cambria" w:hAnsi="Cambria"/>
          <w:color w:val="000000"/>
          <w:sz w:val="20"/>
          <w:szCs w:val="20"/>
        </w:rPr>
        <w:t xml:space="preserve">The IACHR notes that there is no dispute between the representatives of Ana María López Rodríguez and the State of Guatemala regarding the full implementation of the following points of agreement: 1) “Education, three scholarships,” 2) “Funds to establish a foundation,” and 3) “Letter of apology from the State of Guatemala.” In previous years, the representatives had also informed the IACHR that there had been full compliance with the commitments related to the publication of the case in the Official Gazette and in the newspaper </w:t>
      </w:r>
      <w:r w:rsidRPr="00FA6D77">
        <w:rPr>
          <w:rFonts w:ascii="Cambria" w:hAnsi="Cambria"/>
          <w:i/>
          <w:color w:val="000000"/>
          <w:sz w:val="20"/>
          <w:szCs w:val="20"/>
        </w:rPr>
        <w:t>Al Día</w:t>
      </w:r>
      <w:r w:rsidRPr="00FA6D77">
        <w:rPr>
          <w:rFonts w:ascii="Cambria" w:hAnsi="Cambria"/>
          <w:color w:val="000000"/>
          <w:sz w:val="20"/>
          <w:szCs w:val="20"/>
        </w:rPr>
        <w:t xml:space="preserve">, as well as the financial compensation paid to the next of kin of Ana María López Rodríguez. </w:t>
      </w:r>
      <w:r w:rsidRPr="00FA6D77">
        <w:rPr>
          <w:rFonts w:ascii="Cambria" w:hAnsi="Cambria"/>
          <w:color w:val="000000"/>
          <w:sz w:val="20"/>
          <w:szCs w:val="20"/>
        </w:rPr>
        <w:lastRenderedPageBreak/>
        <w:t>Consequently, the IACHR considers that compliance remains pending with regard to the following commitments: promote the prosecution and punishment of those responsible for the forced disappearances; unveil the commemorative plaque in memory of the victim; print an educational brochure; and approve Law 3.590.</w:t>
      </w:r>
    </w:p>
    <w:p w14:paraId="03B4108A" w14:textId="77777777" w:rsidR="009A0CCA" w:rsidRPr="00FA6D77" w:rsidRDefault="009A0CCA" w:rsidP="009A0CCA">
      <w:pPr>
        <w:spacing w:after="0" w:line="240" w:lineRule="auto"/>
        <w:ind w:left="540"/>
        <w:jc w:val="both"/>
        <w:rPr>
          <w:rFonts w:ascii="Cambria" w:hAnsi="Cambria"/>
          <w:color w:val="000000"/>
          <w:sz w:val="20"/>
          <w:szCs w:val="20"/>
        </w:rPr>
      </w:pPr>
    </w:p>
    <w:p w14:paraId="30544727" w14:textId="7711C065" w:rsidR="009A0CCA" w:rsidRPr="00FA6D77" w:rsidRDefault="009A0CCA" w:rsidP="000D3FA9">
      <w:pPr>
        <w:numPr>
          <w:ilvl w:val="0"/>
          <w:numId w:val="11"/>
        </w:numPr>
        <w:spacing w:after="0" w:line="240" w:lineRule="auto"/>
        <w:ind w:left="0" w:firstLine="540"/>
        <w:jc w:val="both"/>
        <w:rPr>
          <w:rFonts w:ascii="Cambria" w:hAnsi="Cambria"/>
          <w:color w:val="000000"/>
          <w:sz w:val="20"/>
          <w:szCs w:val="20"/>
        </w:rPr>
      </w:pPr>
      <w:r w:rsidRPr="00FA6D77">
        <w:rPr>
          <w:rFonts w:ascii="Cambria" w:hAnsi="Cambria"/>
          <w:color w:val="000000"/>
          <w:sz w:val="20"/>
          <w:szCs w:val="20"/>
        </w:rPr>
        <w:t xml:space="preserve">With respect to the agreement signed with the next of kin of the victim Ileana del Rosario </w:t>
      </w:r>
      <w:proofErr w:type="spellStart"/>
      <w:r w:rsidRPr="00FA6D77">
        <w:rPr>
          <w:rFonts w:ascii="Cambria" w:hAnsi="Cambria"/>
          <w:color w:val="000000"/>
          <w:sz w:val="20"/>
          <w:szCs w:val="20"/>
        </w:rPr>
        <w:t>Solares</w:t>
      </w:r>
      <w:proofErr w:type="spellEnd"/>
      <w:r w:rsidRPr="00FA6D77">
        <w:rPr>
          <w:rFonts w:ascii="Cambria" w:hAnsi="Cambria"/>
          <w:color w:val="000000"/>
          <w:sz w:val="20"/>
          <w:szCs w:val="20"/>
        </w:rPr>
        <w:t xml:space="preserve"> Castillo, in 2013, the State of Guatemala reported that it had complied with its commitments related to the recognition of international responsibility and the apology; the unveiling of a commemorative plaque in memory of the victim; the payment of economic reparation; and the payment of seed capital for the establishment of a foundation.</w:t>
      </w:r>
      <w:r w:rsidR="00221640" w:rsidRPr="00FA6D77">
        <w:rPr>
          <w:rFonts w:ascii="Cambria" w:hAnsi="Cambria"/>
          <w:color w:val="FF0000"/>
          <w:sz w:val="20"/>
          <w:szCs w:val="20"/>
        </w:rPr>
        <w:t xml:space="preserve"> </w:t>
      </w:r>
      <w:r w:rsidR="00221640" w:rsidRPr="00FA6D77">
        <w:rPr>
          <w:rFonts w:ascii="Cambria" w:hAnsi="Cambria"/>
          <w:color w:val="000000" w:themeColor="text1"/>
          <w:sz w:val="20"/>
          <w:szCs w:val="20"/>
        </w:rPr>
        <w:t xml:space="preserve">The Commission also takes note that the State reported unveiling a plaque at the University of San Carlos of Guatemala (USAC) in memory of Ileana del Rosario </w:t>
      </w:r>
      <w:proofErr w:type="spellStart"/>
      <w:r w:rsidR="00221640" w:rsidRPr="00FA6D77">
        <w:rPr>
          <w:rFonts w:ascii="Cambria" w:hAnsi="Cambria"/>
          <w:color w:val="000000" w:themeColor="text1"/>
          <w:sz w:val="20"/>
          <w:szCs w:val="20"/>
        </w:rPr>
        <w:t>Solares</w:t>
      </w:r>
      <w:proofErr w:type="spellEnd"/>
      <w:r w:rsidR="00221640" w:rsidRPr="00FA6D77">
        <w:rPr>
          <w:rFonts w:ascii="Cambria" w:hAnsi="Cambria"/>
          <w:color w:val="000000" w:themeColor="text1"/>
          <w:sz w:val="20"/>
          <w:szCs w:val="20"/>
        </w:rPr>
        <w:t xml:space="preserve"> Castillo, as part of the monument constructed in honor of the victims of human rights violations during the internal armed conflict. In this regard, the IACHR notes that the agreement entered into between the State and the family members of Ileana del Rosario established the construction of a wall in the square of USAC. </w:t>
      </w:r>
      <w:proofErr w:type="gramStart"/>
      <w:r w:rsidR="00221640" w:rsidRPr="00FA6D77">
        <w:rPr>
          <w:rFonts w:ascii="Cambria" w:hAnsi="Cambria"/>
          <w:color w:val="000000" w:themeColor="text1"/>
          <w:sz w:val="20"/>
          <w:szCs w:val="20"/>
        </w:rPr>
        <w:t xml:space="preserve">However, in light of the fact that the State did not provide information about the participation of the petitioners in the unveiling of this plaque, the Commission requests information from both parties about the reparation effects of this measure for the victims as provided for in the compliance agreement and the agreement with the position of the family members of </w:t>
      </w:r>
      <w:r w:rsidR="00221640" w:rsidRPr="00FA6D77">
        <w:rPr>
          <w:rFonts w:ascii="Cambria" w:eastAsia="MS Mincho" w:hAnsi="Cambria"/>
          <w:color w:val="000000" w:themeColor="text1"/>
          <w:sz w:val="20"/>
          <w:szCs w:val="20"/>
          <w:lang w:eastAsia="es-ES_tradnl"/>
        </w:rPr>
        <w:t xml:space="preserve"> Ileana del Rosario</w:t>
      </w:r>
      <w:r w:rsidR="000D3FA9" w:rsidRPr="00FA6D77">
        <w:rPr>
          <w:rFonts w:ascii="Cambria" w:eastAsia="MS Mincho" w:hAnsi="Cambria"/>
          <w:color w:val="000000" w:themeColor="text1"/>
          <w:sz w:val="20"/>
          <w:szCs w:val="20"/>
          <w:lang w:eastAsia="es-ES_tradnl"/>
        </w:rPr>
        <w:t>.</w:t>
      </w:r>
      <w:proofErr w:type="gramEnd"/>
      <w:r w:rsidRPr="00FA6D77">
        <w:rPr>
          <w:rFonts w:ascii="Cambria" w:hAnsi="Cambria"/>
          <w:color w:val="000000" w:themeColor="text1"/>
          <w:sz w:val="20"/>
          <w:szCs w:val="20"/>
        </w:rPr>
        <w:t xml:space="preserve"> </w:t>
      </w:r>
      <w:r w:rsidRPr="00FA6D77">
        <w:rPr>
          <w:rFonts w:ascii="Cambria" w:hAnsi="Cambria"/>
          <w:color w:val="000000"/>
          <w:sz w:val="20"/>
          <w:szCs w:val="20"/>
        </w:rPr>
        <w:t xml:space="preserve">Taking into consideration that the two compliance agreements signed by the State </w:t>
      </w:r>
      <w:proofErr w:type="gramStart"/>
      <w:r w:rsidRPr="00FA6D77">
        <w:rPr>
          <w:rFonts w:ascii="Cambria" w:hAnsi="Cambria"/>
          <w:color w:val="000000"/>
          <w:sz w:val="20"/>
          <w:szCs w:val="20"/>
        </w:rPr>
        <w:t>have not been implemented</w:t>
      </w:r>
      <w:proofErr w:type="gramEnd"/>
      <w:r w:rsidRPr="00FA6D77">
        <w:rPr>
          <w:rFonts w:ascii="Cambria" w:hAnsi="Cambria"/>
          <w:color w:val="000000"/>
          <w:sz w:val="20"/>
          <w:szCs w:val="20"/>
        </w:rPr>
        <w:t xml:space="preserve"> completely, the IACHR concludes that there is partial compliance with the second recommendation. </w:t>
      </w:r>
    </w:p>
    <w:p w14:paraId="2C3A6BED" w14:textId="77777777" w:rsidR="009A0CCA" w:rsidRPr="00FA6D77" w:rsidRDefault="009A0CCA" w:rsidP="009A0CCA">
      <w:pPr>
        <w:spacing w:after="0" w:line="240" w:lineRule="auto"/>
        <w:jc w:val="both"/>
        <w:rPr>
          <w:rFonts w:ascii="Cambria" w:hAnsi="Cambria"/>
          <w:color w:val="000000"/>
          <w:sz w:val="20"/>
          <w:szCs w:val="20"/>
        </w:rPr>
      </w:pPr>
    </w:p>
    <w:p w14:paraId="584B24E2" w14:textId="77777777" w:rsidR="009A0CCA" w:rsidRPr="00FA6D77" w:rsidRDefault="009A0CCA" w:rsidP="009A0CCA">
      <w:pPr>
        <w:pStyle w:val="ListParagraph"/>
        <w:numPr>
          <w:ilvl w:val="0"/>
          <w:numId w:val="1"/>
        </w:numPr>
        <w:spacing w:after="0" w:line="240" w:lineRule="auto"/>
        <w:ind w:left="1440"/>
        <w:jc w:val="both"/>
        <w:rPr>
          <w:rFonts w:ascii="Cambria" w:hAnsi="Cambria" w:cs="Calibri Light"/>
          <w:b/>
          <w:color w:val="000000"/>
          <w:sz w:val="20"/>
          <w:szCs w:val="20"/>
        </w:rPr>
      </w:pPr>
      <w:r w:rsidRPr="00FA6D77">
        <w:rPr>
          <w:rFonts w:ascii="Cambria" w:hAnsi="Cambria" w:cs="Calibri Light"/>
          <w:b/>
          <w:color w:val="000000"/>
          <w:sz w:val="20"/>
          <w:szCs w:val="20"/>
        </w:rPr>
        <w:t xml:space="preserve">Level of compliance of the case </w:t>
      </w:r>
    </w:p>
    <w:p w14:paraId="55D2DE5F" w14:textId="77777777" w:rsidR="009A0CCA" w:rsidRPr="00FA6D77" w:rsidRDefault="009A0CCA" w:rsidP="009A0CCA">
      <w:pPr>
        <w:spacing w:after="0" w:line="240" w:lineRule="auto"/>
        <w:jc w:val="both"/>
        <w:rPr>
          <w:rFonts w:ascii="Cambria" w:hAnsi="Cambria" w:cs="Calibri Light"/>
          <w:color w:val="000000"/>
          <w:sz w:val="20"/>
          <w:szCs w:val="20"/>
        </w:rPr>
      </w:pPr>
    </w:p>
    <w:p w14:paraId="15A9CE69" w14:textId="77777777" w:rsidR="009A0CCA" w:rsidRPr="00FA6D77" w:rsidRDefault="009A0CCA" w:rsidP="009A0CCA">
      <w:pPr>
        <w:numPr>
          <w:ilvl w:val="0"/>
          <w:numId w:val="11"/>
        </w:numPr>
        <w:spacing w:after="0" w:line="240" w:lineRule="auto"/>
        <w:ind w:left="0" w:firstLine="540"/>
        <w:jc w:val="both"/>
        <w:rPr>
          <w:rFonts w:ascii="Cambria" w:hAnsi="Cambria" w:cs="Calibri Light"/>
          <w:color w:val="000000"/>
          <w:sz w:val="20"/>
        </w:rPr>
      </w:pPr>
      <w:r w:rsidRPr="00FA6D77">
        <w:rPr>
          <w:rFonts w:ascii="Cambria" w:hAnsi="Cambria" w:cs="Calibri Light"/>
          <w:color w:val="000000"/>
          <w:sz w:val="20"/>
          <w:szCs w:val="20"/>
        </w:rPr>
        <w:t>Based on the foregoing, the IACHR concludes that the level of compliance of the case is partial.</w:t>
      </w:r>
      <w:r w:rsidRPr="00FA6D77">
        <w:rPr>
          <w:rFonts w:ascii="Cambria" w:hAnsi="Cambria" w:cs="Calibri"/>
          <w:color w:val="000000"/>
          <w:sz w:val="20"/>
          <w:szCs w:val="20"/>
        </w:rPr>
        <w:t xml:space="preserve"> </w:t>
      </w:r>
      <w:r w:rsidRPr="00FA6D77">
        <w:rPr>
          <w:rFonts w:ascii="Cambria" w:hAnsi="Cambria" w:cs="Calibri Light"/>
          <w:color w:val="000000"/>
          <w:sz w:val="20"/>
          <w:szCs w:val="20"/>
        </w:rPr>
        <w:t>Consequently, the Commission will continue to monitor compliance with Recommendations 1 and 2</w:t>
      </w:r>
      <w:r w:rsidRPr="00FA6D77">
        <w:rPr>
          <w:rFonts w:ascii="Cambria" w:hAnsi="Cambria" w:cs="Calibri Light"/>
          <w:color w:val="000000"/>
          <w:sz w:val="20"/>
        </w:rPr>
        <w:t xml:space="preserve">. </w:t>
      </w:r>
    </w:p>
    <w:p w14:paraId="2E605B33" w14:textId="77777777" w:rsidR="009A0CCA" w:rsidRPr="00FA6D77" w:rsidRDefault="009A0CCA" w:rsidP="009A0CCA">
      <w:pPr>
        <w:spacing w:after="0" w:line="240" w:lineRule="auto"/>
        <w:ind w:left="540"/>
        <w:jc w:val="both"/>
        <w:rPr>
          <w:rFonts w:ascii="Cambria" w:hAnsi="Cambria" w:cs="Calibri Light"/>
          <w:color w:val="000000"/>
          <w:sz w:val="20"/>
        </w:rPr>
      </w:pPr>
    </w:p>
    <w:p w14:paraId="41979130" w14:textId="77777777" w:rsidR="009A0CCA" w:rsidRPr="00FA6D77" w:rsidRDefault="009A0CCA" w:rsidP="009A0CCA">
      <w:pPr>
        <w:numPr>
          <w:ilvl w:val="0"/>
          <w:numId w:val="11"/>
        </w:numPr>
        <w:spacing w:after="0" w:line="240" w:lineRule="auto"/>
        <w:ind w:left="0" w:firstLine="540"/>
        <w:jc w:val="both"/>
        <w:rPr>
          <w:rFonts w:ascii="Cambria" w:hAnsi="Cambria" w:cs="Calibri Light"/>
          <w:color w:val="000000"/>
          <w:sz w:val="20"/>
          <w:szCs w:val="16"/>
        </w:rPr>
      </w:pPr>
      <w:r w:rsidRPr="00FA6D77">
        <w:rPr>
          <w:rFonts w:ascii="Cambria" w:hAnsi="Cambria" w:cs="Calibri Light"/>
          <w:color w:val="000000"/>
          <w:sz w:val="20"/>
        </w:rPr>
        <w:t xml:space="preserve">The IACHR calls on the State of Guatemala to take action to make substantial progress in complying with the recommendations issued by the IACHR in Merits Report No. </w:t>
      </w:r>
      <w:r w:rsidRPr="00FA6D77">
        <w:rPr>
          <w:rFonts w:ascii="Cambria" w:hAnsi="Cambria"/>
          <w:color w:val="000000"/>
          <w:sz w:val="20"/>
          <w:szCs w:val="20"/>
        </w:rPr>
        <w:t xml:space="preserve">60/01. In this regard, the IACHR urges the State to engage in dialogue with the parties to push for the implementation of the commitments that are pending. It also urges the representatives of </w:t>
      </w:r>
      <w:r w:rsidRPr="00FA6D77">
        <w:rPr>
          <w:rFonts w:ascii="Cambria" w:hAnsi="Cambria"/>
          <w:color w:val="000000"/>
          <w:sz w:val="20"/>
          <w:szCs w:val="16"/>
        </w:rPr>
        <w:t xml:space="preserve">Luz Leticia Hernández </w:t>
      </w:r>
      <w:proofErr w:type="spellStart"/>
      <w:r w:rsidRPr="00FA6D77">
        <w:rPr>
          <w:rFonts w:ascii="Cambria" w:hAnsi="Cambria"/>
          <w:color w:val="000000"/>
          <w:sz w:val="20"/>
          <w:szCs w:val="16"/>
        </w:rPr>
        <w:t>Agustín</w:t>
      </w:r>
      <w:proofErr w:type="spellEnd"/>
      <w:r w:rsidRPr="00FA6D77">
        <w:rPr>
          <w:rFonts w:ascii="Cambria" w:hAnsi="Cambria"/>
          <w:color w:val="000000"/>
          <w:sz w:val="20"/>
          <w:szCs w:val="16"/>
        </w:rPr>
        <w:t xml:space="preserve"> and Ileana del Rosario </w:t>
      </w:r>
      <w:proofErr w:type="spellStart"/>
      <w:r w:rsidRPr="00FA6D77">
        <w:rPr>
          <w:rFonts w:ascii="Cambria" w:hAnsi="Cambria"/>
          <w:color w:val="000000"/>
          <w:sz w:val="20"/>
          <w:szCs w:val="16"/>
        </w:rPr>
        <w:t>Solares</w:t>
      </w:r>
      <w:proofErr w:type="spellEnd"/>
      <w:r w:rsidRPr="00FA6D77">
        <w:rPr>
          <w:rFonts w:ascii="Cambria" w:hAnsi="Cambria"/>
          <w:color w:val="000000"/>
          <w:sz w:val="20"/>
          <w:szCs w:val="16"/>
        </w:rPr>
        <w:t xml:space="preserve"> Castillo to provide up-to-date information on compliance with the recommendations. </w:t>
      </w:r>
    </w:p>
    <w:p w14:paraId="6EA9BA39" w14:textId="77777777" w:rsidR="009A0CCA" w:rsidRPr="00FA6D77" w:rsidRDefault="009A0CCA" w:rsidP="009A0CCA">
      <w:pPr>
        <w:spacing w:after="0" w:line="240" w:lineRule="auto"/>
        <w:jc w:val="both"/>
        <w:rPr>
          <w:rFonts w:ascii="Cambria" w:hAnsi="Cambria" w:cs="Calibri Light"/>
          <w:color w:val="000000"/>
          <w:sz w:val="20"/>
          <w:szCs w:val="16"/>
        </w:rPr>
      </w:pPr>
    </w:p>
    <w:p w14:paraId="005A0A1B" w14:textId="77777777" w:rsidR="009A0CCA" w:rsidRPr="00FA6D77" w:rsidRDefault="009A0CCA" w:rsidP="009A0CCA">
      <w:pPr>
        <w:pStyle w:val="ListParagraph"/>
        <w:numPr>
          <w:ilvl w:val="0"/>
          <w:numId w:val="1"/>
        </w:numPr>
        <w:spacing w:after="0" w:line="240" w:lineRule="auto"/>
        <w:ind w:left="1440"/>
        <w:jc w:val="both"/>
        <w:rPr>
          <w:rFonts w:ascii="Cambria" w:hAnsi="Cambria" w:cs="Calibri Light"/>
          <w:b/>
          <w:color w:val="000000"/>
          <w:sz w:val="20"/>
          <w:szCs w:val="16"/>
        </w:rPr>
      </w:pPr>
      <w:r w:rsidRPr="00FA6D77">
        <w:rPr>
          <w:rFonts w:ascii="Cambria" w:hAnsi="Cambria"/>
          <w:b/>
          <w:color w:val="000000"/>
          <w:sz w:val="20"/>
          <w:szCs w:val="20"/>
        </w:rPr>
        <w:t>Individual and structural results of the case</w:t>
      </w:r>
      <w:r w:rsidRPr="00FA6D77">
        <w:rPr>
          <w:rFonts w:ascii="Cambria" w:hAnsi="Cambria" w:cs="Calibri Light"/>
          <w:b/>
          <w:color w:val="000000"/>
          <w:sz w:val="20"/>
          <w:szCs w:val="16"/>
        </w:rPr>
        <w:t xml:space="preserve"> </w:t>
      </w:r>
    </w:p>
    <w:p w14:paraId="194268C8" w14:textId="77777777" w:rsidR="009A0CCA" w:rsidRPr="00FA6D77" w:rsidRDefault="009A0CCA" w:rsidP="009A0CCA">
      <w:pPr>
        <w:spacing w:after="0" w:line="240" w:lineRule="auto"/>
        <w:jc w:val="both"/>
        <w:rPr>
          <w:rFonts w:ascii="Cambria" w:hAnsi="Cambria" w:cs="Calibri Light"/>
          <w:b/>
          <w:color w:val="000000"/>
          <w:sz w:val="20"/>
          <w:szCs w:val="16"/>
        </w:rPr>
      </w:pPr>
    </w:p>
    <w:p w14:paraId="23BA7243" w14:textId="77777777" w:rsidR="009A0CCA" w:rsidRPr="00FA6D77" w:rsidRDefault="009A0CCA" w:rsidP="009A0CCA">
      <w:pPr>
        <w:pStyle w:val="ListParagraph"/>
        <w:numPr>
          <w:ilvl w:val="0"/>
          <w:numId w:val="11"/>
        </w:numPr>
        <w:spacing w:after="0" w:line="240" w:lineRule="auto"/>
        <w:ind w:left="0" w:firstLine="720"/>
        <w:jc w:val="both"/>
        <w:rPr>
          <w:rFonts w:ascii="Cambria" w:hAnsi="Cambria"/>
          <w:color w:val="000000"/>
          <w:sz w:val="20"/>
          <w:szCs w:val="20"/>
        </w:rPr>
      </w:pPr>
      <w:r w:rsidRPr="00FA6D77">
        <w:rPr>
          <w:rFonts w:ascii="Cambria" w:hAnsi="Cambria"/>
          <w:color w:val="000000"/>
          <w:sz w:val="20"/>
          <w:szCs w:val="20"/>
        </w:rPr>
        <w:t xml:space="preserve">This section highlights the individual and structural results of the case, which have been informed by the parties. </w:t>
      </w:r>
    </w:p>
    <w:p w14:paraId="42BE3FA0" w14:textId="77777777" w:rsidR="009A0CCA" w:rsidRPr="00FA6D77" w:rsidRDefault="009A0CCA" w:rsidP="009A0CCA">
      <w:pPr>
        <w:spacing w:after="0" w:line="240" w:lineRule="auto"/>
        <w:jc w:val="both"/>
        <w:rPr>
          <w:rFonts w:ascii="Cambria" w:hAnsi="Cambria" w:cs="Calibri Light"/>
          <w:b/>
          <w:color w:val="000000"/>
          <w:sz w:val="20"/>
          <w:szCs w:val="16"/>
        </w:rPr>
      </w:pPr>
    </w:p>
    <w:p w14:paraId="179BAD87" w14:textId="77777777" w:rsidR="009A0CCA" w:rsidRPr="00FA6D77" w:rsidRDefault="009A0CCA" w:rsidP="009A0CCA">
      <w:pPr>
        <w:pStyle w:val="ListParagraph"/>
        <w:numPr>
          <w:ilvl w:val="0"/>
          <w:numId w:val="5"/>
        </w:numPr>
        <w:spacing w:after="0" w:line="240" w:lineRule="auto"/>
        <w:ind w:left="1440" w:hanging="720"/>
        <w:jc w:val="both"/>
        <w:rPr>
          <w:rFonts w:ascii="Cambria" w:hAnsi="Cambria" w:cs="Calibri Light"/>
          <w:b/>
          <w:color w:val="000000"/>
          <w:sz w:val="20"/>
          <w:szCs w:val="16"/>
        </w:rPr>
      </w:pPr>
      <w:r w:rsidRPr="00FA6D77">
        <w:rPr>
          <w:rFonts w:ascii="Cambria" w:hAnsi="Cambria"/>
          <w:b/>
          <w:color w:val="000000"/>
          <w:sz w:val="20"/>
          <w:szCs w:val="20"/>
        </w:rPr>
        <w:t>Individual results of the case</w:t>
      </w:r>
    </w:p>
    <w:p w14:paraId="4A5CC3B2" w14:textId="77777777" w:rsidR="009A0CCA" w:rsidRPr="00FA6D77" w:rsidRDefault="009A0CCA" w:rsidP="009A0CCA">
      <w:pPr>
        <w:pStyle w:val="ListParagraph"/>
        <w:spacing w:after="0" w:line="240" w:lineRule="auto"/>
        <w:ind w:left="0"/>
        <w:jc w:val="both"/>
        <w:rPr>
          <w:rFonts w:ascii="Cambria" w:hAnsi="Cambria" w:cs="Calibri Light"/>
          <w:b/>
          <w:color w:val="000000"/>
          <w:sz w:val="20"/>
          <w:szCs w:val="16"/>
        </w:rPr>
      </w:pPr>
    </w:p>
    <w:p w14:paraId="63CC7195" w14:textId="77777777" w:rsidR="009A0CCA" w:rsidRPr="00FA6D77" w:rsidRDefault="009A0CCA" w:rsidP="009A0CCA">
      <w:pPr>
        <w:spacing w:after="0" w:line="240" w:lineRule="auto"/>
        <w:contextualSpacing/>
        <w:jc w:val="both"/>
        <w:rPr>
          <w:rFonts w:ascii="Cambria" w:hAnsi="Cambria" w:cs="Calibri Light"/>
          <w:i/>
          <w:color w:val="000000"/>
          <w:sz w:val="20"/>
          <w:szCs w:val="20"/>
        </w:rPr>
      </w:pPr>
      <w:r w:rsidRPr="00FA6D77">
        <w:rPr>
          <w:rFonts w:ascii="Cambria" w:hAnsi="Cambria" w:cs="Calibri Light"/>
          <w:i/>
          <w:color w:val="000000"/>
          <w:sz w:val="20"/>
          <w:szCs w:val="20"/>
        </w:rPr>
        <w:t xml:space="preserve">Pecuniary compensation measures </w:t>
      </w:r>
    </w:p>
    <w:p w14:paraId="352E4CE0" w14:textId="77777777" w:rsidR="009A0CCA" w:rsidRPr="00FA6D77" w:rsidRDefault="009A0CCA" w:rsidP="009A0CCA">
      <w:pPr>
        <w:numPr>
          <w:ilvl w:val="0"/>
          <w:numId w:val="12"/>
        </w:numPr>
        <w:spacing w:after="0" w:line="240" w:lineRule="auto"/>
        <w:jc w:val="both"/>
        <w:rPr>
          <w:rFonts w:ascii="Cambria" w:hAnsi="Cambria" w:cs="Calibri Light"/>
          <w:color w:val="000000"/>
          <w:sz w:val="20"/>
          <w:szCs w:val="20"/>
        </w:rPr>
      </w:pPr>
      <w:r w:rsidRPr="00FA6D77">
        <w:rPr>
          <w:rFonts w:ascii="Cambria" w:hAnsi="Cambria" w:cs="Calibri Light"/>
          <w:color w:val="000000"/>
          <w:sz w:val="20"/>
          <w:szCs w:val="20"/>
        </w:rPr>
        <w:t xml:space="preserve">On January 8, 2008, COPREDEH informed the IACHR of the payment of Q520,762.32 quetzals to Mrs. María </w:t>
      </w:r>
      <w:proofErr w:type="spellStart"/>
      <w:r w:rsidRPr="00FA6D77">
        <w:rPr>
          <w:rFonts w:ascii="Cambria" w:hAnsi="Cambria" w:cs="Calibri Light"/>
          <w:color w:val="000000"/>
          <w:sz w:val="20"/>
          <w:szCs w:val="20"/>
        </w:rPr>
        <w:t>Olimpia</w:t>
      </w:r>
      <w:proofErr w:type="spellEnd"/>
      <w:r w:rsidRPr="00FA6D77">
        <w:rPr>
          <w:rFonts w:ascii="Cambria" w:hAnsi="Cambria" w:cs="Calibri Light"/>
          <w:color w:val="000000"/>
          <w:sz w:val="20"/>
          <w:szCs w:val="20"/>
        </w:rPr>
        <w:t xml:space="preserve"> Castillo (mother of Ileana del Rosario), corresponding to 45.62% of the agreed amount. On December 22, 2009, the State carried out the payment of Q620,841.28 quetzals, corresponding to the remaining 54.38%. </w:t>
      </w:r>
    </w:p>
    <w:p w14:paraId="4C480EDB" w14:textId="77777777" w:rsidR="009A0CCA" w:rsidRPr="00FA6D77" w:rsidRDefault="009A0CCA" w:rsidP="009A0CCA">
      <w:pPr>
        <w:numPr>
          <w:ilvl w:val="0"/>
          <w:numId w:val="12"/>
        </w:numPr>
        <w:spacing w:after="0" w:line="240" w:lineRule="auto"/>
        <w:jc w:val="both"/>
        <w:rPr>
          <w:rFonts w:ascii="Cambria" w:hAnsi="Cambria" w:cs="Calibri Light"/>
          <w:color w:val="000000"/>
          <w:sz w:val="20"/>
          <w:szCs w:val="20"/>
        </w:rPr>
      </w:pPr>
      <w:r w:rsidRPr="00FA6D77">
        <w:rPr>
          <w:rFonts w:ascii="Cambria" w:hAnsi="Cambria" w:cs="Calibri Light"/>
          <w:color w:val="000000"/>
          <w:sz w:val="20"/>
          <w:szCs w:val="20"/>
        </w:rPr>
        <w:t xml:space="preserve">On December 28, 2010, by means of Act 16, the State turned over the compensation payment to Mrs. </w:t>
      </w:r>
      <w:proofErr w:type="spellStart"/>
      <w:r w:rsidRPr="00FA6D77">
        <w:rPr>
          <w:rFonts w:ascii="Cambria" w:hAnsi="Cambria" w:cs="Calibri Light"/>
          <w:color w:val="000000"/>
          <w:sz w:val="20"/>
          <w:szCs w:val="20"/>
        </w:rPr>
        <w:t>Cayetana</w:t>
      </w:r>
      <w:proofErr w:type="spellEnd"/>
      <w:r w:rsidRPr="00FA6D77">
        <w:rPr>
          <w:rFonts w:ascii="Cambria" w:hAnsi="Cambria" w:cs="Calibri Light"/>
          <w:color w:val="000000"/>
          <w:sz w:val="20"/>
          <w:szCs w:val="20"/>
        </w:rPr>
        <w:t xml:space="preserve"> Rodríguez, mother of </w:t>
      </w:r>
      <w:r w:rsidRPr="00FA6D77">
        <w:rPr>
          <w:rFonts w:ascii="Cambria" w:hAnsi="Cambria"/>
          <w:color w:val="000000"/>
          <w:sz w:val="20"/>
          <w:szCs w:val="20"/>
        </w:rPr>
        <w:t>Ana María López Rodríguez</w:t>
      </w:r>
      <w:r w:rsidRPr="00FA6D77">
        <w:rPr>
          <w:rFonts w:ascii="Cambria" w:hAnsi="Cambria" w:cs="Calibri Light"/>
          <w:color w:val="000000"/>
          <w:sz w:val="20"/>
          <w:szCs w:val="20"/>
        </w:rPr>
        <w:t>, in the amount of one million four hundred one thousand one hundred thirty quetzals (Q1.401,130.00); that same act earmarked seventy-nine thousand two hundred quetzals (Q79,200.00) to fund three scholarships.</w:t>
      </w:r>
    </w:p>
    <w:p w14:paraId="036ECD77" w14:textId="77777777" w:rsidR="009A0CCA" w:rsidRPr="00FA6D77" w:rsidRDefault="009A0CCA" w:rsidP="009A0CCA">
      <w:pPr>
        <w:spacing w:after="0" w:line="240" w:lineRule="auto"/>
        <w:jc w:val="both"/>
        <w:rPr>
          <w:rFonts w:ascii="Cambria" w:hAnsi="Cambria" w:cs="Calibri Light"/>
          <w:i/>
          <w:color w:val="000000"/>
          <w:sz w:val="20"/>
          <w:szCs w:val="20"/>
        </w:rPr>
      </w:pPr>
    </w:p>
    <w:p w14:paraId="4CCD02E8" w14:textId="77777777" w:rsidR="009A0CCA" w:rsidRPr="00FA6D77" w:rsidRDefault="009A0CCA" w:rsidP="009A0CCA">
      <w:pPr>
        <w:spacing w:after="0" w:line="240" w:lineRule="auto"/>
        <w:jc w:val="both"/>
        <w:rPr>
          <w:rFonts w:ascii="Cambria" w:hAnsi="Cambria" w:cs="Calibri Light"/>
          <w:i/>
          <w:color w:val="000000"/>
          <w:sz w:val="20"/>
          <w:szCs w:val="20"/>
        </w:rPr>
      </w:pPr>
      <w:r w:rsidRPr="00FA6D77">
        <w:rPr>
          <w:rFonts w:ascii="Cambria" w:hAnsi="Cambria" w:cs="Calibri Light"/>
          <w:i/>
          <w:color w:val="000000"/>
          <w:sz w:val="20"/>
          <w:szCs w:val="20"/>
        </w:rPr>
        <w:t xml:space="preserve">Satisfaction measures </w:t>
      </w:r>
    </w:p>
    <w:p w14:paraId="6FF54C5B" w14:textId="77777777" w:rsidR="009A0CCA" w:rsidRPr="00FA6D77" w:rsidRDefault="009A0CCA" w:rsidP="009A0CCA">
      <w:pPr>
        <w:numPr>
          <w:ilvl w:val="0"/>
          <w:numId w:val="12"/>
        </w:numPr>
        <w:spacing w:after="0" w:line="240" w:lineRule="auto"/>
        <w:jc w:val="both"/>
        <w:rPr>
          <w:rFonts w:ascii="Cambria" w:hAnsi="Cambria" w:cs="Calibri Light"/>
          <w:color w:val="000000"/>
          <w:sz w:val="20"/>
          <w:szCs w:val="20"/>
        </w:rPr>
      </w:pPr>
      <w:r w:rsidRPr="00FA6D77">
        <w:rPr>
          <w:rFonts w:ascii="Cambria" w:hAnsi="Cambria" w:cs="Calibri Light"/>
          <w:color w:val="000000"/>
          <w:sz w:val="20"/>
          <w:szCs w:val="20"/>
        </w:rPr>
        <w:lastRenderedPageBreak/>
        <w:t xml:space="preserve">On December 12, 2008, a ceremony was held in the municipal park of Casillas, Santa Rosa, in which the State offered a public apology and recognition of its international responsibility to the next of kin of Ileana del Rosario </w:t>
      </w:r>
      <w:proofErr w:type="spellStart"/>
      <w:r w:rsidRPr="00FA6D77">
        <w:rPr>
          <w:rFonts w:ascii="Cambria" w:hAnsi="Cambria" w:cs="Calibri Light"/>
          <w:color w:val="000000"/>
          <w:sz w:val="20"/>
          <w:szCs w:val="20"/>
        </w:rPr>
        <w:t>Solares</w:t>
      </w:r>
      <w:proofErr w:type="spellEnd"/>
      <w:r w:rsidRPr="00FA6D77">
        <w:rPr>
          <w:rFonts w:ascii="Cambria" w:hAnsi="Cambria" w:cs="Calibri Light"/>
          <w:color w:val="000000"/>
          <w:sz w:val="20"/>
          <w:szCs w:val="20"/>
        </w:rPr>
        <w:t xml:space="preserve"> Castillo. The State also presented a letter of apology. A series of State authorities presided over the ceremony, among them Mr. </w:t>
      </w:r>
      <w:proofErr w:type="spellStart"/>
      <w:r w:rsidRPr="00FA6D77">
        <w:rPr>
          <w:rFonts w:ascii="Cambria" w:hAnsi="Cambria" w:cs="Calibri Light"/>
          <w:color w:val="000000"/>
          <w:sz w:val="20"/>
          <w:szCs w:val="20"/>
        </w:rPr>
        <w:t>Mynor</w:t>
      </w:r>
      <w:proofErr w:type="spellEnd"/>
      <w:r w:rsidRPr="00FA6D77">
        <w:rPr>
          <w:rFonts w:ascii="Cambria" w:hAnsi="Cambria" w:cs="Calibri Light"/>
          <w:color w:val="000000"/>
          <w:sz w:val="20"/>
          <w:szCs w:val="20"/>
        </w:rPr>
        <w:t xml:space="preserve"> Morales, Governor of the Department; Municipal Mayor Felipe Rojas Rodríguez; Ruth del Valle </w:t>
      </w:r>
      <w:proofErr w:type="spellStart"/>
      <w:r w:rsidRPr="00FA6D77">
        <w:rPr>
          <w:rFonts w:ascii="Cambria" w:hAnsi="Cambria" w:cs="Calibri Light"/>
          <w:color w:val="000000"/>
          <w:sz w:val="20"/>
          <w:szCs w:val="20"/>
        </w:rPr>
        <w:t>Cóbar</w:t>
      </w:r>
      <w:proofErr w:type="spellEnd"/>
      <w:r w:rsidRPr="00FA6D77">
        <w:rPr>
          <w:rFonts w:ascii="Cambria" w:hAnsi="Cambria" w:cs="Calibri Light"/>
          <w:color w:val="000000"/>
          <w:sz w:val="20"/>
          <w:szCs w:val="20"/>
        </w:rPr>
        <w:t xml:space="preserve">, President of COPREDEH; Lorena Pereira, Executive Director of COPREDEH; and </w:t>
      </w:r>
      <w:proofErr w:type="spellStart"/>
      <w:r w:rsidRPr="00FA6D77">
        <w:rPr>
          <w:rFonts w:ascii="Cambria" w:hAnsi="Cambria" w:cs="Calibri Light"/>
          <w:color w:val="000000"/>
          <w:sz w:val="20"/>
          <w:szCs w:val="20"/>
        </w:rPr>
        <w:t>Julieta</w:t>
      </w:r>
      <w:proofErr w:type="spellEnd"/>
      <w:r w:rsidRPr="00FA6D77">
        <w:rPr>
          <w:rFonts w:ascii="Cambria" w:hAnsi="Cambria" w:cs="Calibri Light"/>
          <w:color w:val="000000"/>
          <w:sz w:val="20"/>
          <w:szCs w:val="20"/>
        </w:rPr>
        <w:t xml:space="preserve"> </w:t>
      </w:r>
      <w:proofErr w:type="spellStart"/>
      <w:r w:rsidRPr="00FA6D77">
        <w:rPr>
          <w:rFonts w:ascii="Cambria" w:hAnsi="Cambria" w:cs="Calibri Light"/>
          <w:color w:val="000000"/>
          <w:sz w:val="20"/>
          <w:szCs w:val="20"/>
        </w:rPr>
        <w:t>Solares</w:t>
      </w:r>
      <w:proofErr w:type="spellEnd"/>
      <w:r w:rsidRPr="00FA6D77">
        <w:rPr>
          <w:rFonts w:ascii="Cambria" w:hAnsi="Cambria" w:cs="Calibri Light"/>
          <w:color w:val="000000"/>
          <w:sz w:val="20"/>
          <w:szCs w:val="20"/>
        </w:rPr>
        <w:t xml:space="preserve">, representative of the </w:t>
      </w:r>
      <w:proofErr w:type="spellStart"/>
      <w:r w:rsidRPr="00FA6D77">
        <w:rPr>
          <w:rFonts w:ascii="Cambria" w:hAnsi="Cambria" w:cs="Calibri Light"/>
          <w:color w:val="000000"/>
          <w:sz w:val="20"/>
          <w:szCs w:val="20"/>
        </w:rPr>
        <w:t>Solares</w:t>
      </w:r>
      <w:proofErr w:type="spellEnd"/>
      <w:r w:rsidRPr="00FA6D77">
        <w:rPr>
          <w:rFonts w:ascii="Cambria" w:hAnsi="Cambria" w:cs="Calibri Light"/>
          <w:color w:val="000000"/>
          <w:sz w:val="20"/>
          <w:szCs w:val="20"/>
        </w:rPr>
        <w:t xml:space="preserve"> Castillo family.</w:t>
      </w:r>
    </w:p>
    <w:p w14:paraId="307F233D" w14:textId="77777777" w:rsidR="009A0CCA" w:rsidRPr="00FA6D77" w:rsidRDefault="009A0CCA" w:rsidP="009A0CCA">
      <w:pPr>
        <w:numPr>
          <w:ilvl w:val="0"/>
          <w:numId w:val="12"/>
        </w:numPr>
        <w:spacing w:after="0" w:line="240" w:lineRule="auto"/>
        <w:jc w:val="both"/>
        <w:rPr>
          <w:rFonts w:ascii="Cambria" w:hAnsi="Cambria" w:cs="Calibri Light"/>
          <w:color w:val="000000"/>
          <w:sz w:val="20"/>
          <w:szCs w:val="20"/>
        </w:rPr>
      </w:pPr>
      <w:r w:rsidRPr="00FA6D77">
        <w:rPr>
          <w:rFonts w:ascii="Cambria" w:hAnsi="Cambria" w:cs="Calibri Light"/>
          <w:color w:val="000000"/>
          <w:sz w:val="20"/>
          <w:szCs w:val="20"/>
        </w:rPr>
        <w:t>On January 21, 2011, COPREDEH held a ceremony at its headquarters, led by its President, to recognize its international responsibility and present a letter of apology for the disappearance of Ana María López Rodríguez.</w:t>
      </w:r>
    </w:p>
    <w:p w14:paraId="1877AF75" w14:textId="77777777" w:rsidR="009A0CCA" w:rsidRPr="00FA6D77" w:rsidRDefault="009A0CCA" w:rsidP="009A0CCA">
      <w:pPr>
        <w:numPr>
          <w:ilvl w:val="0"/>
          <w:numId w:val="12"/>
        </w:numPr>
        <w:spacing w:after="0" w:line="240" w:lineRule="auto"/>
        <w:jc w:val="both"/>
        <w:rPr>
          <w:rFonts w:ascii="Cambria" w:hAnsi="Cambria" w:cs="Calibri Light"/>
          <w:color w:val="000000"/>
          <w:sz w:val="20"/>
          <w:szCs w:val="20"/>
        </w:rPr>
      </w:pPr>
      <w:r w:rsidRPr="00FA6D77">
        <w:rPr>
          <w:rFonts w:ascii="Cambria" w:hAnsi="Cambria" w:cs="Calibri Light"/>
          <w:color w:val="000000"/>
          <w:sz w:val="20"/>
          <w:szCs w:val="20"/>
        </w:rPr>
        <w:t xml:space="preserve">On December 12, 2008, a commemorative plaque was unveiled on the premises of the municipal seat of Casillas, Santa Rosa, to honor the memory of Ileana del Rosario </w:t>
      </w:r>
      <w:proofErr w:type="spellStart"/>
      <w:r w:rsidRPr="00FA6D77">
        <w:rPr>
          <w:rFonts w:ascii="Cambria" w:hAnsi="Cambria" w:cs="Calibri Light"/>
          <w:color w:val="000000"/>
          <w:sz w:val="20"/>
          <w:szCs w:val="20"/>
        </w:rPr>
        <w:t>Solares</w:t>
      </w:r>
      <w:proofErr w:type="spellEnd"/>
      <w:r w:rsidRPr="00FA6D77">
        <w:rPr>
          <w:rFonts w:ascii="Cambria" w:hAnsi="Cambria" w:cs="Calibri Light"/>
          <w:color w:val="000000"/>
          <w:sz w:val="20"/>
          <w:szCs w:val="20"/>
        </w:rPr>
        <w:t xml:space="preserve"> Castillo.</w:t>
      </w:r>
    </w:p>
    <w:p w14:paraId="4292DC3E" w14:textId="77777777" w:rsidR="009A0CCA" w:rsidRPr="00FA6D77" w:rsidRDefault="009A0CCA" w:rsidP="009A0CCA">
      <w:pPr>
        <w:numPr>
          <w:ilvl w:val="0"/>
          <w:numId w:val="12"/>
        </w:numPr>
        <w:spacing w:after="0" w:line="240" w:lineRule="auto"/>
        <w:jc w:val="both"/>
        <w:rPr>
          <w:rFonts w:ascii="Cambria" w:hAnsi="Cambria" w:cs="Calibri Light"/>
          <w:color w:val="000000"/>
          <w:sz w:val="20"/>
          <w:szCs w:val="20"/>
        </w:rPr>
      </w:pPr>
      <w:r w:rsidRPr="00FA6D77">
        <w:rPr>
          <w:rFonts w:ascii="Cambria" w:hAnsi="Cambria" w:cs="Calibri Light"/>
          <w:color w:val="000000"/>
          <w:sz w:val="20"/>
          <w:szCs w:val="20"/>
        </w:rPr>
        <w:t xml:space="preserve">On February 14, 2011, the State of Guatemala published the case of Ana María López in the newspaper </w:t>
      </w:r>
      <w:r w:rsidRPr="00FA6D77">
        <w:rPr>
          <w:rFonts w:ascii="Cambria" w:hAnsi="Cambria" w:cs="Calibri Light"/>
          <w:i/>
          <w:color w:val="000000"/>
          <w:sz w:val="20"/>
          <w:szCs w:val="20"/>
        </w:rPr>
        <w:t>Al Día</w:t>
      </w:r>
      <w:r w:rsidRPr="00FA6D77">
        <w:rPr>
          <w:rFonts w:ascii="Cambria" w:hAnsi="Cambria" w:cs="Calibri Light"/>
          <w:color w:val="000000"/>
          <w:sz w:val="20"/>
          <w:szCs w:val="20"/>
        </w:rPr>
        <w:t xml:space="preserve"> and on February 23 in the newspaper </w:t>
      </w:r>
      <w:proofErr w:type="spellStart"/>
      <w:r w:rsidRPr="00FA6D77">
        <w:rPr>
          <w:rFonts w:ascii="Cambria" w:hAnsi="Cambria" w:cs="Calibri Light"/>
          <w:i/>
          <w:color w:val="000000"/>
          <w:sz w:val="20"/>
          <w:szCs w:val="20"/>
        </w:rPr>
        <w:t>Diario</w:t>
      </w:r>
      <w:proofErr w:type="spellEnd"/>
      <w:r w:rsidRPr="00FA6D77">
        <w:rPr>
          <w:rFonts w:ascii="Cambria" w:hAnsi="Cambria" w:cs="Calibri Light"/>
          <w:i/>
          <w:color w:val="000000"/>
          <w:sz w:val="20"/>
          <w:szCs w:val="20"/>
        </w:rPr>
        <w:t xml:space="preserve"> de Centro </w:t>
      </w:r>
      <w:proofErr w:type="spellStart"/>
      <w:r w:rsidRPr="00FA6D77">
        <w:rPr>
          <w:rFonts w:ascii="Cambria" w:hAnsi="Cambria" w:cs="Calibri Light"/>
          <w:i/>
          <w:color w:val="000000"/>
          <w:sz w:val="20"/>
          <w:szCs w:val="20"/>
        </w:rPr>
        <w:t>América</w:t>
      </w:r>
      <w:proofErr w:type="spellEnd"/>
      <w:r w:rsidRPr="00FA6D77">
        <w:rPr>
          <w:rFonts w:ascii="Cambria" w:hAnsi="Cambria" w:cs="Calibri Light"/>
          <w:color w:val="000000"/>
          <w:sz w:val="20"/>
          <w:szCs w:val="20"/>
        </w:rPr>
        <w:t xml:space="preserve">. </w:t>
      </w:r>
    </w:p>
    <w:p w14:paraId="17180DF8" w14:textId="3E3A8DA9" w:rsidR="009A0CCA" w:rsidRPr="00FA6D77" w:rsidRDefault="009A0CCA" w:rsidP="009A0CCA">
      <w:pPr>
        <w:pStyle w:val="NoSpacing"/>
        <w:numPr>
          <w:ilvl w:val="0"/>
          <w:numId w:val="12"/>
        </w:numPr>
        <w:jc w:val="both"/>
        <w:rPr>
          <w:rFonts w:ascii="Cambria" w:eastAsia="Times New Roman" w:hAnsi="Cambria"/>
          <w:color w:val="000000" w:themeColor="text1"/>
          <w:sz w:val="20"/>
          <w:szCs w:val="20"/>
          <w:lang w:eastAsia="pt-BR"/>
        </w:rPr>
      </w:pPr>
      <w:r w:rsidRPr="00FA6D77">
        <w:rPr>
          <w:rFonts w:ascii="Cambria" w:eastAsia="Times New Roman" w:hAnsi="Cambria"/>
          <w:color w:val="000000"/>
          <w:sz w:val="20"/>
          <w:szCs w:val="20"/>
          <w:lang w:eastAsia="pt-BR"/>
        </w:rPr>
        <w:t xml:space="preserve">The State indicated that the family of </w:t>
      </w:r>
      <w:r w:rsidRPr="00FA6D77">
        <w:rPr>
          <w:rFonts w:ascii="Cambria" w:hAnsi="Cambria" w:cs="Calibri Light"/>
          <w:color w:val="000000"/>
          <w:sz w:val="20"/>
          <w:szCs w:val="20"/>
        </w:rPr>
        <w:t xml:space="preserve">Ileana del Rosario </w:t>
      </w:r>
      <w:proofErr w:type="spellStart"/>
      <w:r w:rsidRPr="00FA6D77">
        <w:rPr>
          <w:rFonts w:ascii="Cambria" w:hAnsi="Cambria" w:cs="Calibri Light"/>
          <w:color w:val="000000"/>
          <w:sz w:val="20"/>
          <w:szCs w:val="20"/>
        </w:rPr>
        <w:t>Solares</w:t>
      </w:r>
      <w:proofErr w:type="spellEnd"/>
      <w:r w:rsidRPr="00FA6D77">
        <w:rPr>
          <w:rFonts w:ascii="Cambria" w:hAnsi="Cambria" w:cs="Calibri Light"/>
          <w:color w:val="000000"/>
          <w:sz w:val="20"/>
          <w:szCs w:val="20"/>
        </w:rPr>
        <w:t xml:space="preserve"> Castillo expressed its wish for the biography and executive summary of the case to be delivered and reproduced in electronic form, and it requested between 50 to 100 copies. The State agreed to the request and on September</w:t>
      </w:r>
      <w:r w:rsidRPr="00FA6D77">
        <w:rPr>
          <w:rFonts w:ascii="Cambria" w:eastAsia="Times New Roman" w:hAnsi="Cambria"/>
          <w:color w:val="000000"/>
          <w:sz w:val="20"/>
          <w:szCs w:val="20"/>
          <w:lang w:eastAsia="pt-BR"/>
        </w:rPr>
        <w:t xml:space="preserve"> 22, 2009, it presented 100 copies to the family’s representative. The State also indicated that it had arranged with the Ministry of Education for the topics requested to be included in the curriculum and that these had been included, in compliance with the agreement.   </w:t>
      </w:r>
    </w:p>
    <w:p w14:paraId="67596F86" w14:textId="6D184D6E" w:rsidR="00221640" w:rsidRPr="00FA6D77" w:rsidRDefault="00221640" w:rsidP="009A0CCA">
      <w:pPr>
        <w:pStyle w:val="NoSpacing"/>
        <w:numPr>
          <w:ilvl w:val="0"/>
          <w:numId w:val="12"/>
        </w:numPr>
        <w:jc w:val="both"/>
        <w:rPr>
          <w:rFonts w:ascii="Cambria" w:eastAsia="Times New Roman" w:hAnsi="Cambria"/>
          <w:color w:val="000000" w:themeColor="text1"/>
          <w:sz w:val="20"/>
          <w:szCs w:val="20"/>
          <w:lang w:eastAsia="pt-BR"/>
        </w:rPr>
      </w:pPr>
      <w:r w:rsidRPr="00FA6D77">
        <w:rPr>
          <w:rFonts w:ascii="Cambria" w:eastAsia="Times New Roman" w:hAnsi="Cambria"/>
          <w:color w:val="000000" w:themeColor="text1"/>
          <w:sz w:val="20"/>
          <w:szCs w:val="20"/>
          <w:lang w:eastAsia="pt-BR"/>
        </w:rPr>
        <w:t xml:space="preserve">On October 30, 2020, the University of San Carlos of Guatemala unveiled a steel plaque in memory of Ileana del Rosario </w:t>
      </w:r>
      <w:proofErr w:type="spellStart"/>
      <w:r w:rsidRPr="00FA6D77">
        <w:rPr>
          <w:rFonts w:ascii="Cambria" w:eastAsia="Times New Roman" w:hAnsi="Cambria"/>
          <w:color w:val="000000" w:themeColor="text1"/>
          <w:sz w:val="20"/>
          <w:szCs w:val="20"/>
          <w:lang w:eastAsia="pt-BR"/>
        </w:rPr>
        <w:t>Solares</w:t>
      </w:r>
      <w:proofErr w:type="spellEnd"/>
      <w:r w:rsidRPr="00FA6D77">
        <w:rPr>
          <w:rFonts w:ascii="Cambria" w:eastAsia="Times New Roman" w:hAnsi="Cambria"/>
          <w:color w:val="000000" w:themeColor="text1"/>
          <w:sz w:val="20"/>
          <w:szCs w:val="20"/>
          <w:lang w:eastAsia="pt-BR"/>
        </w:rPr>
        <w:t xml:space="preserve"> Castillo, as part of a monument that was constructed in the central square in honor of victims of human rights violations during the internal armed conflict.</w:t>
      </w:r>
    </w:p>
    <w:p w14:paraId="10DC9599" w14:textId="77777777" w:rsidR="009A0CCA" w:rsidRPr="00FA6D77" w:rsidRDefault="009A0CCA" w:rsidP="009A0CCA">
      <w:pPr>
        <w:spacing w:after="0" w:line="240" w:lineRule="auto"/>
        <w:jc w:val="both"/>
        <w:rPr>
          <w:rFonts w:ascii="Cambria" w:hAnsi="Cambria" w:cs="Calibri Light"/>
          <w:color w:val="000000"/>
          <w:sz w:val="20"/>
          <w:szCs w:val="20"/>
        </w:rPr>
      </w:pPr>
    </w:p>
    <w:p w14:paraId="7963D264" w14:textId="77777777" w:rsidR="009A0CCA" w:rsidRPr="00FA6D77" w:rsidRDefault="009A0CCA" w:rsidP="009A0CCA">
      <w:pPr>
        <w:pStyle w:val="ListParagraph"/>
        <w:numPr>
          <w:ilvl w:val="0"/>
          <w:numId w:val="5"/>
        </w:numPr>
        <w:spacing w:after="0" w:line="240" w:lineRule="auto"/>
        <w:ind w:left="1440" w:hanging="720"/>
        <w:jc w:val="both"/>
        <w:rPr>
          <w:rFonts w:ascii="Cambria" w:hAnsi="Cambria" w:cs="Calibri Light"/>
          <w:b/>
          <w:color w:val="000000"/>
          <w:sz w:val="20"/>
          <w:szCs w:val="20"/>
        </w:rPr>
      </w:pPr>
      <w:r w:rsidRPr="00FA6D77">
        <w:rPr>
          <w:rFonts w:ascii="Cambria" w:hAnsi="Cambria"/>
          <w:b/>
          <w:color w:val="000000"/>
          <w:sz w:val="20"/>
          <w:szCs w:val="20"/>
        </w:rPr>
        <w:t>Structural results of the case</w:t>
      </w:r>
    </w:p>
    <w:p w14:paraId="058B2EEF" w14:textId="77777777" w:rsidR="009A0CCA" w:rsidRPr="00FA6D77" w:rsidRDefault="009A0CCA" w:rsidP="009A0CCA">
      <w:pPr>
        <w:spacing w:after="0" w:line="240" w:lineRule="auto"/>
        <w:rPr>
          <w:color w:val="000000"/>
          <w:sz w:val="20"/>
          <w:szCs w:val="20"/>
        </w:rPr>
      </w:pPr>
    </w:p>
    <w:p w14:paraId="479429D1" w14:textId="77777777" w:rsidR="009A0CCA" w:rsidRPr="00FA6D77" w:rsidRDefault="009A0CCA" w:rsidP="009A0CCA">
      <w:pPr>
        <w:spacing w:after="0" w:line="240" w:lineRule="auto"/>
        <w:rPr>
          <w:rFonts w:ascii="Cambria" w:hAnsi="Cambria"/>
          <w:color w:val="000000"/>
          <w:sz w:val="20"/>
          <w:szCs w:val="20"/>
        </w:rPr>
      </w:pPr>
      <w:r w:rsidRPr="00FA6D77">
        <w:rPr>
          <w:rFonts w:ascii="Cambria" w:hAnsi="Cambria" w:cs="Calibri Light"/>
          <w:i/>
          <w:color w:val="000000"/>
          <w:sz w:val="20"/>
          <w:szCs w:val="20"/>
        </w:rPr>
        <w:t xml:space="preserve">Non-repetition measures </w:t>
      </w:r>
    </w:p>
    <w:p w14:paraId="1A150A19" w14:textId="77777777" w:rsidR="009A0CCA" w:rsidRPr="00FA6D77" w:rsidRDefault="009A0CCA" w:rsidP="009A0CCA">
      <w:pPr>
        <w:numPr>
          <w:ilvl w:val="0"/>
          <w:numId w:val="12"/>
        </w:numPr>
        <w:spacing w:after="0" w:line="240" w:lineRule="auto"/>
        <w:jc w:val="both"/>
        <w:rPr>
          <w:rFonts w:ascii="Cambria" w:hAnsi="Cambria" w:cs="Calibri Light"/>
          <w:color w:val="000000"/>
          <w:sz w:val="20"/>
          <w:szCs w:val="20"/>
        </w:rPr>
      </w:pPr>
      <w:r w:rsidRPr="00FA6D77">
        <w:rPr>
          <w:rFonts w:ascii="Cambria" w:hAnsi="Cambria" w:cs="Calibri Light"/>
          <w:color w:val="000000"/>
          <w:sz w:val="20"/>
          <w:szCs w:val="20"/>
        </w:rPr>
        <w:t xml:space="preserve">On February 27, 2012, Guatemala’s </w:t>
      </w:r>
      <w:proofErr w:type="spellStart"/>
      <w:r w:rsidRPr="00FA6D77">
        <w:rPr>
          <w:rFonts w:ascii="Cambria" w:hAnsi="Cambria" w:cs="Calibri Light"/>
          <w:i/>
          <w:color w:val="000000"/>
          <w:sz w:val="20"/>
          <w:szCs w:val="20"/>
        </w:rPr>
        <w:t>Diario</w:t>
      </w:r>
      <w:proofErr w:type="spellEnd"/>
      <w:r w:rsidRPr="00FA6D77">
        <w:rPr>
          <w:rFonts w:ascii="Cambria" w:hAnsi="Cambria" w:cs="Calibri Light"/>
          <w:i/>
          <w:color w:val="000000"/>
          <w:sz w:val="20"/>
          <w:szCs w:val="20"/>
        </w:rPr>
        <w:t xml:space="preserve"> de </w:t>
      </w:r>
      <w:proofErr w:type="spellStart"/>
      <w:r w:rsidRPr="00FA6D77">
        <w:rPr>
          <w:rFonts w:ascii="Cambria" w:hAnsi="Cambria" w:cs="Calibri Light"/>
          <w:i/>
          <w:color w:val="000000"/>
          <w:sz w:val="20"/>
          <w:szCs w:val="20"/>
        </w:rPr>
        <w:t>Centroamérica</w:t>
      </w:r>
      <w:proofErr w:type="spellEnd"/>
      <w:r w:rsidRPr="00FA6D77">
        <w:rPr>
          <w:rFonts w:ascii="Cambria" w:hAnsi="Cambria" w:cs="Calibri Light"/>
          <w:color w:val="000000"/>
          <w:sz w:val="20"/>
          <w:szCs w:val="20"/>
        </w:rPr>
        <w:t xml:space="preserve"> published the authorization of the Interior Ministry recognizing the legal status and approving the bylaws of the foundation called the “</w:t>
      </w:r>
      <w:proofErr w:type="spellStart"/>
      <w:r w:rsidRPr="00FA6D77">
        <w:rPr>
          <w:rFonts w:ascii="Cambria" w:hAnsi="Cambria" w:cs="Calibri Light"/>
          <w:i/>
          <w:color w:val="000000"/>
          <w:sz w:val="20"/>
          <w:szCs w:val="20"/>
        </w:rPr>
        <w:t>Fundación</w:t>
      </w:r>
      <w:proofErr w:type="spellEnd"/>
      <w:r w:rsidRPr="00FA6D77">
        <w:rPr>
          <w:rFonts w:ascii="Cambria" w:hAnsi="Cambria" w:cs="Calibri Light"/>
          <w:i/>
          <w:color w:val="000000"/>
          <w:sz w:val="20"/>
          <w:szCs w:val="20"/>
        </w:rPr>
        <w:t xml:space="preserve"> Derechos Humanos </w:t>
      </w:r>
      <w:proofErr w:type="spellStart"/>
      <w:r w:rsidRPr="00FA6D77">
        <w:rPr>
          <w:rFonts w:ascii="Cambria" w:hAnsi="Cambria" w:cs="Calibri Light"/>
          <w:i/>
          <w:color w:val="000000"/>
          <w:sz w:val="20"/>
          <w:szCs w:val="20"/>
        </w:rPr>
        <w:t>en</w:t>
      </w:r>
      <w:proofErr w:type="spellEnd"/>
      <w:r w:rsidRPr="00FA6D77">
        <w:rPr>
          <w:rFonts w:ascii="Cambria" w:hAnsi="Cambria" w:cs="Calibri Light"/>
          <w:i/>
          <w:color w:val="000000"/>
          <w:sz w:val="20"/>
          <w:szCs w:val="20"/>
        </w:rPr>
        <w:t xml:space="preserve"> </w:t>
      </w:r>
      <w:proofErr w:type="spellStart"/>
      <w:r w:rsidRPr="00FA6D77">
        <w:rPr>
          <w:rFonts w:ascii="Cambria" w:hAnsi="Cambria" w:cs="Calibri Light"/>
          <w:i/>
          <w:color w:val="000000"/>
          <w:sz w:val="20"/>
          <w:szCs w:val="20"/>
        </w:rPr>
        <w:t>Acción</w:t>
      </w:r>
      <w:proofErr w:type="spellEnd"/>
      <w:r w:rsidRPr="00FA6D77">
        <w:rPr>
          <w:rFonts w:ascii="Cambria" w:hAnsi="Cambria" w:cs="Calibri Light"/>
          <w:color w:val="000000"/>
          <w:sz w:val="20"/>
          <w:szCs w:val="20"/>
        </w:rPr>
        <w:t>” (FUNDHA).</w:t>
      </w:r>
    </w:p>
    <w:p w14:paraId="34312C63" w14:textId="77777777" w:rsidR="009A0CCA" w:rsidRPr="00FA6D77" w:rsidRDefault="009A0CCA" w:rsidP="009A0CCA">
      <w:pPr>
        <w:numPr>
          <w:ilvl w:val="0"/>
          <w:numId w:val="12"/>
        </w:numPr>
        <w:spacing w:after="0" w:line="240" w:lineRule="auto"/>
        <w:jc w:val="both"/>
        <w:rPr>
          <w:rFonts w:ascii="Cambria" w:hAnsi="Cambria" w:cs="Calibri Light"/>
          <w:color w:val="000000"/>
          <w:sz w:val="20"/>
          <w:szCs w:val="20"/>
        </w:rPr>
      </w:pPr>
      <w:r w:rsidRPr="00FA6D77">
        <w:rPr>
          <w:rFonts w:ascii="Cambria" w:hAnsi="Cambria" w:cs="Calibri Light"/>
          <w:color w:val="000000"/>
          <w:sz w:val="20"/>
          <w:szCs w:val="20"/>
        </w:rPr>
        <w:t xml:space="preserve">On October 28, 2011, a certified copy of the charter of the Fundación Ileana del Rosario </w:t>
      </w:r>
      <w:proofErr w:type="spellStart"/>
      <w:r w:rsidRPr="00FA6D77">
        <w:rPr>
          <w:rFonts w:ascii="Cambria" w:hAnsi="Cambria" w:cs="Calibri Light"/>
          <w:color w:val="000000"/>
          <w:sz w:val="20"/>
          <w:szCs w:val="20"/>
        </w:rPr>
        <w:t>Solares</w:t>
      </w:r>
      <w:proofErr w:type="spellEnd"/>
      <w:r w:rsidRPr="00FA6D77">
        <w:rPr>
          <w:rFonts w:ascii="Cambria" w:hAnsi="Cambria" w:cs="Calibri Light"/>
          <w:color w:val="000000"/>
          <w:sz w:val="20"/>
          <w:szCs w:val="20"/>
        </w:rPr>
        <w:t xml:space="preserve"> was filed with the Interior Ministry, and only its publication is said to be pending. The seed capital funding for the foundation was reported to have been provided by the State.</w:t>
      </w:r>
    </w:p>
    <w:p w14:paraId="472E729B" w14:textId="77777777" w:rsidR="002279D6" w:rsidRPr="009A0CCA" w:rsidRDefault="00FA6D77" w:rsidP="009A0CCA">
      <w:bookmarkStart w:id="0" w:name="_GoBack"/>
      <w:bookmarkEnd w:id="0"/>
    </w:p>
    <w:sectPr w:rsidR="002279D6" w:rsidRPr="009A0CCA" w:rsidSect="0096142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1E3F2" w14:textId="77777777" w:rsidR="00CD5D27" w:rsidRDefault="00CD5D27" w:rsidP="00981CD8">
      <w:pPr>
        <w:spacing w:after="0" w:line="240" w:lineRule="auto"/>
      </w:pPr>
      <w:r>
        <w:separator/>
      </w:r>
    </w:p>
  </w:endnote>
  <w:endnote w:type="continuationSeparator" w:id="0">
    <w:p w14:paraId="4C9067FF" w14:textId="77777777" w:rsidR="00CD5D27" w:rsidRDefault="00CD5D27" w:rsidP="00981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7016D" w14:textId="77777777" w:rsidR="00CD5D27" w:rsidRDefault="00CD5D27" w:rsidP="00981CD8">
      <w:pPr>
        <w:spacing w:after="0" w:line="240" w:lineRule="auto"/>
      </w:pPr>
      <w:r>
        <w:separator/>
      </w:r>
    </w:p>
  </w:footnote>
  <w:footnote w:type="continuationSeparator" w:id="0">
    <w:p w14:paraId="022145AE" w14:textId="77777777" w:rsidR="00CD5D27" w:rsidRDefault="00CD5D27" w:rsidP="00981CD8">
      <w:pPr>
        <w:spacing w:after="0" w:line="240" w:lineRule="auto"/>
      </w:pPr>
      <w:r>
        <w:continuationSeparator/>
      </w:r>
    </w:p>
  </w:footnote>
  <w:footnote w:id="1">
    <w:p w14:paraId="5D809A7E" w14:textId="77777777" w:rsidR="009A0CCA" w:rsidRPr="005B197C" w:rsidRDefault="009A0CCA" w:rsidP="009A0CCA">
      <w:pPr>
        <w:spacing w:after="120" w:line="240" w:lineRule="auto"/>
        <w:ind w:firstLine="720"/>
        <w:jc w:val="both"/>
        <w:rPr>
          <w:rFonts w:ascii="Cambria" w:hAnsi="Cambria"/>
          <w:color w:val="000000"/>
          <w:sz w:val="16"/>
          <w:szCs w:val="16"/>
        </w:rPr>
      </w:pPr>
      <w:r w:rsidRPr="005B197C">
        <w:rPr>
          <w:rStyle w:val="FootnoteReference"/>
          <w:rFonts w:ascii="Cambria" w:hAnsi="Cambria"/>
          <w:color w:val="000000"/>
          <w:sz w:val="16"/>
          <w:szCs w:val="16"/>
        </w:rPr>
        <w:footnoteRef/>
      </w:r>
      <w:r w:rsidRPr="005B197C">
        <w:rPr>
          <w:rFonts w:ascii="Cambria" w:hAnsi="Cambria"/>
          <w:color w:val="000000"/>
          <w:sz w:val="16"/>
          <w:szCs w:val="16"/>
        </w:rPr>
        <w:t xml:space="preserve"> IACHR, </w:t>
      </w:r>
      <w:hyperlink r:id="rId1" w:history="1">
        <w:r w:rsidRPr="005B197C">
          <w:rPr>
            <w:rStyle w:val="Hyperlink"/>
            <w:rFonts w:ascii="Cambria" w:hAnsi="Cambria"/>
            <w:color w:val="000000"/>
            <w:sz w:val="16"/>
            <w:szCs w:val="16"/>
          </w:rPr>
          <w:t>2017 Annual Report, Chapter II, Section F: Status of compliance with the recommendations of the IACHR</w:t>
        </w:r>
      </w:hyperlink>
      <w:r w:rsidRPr="005B197C">
        <w:rPr>
          <w:rStyle w:val="Hyperlink"/>
          <w:rFonts w:ascii="Cambria" w:hAnsi="Cambria"/>
          <w:color w:val="000000"/>
          <w:sz w:val="16"/>
          <w:szCs w:val="16"/>
        </w:rPr>
        <w:t xml:space="preserve">, </w:t>
      </w:r>
      <w:r w:rsidRPr="005B197C">
        <w:rPr>
          <w:rFonts w:ascii="Cambria" w:hAnsi="Cambria"/>
          <w:color w:val="000000"/>
          <w:sz w:val="16"/>
          <w:szCs w:val="16"/>
        </w:rPr>
        <w:t>para. 1226.</w:t>
      </w:r>
    </w:p>
  </w:footnote>
  <w:footnote w:id="2">
    <w:p w14:paraId="29B3CD62" w14:textId="77777777" w:rsidR="009A0CCA" w:rsidRPr="005B197C" w:rsidRDefault="009A0CCA" w:rsidP="009A0CCA">
      <w:pPr>
        <w:spacing w:after="120" w:line="240" w:lineRule="auto"/>
        <w:ind w:firstLine="720"/>
        <w:jc w:val="both"/>
        <w:rPr>
          <w:rFonts w:ascii="Cambria" w:hAnsi="Cambria"/>
          <w:color w:val="000000"/>
          <w:sz w:val="16"/>
          <w:szCs w:val="16"/>
        </w:rPr>
      </w:pPr>
      <w:r w:rsidRPr="005B197C">
        <w:rPr>
          <w:rStyle w:val="FootnoteReference"/>
          <w:rFonts w:ascii="Cambria" w:hAnsi="Cambria"/>
          <w:color w:val="000000"/>
          <w:sz w:val="16"/>
          <w:szCs w:val="16"/>
        </w:rPr>
        <w:footnoteRef/>
      </w:r>
      <w:r w:rsidRPr="005B197C">
        <w:rPr>
          <w:rFonts w:ascii="Cambria" w:hAnsi="Cambria"/>
          <w:color w:val="000000"/>
          <w:sz w:val="16"/>
          <w:szCs w:val="16"/>
        </w:rPr>
        <w:t xml:space="preserve"> IACHR, </w:t>
      </w:r>
      <w:hyperlink r:id="rId2" w:history="1">
        <w:r w:rsidRPr="005B197C">
          <w:rPr>
            <w:rStyle w:val="Hyperlink"/>
            <w:rFonts w:ascii="Cambria" w:hAnsi="Cambria"/>
            <w:color w:val="000000"/>
            <w:sz w:val="16"/>
            <w:szCs w:val="16"/>
          </w:rPr>
          <w:t>2017 Annual Report, Chapter II, Section F: Status of compliance with the recommendations of the IACHR</w:t>
        </w:r>
      </w:hyperlink>
      <w:r w:rsidRPr="005B197C">
        <w:rPr>
          <w:rStyle w:val="Hyperlink"/>
          <w:rFonts w:ascii="Cambria" w:hAnsi="Cambria"/>
          <w:color w:val="000000"/>
          <w:sz w:val="16"/>
          <w:szCs w:val="16"/>
        </w:rPr>
        <w:t xml:space="preserve">, </w:t>
      </w:r>
      <w:r w:rsidRPr="005B197C">
        <w:rPr>
          <w:rFonts w:ascii="Cambria" w:hAnsi="Cambria"/>
          <w:color w:val="000000"/>
          <w:sz w:val="16"/>
          <w:szCs w:val="16"/>
        </w:rPr>
        <w:t>para. 1226.</w:t>
      </w:r>
    </w:p>
  </w:footnote>
  <w:footnote w:id="3">
    <w:p w14:paraId="71DAFADF" w14:textId="77777777" w:rsidR="009A0CCA" w:rsidRPr="005B197C" w:rsidRDefault="009A0CCA" w:rsidP="009A0CCA">
      <w:pPr>
        <w:spacing w:after="120" w:line="240" w:lineRule="auto"/>
        <w:ind w:firstLine="720"/>
        <w:jc w:val="both"/>
        <w:rPr>
          <w:rFonts w:ascii="Cambria" w:hAnsi="Cambria"/>
          <w:color w:val="000000"/>
          <w:sz w:val="16"/>
          <w:szCs w:val="16"/>
        </w:rPr>
      </w:pPr>
      <w:r w:rsidRPr="005B197C">
        <w:rPr>
          <w:rStyle w:val="FootnoteReference"/>
          <w:rFonts w:ascii="Cambria" w:hAnsi="Cambria"/>
          <w:color w:val="000000"/>
          <w:sz w:val="16"/>
          <w:szCs w:val="16"/>
        </w:rPr>
        <w:footnoteRef/>
      </w:r>
      <w:r w:rsidRPr="005B197C">
        <w:rPr>
          <w:rFonts w:ascii="Cambria" w:hAnsi="Cambria"/>
          <w:color w:val="000000"/>
          <w:sz w:val="16"/>
          <w:szCs w:val="16"/>
        </w:rPr>
        <w:t xml:space="preserve"> IACHR, </w:t>
      </w:r>
      <w:hyperlink r:id="rId3" w:history="1">
        <w:r w:rsidRPr="005B197C">
          <w:rPr>
            <w:rStyle w:val="Hyperlink"/>
            <w:rFonts w:ascii="Cambria" w:hAnsi="Cambria"/>
            <w:color w:val="000000"/>
            <w:sz w:val="16"/>
            <w:szCs w:val="16"/>
          </w:rPr>
          <w:t>2017 Annual Report, Chapter II, Section F: Status of compliance with the recommendations of the IACHR</w:t>
        </w:r>
      </w:hyperlink>
      <w:r w:rsidRPr="005B197C">
        <w:rPr>
          <w:rStyle w:val="Hyperlink"/>
          <w:rFonts w:ascii="Cambria" w:hAnsi="Cambria"/>
          <w:color w:val="000000"/>
          <w:sz w:val="16"/>
          <w:szCs w:val="16"/>
        </w:rPr>
        <w:t xml:space="preserve">, </w:t>
      </w:r>
      <w:r w:rsidRPr="005B197C">
        <w:rPr>
          <w:rFonts w:ascii="Cambria" w:hAnsi="Cambria"/>
          <w:color w:val="000000"/>
          <w:sz w:val="16"/>
          <w:szCs w:val="16"/>
        </w:rPr>
        <w:t>para. 1226.</w:t>
      </w:r>
    </w:p>
  </w:footnote>
  <w:footnote w:id="4">
    <w:p w14:paraId="78D727C8" w14:textId="77777777" w:rsidR="009A0CCA" w:rsidRPr="005B197C" w:rsidRDefault="009A0CCA" w:rsidP="009A0CCA">
      <w:pPr>
        <w:spacing w:after="120" w:line="240" w:lineRule="auto"/>
        <w:ind w:firstLine="720"/>
        <w:jc w:val="both"/>
        <w:rPr>
          <w:rFonts w:ascii="Cambria" w:hAnsi="Cambria"/>
          <w:color w:val="000000"/>
          <w:sz w:val="16"/>
          <w:szCs w:val="16"/>
        </w:rPr>
      </w:pPr>
      <w:r w:rsidRPr="005B197C">
        <w:rPr>
          <w:rStyle w:val="FootnoteReference"/>
          <w:rFonts w:ascii="Cambria" w:hAnsi="Cambria"/>
          <w:color w:val="000000"/>
          <w:sz w:val="16"/>
          <w:szCs w:val="16"/>
        </w:rPr>
        <w:footnoteRef/>
      </w:r>
      <w:r w:rsidRPr="005B197C">
        <w:rPr>
          <w:rFonts w:ascii="Cambria" w:hAnsi="Cambria"/>
          <w:color w:val="000000"/>
          <w:sz w:val="16"/>
          <w:szCs w:val="16"/>
        </w:rPr>
        <w:t xml:space="preserve"> IACHR, </w:t>
      </w:r>
      <w:hyperlink r:id="rId4" w:history="1">
        <w:r w:rsidRPr="005B197C">
          <w:rPr>
            <w:rStyle w:val="Hyperlink"/>
            <w:rFonts w:ascii="Cambria" w:hAnsi="Cambria"/>
            <w:color w:val="000000"/>
            <w:sz w:val="16"/>
            <w:szCs w:val="16"/>
          </w:rPr>
          <w:t>2017 Annual Report, Chapter II, Section F: Status of compliance with the recommendations of the IACHR</w:t>
        </w:r>
      </w:hyperlink>
      <w:r w:rsidRPr="005B197C">
        <w:rPr>
          <w:rStyle w:val="Hyperlink"/>
          <w:rFonts w:ascii="Cambria" w:hAnsi="Cambria"/>
          <w:color w:val="000000"/>
          <w:sz w:val="16"/>
          <w:szCs w:val="16"/>
        </w:rPr>
        <w:t xml:space="preserve">, </w:t>
      </w:r>
      <w:r w:rsidRPr="005B197C">
        <w:rPr>
          <w:rFonts w:ascii="Cambria" w:hAnsi="Cambria"/>
          <w:color w:val="000000"/>
          <w:sz w:val="16"/>
          <w:szCs w:val="16"/>
        </w:rPr>
        <w:t>para. 1226.</w:t>
      </w:r>
    </w:p>
  </w:footnote>
  <w:footnote w:id="5">
    <w:p w14:paraId="711E1DB6" w14:textId="77777777" w:rsidR="009A0CCA" w:rsidRPr="005B197C" w:rsidRDefault="009A0CCA" w:rsidP="009A0CCA">
      <w:pPr>
        <w:spacing w:after="120" w:line="240" w:lineRule="auto"/>
        <w:ind w:firstLine="720"/>
        <w:jc w:val="both"/>
        <w:rPr>
          <w:rFonts w:ascii="Cambria" w:hAnsi="Cambria"/>
          <w:color w:val="000000"/>
          <w:sz w:val="16"/>
          <w:szCs w:val="16"/>
        </w:rPr>
      </w:pPr>
      <w:r w:rsidRPr="005B197C">
        <w:rPr>
          <w:rStyle w:val="FootnoteReference"/>
          <w:rFonts w:ascii="Cambria" w:hAnsi="Cambria"/>
          <w:color w:val="000000"/>
          <w:sz w:val="16"/>
          <w:szCs w:val="16"/>
        </w:rPr>
        <w:footnoteRef/>
      </w:r>
      <w:r w:rsidRPr="005B197C">
        <w:rPr>
          <w:rFonts w:ascii="Cambria" w:hAnsi="Cambria"/>
          <w:color w:val="000000"/>
          <w:sz w:val="16"/>
          <w:szCs w:val="16"/>
        </w:rPr>
        <w:t xml:space="preserve"> IACHR, </w:t>
      </w:r>
      <w:hyperlink r:id="rId5" w:history="1">
        <w:r w:rsidRPr="005B197C">
          <w:rPr>
            <w:rStyle w:val="Hyperlink"/>
            <w:rFonts w:ascii="Cambria" w:hAnsi="Cambria"/>
            <w:color w:val="000000"/>
            <w:sz w:val="16"/>
            <w:szCs w:val="16"/>
          </w:rPr>
          <w:t>2017 Annual Report, Chapter II, Section F: Status of compliance with the recommendations of the IACHR</w:t>
        </w:r>
      </w:hyperlink>
      <w:r w:rsidRPr="005B197C">
        <w:rPr>
          <w:rStyle w:val="Hyperlink"/>
          <w:rFonts w:ascii="Cambria" w:hAnsi="Cambria"/>
          <w:color w:val="000000"/>
          <w:sz w:val="16"/>
          <w:szCs w:val="16"/>
        </w:rPr>
        <w:t xml:space="preserve">, </w:t>
      </w:r>
      <w:r w:rsidRPr="005B197C">
        <w:rPr>
          <w:rFonts w:ascii="Cambria" w:hAnsi="Cambria"/>
          <w:color w:val="000000"/>
          <w:sz w:val="16"/>
          <w:szCs w:val="16"/>
        </w:rPr>
        <w:t>para. 1226.</w:t>
      </w:r>
    </w:p>
  </w:footnote>
  <w:footnote w:id="6">
    <w:p w14:paraId="2B66CB46" w14:textId="77777777" w:rsidR="009A0CCA" w:rsidRPr="005B197C" w:rsidRDefault="009A0CCA" w:rsidP="009A0CCA">
      <w:pPr>
        <w:spacing w:after="120" w:line="240" w:lineRule="auto"/>
        <w:ind w:firstLine="720"/>
        <w:jc w:val="both"/>
        <w:rPr>
          <w:rFonts w:ascii="Cambria" w:hAnsi="Cambria"/>
          <w:color w:val="000000"/>
          <w:sz w:val="16"/>
          <w:szCs w:val="16"/>
        </w:rPr>
      </w:pPr>
      <w:r w:rsidRPr="005B197C">
        <w:rPr>
          <w:rStyle w:val="FootnoteReference"/>
          <w:rFonts w:ascii="Cambria" w:hAnsi="Cambria"/>
          <w:color w:val="000000"/>
          <w:sz w:val="16"/>
          <w:szCs w:val="16"/>
        </w:rPr>
        <w:footnoteRef/>
      </w:r>
      <w:r w:rsidRPr="005B197C">
        <w:rPr>
          <w:rFonts w:ascii="Cambria" w:hAnsi="Cambria"/>
          <w:color w:val="000000"/>
          <w:sz w:val="16"/>
          <w:szCs w:val="16"/>
        </w:rPr>
        <w:t xml:space="preserve"> IACHR, </w:t>
      </w:r>
      <w:hyperlink r:id="rId6" w:history="1">
        <w:r w:rsidRPr="005B197C">
          <w:rPr>
            <w:rStyle w:val="Hyperlink"/>
            <w:rFonts w:ascii="Cambria" w:hAnsi="Cambria"/>
            <w:color w:val="000000"/>
            <w:sz w:val="16"/>
            <w:szCs w:val="16"/>
          </w:rPr>
          <w:t>2017 Annual Report, Chapter II, Section F: Status of compliance with the recommendations of the IACHR</w:t>
        </w:r>
      </w:hyperlink>
      <w:r w:rsidRPr="005B197C">
        <w:rPr>
          <w:rStyle w:val="Hyperlink"/>
          <w:rFonts w:ascii="Cambria" w:hAnsi="Cambria"/>
          <w:color w:val="000000"/>
          <w:sz w:val="16"/>
          <w:szCs w:val="16"/>
        </w:rPr>
        <w:t xml:space="preserve">, </w:t>
      </w:r>
      <w:r w:rsidRPr="005B197C">
        <w:rPr>
          <w:rFonts w:ascii="Cambria" w:hAnsi="Cambria"/>
          <w:color w:val="000000"/>
          <w:sz w:val="16"/>
          <w:szCs w:val="16"/>
        </w:rPr>
        <w:t>para. 1226.</w:t>
      </w:r>
    </w:p>
  </w:footnote>
  <w:footnote w:id="7">
    <w:p w14:paraId="21911586" w14:textId="77777777" w:rsidR="009A0CCA" w:rsidRPr="005B197C" w:rsidRDefault="009A0CCA" w:rsidP="009A0CCA">
      <w:pPr>
        <w:spacing w:after="120" w:line="240" w:lineRule="auto"/>
        <w:ind w:firstLine="720"/>
        <w:jc w:val="both"/>
        <w:rPr>
          <w:rFonts w:ascii="Cambria" w:hAnsi="Cambria"/>
          <w:color w:val="000000"/>
          <w:sz w:val="16"/>
          <w:szCs w:val="16"/>
        </w:rPr>
      </w:pPr>
      <w:r w:rsidRPr="005B197C">
        <w:rPr>
          <w:rStyle w:val="FootnoteReference"/>
          <w:rFonts w:ascii="Cambria" w:hAnsi="Cambria"/>
          <w:color w:val="000000"/>
          <w:sz w:val="16"/>
          <w:szCs w:val="16"/>
        </w:rPr>
        <w:footnoteRef/>
      </w:r>
      <w:r w:rsidRPr="005B197C">
        <w:rPr>
          <w:rFonts w:ascii="Cambria" w:hAnsi="Cambria"/>
          <w:color w:val="000000"/>
          <w:sz w:val="16"/>
          <w:szCs w:val="16"/>
        </w:rPr>
        <w:t xml:space="preserve"> IACHR, </w:t>
      </w:r>
      <w:hyperlink r:id="rId7" w:history="1">
        <w:r w:rsidRPr="005B197C">
          <w:rPr>
            <w:rStyle w:val="Hyperlink"/>
            <w:rFonts w:ascii="Cambria" w:hAnsi="Cambria"/>
            <w:color w:val="000000"/>
            <w:sz w:val="16"/>
            <w:szCs w:val="16"/>
          </w:rPr>
          <w:t>2017 Annual Report, Chapter II, Section F: Status of compliance with the recommendations of the IACHR</w:t>
        </w:r>
      </w:hyperlink>
      <w:r w:rsidRPr="005B197C">
        <w:rPr>
          <w:rStyle w:val="Hyperlink"/>
          <w:rFonts w:ascii="Cambria" w:hAnsi="Cambria"/>
          <w:color w:val="000000"/>
          <w:sz w:val="16"/>
          <w:szCs w:val="16"/>
        </w:rPr>
        <w:t xml:space="preserve">, </w:t>
      </w:r>
      <w:r w:rsidRPr="005B197C">
        <w:rPr>
          <w:rFonts w:ascii="Cambria" w:hAnsi="Cambria"/>
          <w:color w:val="000000"/>
          <w:sz w:val="16"/>
          <w:szCs w:val="16"/>
        </w:rPr>
        <w:t>para. 1226.</w:t>
      </w:r>
    </w:p>
  </w:footnote>
  <w:footnote w:id="8">
    <w:p w14:paraId="55F36808" w14:textId="77777777" w:rsidR="009A0CCA" w:rsidRPr="005B197C" w:rsidRDefault="009A0CCA" w:rsidP="009A0CCA">
      <w:pPr>
        <w:spacing w:after="120" w:line="240" w:lineRule="auto"/>
        <w:ind w:firstLine="720"/>
        <w:jc w:val="both"/>
        <w:rPr>
          <w:rFonts w:ascii="Cambria" w:hAnsi="Cambria"/>
          <w:color w:val="000000"/>
          <w:sz w:val="16"/>
          <w:szCs w:val="16"/>
        </w:rPr>
      </w:pPr>
      <w:r w:rsidRPr="005B197C">
        <w:rPr>
          <w:rStyle w:val="FootnoteReference"/>
          <w:rFonts w:ascii="Cambria" w:hAnsi="Cambria"/>
          <w:color w:val="000000"/>
          <w:sz w:val="16"/>
          <w:szCs w:val="16"/>
        </w:rPr>
        <w:footnoteRef/>
      </w:r>
      <w:r w:rsidRPr="005B197C">
        <w:rPr>
          <w:rFonts w:ascii="Cambria" w:hAnsi="Cambria"/>
          <w:color w:val="000000"/>
          <w:sz w:val="16"/>
          <w:szCs w:val="16"/>
        </w:rPr>
        <w:t xml:space="preserve"> IACHR, </w:t>
      </w:r>
      <w:hyperlink r:id="rId8" w:history="1">
        <w:r w:rsidRPr="005B197C">
          <w:rPr>
            <w:rStyle w:val="Hyperlink"/>
            <w:rFonts w:ascii="Cambria" w:hAnsi="Cambria"/>
            <w:color w:val="000000"/>
            <w:sz w:val="16"/>
            <w:szCs w:val="16"/>
          </w:rPr>
          <w:t>2017 Annual Report, Chapter II, Section F: Status of compliance with the recommendations of the IACHR</w:t>
        </w:r>
      </w:hyperlink>
      <w:r w:rsidRPr="005B197C">
        <w:rPr>
          <w:rStyle w:val="Hyperlink"/>
          <w:rFonts w:ascii="Cambria" w:hAnsi="Cambria"/>
          <w:color w:val="000000"/>
          <w:sz w:val="16"/>
          <w:szCs w:val="16"/>
        </w:rPr>
        <w:t xml:space="preserve">, </w:t>
      </w:r>
      <w:r w:rsidRPr="005B197C">
        <w:rPr>
          <w:rFonts w:ascii="Cambria" w:hAnsi="Cambria"/>
          <w:color w:val="000000"/>
          <w:sz w:val="16"/>
          <w:szCs w:val="16"/>
        </w:rPr>
        <w:t>para. 1226.</w:t>
      </w:r>
    </w:p>
  </w:footnote>
  <w:footnote w:id="9">
    <w:p w14:paraId="75EAD724" w14:textId="77777777" w:rsidR="009A0CCA" w:rsidRPr="005B197C" w:rsidRDefault="009A0CCA" w:rsidP="009A0CCA">
      <w:pPr>
        <w:spacing w:after="120" w:line="240" w:lineRule="auto"/>
        <w:ind w:firstLine="720"/>
        <w:jc w:val="both"/>
        <w:rPr>
          <w:rFonts w:ascii="Cambria" w:hAnsi="Cambria"/>
          <w:color w:val="000000"/>
          <w:sz w:val="16"/>
          <w:szCs w:val="16"/>
        </w:rPr>
      </w:pPr>
      <w:r w:rsidRPr="005B197C">
        <w:rPr>
          <w:rStyle w:val="FootnoteReference"/>
          <w:rFonts w:ascii="Cambria" w:hAnsi="Cambria"/>
          <w:color w:val="000000"/>
          <w:sz w:val="16"/>
          <w:szCs w:val="16"/>
        </w:rPr>
        <w:footnoteRef/>
      </w:r>
      <w:r w:rsidRPr="005B197C">
        <w:rPr>
          <w:rFonts w:ascii="Cambria" w:hAnsi="Cambria"/>
          <w:color w:val="000000"/>
          <w:sz w:val="16"/>
          <w:szCs w:val="16"/>
        </w:rPr>
        <w:t xml:space="preserve"> IACHR, </w:t>
      </w:r>
      <w:hyperlink r:id="rId9" w:history="1">
        <w:r w:rsidRPr="005B197C">
          <w:rPr>
            <w:rStyle w:val="Hyperlink"/>
            <w:rFonts w:ascii="Cambria" w:hAnsi="Cambria"/>
            <w:color w:val="000000"/>
            <w:sz w:val="16"/>
            <w:szCs w:val="16"/>
          </w:rPr>
          <w:t>2017 Annual Report, Chapter II, Section F: Status of compliance with the recommendations of the IACHR</w:t>
        </w:r>
      </w:hyperlink>
      <w:r w:rsidRPr="005B197C">
        <w:rPr>
          <w:rStyle w:val="Hyperlink"/>
          <w:rFonts w:ascii="Cambria" w:hAnsi="Cambria"/>
          <w:color w:val="000000"/>
          <w:sz w:val="16"/>
          <w:szCs w:val="16"/>
        </w:rPr>
        <w:t xml:space="preserve">, </w:t>
      </w:r>
      <w:r w:rsidRPr="005B197C">
        <w:rPr>
          <w:rFonts w:ascii="Cambria" w:hAnsi="Cambria"/>
          <w:color w:val="000000"/>
          <w:sz w:val="16"/>
          <w:szCs w:val="16"/>
        </w:rPr>
        <w:t>para. 1226.</w:t>
      </w:r>
    </w:p>
  </w:footnote>
  <w:footnote w:id="10">
    <w:p w14:paraId="4D4C70EB" w14:textId="77777777" w:rsidR="009A0CCA" w:rsidRPr="005B197C" w:rsidRDefault="009A0CCA" w:rsidP="009A0CCA">
      <w:pPr>
        <w:pStyle w:val="FootnoteText"/>
        <w:spacing w:after="120"/>
        <w:ind w:firstLine="720"/>
        <w:jc w:val="both"/>
        <w:rPr>
          <w:rFonts w:ascii="Cambria" w:hAnsi="Cambria"/>
          <w:color w:val="000000"/>
          <w:sz w:val="16"/>
          <w:szCs w:val="16"/>
        </w:rPr>
      </w:pPr>
      <w:r w:rsidRPr="005B197C">
        <w:rPr>
          <w:rStyle w:val="FootnoteReference"/>
          <w:rFonts w:ascii="Cambria" w:hAnsi="Cambria"/>
          <w:color w:val="000000"/>
          <w:sz w:val="16"/>
          <w:szCs w:val="16"/>
        </w:rPr>
        <w:footnoteRef/>
      </w:r>
      <w:r w:rsidRPr="005B197C">
        <w:rPr>
          <w:rFonts w:ascii="Cambria" w:hAnsi="Cambria"/>
          <w:color w:val="000000"/>
          <w:sz w:val="16"/>
          <w:szCs w:val="16"/>
        </w:rPr>
        <w:t xml:space="preserve"> IACHR, 2017 Annual Report, </w:t>
      </w:r>
      <w:r w:rsidRPr="005B197C">
        <w:rPr>
          <w:rFonts w:ascii="Cambria" w:hAnsi="Cambria"/>
          <w:color w:val="000000"/>
          <w:sz w:val="16"/>
          <w:szCs w:val="16"/>
          <w:u w:val="single"/>
        </w:rPr>
        <w:t xml:space="preserve">Chapter II, </w:t>
      </w:r>
      <w:hyperlink r:id="rId10" w:history="1">
        <w:r w:rsidRPr="005B197C">
          <w:rPr>
            <w:rStyle w:val="Hyperlink"/>
            <w:rFonts w:ascii="Cambria" w:hAnsi="Cambria"/>
            <w:color w:val="000000"/>
            <w:sz w:val="16"/>
            <w:szCs w:val="16"/>
          </w:rPr>
          <w:t>Section F: Status of compliance with the recommendations of the IACHR</w:t>
        </w:r>
      </w:hyperlink>
      <w:r w:rsidRPr="005B197C">
        <w:rPr>
          <w:rFonts w:ascii="Cambria" w:hAnsi="Cambria"/>
          <w:color w:val="000000"/>
          <w:sz w:val="16"/>
          <w:szCs w:val="16"/>
        </w:rPr>
        <w:t>, para. 1224.</w:t>
      </w:r>
    </w:p>
  </w:footnote>
  <w:footnote w:id="11">
    <w:p w14:paraId="0894D67E" w14:textId="77777777" w:rsidR="009A0CCA" w:rsidRPr="005B197C" w:rsidRDefault="009A0CCA" w:rsidP="009A0CCA">
      <w:pPr>
        <w:pStyle w:val="FootnoteText"/>
        <w:spacing w:after="120"/>
        <w:ind w:firstLine="720"/>
        <w:jc w:val="both"/>
        <w:rPr>
          <w:rFonts w:ascii="Cambria" w:hAnsi="Cambria"/>
          <w:color w:val="000000"/>
          <w:sz w:val="16"/>
          <w:szCs w:val="16"/>
        </w:rPr>
      </w:pPr>
      <w:r w:rsidRPr="005B197C">
        <w:rPr>
          <w:rStyle w:val="FootnoteReference"/>
          <w:rFonts w:ascii="Cambria" w:hAnsi="Cambria"/>
          <w:color w:val="000000"/>
          <w:sz w:val="16"/>
          <w:szCs w:val="16"/>
        </w:rPr>
        <w:footnoteRef/>
      </w:r>
      <w:r w:rsidRPr="005B197C">
        <w:rPr>
          <w:rFonts w:ascii="Cambria" w:hAnsi="Cambria"/>
          <w:color w:val="000000"/>
          <w:sz w:val="16"/>
          <w:szCs w:val="16"/>
        </w:rPr>
        <w:t xml:space="preserve"> </w:t>
      </w:r>
      <w:proofErr w:type="spellStart"/>
      <w:r w:rsidRPr="005B197C">
        <w:rPr>
          <w:rFonts w:ascii="Cambria" w:hAnsi="Cambria"/>
          <w:color w:val="000000"/>
          <w:sz w:val="16"/>
          <w:szCs w:val="16"/>
        </w:rPr>
        <w:t>IACtHR</w:t>
      </w:r>
      <w:proofErr w:type="spellEnd"/>
      <w:r w:rsidRPr="005B197C">
        <w:rPr>
          <w:rFonts w:ascii="Cambria" w:hAnsi="Cambria"/>
          <w:color w:val="000000"/>
          <w:sz w:val="16"/>
          <w:szCs w:val="16"/>
        </w:rPr>
        <w:t xml:space="preserve">, </w:t>
      </w:r>
      <w:hyperlink r:id="rId11" w:history="1">
        <w:r w:rsidRPr="005B197C">
          <w:rPr>
            <w:rStyle w:val="Hyperlink"/>
            <w:rFonts w:ascii="Cambria" w:hAnsi="Cambria"/>
            <w:color w:val="000000"/>
            <w:sz w:val="16"/>
            <w:szCs w:val="16"/>
          </w:rPr>
          <w:t xml:space="preserve">Case of </w:t>
        </w:r>
        <w:proofErr w:type="spellStart"/>
        <w:r w:rsidRPr="005B197C">
          <w:rPr>
            <w:rStyle w:val="Hyperlink"/>
            <w:rFonts w:ascii="Cambria" w:hAnsi="Cambria"/>
            <w:color w:val="000000"/>
            <w:sz w:val="16"/>
            <w:szCs w:val="16"/>
          </w:rPr>
          <w:t>Albán</w:t>
        </w:r>
        <w:proofErr w:type="spellEnd"/>
        <w:r w:rsidRPr="005B197C">
          <w:rPr>
            <w:rStyle w:val="Hyperlink"/>
            <w:rFonts w:ascii="Cambria" w:hAnsi="Cambria"/>
            <w:color w:val="000000"/>
            <w:sz w:val="16"/>
            <w:szCs w:val="16"/>
          </w:rPr>
          <w:t>-Cornejo et al. Vs. Ecuador, Judgment of November 22, 2007</w:t>
        </w:r>
      </w:hyperlink>
      <w:r w:rsidRPr="005B197C">
        <w:rPr>
          <w:rFonts w:ascii="Cambria" w:hAnsi="Cambria"/>
          <w:color w:val="000000"/>
          <w:sz w:val="16"/>
          <w:szCs w:val="16"/>
        </w:rPr>
        <w:t>. Series C No. 171, para. 62.</w:t>
      </w:r>
    </w:p>
  </w:footnote>
  <w:footnote w:id="12">
    <w:p w14:paraId="50F5618F" w14:textId="77777777" w:rsidR="009A0CCA" w:rsidRPr="005B197C" w:rsidRDefault="009A0CCA" w:rsidP="009A0CCA">
      <w:pPr>
        <w:pStyle w:val="FootnoteText"/>
        <w:spacing w:after="120"/>
        <w:ind w:firstLine="720"/>
        <w:jc w:val="both"/>
        <w:rPr>
          <w:rFonts w:ascii="Cambria" w:hAnsi="Cambria"/>
          <w:color w:val="000000"/>
          <w:sz w:val="16"/>
          <w:szCs w:val="16"/>
        </w:rPr>
      </w:pPr>
      <w:r w:rsidRPr="005B197C">
        <w:rPr>
          <w:rStyle w:val="FootnoteReference"/>
          <w:rFonts w:ascii="Cambria" w:hAnsi="Cambria"/>
          <w:color w:val="000000"/>
          <w:sz w:val="16"/>
          <w:szCs w:val="16"/>
        </w:rPr>
        <w:footnoteRef/>
      </w:r>
      <w:r w:rsidRPr="005B197C">
        <w:rPr>
          <w:rFonts w:ascii="Cambria" w:hAnsi="Cambria"/>
          <w:color w:val="000000"/>
          <w:sz w:val="16"/>
          <w:szCs w:val="16"/>
        </w:rPr>
        <w:t xml:space="preserve"> </w:t>
      </w:r>
      <w:proofErr w:type="spellStart"/>
      <w:r w:rsidRPr="005B197C">
        <w:rPr>
          <w:rFonts w:ascii="Cambria" w:hAnsi="Cambria"/>
          <w:color w:val="000000"/>
          <w:sz w:val="16"/>
          <w:szCs w:val="16"/>
        </w:rPr>
        <w:t>IACtHR</w:t>
      </w:r>
      <w:proofErr w:type="spellEnd"/>
      <w:r w:rsidRPr="005B197C">
        <w:rPr>
          <w:rFonts w:ascii="Cambria" w:hAnsi="Cambria"/>
          <w:color w:val="000000"/>
          <w:sz w:val="16"/>
          <w:szCs w:val="16"/>
        </w:rPr>
        <w:t xml:space="preserve">, </w:t>
      </w:r>
      <w:hyperlink r:id="rId12" w:history="1">
        <w:r w:rsidRPr="005B197C">
          <w:rPr>
            <w:rStyle w:val="Hyperlink"/>
            <w:rFonts w:ascii="Cambria" w:hAnsi="Cambria"/>
            <w:color w:val="000000"/>
            <w:sz w:val="16"/>
            <w:szCs w:val="16"/>
          </w:rPr>
          <w:t>Case of the Río Negro Massacres Vs. Guatemala, Judgment of September 4, 2012</w:t>
        </w:r>
      </w:hyperlink>
      <w:r w:rsidRPr="005B197C">
        <w:rPr>
          <w:rFonts w:ascii="Cambria" w:hAnsi="Cambria"/>
          <w:color w:val="000000"/>
          <w:sz w:val="16"/>
          <w:szCs w:val="16"/>
        </w:rPr>
        <w:t>. Series C No. 250, para. 224.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9FA29" w14:textId="77777777" w:rsidR="00981CD8" w:rsidRPr="006B1F24" w:rsidRDefault="00981CD8" w:rsidP="000D3FA9">
    <w:pPr>
      <w:pStyle w:val="Header"/>
      <w:spacing w:after="0" w:line="216" w:lineRule="auto"/>
      <w:rPr>
        <w:rFonts w:ascii="Arial" w:hAnsi="Arial" w:cs="Arial"/>
        <w:color w:val="3B3838" w:themeColor="background2" w:themeShade="40"/>
        <w:sz w:val="28"/>
        <w:szCs w:val="28"/>
        <w:lang w:val="es-ES"/>
      </w:rPr>
    </w:pPr>
    <w:r w:rsidRPr="00ED1EBA">
      <w:rPr>
        <w:rFonts w:ascii="Arial" w:hAnsi="Arial" w:cs="Arial"/>
        <w:noProof/>
        <w:color w:val="3B3838" w:themeColor="background2" w:themeShade="40"/>
        <w:sz w:val="44"/>
        <w:szCs w:val="28"/>
      </w:rPr>
      <mc:AlternateContent>
        <mc:Choice Requires="wps">
          <w:drawing>
            <wp:anchor distT="0" distB="0" distL="114300" distR="114300" simplePos="0" relativeHeight="251659264" behindDoc="1" locked="0" layoutInCell="1" allowOverlap="1" wp14:anchorId="0B903137" wp14:editId="35BCC1C1">
              <wp:simplePos x="0" y="0"/>
              <wp:positionH relativeFrom="column">
                <wp:posOffset>1071880</wp:posOffset>
              </wp:positionH>
              <wp:positionV relativeFrom="paragraph">
                <wp:posOffset>-63500</wp:posOffset>
              </wp:positionV>
              <wp:extent cx="1447332" cy="605918"/>
              <wp:effectExtent l="0" t="0" r="635" b="3810"/>
              <wp:wrapNone/>
              <wp:docPr id="4" name="Text Box 4"/>
              <wp:cNvGraphicFramePr/>
              <a:graphic xmlns:a="http://schemas.openxmlformats.org/drawingml/2006/main">
                <a:graphicData uri="http://schemas.microsoft.com/office/word/2010/wordprocessingShape">
                  <wps:wsp>
                    <wps:cNvSpPr txBox="1"/>
                    <wps:spPr>
                      <a:xfrm>
                        <a:off x="0" y="0"/>
                        <a:ext cx="1447332" cy="605918"/>
                      </a:xfrm>
                      <a:prstGeom prst="rect">
                        <a:avLst/>
                      </a:prstGeom>
                      <a:solidFill>
                        <a:schemeClr val="lt1"/>
                      </a:solidFill>
                      <a:ln w="6350">
                        <a:noFill/>
                      </a:ln>
                    </wps:spPr>
                    <wps:txbx>
                      <w:txbxContent>
                        <w:p w14:paraId="2D686D70" w14:textId="77777777" w:rsidR="00981CD8" w:rsidRPr="00EA0262" w:rsidRDefault="00981CD8" w:rsidP="00981CD8">
                          <w:pPr>
                            <w:rPr>
                              <w:rFonts w:ascii="Arial" w:hAnsi="Arial" w:cs="Arial"/>
                              <w:b/>
                              <w:bCs/>
                              <w:color w:val="767171" w:themeColor="background2" w:themeShade="80"/>
                              <w:sz w:val="80"/>
                              <w:szCs w:val="80"/>
                              <w:lang w:val="es-ES"/>
                            </w:rPr>
                          </w:pPr>
                          <w:r w:rsidRPr="00EA0262">
                            <w:rPr>
                              <w:rFonts w:ascii="Arial" w:hAnsi="Arial" w:cs="Arial"/>
                              <w:b/>
                              <w:bCs/>
                              <w:color w:val="767171" w:themeColor="background2" w:themeShade="80"/>
                              <w:sz w:val="80"/>
                              <w:szCs w:val="80"/>
                              <w:lang w:val="es-ES"/>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B903137" id="_x0000_t202" coordsize="21600,21600" o:spt="202" path="m,l,21600r21600,l21600,xe">
              <v:stroke joinstyle="miter"/>
              <v:path gradientshapeok="t" o:connecttype="rect"/>
            </v:shapetype>
            <v:shape id="Text Box 4" o:spid="_x0000_s1026" type="#_x0000_t202" style="position:absolute;margin-left:84.4pt;margin-top:-5pt;width:113.95pt;height:4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" fillcolor="white [3201]" stroked="f" strokeweight=".5pt">
              <v:textbox>
                <w:txbxContent>
                  <w:p w14:paraId="2D686D70" w14:textId="77777777" w:rsidR="00981CD8" w:rsidRPr="00EA0262" w:rsidRDefault="00981CD8" w:rsidP="00981CD8">
                    <w:pPr>
                      <w:rPr>
                        <w:rFonts w:ascii="Arial" w:hAnsi="Arial" w:cs="Arial"/>
                        <w:b/>
                        <w:bCs/>
                        <w:color w:val="767171" w:themeColor="background2" w:themeShade="80"/>
                        <w:sz w:val="80"/>
                        <w:szCs w:val="80"/>
                        <w:lang w:val="es-ES"/>
                      </w:rPr>
                    </w:pPr>
                    <w:r w:rsidRPr="00EA0262">
                      <w:rPr>
                        <w:rFonts w:ascii="Arial" w:hAnsi="Arial" w:cs="Arial"/>
                        <w:b/>
                        <w:bCs/>
                        <w:color w:val="767171" w:themeColor="background2" w:themeShade="80"/>
                        <w:sz w:val="80"/>
                        <w:szCs w:val="80"/>
                        <w:lang w:val="es-ES"/>
                      </w:rPr>
                      <w:t>2020</w:t>
                    </w:r>
                  </w:p>
                </w:txbxContent>
              </v:textbox>
            </v:shape>
          </w:pict>
        </mc:Fallback>
      </mc:AlternateContent>
    </w:r>
    <w:r>
      <w:rPr>
        <w:rFonts w:asciiTheme="minorHAnsi" w:hAnsiTheme="minorHAnsi" w:cstheme="minorBidi"/>
        <w:noProof/>
        <w:sz w:val="24"/>
        <w:szCs w:val="24"/>
      </w:rPr>
      <w:drawing>
        <wp:anchor distT="0" distB="0" distL="114300" distR="114300" simplePos="0" relativeHeight="251661312" behindDoc="0" locked="0" layoutInCell="1" allowOverlap="1" wp14:anchorId="2561DA7D" wp14:editId="3607AAED">
          <wp:simplePos x="0" y="0"/>
          <wp:positionH relativeFrom="column">
            <wp:posOffset>3752850</wp:posOffset>
          </wp:positionH>
          <wp:positionV relativeFrom="paragraph">
            <wp:posOffset>29210</wp:posOffset>
          </wp:positionV>
          <wp:extent cx="2381250" cy="561975"/>
          <wp:effectExtent l="0" t="0" r="0" b="0"/>
          <wp:wrapSquare wrapText="bothSides"/>
          <wp:docPr id="6" name="Picture 6"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561975"/>
                  </a:xfrm>
                  <a:prstGeom prst="rect">
                    <a:avLst/>
                  </a:prstGeom>
                  <a:noFill/>
                </pic:spPr>
              </pic:pic>
            </a:graphicData>
          </a:graphic>
          <wp14:sizeRelH relativeFrom="page">
            <wp14:pctWidth>0</wp14:pctWidth>
          </wp14:sizeRelH>
          <wp14:sizeRelV relativeFrom="page">
            <wp14:pctHeight>0</wp14:pctHeight>
          </wp14:sizeRelV>
        </wp:anchor>
      </w:drawing>
    </w:r>
    <w:r w:rsidRPr="00ED1EBA">
      <w:rPr>
        <w:noProof/>
        <w:sz w:val="44"/>
        <w:szCs w:val="28"/>
      </w:rPr>
      <w:t>ANNUAL</w:t>
    </w:r>
    <w:r>
      <w:rPr>
        <w:noProof/>
        <w:sz w:val="44"/>
        <w:szCs w:val="28"/>
      </w:rPr>
      <w:t xml:space="preserve"> </w:t>
    </w:r>
  </w:p>
  <w:p w14:paraId="614EEB8E" w14:textId="77777777" w:rsidR="00981CD8" w:rsidRPr="006B1F24" w:rsidRDefault="00981CD8" w:rsidP="00981CD8">
    <w:pPr>
      <w:pStyle w:val="Header"/>
      <w:tabs>
        <w:tab w:val="clear" w:pos="4680"/>
        <w:tab w:val="clear" w:pos="9360"/>
        <w:tab w:val="left" w:pos="1925"/>
      </w:tabs>
      <w:spacing w:line="216" w:lineRule="auto"/>
      <w:rPr>
        <w:rFonts w:ascii="Arial" w:hAnsi="Arial" w:cs="Arial"/>
        <w:b/>
        <w:bCs/>
        <w:color w:val="404040" w:themeColor="text1" w:themeTint="BF"/>
        <w:sz w:val="38"/>
        <w:szCs w:val="38"/>
        <w:lang w:val="es-ES"/>
      </w:rPr>
    </w:pPr>
    <w:r>
      <w:rPr>
        <w:rFonts w:ascii="Arial" w:hAnsi="Arial" w:cs="Arial"/>
        <w:b/>
        <w:bCs/>
        <w:color w:val="404040" w:themeColor="text1" w:themeTint="BF"/>
        <w:sz w:val="38"/>
        <w:szCs w:val="38"/>
        <w:lang w:val="es-ES"/>
      </w:rPr>
      <w:t>REPORT</w:t>
    </w:r>
  </w:p>
  <w:p w14:paraId="1039B324" w14:textId="063FEB1F" w:rsidR="00981CD8" w:rsidRPr="000D3FA9" w:rsidRDefault="00981CD8">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5F3524CE" wp14:editId="14D1E375">
              <wp:simplePos x="0" y="0"/>
              <wp:positionH relativeFrom="column">
                <wp:posOffset>-5610</wp:posOffset>
              </wp:positionH>
              <wp:positionV relativeFrom="paragraph">
                <wp:posOffset>167882</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C81FFF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43BC"/>
    <w:multiLevelType w:val="hybridMultilevel"/>
    <w:tmpl w:val="6E7C0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C114D"/>
    <w:multiLevelType w:val="hybridMultilevel"/>
    <w:tmpl w:val="BEBE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615CE"/>
    <w:multiLevelType w:val="hybridMultilevel"/>
    <w:tmpl w:val="55E45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F5AA9"/>
    <w:multiLevelType w:val="hybridMultilevel"/>
    <w:tmpl w:val="DF2C23F4"/>
    <w:lvl w:ilvl="0" w:tplc="AF689784">
      <w:start w:val="1"/>
      <w:numFmt w:val="decimal"/>
      <w:lvlText w:val="%1."/>
      <w:lvlJc w:val="left"/>
      <w:pPr>
        <w:ind w:left="18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1A21406"/>
    <w:multiLevelType w:val="hybridMultilevel"/>
    <w:tmpl w:val="CC94D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BD23DB"/>
    <w:multiLevelType w:val="hybridMultilevel"/>
    <w:tmpl w:val="F230E166"/>
    <w:lvl w:ilvl="0" w:tplc="89724220">
      <w:start w:val="1"/>
      <w:numFmt w:val="decimal"/>
      <w:lvlText w:val="%1."/>
      <w:lvlJc w:val="left"/>
      <w:pPr>
        <w:ind w:left="720" w:hanging="360"/>
      </w:pPr>
      <w:rPr>
        <w:rFonts w:hint="default"/>
        <w:b w:val="0"/>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B42619"/>
    <w:multiLevelType w:val="hybridMultilevel"/>
    <w:tmpl w:val="8F14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97672C"/>
    <w:multiLevelType w:val="hybridMultilevel"/>
    <w:tmpl w:val="335A9580"/>
    <w:lvl w:ilvl="0" w:tplc="D7F20EFC">
      <w:start w:val="1"/>
      <w:numFmt w:val="decimal"/>
      <w:lvlText w:val="%1."/>
      <w:lvlJc w:val="left"/>
      <w:pPr>
        <w:ind w:left="720" w:hanging="360"/>
      </w:pPr>
      <w:rPr>
        <w:rFonts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1"/>
  </w:num>
  <w:num w:numId="4">
    <w:abstractNumId w:val="1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9"/>
  </w:num>
  <w:num w:numId="9">
    <w:abstractNumId w:val="6"/>
  </w:num>
  <w:num w:numId="10">
    <w:abstractNumId w:val="3"/>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CD8"/>
    <w:rsid w:val="000D3FA9"/>
    <w:rsid w:val="00221640"/>
    <w:rsid w:val="003A745B"/>
    <w:rsid w:val="0065123E"/>
    <w:rsid w:val="00723521"/>
    <w:rsid w:val="007354C9"/>
    <w:rsid w:val="008D76B8"/>
    <w:rsid w:val="0096142B"/>
    <w:rsid w:val="00981CD8"/>
    <w:rsid w:val="009A0CCA"/>
    <w:rsid w:val="009F2217"/>
    <w:rsid w:val="00CD5D27"/>
    <w:rsid w:val="00FA6D77"/>
    <w:rsid w:val="00FD4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38168"/>
  <w15:chartTrackingRefBased/>
  <w15:docId w15:val="{06594DE2-63F8-7E47-A6EF-F447652AF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CD8"/>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CD8"/>
    <w:pPr>
      <w:tabs>
        <w:tab w:val="center" w:pos="4680"/>
        <w:tab w:val="right" w:pos="9360"/>
      </w:tabs>
    </w:pPr>
  </w:style>
  <w:style w:type="character" w:customStyle="1" w:styleId="HeaderChar">
    <w:name w:val="Header Char"/>
    <w:basedOn w:val="DefaultParagraphFont"/>
    <w:link w:val="Header"/>
    <w:uiPriority w:val="99"/>
    <w:rsid w:val="00981CD8"/>
  </w:style>
  <w:style w:type="paragraph" w:styleId="Footer">
    <w:name w:val="footer"/>
    <w:basedOn w:val="Normal"/>
    <w:link w:val="FooterChar"/>
    <w:uiPriority w:val="99"/>
    <w:unhideWhenUsed/>
    <w:rsid w:val="00981CD8"/>
    <w:pPr>
      <w:tabs>
        <w:tab w:val="center" w:pos="4680"/>
        <w:tab w:val="right" w:pos="9360"/>
      </w:tabs>
    </w:pPr>
  </w:style>
  <w:style w:type="character" w:customStyle="1" w:styleId="FooterChar">
    <w:name w:val="Footer Char"/>
    <w:basedOn w:val="DefaultParagraphFont"/>
    <w:link w:val="Footer"/>
    <w:uiPriority w:val="99"/>
    <w:rsid w:val="00981CD8"/>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981CD8"/>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981CD8"/>
    <w:rPr>
      <w:rFonts w:ascii="Times New Roman" w:eastAsia="Calibri" w:hAnsi="Times New Roman" w:cs="Times New Roman"/>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981CD8"/>
    <w:rPr>
      <w:vertAlign w:val="superscript"/>
    </w:rPr>
  </w:style>
  <w:style w:type="paragraph" w:customStyle="1" w:styleId="Appelnotedebasde">
    <w:name w:val="Appel note de bas de..."/>
    <w:basedOn w:val="Normal"/>
    <w:link w:val="FootnoteReference"/>
    <w:uiPriority w:val="99"/>
    <w:rsid w:val="00981CD8"/>
    <w:pPr>
      <w:spacing w:after="160" w:line="240" w:lineRule="exact"/>
    </w:pPr>
    <w:rPr>
      <w:rFonts w:asciiTheme="minorHAnsi" w:eastAsiaTheme="minorHAnsi" w:hAnsiTheme="minorHAnsi" w:cstheme="minorBidi"/>
      <w:sz w:val="24"/>
      <w:szCs w:val="24"/>
      <w:vertAlign w:val="superscript"/>
    </w:rPr>
  </w:style>
  <w:style w:type="paragraph" w:styleId="ListParagraph">
    <w:name w:val="List Paragraph"/>
    <w:aliases w:val="Párrafo de lista1,List Paragraph1,Colorful List - Accent 11,List Paragraph11"/>
    <w:basedOn w:val="Normal"/>
    <w:link w:val="ListParagraphChar"/>
    <w:uiPriority w:val="34"/>
    <w:qFormat/>
    <w:rsid w:val="00981CD8"/>
    <w:pPr>
      <w:ind w:left="720"/>
      <w:contextualSpacing/>
    </w:pPr>
  </w:style>
  <w:style w:type="character" w:styleId="Hyperlink">
    <w:name w:val="Hyperlink"/>
    <w:uiPriority w:val="99"/>
    <w:unhideWhenUsed/>
    <w:rsid w:val="00981CD8"/>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981CD8"/>
    <w:rPr>
      <w:rFonts w:ascii="Calibri" w:eastAsia="Calibri" w:hAnsi="Calibri" w:cs="Times New Roman"/>
      <w:sz w:val="22"/>
      <w:szCs w:val="22"/>
    </w:rPr>
  </w:style>
  <w:style w:type="character" w:styleId="Strong">
    <w:name w:val="Strong"/>
    <w:uiPriority w:val="22"/>
    <w:qFormat/>
    <w:rsid w:val="00981CD8"/>
    <w:rPr>
      <w:b/>
      <w:bCs/>
    </w:rPr>
  </w:style>
  <w:style w:type="paragraph" w:styleId="NoSpacing">
    <w:name w:val="No Spacing"/>
    <w:uiPriority w:val="1"/>
    <w:qFormat/>
    <w:rsid w:val="009F2217"/>
    <w:rPr>
      <w:rFonts w:ascii="Calibri" w:eastAsia="Calibri" w:hAnsi="Calibri" w:cs="Times New Roman"/>
      <w:sz w:val="22"/>
      <w:szCs w:val="22"/>
    </w:rPr>
  </w:style>
  <w:style w:type="paragraph" w:customStyle="1" w:styleId="Default">
    <w:name w:val="Default"/>
    <w:rsid w:val="008D76B8"/>
    <w:pPr>
      <w:autoSpaceDE w:val="0"/>
      <w:autoSpaceDN w:val="0"/>
      <w:adjustRightInd w:val="0"/>
    </w:pPr>
    <w:rPr>
      <w:rFonts w:ascii="Cambria" w:eastAsia="Calibri" w:hAnsi="Cambria" w:cs="Cambria"/>
      <w:color w:val="000000"/>
    </w:rPr>
  </w:style>
  <w:style w:type="character" w:styleId="CommentReference">
    <w:name w:val="annotation reference"/>
    <w:uiPriority w:val="99"/>
    <w:semiHidden/>
    <w:unhideWhenUsed/>
    <w:rsid w:val="008D76B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idh.org/annualrep/2000eng/ChapterIII/Merits/Guatemala911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n/iachr/docs/annual/2015/doc-en/InformeAnual2015-cap2Dseguimiento-EN.pdf" TargetMode="External"/><Relationship Id="rId3" Type="http://schemas.openxmlformats.org/officeDocument/2006/relationships/hyperlink" Target="http://www.oas.org/en/iachr/docs/annual/2015/doc-en/InformeAnual2015-cap2Dseguimiento-EN.pdf" TargetMode="External"/><Relationship Id="rId7" Type="http://schemas.openxmlformats.org/officeDocument/2006/relationships/hyperlink" Target="http://www.oas.org/en/iachr/docs/annual/2015/doc-en/InformeAnual2015-cap2Dseguimiento-EN.pdf" TargetMode="External"/><Relationship Id="rId12" Type="http://schemas.openxmlformats.org/officeDocument/2006/relationships/hyperlink" Target="http://www.corteidh.or.cr/docs/casos/articulos/seriec_250_ing.pdf" TargetMode="External"/><Relationship Id="rId2" Type="http://schemas.openxmlformats.org/officeDocument/2006/relationships/hyperlink" Target="http://www.oas.org/en/iachr/docs/annual/2015/doc-en/InformeAnual2015-cap2Dseguimiento-EN.pdf" TargetMode="External"/><Relationship Id="rId1" Type="http://schemas.openxmlformats.org/officeDocument/2006/relationships/hyperlink" Target="http://www.oas.org/en/iachr/docs/annual/2015/doc-en/InformeAnual2015-cap2Dseguimiento-EN.pdf" TargetMode="External"/><Relationship Id="rId6" Type="http://schemas.openxmlformats.org/officeDocument/2006/relationships/hyperlink" Target="http://www.oas.org/en/iachr/docs/annual/2015/doc-en/InformeAnual2015-cap2Dseguimiento-EN.pdf" TargetMode="External"/><Relationship Id="rId11" Type="http://schemas.openxmlformats.org/officeDocument/2006/relationships/hyperlink" Target="http://www.corteidh.or.cr/docs/casos/articulos/seriec_171_ing.pdf" TargetMode="External"/><Relationship Id="rId5" Type="http://schemas.openxmlformats.org/officeDocument/2006/relationships/hyperlink" Target="http://www.oas.org/en/iachr/docs/annual/2015/doc-en/InformeAnual2015-cap2Dseguimiento-EN.pdf" TargetMode="External"/><Relationship Id="rId10" Type="http://schemas.openxmlformats.org/officeDocument/2006/relationships/hyperlink" Target="http://www.oas.org/en/iachr/docs/annual/2017/docs/IA2017cap.2-en.pdf" TargetMode="External"/><Relationship Id="rId4" Type="http://schemas.openxmlformats.org/officeDocument/2006/relationships/hyperlink" Target="http://www.oas.org/en/iachr/docs/annual/2015/doc-en/InformeAnual2015-cap2Dseguimiento-EN.pdf" TargetMode="External"/><Relationship Id="rId9" Type="http://schemas.openxmlformats.org/officeDocument/2006/relationships/hyperlink" Target="http://www.oas.org/en/iachr/docs/annual/2015/doc-en/InformeAnual2015-cap2Dseguimiento-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3261</Words>
  <Characters>18594</Characters>
  <Application>Microsoft Office Word</Application>
  <DocSecurity>0</DocSecurity>
  <Lines>154</Lines>
  <Paragraphs>43</Paragraphs>
  <ScaleCrop>false</ScaleCrop>
  <Company/>
  <LinksUpToDate>false</LinksUpToDate>
  <CharactersWithSpaces>21812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Carbonell</dc:creator>
  <cp:keywords/>
  <dc:description/>
  <cp:lastModifiedBy>Paez, Suzdal</cp:lastModifiedBy>
  <cp:revision>5</cp:revision>
  <dcterms:created xsi:type="dcterms:W3CDTF">2021-02-05T19:52:00Z</dcterms:created>
  <dcterms:modified xsi:type="dcterms:W3CDTF">2021-03-25T22:15:00Z</dcterms:modified>
</cp:coreProperties>
</file>