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FB2ED" w14:textId="77777777" w:rsidR="002346AE" w:rsidRPr="00975358" w:rsidRDefault="002346AE" w:rsidP="002346AE">
      <w:pPr>
        <w:pStyle w:val="Header"/>
        <w:jc w:val="center"/>
        <w:rPr>
          <w:rFonts w:ascii="Cambria" w:hAnsi="Cambria"/>
          <w:b/>
          <w:color w:val="000000"/>
          <w:sz w:val="22"/>
          <w:szCs w:val="22"/>
        </w:rPr>
      </w:pPr>
      <w:r w:rsidRPr="00975358">
        <w:rPr>
          <w:rFonts w:ascii="Cambria" w:hAnsi="Cambria"/>
          <w:b/>
          <w:color w:val="000000"/>
          <w:sz w:val="22"/>
          <w:szCs w:val="22"/>
        </w:rPr>
        <w:t>FOLLOW-UP FACTSHEET OF REPORT No. 81/07</w:t>
      </w:r>
    </w:p>
    <w:p w14:paraId="390FEF96" w14:textId="77777777" w:rsidR="002346AE" w:rsidRPr="00975358" w:rsidRDefault="002346AE" w:rsidP="002346AE">
      <w:pPr>
        <w:jc w:val="center"/>
        <w:rPr>
          <w:rFonts w:ascii="Cambria" w:hAnsi="Cambria"/>
          <w:b/>
          <w:color w:val="000000"/>
          <w:sz w:val="22"/>
          <w:szCs w:val="22"/>
        </w:rPr>
      </w:pPr>
      <w:r w:rsidRPr="00975358">
        <w:rPr>
          <w:rFonts w:ascii="Cambria" w:hAnsi="Cambria"/>
          <w:b/>
          <w:color w:val="000000"/>
          <w:sz w:val="22"/>
          <w:szCs w:val="22"/>
        </w:rPr>
        <w:t>CASE 12.504</w:t>
      </w:r>
    </w:p>
    <w:p w14:paraId="33671DE4" w14:textId="77777777" w:rsidR="002346AE" w:rsidRPr="00975358" w:rsidRDefault="002346AE" w:rsidP="002346AE">
      <w:pPr>
        <w:jc w:val="center"/>
        <w:rPr>
          <w:rFonts w:ascii="Cambria" w:hAnsi="Cambria"/>
          <w:b/>
          <w:color w:val="000000"/>
          <w:sz w:val="22"/>
          <w:szCs w:val="22"/>
        </w:rPr>
      </w:pPr>
      <w:r w:rsidRPr="00975358">
        <w:rPr>
          <w:rFonts w:ascii="Cambria" w:hAnsi="Cambria"/>
          <w:b/>
          <w:color w:val="000000"/>
          <w:sz w:val="22"/>
          <w:szCs w:val="22"/>
        </w:rPr>
        <w:t>DANIEL AND KORNEL VAUX</w:t>
      </w:r>
    </w:p>
    <w:p w14:paraId="15F289D9" w14:textId="7886AEB2" w:rsidR="002346AE" w:rsidRPr="00975358" w:rsidRDefault="002346AE" w:rsidP="002346AE">
      <w:pPr>
        <w:jc w:val="center"/>
        <w:rPr>
          <w:rFonts w:ascii="Cambria" w:hAnsi="Cambria"/>
          <w:b/>
          <w:color w:val="000000"/>
          <w:sz w:val="22"/>
          <w:szCs w:val="22"/>
        </w:rPr>
      </w:pPr>
      <w:r w:rsidRPr="00975358">
        <w:rPr>
          <w:rFonts w:ascii="Cambria" w:hAnsi="Cambria"/>
          <w:b/>
          <w:color w:val="000000"/>
          <w:sz w:val="22"/>
          <w:szCs w:val="22"/>
        </w:rPr>
        <w:t>(Guyana)</w:t>
      </w:r>
    </w:p>
    <w:p w14:paraId="149F1164" w14:textId="77777777" w:rsidR="002346AE" w:rsidRPr="00975358" w:rsidRDefault="002346AE" w:rsidP="00E35EDE">
      <w:pPr>
        <w:rPr>
          <w:rFonts w:ascii="Cambria" w:hAnsi="Cambria"/>
          <w:color w:val="000000"/>
          <w:sz w:val="20"/>
          <w:szCs w:val="20"/>
        </w:rPr>
      </w:pPr>
    </w:p>
    <w:p w14:paraId="356AEEB6" w14:textId="77777777" w:rsidR="002346AE" w:rsidRPr="00975358" w:rsidRDefault="002346AE" w:rsidP="002346AE">
      <w:pPr>
        <w:numPr>
          <w:ilvl w:val="0"/>
          <w:numId w:val="8"/>
        </w:numPr>
        <w:ind w:left="1440"/>
        <w:rPr>
          <w:rFonts w:ascii="Cambria" w:hAnsi="Cambria" w:cs="Calibri Light"/>
          <w:b/>
          <w:color w:val="000000"/>
          <w:sz w:val="20"/>
          <w:szCs w:val="20"/>
        </w:rPr>
      </w:pPr>
      <w:r w:rsidRPr="00975358">
        <w:rPr>
          <w:rFonts w:ascii="Cambria" w:hAnsi="Cambria" w:cs="Calibri Light"/>
          <w:b/>
          <w:color w:val="000000"/>
          <w:sz w:val="20"/>
          <w:szCs w:val="20"/>
        </w:rPr>
        <w:t xml:space="preserve">Summary of Case  </w:t>
      </w:r>
    </w:p>
    <w:p w14:paraId="62549D99" w14:textId="77777777" w:rsidR="002346AE" w:rsidRPr="00975358" w:rsidRDefault="002346AE" w:rsidP="002346AE">
      <w:pPr>
        <w:ind w:left="1080"/>
        <w:rPr>
          <w:rFonts w:ascii="Cambria" w:hAnsi="Cambria" w:cs="Calibri Light"/>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2346AE" w:rsidRPr="00975358" w14:paraId="1895E7B1" w14:textId="77777777" w:rsidTr="002F0AAF">
        <w:trPr>
          <w:jc w:val="center"/>
        </w:trPr>
        <w:tc>
          <w:tcPr>
            <w:tcW w:w="9576" w:type="dxa"/>
            <w:shd w:val="clear" w:color="auto" w:fill="F2F2F2"/>
          </w:tcPr>
          <w:p w14:paraId="632EDC7C" w14:textId="77777777" w:rsidR="002346AE" w:rsidRPr="00975358" w:rsidRDefault="002346AE" w:rsidP="002F0AAF">
            <w:pPr>
              <w:spacing w:before="120"/>
              <w:rPr>
                <w:rFonts w:ascii="Cambria" w:hAnsi="Cambria"/>
                <w:b/>
                <w:color w:val="000000"/>
                <w:sz w:val="20"/>
                <w:szCs w:val="20"/>
              </w:rPr>
            </w:pPr>
            <w:r w:rsidRPr="00975358">
              <w:rPr>
                <w:rFonts w:ascii="Cambria" w:hAnsi="Cambria"/>
                <w:b/>
                <w:color w:val="000000"/>
                <w:sz w:val="20"/>
                <w:szCs w:val="20"/>
              </w:rPr>
              <w:t xml:space="preserve">Victim (s): </w:t>
            </w:r>
            <w:r w:rsidRPr="00975358">
              <w:rPr>
                <w:rFonts w:ascii="Cambria" w:hAnsi="Cambria"/>
                <w:color w:val="000000"/>
                <w:sz w:val="20"/>
                <w:szCs w:val="20"/>
              </w:rPr>
              <w:t>Kornel Vaux and Daniel Vaux</w:t>
            </w:r>
          </w:p>
          <w:p w14:paraId="17CD5C16" w14:textId="77777777" w:rsidR="002346AE" w:rsidRPr="00975358" w:rsidRDefault="002346AE" w:rsidP="002F0AAF">
            <w:pPr>
              <w:rPr>
                <w:rFonts w:ascii="Cambria" w:hAnsi="Cambria"/>
                <w:b/>
                <w:color w:val="000000"/>
                <w:sz w:val="20"/>
                <w:szCs w:val="20"/>
              </w:rPr>
            </w:pPr>
            <w:r w:rsidRPr="00975358">
              <w:rPr>
                <w:rFonts w:ascii="Cambria" w:hAnsi="Cambria"/>
                <w:b/>
                <w:color w:val="000000"/>
                <w:sz w:val="20"/>
                <w:szCs w:val="20"/>
              </w:rPr>
              <w:t>Petitioner (s):</w:t>
            </w:r>
            <w:r w:rsidRPr="00975358">
              <w:rPr>
                <w:rFonts w:ascii="Cambria" w:hAnsi="Cambria"/>
                <w:color w:val="000000"/>
                <w:sz w:val="20"/>
                <w:szCs w:val="20"/>
              </w:rPr>
              <w:t xml:space="preserve"> Avril Salomon</w:t>
            </w:r>
          </w:p>
          <w:p w14:paraId="3C528611" w14:textId="77777777" w:rsidR="002346AE" w:rsidRPr="00975358" w:rsidRDefault="002346AE" w:rsidP="002F0AAF">
            <w:pPr>
              <w:rPr>
                <w:rFonts w:ascii="Cambria" w:hAnsi="Cambria"/>
                <w:color w:val="000000"/>
                <w:sz w:val="20"/>
                <w:szCs w:val="20"/>
              </w:rPr>
            </w:pPr>
            <w:r w:rsidRPr="00975358">
              <w:rPr>
                <w:rFonts w:ascii="Cambria" w:hAnsi="Cambria"/>
                <w:b/>
                <w:color w:val="000000"/>
                <w:sz w:val="20"/>
                <w:szCs w:val="20"/>
              </w:rPr>
              <w:t xml:space="preserve">State: </w:t>
            </w:r>
            <w:r w:rsidRPr="00975358">
              <w:rPr>
                <w:rFonts w:ascii="Cambria" w:hAnsi="Cambria"/>
                <w:color w:val="000000"/>
                <w:sz w:val="20"/>
                <w:szCs w:val="20"/>
              </w:rPr>
              <w:t>Guyana</w:t>
            </w:r>
          </w:p>
          <w:p w14:paraId="44EE1E5B" w14:textId="77777777" w:rsidR="002346AE" w:rsidRPr="00975358" w:rsidRDefault="002346AE" w:rsidP="002F0AAF">
            <w:pPr>
              <w:rPr>
                <w:rFonts w:ascii="Cambria" w:hAnsi="Cambria"/>
                <w:color w:val="000000"/>
                <w:sz w:val="20"/>
                <w:szCs w:val="20"/>
              </w:rPr>
            </w:pPr>
            <w:r w:rsidRPr="00975358">
              <w:rPr>
                <w:rFonts w:ascii="Cambria" w:hAnsi="Cambria"/>
                <w:b/>
                <w:color w:val="000000"/>
                <w:sz w:val="20"/>
                <w:szCs w:val="20"/>
              </w:rPr>
              <w:t xml:space="preserve">Merits Report No.: </w:t>
            </w:r>
            <w:hyperlink r:id="rId8" w:history="1">
              <w:r w:rsidRPr="00975358">
                <w:rPr>
                  <w:rStyle w:val="Hyperlink"/>
                  <w:rFonts w:ascii="Cambria" w:hAnsi="Cambria"/>
                  <w:color w:val="000000"/>
                  <w:sz w:val="20"/>
                  <w:szCs w:val="20"/>
                </w:rPr>
                <w:t>81/07</w:t>
              </w:r>
            </w:hyperlink>
            <w:r w:rsidRPr="00975358">
              <w:rPr>
                <w:rFonts w:ascii="Cambria" w:hAnsi="Cambria"/>
                <w:color w:val="000000"/>
                <w:sz w:val="20"/>
                <w:szCs w:val="20"/>
              </w:rPr>
              <w:t>, published on October 15, 2007</w:t>
            </w:r>
          </w:p>
          <w:p w14:paraId="7E0F5D46" w14:textId="77777777" w:rsidR="002346AE" w:rsidRPr="00975358" w:rsidRDefault="002346AE" w:rsidP="002F0AAF">
            <w:pPr>
              <w:rPr>
                <w:rFonts w:ascii="Cambria" w:hAnsi="Cambria"/>
                <w:color w:val="000000"/>
                <w:sz w:val="20"/>
                <w:szCs w:val="20"/>
              </w:rPr>
            </w:pPr>
            <w:r w:rsidRPr="00975358">
              <w:rPr>
                <w:rFonts w:ascii="Cambria" w:hAnsi="Cambria"/>
                <w:b/>
                <w:color w:val="000000"/>
                <w:sz w:val="20"/>
                <w:szCs w:val="20"/>
              </w:rPr>
              <w:t xml:space="preserve">Admissibility Report: </w:t>
            </w:r>
            <w:r w:rsidRPr="00975358">
              <w:rPr>
                <w:rFonts w:ascii="Cambria" w:hAnsi="Cambria"/>
                <w:color w:val="000000"/>
                <w:sz w:val="20"/>
                <w:szCs w:val="20"/>
              </w:rPr>
              <w:t>Analyzed together in Merits Report No. 81/07</w:t>
            </w:r>
          </w:p>
          <w:p w14:paraId="2E7A4CED" w14:textId="77777777" w:rsidR="002346AE" w:rsidRPr="00975358" w:rsidRDefault="002346AE" w:rsidP="002F0AAF">
            <w:pPr>
              <w:spacing w:after="120"/>
              <w:jc w:val="both"/>
              <w:rPr>
                <w:rFonts w:ascii="Cambria" w:hAnsi="Cambria"/>
                <w:color w:val="000000"/>
                <w:sz w:val="20"/>
                <w:szCs w:val="20"/>
              </w:rPr>
            </w:pPr>
            <w:r w:rsidRPr="00975358">
              <w:rPr>
                <w:rFonts w:ascii="Cambria" w:hAnsi="Cambria"/>
                <w:b/>
                <w:color w:val="000000"/>
                <w:sz w:val="20"/>
                <w:szCs w:val="20"/>
              </w:rPr>
              <w:t>Themes</w:t>
            </w:r>
            <w:r w:rsidRPr="00975358">
              <w:rPr>
                <w:rFonts w:ascii="Cambria" w:hAnsi="Cambria"/>
                <w:color w:val="000000"/>
                <w:sz w:val="20"/>
                <w:szCs w:val="20"/>
              </w:rPr>
              <w:t xml:space="preserve">: </w:t>
            </w:r>
            <w:r w:rsidRPr="00975358">
              <w:rPr>
                <w:rFonts w:ascii="Cambria" w:eastAsia="Times New Roman" w:hAnsi="Cambria"/>
                <w:color w:val="000000"/>
                <w:sz w:val="20"/>
                <w:szCs w:val="20"/>
                <w:lang w:eastAsia="es-MX"/>
              </w:rPr>
              <w:t>Domestic Legal Effects</w:t>
            </w:r>
            <w:r w:rsidRPr="00975358">
              <w:rPr>
                <w:rFonts w:ascii="Cambria" w:hAnsi="Cambria"/>
                <w:color w:val="000000"/>
                <w:sz w:val="20"/>
                <w:szCs w:val="20"/>
              </w:rPr>
              <w:t xml:space="preserve"> / Right to Life / Right to Humane Treatment / Right to Personal Liberty / Right to a Fair Trial / </w:t>
            </w:r>
            <w:r w:rsidRPr="00975358">
              <w:rPr>
                <w:rFonts w:ascii="Cambria" w:eastAsia="Times New Roman" w:hAnsi="Cambria"/>
                <w:color w:val="000000"/>
                <w:sz w:val="20"/>
                <w:szCs w:val="20"/>
                <w:lang w:eastAsia="es-MX"/>
              </w:rPr>
              <w:t>Judicial Protection</w:t>
            </w:r>
            <w:r w:rsidRPr="00975358">
              <w:rPr>
                <w:rFonts w:ascii="Cambria" w:hAnsi="Cambria"/>
                <w:color w:val="000000"/>
                <w:sz w:val="20"/>
                <w:szCs w:val="20"/>
              </w:rPr>
              <w:t xml:space="preserve"> / </w:t>
            </w:r>
            <w:r w:rsidRPr="00975358">
              <w:rPr>
                <w:rFonts w:ascii="Cambria" w:eastAsia="Times New Roman" w:hAnsi="Cambria"/>
                <w:color w:val="000000"/>
                <w:sz w:val="20"/>
                <w:szCs w:val="20"/>
                <w:lang w:eastAsia="es-MX"/>
              </w:rPr>
              <w:t>Arbitrary detention</w:t>
            </w:r>
            <w:r w:rsidRPr="00975358">
              <w:rPr>
                <w:rFonts w:ascii="Cambria" w:hAnsi="Cambria"/>
                <w:color w:val="000000"/>
                <w:sz w:val="20"/>
                <w:szCs w:val="20"/>
              </w:rPr>
              <w:t xml:space="preserve"> / Death Penalty</w:t>
            </w:r>
          </w:p>
          <w:p w14:paraId="24E5FBBD" w14:textId="77777777" w:rsidR="002346AE" w:rsidRPr="00975358" w:rsidRDefault="002346AE" w:rsidP="002F0AAF">
            <w:pPr>
              <w:spacing w:after="120"/>
              <w:jc w:val="both"/>
              <w:rPr>
                <w:rFonts w:ascii="Cambria" w:eastAsia="Times New Roman" w:hAnsi="Cambria"/>
                <w:color w:val="000000"/>
                <w:sz w:val="20"/>
                <w:szCs w:val="20"/>
              </w:rPr>
            </w:pPr>
            <w:r w:rsidRPr="00975358">
              <w:rPr>
                <w:rFonts w:ascii="Cambria" w:hAnsi="Cambria"/>
                <w:b/>
                <w:color w:val="000000"/>
                <w:sz w:val="20"/>
                <w:szCs w:val="20"/>
              </w:rPr>
              <w:t xml:space="preserve">Facts: </w:t>
            </w:r>
            <w:r w:rsidRPr="00975358">
              <w:rPr>
                <w:rFonts w:ascii="Cambria" w:hAnsi="Cambria"/>
                <w:color w:val="000000"/>
                <w:sz w:val="20"/>
                <w:szCs w:val="20"/>
              </w:rPr>
              <w:t xml:space="preserve">This case refers to </w:t>
            </w:r>
            <w:r w:rsidRPr="00975358">
              <w:rPr>
                <w:rFonts w:ascii="Cambria" w:eastAsia="Times New Roman" w:hAnsi="Cambria"/>
                <w:color w:val="000000"/>
                <w:sz w:val="20"/>
                <w:szCs w:val="20"/>
              </w:rPr>
              <w:t>Daniel and Kornel Vaux who were charged for the murder of Baiwant Jaikissoon on July 11, 1993 and subsequently sentenced to death on December 19, 1997. Their appeal to the Guyana Court of Appeal was dismissed on December 7, 2000.</w:t>
            </w:r>
          </w:p>
          <w:p w14:paraId="25F73AC2" w14:textId="77777777" w:rsidR="002346AE" w:rsidRPr="00975358" w:rsidRDefault="002346AE" w:rsidP="002F0AAF">
            <w:pPr>
              <w:spacing w:after="120"/>
              <w:jc w:val="both"/>
              <w:rPr>
                <w:rFonts w:ascii="Cambria" w:hAnsi="Cambria"/>
                <w:snapToGrid w:val="0"/>
                <w:color w:val="000000"/>
                <w:sz w:val="20"/>
                <w:szCs w:val="20"/>
              </w:rPr>
            </w:pPr>
            <w:r w:rsidRPr="00975358">
              <w:rPr>
                <w:rFonts w:ascii="Cambria" w:hAnsi="Cambria"/>
                <w:b/>
                <w:color w:val="000000"/>
                <w:sz w:val="20"/>
                <w:szCs w:val="20"/>
              </w:rPr>
              <w:t xml:space="preserve">Rights violated: </w:t>
            </w:r>
            <w:r w:rsidRPr="00975358">
              <w:rPr>
                <w:rFonts w:ascii="Cambria" w:hAnsi="Cambria"/>
                <w:snapToGrid w:val="0"/>
                <w:color w:val="000000"/>
                <w:sz w:val="20"/>
                <w:szCs w:val="20"/>
              </w:rPr>
              <w:t>The IACHR concluded that the State of Guyana was responsible for the infliction of violence by police officers on brothers Daniel and Kornel Vaux while in their custody; and for failing to accord a fair trial to the Vaux brothers, particularly in the treatment of the confession evidence by the courts of that country, which prevented them from fully contesting the voluntariness of the confession evidence tendered by the prosecution. Accordingly, the IACHR concluded that the State of Guyana violated the rights of the Vaux brothers under Articles XVIII, XXV and XXVI of the American Declaration of the Rights and Duties of Man; and that execution of the Vaux brothers based upon the criminal proceedings for which they are presently convicted and sentenced would be contrary to Article I of the American Declaration.</w:t>
            </w:r>
          </w:p>
        </w:tc>
      </w:tr>
    </w:tbl>
    <w:p w14:paraId="49E62227" w14:textId="77777777" w:rsidR="002346AE" w:rsidRPr="00975358" w:rsidRDefault="002346AE" w:rsidP="002346AE">
      <w:pPr>
        <w:ind w:left="180"/>
        <w:rPr>
          <w:rFonts w:ascii="Cambria" w:hAnsi="Cambria"/>
          <w:color w:val="000000"/>
          <w:sz w:val="20"/>
          <w:szCs w:val="20"/>
        </w:rPr>
      </w:pPr>
    </w:p>
    <w:p w14:paraId="1CB91C7E" w14:textId="77777777" w:rsidR="002346AE" w:rsidRPr="00975358" w:rsidRDefault="002346AE" w:rsidP="002346AE">
      <w:pPr>
        <w:numPr>
          <w:ilvl w:val="0"/>
          <w:numId w:val="8"/>
        </w:numPr>
        <w:ind w:left="1440"/>
        <w:jc w:val="both"/>
        <w:rPr>
          <w:rFonts w:ascii="Cambria" w:hAnsi="Cambria" w:cs="Calibri Light"/>
          <w:b/>
          <w:color w:val="000000"/>
          <w:sz w:val="20"/>
          <w:szCs w:val="20"/>
        </w:rPr>
      </w:pPr>
      <w:r w:rsidRPr="00975358">
        <w:rPr>
          <w:rFonts w:ascii="Cambria" w:hAnsi="Cambria" w:cs="Calibri Light"/>
          <w:b/>
          <w:color w:val="000000"/>
          <w:sz w:val="20"/>
          <w:szCs w:val="20"/>
        </w:rPr>
        <w:t>Recommendations</w:t>
      </w:r>
    </w:p>
    <w:p w14:paraId="0486DDF3" w14:textId="77777777" w:rsidR="002346AE" w:rsidRPr="00975358" w:rsidRDefault="002346AE" w:rsidP="002346AE">
      <w:pPr>
        <w:ind w:left="1080"/>
        <w:jc w:val="both"/>
        <w:rPr>
          <w:rFonts w:ascii="Cambria" w:hAnsi="Cambria" w:cs="Calibri Light"/>
          <w:color w:val="000000"/>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5"/>
        <w:gridCol w:w="2477"/>
      </w:tblGrid>
      <w:tr w:rsidR="002346AE" w:rsidRPr="00975358" w14:paraId="6AB4FF82" w14:textId="77777777" w:rsidTr="002F0AAF">
        <w:tc>
          <w:tcPr>
            <w:tcW w:w="7020" w:type="dxa"/>
            <w:shd w:val="clear" w:color="auto" w:fill="auto"/>
          </w:tcPr>
          <w:p w14:paraId="44FD7464" w14:textId="77777777" w:rsidR="002346AE" w:rsidRPr="00975358" w:rsidRDefault="002346AE" w:rsidP="002F0AAF">
            <w:pPr>
              <w:jc w:val="center"/>
              <w:rPr>
                <w:rFonts w:ascii="Cambria" w:hAnsi="Cambria" w:cs="Calibri Light"/>
                <w:b/>
                <w:color w:val="000000"/>
                <w:sz w:val="18"/>
                <w:szCs w:val="18"/>
              </w:rPr>
            </w:pPr>
            <w:r w:rsidRPr="00975358">
              <w:rPr>
                <w:rFonts w:ascii="Cambria" w:hAnsi="Cambria" w:cs="Calibri Light"/>
                <w:b/>
                <w:color w:val="000000"/>
                <w:sz w:val="18"/>
                <w:szCs w:val="18"/>
              </w:rPr>
              <w:t>Recommendations</w:t>
            </w:r>
          </w:p>
        </w:tc>
        <w:tc>
          <w:tcPr>
            <w:tcW w:w="2520" w:type="dxa"/>
            <w:shd w:val="clear" w:color="auto" w:fill="auto"/>
          </w:tcPr>
          <w:p w14:paraId="4A66F43F" w14:textId="77777777" w:rsidR="002346AE" w:rsidRPr="00975358" w:rsidRDefault="002346AE" w:rsidP="002F0AAF">
            <w:pPr>
              <w:jc w:val="center"/>
              <w:rPr>
                <w:rFonts w:ascii="Cambria" w:hAnsi="Cambria" w:cs="Calibri Light"/>
                <w:b/>
                <w:color w:val="000000"/>
                <w:sz w:val="18"/>
                <w:szCs w:val="18"/>
              </w:rPr>
            </w:pPr>
            <w:r w:rsidRPr="00975358">
              <w:rPr>
                <w:rFonts w:ascii="Cambria" w:hAnsi="Cambria" w:cs="Calibri Light"/>
                <w:b/>
                <w:color w:val="000000"/>
                <w:sz w:val="18"/>
                <w:szCs w:val="18"/>
              </w:rPr>
              <w:t>State of compliance in 2</w:t>
            </w:r>
            <w:r w:rsidRPr="00975358">
              <w:rPr>
                <w:rFonts w:ascii="Cambria" w:hAnsi="Cambria" w:cs="Calibri Light"/>
                <w:b/>
                <w:color w:val="000000" w:themeColor="text1"/>
                <w:sz w:val="18"/>
                <w:szCs w:val="18"/>
              </w:rPr>
              <w:t>020</w:t>
            </w:r>
          </w:p>
        </w:tc>
      </w:tr>
      <w:tr w:rsidR="002346AE" w:rsidRPr="00975358" w14:paraId="244B62A8" w14:textId="77777777" w:rsidTr="002F0AAF">
        <w:tc>
          <w:tcPr>
            <w:tcW w:w="7020" w:type="dxa"/>
            <w:shd w:val="clear" w:color="auto" w:fill="auto"/>
          </w:tcPr>
          <w:p w14:paraId="3CBB0A46" w14:textId="77777777" w:rsidR="002346AE" w:rsidRPr="00975358" w:rsidRDefault="002346AE" w:rsidP="002F0AAF">
            <w:pPr>
              <w:ind w:right="-14"/>
              <w:jc w:val="both"/>
              <w:rPr>
                <w:rFonts w:ascii="Cambria" w:hAnsi="Cambria"/>
                <w:color w:val="000000"/>
                <w:sz w:val="18"/>
                <w:szCs w:val="18"/>
              </w:rPr>
            </w:pPr>
            <w:r w:rsidRPr="00975358">
              <w:rPr>
                <w:rFonts w:ascii="Cambria" w:hAnsi="Cambria"/>
                <w:color w:val="000000"/>
                <w:sz w:val="18"/>
                <w:szCs w:val="18"/>
              </w:rPr>
              <w:t>1. Grant an effective remedy, which includes compensation for the maltreatment inflicted on the Vaux brothers; a re-trial of the charges against the Vaux brothers in accordance with the fair trial protections under the American Declaration, or failing that, an appropriate remission or commutation of sentence.</w:t>
            </w:r>
          </w:p>
        </w:tc>
        <w:tc>
          <w:tcPr>
            <w:tcW w:w="2520" w:type="dxa"/>
            <w:shd w:val="clear" w:color="auto" w:fill="auto"/>
            <w:vAlign w:val="center"/>
          </w:tcPr>
          <w:p w14:paraId="6E85F66B" w14:textId="5E8D7984" w:rsidR="002346AE" w:rsidRPr="00975358" w:rsidRDefault="00F00692" w:rsidP="002F0AAF">
            <w:pPr>
              <w:jc w:val="center"/>
              <w:rPr>
                <w:rFonts w:ascii="Cambria" w:hAnsi="Cambria" w:cs="Calibri Light"/>
                <w:b/>
                <w:color w:val="000000"/>
                <w:sz w:val="18"/>
                <w:szCs w:val="18"/>
              </w:rPr>
            </w:pPr>
            <w:r w:rsidRPr="00975358">
              <w:rPr>
                <w:rFonts w:ascii="Cambria" w:hAnsi="Cambria" w:cs="Calibri"/>
                <w:color w:val="000000" w:themeColor="text1"/>
                <w:sz w:val="18"/>
                <w:szCs w:val="18"/>
              </w:rPr>
              <w:t>Substantial partial compliance</w:t>
            </w:r>
          </w:p>
        </w:tc>
      </w:tr>
      <w:tr w:rsidR="002346AE" w:rsidRPr="00975358" w14:paraId="0A3F9B29" w14:textId="77777777" w:rsidTr="002F0AAF">
        <w:tc>
          <w:tcPr>
            <w:tcW w:w="7020" w:type="dxa"/>
            <w:shd w:val="clear" w:color="auto" w:fill="auto"/>
          </w:tcPr>
          <w:p w14:paraId="7B147D33" w14:textId="77777777" w:rsidR="002346AE" w:rsidRPr="00975358" w:rsidRDefault="002346AE" w:rsidP="002F0AAF">
            <w:pPr>
              <w:pStyle w:val="ListParagraph"/>
              <w:ind w:left="0" w:right="-14"/>
              <w:jc w:val="both"/>
              <w:rPr>
                <w:rFonts w:ascii="Cambria" w:hAnsi="Cambria"/>
                <w:color w:val="000000"/>
                <w:sz w:val="18"/>
                <w:szCs w:val="18"/>
              </w:rPr>
            </w:pPr>
            <w:r w:rsidRPr="00975358">
              <w:rPr>
                <w:rFonts w:ascii="Cambria" w:hAnsi="Cambria"/>
                <w:color w:val="000000"/>
                <w:sz w:val="18"/>
                <w:szCs w:val="18"/>
              </w:rPr>
              <w:t>2. Adopt such legislative or other measures as may be necessary to ensure that criminal defendants are afforded access to evidence under the control of the State that they might reasonably require necessary to challenge the voluntariness of confession evidence.</w:t>
            </w:r>
          </w:p>
        </w:tc>
        <w:tc>
          <w:tcPr>
            <w:tcW w:w="2520" w:type="dxa"/>
            <w:shd w:val="clear" w:color="auto" w:fill="auto"/>
            <w:vAlign w:val="center"/>
          </w:tcPr>
          <w:p w14:paraId="5C141A3E" w14:textId="77777777" w:rsidR="002346AE" w:rsidRPr="00975358" w:rsidRDefault="002346AE" w:rsidP="002F0AAF">
            <w:pPr>
              <w:jc w:val="center"/>
              <w:rPr>
                <w:rFonts w:ascii="Cambria" w:hAnsi="Cambria" w:cs="Calibri Light"/>
                <w:b/>
                <w:color w:val="000000"/>
                <w:sz w:val="18"/>
                <w:szCs w:val="18"/>
              </w:rPr>
            </w:pPr>
            <w:r w:rsidRPr="00975358">
              <w:rPr>
                <w:rFonts w:ascii="Cambria" w:hAnsi="Cambria" w:cs="Calibri"/>
                <w:color w:val="000000"/>
                <w:sz w:val="18"/>
                <w:szCs w:val="18"/>
              </w:rPr>
              <w:t>Pending compliance</w:t>
            </w:r>
          </w:p>
        </w:tc>
      </w:tr>
      <w:tr w:rsidR="002346AE" w:rsidRPr="00975358" w14:paraId="549EE065" w14:textId="77777777" w:rsidTr="002F0AAF">
        <w:tc>
          <w:tcPr>
            <w:tcW w:w="7020" w:type="dxa"/>
            <w:shd w:val="clear" w:color="auto" w:fill="auto"/>
          </w:tcPr>
          <w:p w14:paraId="4530372E" w14:textId="77777777" w:rsidR="002346AE" w:rsidRPr="00975358" w:rsidRDefault="002346AE" w:rsidP="002F0AAF">
            <w:pPr>
              <w:pStyle w:val="ListParagraph"/>
              <w:ind w:left="0" w:right="-14"/>
              <w:jc w:val="both"/>
              <w:rPr>
                <w:rFonts w:ascii="Cambria" w:hAnsi="Cambria"/>
                <w:color w:val="000000"/>
                <w:sz w:val="18"/>
                <w:szCs w:val="18"/>
              </w:rPr>
            </w:pPr>
            <w:r w:rsidRPr="00975358">
              <w:rPr>
                <w:rFonts w:ascii="Cambria" w:hAnsi="Cambria"/>
                <w:color w:val="000000"/>
                <w:sz w:val="18"/>
                <w:szCs w:val="18"/>
              </w:rPr>
              <w:t xml:space="preserve">3. Undertake an investigation to identify the direct perpetrators of the beatings inflicted on Daniel Vaux and Kornel Vaux while in custody to extract confessions and to apply the proper punishment under law; </w:t>
            </w:r>
          </w:p>
        </w:tc>
        <w:tc>
          <w:tcPr>
            <w:tcW w:w="2520" w:type="dxa"/>
            <w:shd w:val="clear" w:color="auto" w:fill="auto"/>
            <w:vAlign w:val="center"/>
          </w:tcPr>
          <w:p w14:paraId="65C1BDE5" w14:textId="77777777" w:rsidR="002346AE" w:rsidRPr="00975358" w:rsidRDefault="002346AE" w:rsidP="002F0AAF">
            <w:pPr>
              <w:jc w:val="center"/>
              <w:rPr>
                <w:rFonts w:ascii="Cambria" w:hAnsi="Cambria" w:cs="Calibri Light"/>
                <w:b/>
                <w:color w:val="000000"/>
                <w:sz w:val="18"/>
                <w:szCs w:val="18"/>
              </w:rPr>
            </w:pPr>
            <w:r w:rsidRPr="00975358">
              <w:rPr>
                <w:rFonts w:ascii="Cambria" w:hAnsi="Cambria" w:cs="Calibri"/>
                <w:color w:val="000000"/>
                <w:sz w:val="18"/>
                <w:szCs w:val="18"/>
              </w:rPr>
              <w:t>Pending compliance</w:t>
            </w:r>
          </w:p>
        </w:tc>
      </w:tr>
      <w:tr w:rsidR="002346AE" w:rsidRPr="00975358" w14:paraId="55B5515D" w14:textId="77777777" w:rsidTr="002F0AAF">
        <w:tc>
          <w:tcPr>
            <w:tcW w:w="7020" w:type="dxa"/>
            <w:shd w:val="clear" w:color="auto" w:fill="auto"/>
          </w:tcPr>
          <w:p w14:paraId="6E13533D" w14:textId="77777777" w:rsidR="002346AE" w:rsidRPr="00975358" w:rsidRDefault="002346AE" w:rsidP="002F0AAF">
            <w:pPr>
              <w:pStyle w:val="ListParagraph"/>
              <w:ind w:left="0" w:right="-14"/>
              <w:jc w:val="both"/>
              <w:rPr>
                <w:rFonts w:ascii="Cambria" w:hAnsi="Cambria"/>
                <w:color w:val="000000"/>
                <w:sz w:val="18"/>
                <w:szCs w:val="18"/>
              </w:rPr>
            </w:pPr>
            <w:r w:rsidRPr="00975358">
              <w:rPr>
                <w:rFonts w:ascii="Cambria" w:hAnsi="Cambria"/>
                <w:color w:val="000000"/>
                <w:sz w:val="18"/>
                <w:szCs w:val="18"/>
              </w:rPr>
              <w:t>4 Adopt such legislative or other measures as may be necessary to ensure that any confession of guilt by an accused is valid only if it is given in an environment free from coercion of any kind, in accordance with Article XXV of the American Declaration.</w:t>
            </w:r>
          </w:p>
        </w:tc>
        <w:tc>
          <w:tcPr>
            <w:tcW w:w="2520" w:type="dxa"/>
            <w:shd w:val="clear" w:color="auto" w:fill="auto"/>
            <w:vAlign w:val="center"/>
          </w:tcPr>
          <w:p w14:paraId="766D2F1D" w14:textId="77777777" w:rsidR="002346AE" w:rsidRPr="00975358" w:rsidRDefault="002346AE" w:rsidP="002F0AAF">
            <w:pPr>
              <w:jc w:val="center"/>
              <w:rPr>
                <w:rFonts w:ascii="Cambria" w:hAnsi="Cambria" w:cs="Calibri Light"/>
                <w:b/>
                <w:color w:val="000000"/>
                <w:sz w:val="18"/>
                <w:szCs w:val="18"/>
              </w:rPr>
            </w:pPr>
            <w:r w:rsidRPr="00975358">
              <w:rPr>
                <w:rFonts w:ascii="Cambria" w:hAnsi="Cambria" w:cs="Calibri"/>
                <w:color w:val="000000"/>
                <w:sz w:val="18"/>
                <w:szCs w:val="18"/>
              </w:rPr>
              <w:t>Pending compliance</w:t>
            </w:r>
          </w:p>
        </w:tc>
      </w:tr>
    </w:tbl>
    <w:p w14:paraId="27FF30EE" w14:textId="77777777" w:rsidR="002346AE" w:rsidRPr="00975358" w:rsidRDefault="002346AE" w:rsidP="002346AE">
      <w:pPr>
        <w:jc w:val="both"/>
        <w:rPr>
          <w:rFonts w:ascii="Cambria" w:hAnsi="Cambria" w:cs="Calibri Light"/>
          <w:color w:val="000000"/>
          <w:sz w:val="20"/>
          <w:szCs w:val="20"/>
        </w:rPr>
      </w:pPr>
    </w:p>
    <w:p w14:paraId="0404F3A1" w14:textId="77777777" w:rsidR="002346AE" w:rsidRPr="00975358" w:rsidRDefault="002346AE" w:rsidP="002346AE">
      <w:pPr>
        <w:pStyle w:val="ListParagraph"/>
        <w:numPr>
          <w:ilvl w:val="0"/>
          <w:numId w:val="8"/>
        </w:numPr>
        <w:ind w:left="1440"/>
        <w:jc w:val="both"/>
        <w:rPr>
          <w:rFonts w:ascii="Cambria" w:hAnsi="Cambria" w:cs="Calibri Light"/>
          <w:b/>
          <w:color w:val="000000"/>
          <w:sz w:val="20"/>
          <w:szCs w:val="20"/>
        </w:rPr>
      </w:pPr>
      <w:r w:rsidRPr="00975358">
        <w:rPr>
          <w:rFonts w:ascii="Cambria" w:hAnsi="Cambria"/>
          <w:b/>
          <w:color w:val="000000"/>
          <w:sz w:val="20"/>
          <w:szCs w:val="20"/>
        </w:rPr>
        <w:t xml:space="preserve">Procedural Activity </w:t>
      </w:r>
    </w:p>
    <w:p w14:paraId="4D0320CF" w14:textId="77777777" w:rsidR="002346AE" w:rsidRPr="00975358" w:rsidRDefault="002346AE" w:rsidP="002346AE">
      <w:pPr>
        <w:jc w:val="both"/>
        <w:rPr>
          <w:rFonts w:ascii="Cambria" w:hAnsi="Cambria" w:cs="Calibri Light"/>
          <w:color w:val="000000"/>
          <w:sz w:val="20"/>
          <w:szCs w:val="20"/>
        </w:rPr>
      </w:pPr>
    </w:p>
    <w:p w14:paraId="0C0E7D52" w14:textId="217313FD" w:rsidR="002346AE" w:rsidRPr="00975358" w:rsidRDefault="002B4C3F" w:rsidP="002346AE">
      <w:pPr>
        <w:pStyle w:val="ListParagraph"/>
        <w:numPr>
          <w:ilvl w:val="0"/>
          <w:numId w:val="9"/>
        </w:numPr>
        <w:ind w:left="0" w:firstLine="709"/>
        <w:jc w:val="both"/>
        <w:rPr>
          <w:rFonts w:ascii="Cambria" w:hAnsi="Cambria" w:cs="Calibri Light"/>
          <w:color w:val="000000" w:themeColor="text1"/>
          <w:sz w:val="20"/>
          <w:szCs w:val="20"/>
        </w:rPr>
      </w:pPr>
      <w:r w:rsidRPr="00975358">
        <w:rPr>
          <w:rFonts w:ascii="Cambria" w:hAnsi="Cambria" w:cs="Calibri Light"/>
          <w:color w:val="000000" w:themeColor="text1"/>
          <w:sz w:val="20"/>
          <w:szCs w:val="20"/>
        </w:rPr>
        <w:t>In 2020, the IACHR requested updated information on compliance with the recommendations from the State on August 14. As of the closing date of this report, the Commission had not received such information from the State.</w:t>
      </w:r>
      <w:r w:rsidR="00485C2B" w:rsidRPr="00975358">
        <w:rPr>
          <w:rFonts w:ascii="Cambria" w:hAnsi="Cambria" w:cs="Calibri Light"/>
          <w:color w:val="000000" w:themeColor="text1"/>
          <w:sz w:val="20"/>
          <w:szCs w:val="20"/>
        </w:rPr>
        <w:t xml:space="preserve"> </w:t>
      </w:r>
      <w:r w:rsidR="00485C2B" w:rsidRPr="00975358">
        <w:rPr>
          <w:rFonts w:ascii="Cambria" w:hAnsi="Cambria" w:cs="Calibri Light"/>
          <w:color w:val="000000"/>
          <w:sz w:val="20"/>
          <w:szCs w:val="20"/>
        </w:rPr>
        <w:t xml:space="preserve">The Commission notes with concern that the State has not presented information </w:t>
      </w:r>
      <w:r w:rsidR="00485C2B" w:rsidRPr="00975358">
        <w:rPr>
          <w:rFonts w:ascii="Cambria" w:hAnsi="Cambria" w:cs="Calibri Light"/>
          <w:color w:val="000000"/>
          <w:sz w:val="20"/>
          <w:szCs w:val="20"/>
        </w:rPr>
        <w:lastRenderedPageBreak/>
        <w:t>about measures adopted to implement the recommendations contained in Merits Report No. 81/07 to the IACHR since 2015.</w:t>
      </w:r>
    </w:p>
    <w:p w14:paraId="585AEE31" w14:textId="77777777" w:rsidR="002B4C3F" w:rsidRPr="00975358" w:rsidRDefault="002B4C3F" w:rsidP="002B4C3F">
      <w:pPr>
        <w:pStyle w:val="ListParagraph"/>
        <w:ind w:left="709"/>
        <w:jc w:val="both"/>
        <w:rPr>
          <w:rFonts w:ascii="Cambria" w:hAnsi="Cambria" w:cs="Calibri Light"/>
          <w:color w:val="000000"/>
          <w:sz w:val="20"/>
          <w:szCs w:val="20"/>
        </w:rPr>
      </w:pPr>
    </w:p>
    <w:p w14:paraId="22EA5748" w14:textId="0DE1787F" w:rsidR="002346AE" w:rsidRPr="00975358" w:rsidRDefault="002B4C3F" w:rsidP="002346AE">
      <w:pPr>
        <w:pStyle w:val="ListParagraph"/>
        <w:numPr>
          <w:ilvl w:val="0"/>
          <w:numId w:val="9"/>
        </w:numPr>
        <w:ind w:left="0" w:firstLine="709"/>
        <w:jc w:val="both"/>
        <w:rPr>
          <w:rFonts w:ascii="Cambria" w:hAnsi="Cambria" w:cs="Calibri Light"/>
          <w:color w:val="000000" w:themeColor="text1"/>
          <w:sz w:val="20"/>
          <w:szCs w:val="20"/>
        </w:rPr>
      </w:pPr>
      <w:r w:rsidRPr="00975358">
        <w:rPr>
          <w:rFonts w:ascii="Cambria" w:hAnsi="Cambria" w:cs="Calibri Light"/>
          <w:color w:val="000000" w:themeColor="text1"/>
          <w:sz w:val="20"/>
          <w:szCs w:val="20"/>
        </w:rPr>
        <w:t>In 2020, the IACHR requested updated information from the petitioners on compliance with the recommendations on August 14. As of the closing date of this report, the Commission had not received such information from the petitioners. However, on October 13, 2020, the Commission received a note sent by Daniel Vaux, one of the victims in the case.</w:t>
      </w:r>
    </w:p>
    <w:p w14:paraId="0B13B261" w14:textId="67240E95" w:rsidR="002346AE" w:rsidRPr="00975358" w:rsidRDefault="002346AE" w:rsidP="002346AE">
      <w:pPr>
        <w:jc w:val="both"/>
        <w:rPr>
          <w:rFonts w:ascii="Cambria" w:hAnsi="Cambria" w:cs="Calibri Light"/>
          <w:color w:val="000000"/>
          <w:sz w:val="20"/>
          <w:szCs w:val="20"/>
        </w:rPr>
      </w:pPr>
    </w:p>
    <w:p w14:paraId="0DAEE66B" w14:textId="77777777" w:rsidR="002346AE" w:rsidRPr="00975358" w:rsidRDefault="002346AE" w:rsidP="002346AE">
      <w:pPr>
        <w:pStyle w:val="ListParagraph"/>
        <w:numPr>
          <w:ilvl w:val="0"/>
          <w:numId w:val="8"/>
        </w:numPr>
        <w:ind w:left="1440"/>
        <w:jc w:val="both"/>
        <w:rPr>
          <w:rFonts w:ascii="Cambria" w:hAnsi="Cambria" w:cs="Calibri Light"/>
          <w:b/>
          <w:color w:val="000000"/>
          <w:sz w:val="20"/>
          <w:szCs w:val="20"/>
        </w:rPr>
      </w:pPr>
      <w:r w:rsidRPr="00975358">
        <w:rPr>
          <w:rFonts w:ascii="Cambria" w:hAnsi="Cambria" w:cs="Calibri Light"/>
          <w:b/>
          <w:color w:val="000000"/>
          <w:sz w:val="20"/>
          <w:szCs w:val="20"/>
        </w:rPr>
        <w:t xml:space="preserve">Analysis of the information presented </w:t>
      </w:r>
    </w:p>
    <w:p w14:paraId="4C3354AB" w14:textId="159AB532" w:rsidR="00F00692" w:rsidRPr="00975358" w:rsidRDefault="00F00692" w:rsidP="00970BB6">
      <w:pPr>
        <w:jc w:val="both"/>
        <w:rPr>
          <w:rFonts w:ascii="Cambria" w:hAnsi="Cambria" w:cs="Calibri Light"/>
          <w:color w:val="000000"/>
          <w:sz w:val="20"/>
          <w:szCs w:val="20"/>
        </w:rPr>
      </w:pPr>
    </w:p>
    <w:p w14:paraId="5F9D67C6" w14:textId="56C305D9" w:rsidR="00F00692" w:rsidRPr="00975358" w:rsidRDefault="00F00692" w:rsidP="00F00692">
      <w:pPr>
        <w:pStyle w:val="ListParagraph"/>
        <w:numPr>
          <w:ilvl w:val="0"/>
          <w:numId w:val="9"/>
        </w:numPr>
        <w:ind w:left="0" w:firstLine="709"/>
        <w:jc w:val="both"/>
        <w:rPr>
          <w:rFonts w:ascii="Cambria" w:hAnsi="Cambria" w:cs="Calibri Light"/>
          <w:color w:val="000000" w:themeColor="text1"/>
          <w:sz w:val="20"/>
          <w:szCs w:val="20"/>
        </w:rPr>
      </w:pPr>
      <w:r w:rsidRPr="00975358">
        <w:rPr>
          <w:rFonts w:ascii="Cambria" w:hAnsi="Cambria" w:cs="Calibri Light"/>
          <w:color w:val="000000" w:themeColor="text1"/>
          <w:sz w:val="20"/>
          <w:szCs w:val="20"/>
        </w:rPr>
        <w:t xml:space="preserve">The Commission considers that the information provided by Daniel Vaux, as the victim in the case, is relevant to the measures adopted regarding compliance with at least one of the recommendations issued in the </w:t>
      </w:r>
      <w:r w:rsidR="00874EE2" w:rsidRPr="00975358">
        <w:rPr>
          <w:rFonts w:ascii="Cambria" w:hAnsi="Cambria" w:cs="Calibri Light"/>
          <w:color w:val="000000" w:themeColor="text1"/>
          <w:sz w:val="20"/>
          <w:szCs w:val="20"/>
        </w:rPr>
        <w:t>Report on the Merits No. 81/07.</w:t>
      </w:r>
    </w:p>
    <w:p w14:paraId="1F7EE4E0" w14:textId="77777777" w:rsidR="002346AE" w:rsidRPr="00975358" w:rsidRDefault="002346AE" w:rsidP="002346AE">
      <w:pPr>
        <w:jc w:val="both"/>
        <w:rPr>
          <w:rFonts w:ascii="Cambria" w:hAnsi="Cambria" w:cs="Calibri Light"/>
          <w:color w:val="000000"/>
          <w:sz w:val="20"/>
          <w:szCs w:val="20"/>
        </w:rPr>
      </w:pPr>
    </w:p>
    <w:p w14:paraId="621F1F71" w14:textId="77777777" w:rsidR="002346AE" w:rsidRPr="00975358" w:rsidRDefault="002346AE" w:rsidP="002346AE">
      <w:pPr>
        <w:pStyle w:val="ListParagraph"/>
        <w:numPr>
          <w:ilvl w:val="0"/>
          <w:numId w:val="8"/>
        </w:numPr>
        <w:ind w:left="1440"/>
        <w:jc w:val="both"/>
        <w:rPr>
          <w:rFonts w:ascii="Cambria" w:hAnsi="Cambria" w:cs="Calibri Light"/>
          <w:b/>
          <w:color w:val="000000"/>
          <w:sz w:val="20"/>
          <w:szCs w:val="20"/>
        </w:rPr>
      </w:pPr>
      <w:r w:rsidRPr="00975358">
        <w:rPr>
          <w:rFonts w:ascii="Cambria" w:hAnsi="Cambria" w:cs="Calibri Light"/>
          <w:b/>
          <w:color w:val="000000"/>
          <w:sz w:val="20"/>
          <w:szCs w:val="20"/>
        </w:rPr>
        <w:t xml:space="preserve">Analysis of compliance with the recommendations </w:t>
      </w:r>
    </w:p>
    <w:p w14:paraId="5F06297C" w14:textId="77777777" w:rsidR="002346AE" w:rsidRPr="00975358" w:rsidRDefault="002346AE" w:rsidP="002346AE">
      <w:pPr>
        <w:jc w:val="both"/>
        <w:rPr>
          <w:rFonts w:ascii="Cambria" w:hAnsi="Cambria" w:cs="Calibri Light"/>
          <w:color w:val="000000"/>
          <w:sz w:val="20"/>
          <w:szCs w:val="20"/>
        </w:rPr>
      </w:pPr>
    </w:p>
    <w:p w14:paraId="0A72686B" w14:textId="77777777" w:rsidR="002346AE" w:rsidRPr="00975358" w:rsidRDefault="002346AE" w:rsidP="002346AE">
      <w:pPr>
        <w:pStyle w:val="ListParagraph"/>
        <w:numPr>
          <w:ilvl w:val="0"/>
          <w:numId w:val="9"/>
        </w:numPr>
        <w:ind w:left="0" w:firstLine="709"/>
        <w:jc w:val="both"/>
        <w:rPr>
          <w:rFonts w:ascii="Cambria" w:hAnsi="Cambria" w:cs="Calibri Light"/>
          <w:color w:val="000000"/>
          <w:sz w:val="20"/>
          <w:szCs w:val="20"/>
        </w:rPr>
      </w:pPr>
      <w:r w:rsidRPr="00975358">
        <w:rPr>
          <w:rFonts w:ascii="Cambria" w:hAnsi="Cambria" w:cs="Calibri Light"/>
          <w:b/>
          <w:color w:val="000000"/>
          <w:sz w:val="20"/>
          <w:szCs w:val="20"/>
        </w:rPr>
        <w:t>Regarding the first recommendation</w:t>
      </w:r>
      <w:r w:rsidRPr="00975358">
        <w:rPr>
          <w:rFonts w:ascii="Cambria" w:hAnsi="Cambria" w:cs="Calibri Light"/>
          <w:color w:val="000000"/>
          <w:sz w:val="20"/>
          <w:szCs w:val="20"/>
        </w:rPr>
        <w:t xml:space="preserve">, the parties have not submitted any information about measures adopted by the State to implement these recommendations in </w:t>
      </w:r>
      <w:r w:rsidRPr="00975358">
        <w:rPr>
          <w:rFonts w:ascii="Cambria" w:hAnsi="Cambria" w:cs="Calibri Light"/>
          <w:sz w:val="20"/>
          <w:szCs w:val="20"/>
        </w:rPr>
        <w:t>2018</w:t>
      </w:r>
      <w:r w:rsidRPr="00975358">
        <w:rPr>
          <w:rFonts w:ascii="Cambria" w:hAnsi="Cambria" w:cs="Calibri Light"/>
          <w:color w:val="000000"/>
          <w:sz w:val="20"/>
          <w:szCs w:val="20"/>
        </w:rPr>
        <w:t>.</w:t>
      </w:r>
    </w:p>
    <w:p w14:paraId="621C99B3" w14:textId="77777777" w:rsidR="002346AE" w:rsidRPr="00975358" w:rsidRDefault="002346AE" w:rsidP="002346AE">
      <w:pPr>
        <w:pStyle w:val="ListParagraph"/>
        <w:ind w:left="0" w:firstLine="709"/>
        <w:jc w:val="both"/>
        <w:rPr>
          <w:rFonts w:ascii="Cambria" w:hAnsi="Cambria" w:cs="Calibri Light"/>
          <w:color w:val="000000"/>
          <w:sz w:val="20"/>
          <w:szCs w:val="20"/>
        </w:rPr>
      </w:pPr>
    </w:p>
    <w:p w14:paraId="7E415724" w14:textId="3D09EFC4" w:rsidR="002346AE" w:rsidRPr="00975358" w:rsidRDefault="002346AE" w:rsidP="002346AE">
      <w:pPr>
        <w:pStyle w:val="ListParagraph"/>
        <w:numPr>
          <w:ilvl w:val="0"/>
          <w:numId w:val="9"/>
        </w:numPr>
        <w:ind w:left="0" w:firstLine="709"/>
        <w:jc w:val="both"/>
        <w:rPr>
          <w:rFonts w:ascii="Cambria" w:hAnsi="Cambria" w:cs="Calibri Light"/>
          <w:color w:val="000000"/>
          <w:sz w:val="20"/>
          <w:szCs w:val="20"/>
        </w:rPr>
      </w:pPr>
      <w:r w:rsidRPr="00975358">
        <w:rPr>
          <w:rFonts w:ascii="Cambria" w:hAnsi="Cambria"/>
          <w:color w:val="000000"/>
          <w:sz w:val="20"/>
          <w:szCs w:val="20"/>
        </w:rPr>
        <w:t xml:space="preserve">On February 6, 2015, the State reported that following the 2010 reform of the Criminal Law Offenses Act abolishing the death penalty for persons convicted of homicide and introducing rules on life imprisonment with the possibility of parole, on January 28, 2013, the Superior Court commuted the sentences of Daniel and Kornel Vaux to life imprisonment. </w:t>
      </w:r>
    </w:p>
    <w:p w14:paraId="50689BAF" w14:textId="77777777" w:rsidR="00B81423" w:rsidRPr="00975358" w:rsidRDefault="00B81423" w:rsidP="00B81423">
      <w:pPr>
        <w:pStyle w:val="ListParagraph"/>
        <w:rPr>
          <w:rFonts w:ascii="Cambria" w:hAnsi="Cambria" w:cs="Calibri Light"/>
          <w:color w:val="000000"/>
          <w:sz w:val="20"/>
          <w:szCs w:val="20"/>
        </w:rPr>
      </w:pPr>
    </w:p>
    <w:p w14:paraId="4FD38C08" w14:textId="77777777" w:rsidR="00943F4C" w:rsidRPr="00975358" w:rsidRDefault="00B81423" w:rsidP="00943F4C">
      <w:pPr>
        <w:pStyle w:val="ListParagraph"/>
        <w:numPr>
          <w:ilvl w:val="0"/>
          <w:numId w:val="9"/>
        </w:numPr>
        <w:ind w:left="0" w:firstLine="709"/>
        <w:jc w:val="both"/>
        <w:rPr>
          <w:rFonts w:ascii="Cambria" w:hAnsi="Cambria" w:cs="Calibri Light"/>
          <w:color w:val="000000" w:themeColor="text1"/>
          <w:sz w:val="20"/>
          <w:szCs w:val="20"/>
        </w:rPr>
      </w:pPr>
      <w:r w:rsidRPr="00975358">
        <w:rPr>
          <w:rFonts w:ascii="Cambria" w:hAnsi="Cambria" w:cs="Calibri Light"/>
          <w:color w:val="000000" w:themeColor="text1"/>
          <w:sz w:val="20"/>
          <w:szCs w:val="20"/>
        </w:rPr>
        <w:t>In 2020, Daniel Vaux, one of the victims, sent a note to the Commission informing that, on 2 December 2019, he and his brother, Kornel Vaux, were granted parole.</w:t>
      </w:r>
    </w:p>
    <w:p w14:paraId="01AFDBF0" w14:textId="77777777" w:rsidR="00943F4C" w:rsidRPr="00975358" w:rsidRDefault="00943F4C" w:rsidP="00943F4C">
      <w:pPr>
        <w:pStyle w:val="ListParagraph"/>
        <w:rPr>
          <w:rFonts w:ascii="Cambria" w:hAnsi="Cambria"/>
          <w:color w:val="000000" w:themeColor="text1"/>
          <w:sz w:val="20"/>
          <w:szCs w:val="20"/>
        </w:rPr>
      </w:pPr>
    </w:p>
    <w:p w14:paraId="1EABA9D6" w14:textId="05E57C05" w:rsidR="00975585" w:rsidRPr="00975358" w:rsidRDefault="001519D7" w:rsidP="00943F4C">
      <w:pPr>
        <w:pStyle w:val="ListParagraph"/>
        <w:numPr>
          <w:ilvl w:val="0"/>
          <w:numId w:val="9"/>
        </w:numPr>
        <w:ind w:left="0" w:firstLine="709"/>
        <w:jc w:val="both"/>
        <w:rPr>
          <w:rFonts w:ascii="Cambria" w:hAnsi="Cambria" w:cs="Calibri Light"/>
          <w:color w:val="000000" w:themeColor="text1"/>
          <w:sz w:val="20"/>
          <w:szCs w:val="20"/>
        </w:rPr>
      </w:pPr>
      <w:r w:rsidRPr="00975358">
        <w:rPr>
          <w:rFonts w:ascii="Cambria" w:hAnsi="Cambria"/>
          <w:color w:val="000000" w:themeColor="text1"/>
          <w:sz w:val="20"/>
          <w:szCs w:val="20"/>
        </w:rPr>
        <w:t>The Commission welcomes the fact that the death sentences of Daniel Vaux and Komel Vaux were commuted to life imprisonment in January 2013 and that they were subsequently granted parole on 2 December 2019. However, the Commission is still not aware that compensation has been awarded to the victims. On this matter</w:t>
      </w:r>
      <w:r w:rsidR="00925525" w:rsidRPr="00975358">
        <w:rPr>
          <w:rFonts w:ascii="Cambria" w:hAnsi="Cambria"/>
          <w:color w:val="000000" w:themeColor="text1"/>
          <w:sz w:val="20"/>
          <w:szCs w:val="20"/>
        </w:rPr>
        <w:t xml:space="preserve">, </w:t>
      </w:r>
      <w:r w:rsidR="00975585" w:rsidRPr="00975358">
        <w:rPr>
          <w:rFonts w:ascii="Cambria" w:hAnsi="Cambria" w:cs="Calibri Light"/>
          <w:color w:val="000000" w:themeColor="text1"/>
          <w:sz w:val="20"/>
          <w:szCs w:val="20"/>
        </w:rPr>
        <w:t xml:space="preserve">the Commission reminds the State that it is a principle of international law that any breach of an international obligation </w:t>
      </w:r>
      <w:r w:rsidR="00975585" w:rsidRPr="00975358">
        <w:rPr>
          <w:rFonts w:ascii="Cambria" w:hAnsi="Cambria"/>
          <w:color w:val="000000" w:themeColor="text1"/>
          <w:sz w:val="20"/>
          <w:szCs w:val="20"/>
        </w:rPr>
        <w:t>resulting in harm gives rise to the duty to adequately redress such harm.</w:t>
      </w:r>
      <w:r w:rsidR="00975585" w:rsidRPr="00975358">
        <w:rPr>
          <w:color w:val="000000" w:themeColor="text1"/>
          <w:vertAlign w:val="superscript"/>
        </w:rPr>
        <w:footnoteReference w:id="1"/>
      </w:r>
      <w:r w:rsidR="00975585" w:rsidRPr="00975358">
        <w:rPr>
          <w:rFonts w:ascii="Cambria" w:hAnsi="Cambria"/>
          <w:color w:val="000000" w:themeColor="text1"/>
          <w:sz w:val="20"/>
          <w:szCs w:val="20"/>
          <w:vertAlign w:val="superscript"/>
        </w:rPr>
        <w:t xml:space="preserve"> </w:t>
      </w:r>
      <w:r w:rsidR="00975585" w:rsidRPr="00975358">
        <w:rPr>
          <w:rFonts w:ascii="Cambria" w:hAnsi="Cambria"/>
          <w:color w:val="000000" w:themeColor="text1"/>
          <w:sz w:val="20"/>
          <w:szCs w:val="20"/>
        </w:rPr>
        <w:t>In accordance with the jurisprudence of the inter-American system, victims of human rights violations have the right to adequate compensation for the harm suffered, which must be concretized through individual measures aimed at restoring, compensating and rehabilitating the victim, as well as satisfaction and guarantees of non-repetition.</w:t>
      </w:r>
      <w:r w:rsidR="00975585" w:rsidRPr="00975358">
        <w:rPr>
          <w:color w:val="000000" w:themeColor="text1"/>
          <w:vertAlign w:val="superscript"/>
        </w:rPr>
        <w:footnoteReference w:id="2"/>
      </w:r>
      <w:r w:rsidR="00975585" w:rsidRPr="00975358">
        <w:rPr>
          <w:rFonts w:ascii="Cambria" w:hAnsi="Cambria"/>
          <w:color w:val="000000" w:themeColor="text1"/>
          <w:sz w:val="20"/>
          <w:szCs w:val="20"/>
        </w:rPr>
        <w:t xml:space="preserve"> Further, a State cannot modify or disregard this obligation by relying on its domestic law.</w:t>
      </w:r>
      <w:r w:rsidR="00975585" w:rsidRPr="00975358">
        <w:rPr>
          <w:color w:val="000000" w:themeColor="text1"/>
          <w:vertAlign w:val="superscript"/>
        </w:rPr>
        <w:footnoteReference w:id="3"/>
      </w:r>
      <w:r w:rsidR="00975585" w:rsidRPr="00975358">
        <w:rPr>
          <w:rFonts w:ascii="Cambria" w:hAnsi="Cambria"/>
          <w:color w:val="000000" w:themeColor="text1"/>
          <w:sz w:val="20"/>
          <w:szCs w:val="20"/>
          <w:vertAlign w:val="superscript"/>
        </w:rPr>
        <w:t xml:space="preserve"> </w:t>
      </w:r>
      <w:r w:rsidR="00975585" w:rsidRPr="00975358">
        <w:rPr>
          <w:rFonts w:ascii="Cambria" w:hAnsi="Cambria"/>
          <w:color w:val="000000" w:themeColor="text1"/>
          <w:sz w:val="20"/>
          <w:szCs w:val="20"/>
        </w:rPr>
        <w:t>Based on the foregoing, the Commission finds that Recommendation 1 is substantially partially complied.</w:t>
      </w:r>
    </w:p>
    <w:p w14:paraId="49F13FFE" w14:textId="77777777" w:rsidR="00925525" w:rsidRPr="00975358" w:rsidRDefault="00925525" w:rsidP="00CA558D">
      <w:pPr>
        <w:jc w:val="both"/>
        <w:rPr>
          <w:rFonts w:ascii="Cambria" w:hAnsi="Cambria" w:cs="Calibri Light"/>
          <w:color w:val="000000"/>
          <w:sz w:val="20"/>
          <w:szCs w:val="20"/>
        </w:rPr>
      </w:pPr>
    </w:p>
    <w:p w14:paraId="26D727AB" w14:textId="77777777" w:rsidR="002346AE" w:rsidRPr="00975358" w:rsidRDefault="002346AE" w:rsidP="002346AE">
      <w:pPr>
        <w:pStyle w:val="ListParagraph"/>
        <w:numPr>
          <w:ilvl w:val="0"/>
          <w:numId w:val="9"/>
        </w:numPr>
        <w:shd w:val="clear" w:color="auto" w:fill="FFFFFF"/>
        <w:ind w:left="0" w:firstLine="709"/>
        <w:jc w:val="both"/>
        <w:rPr>
          <w:rFonts w:ascii="Cambria" w:hAnsi="Cambria" w:cs="Calibri Light"/>
          <w:color w:val="000000"/>
          <w:sz w:val="20"/>
          <w:szCs w:val="20"/>
        </w:rPr>
      </w:pPr>
      <w:r w:rsidRPr="00975358">
        <w:rPr>
          <w:rFonts w:ascii="Cambria" w:hAnsi="Cambria" w:cs="Calibri Light"/>
          <w:b/>
          <w:color w:val="000000"/>
          <w:sz w:val="20"/>
          <w:szCs w:val="20"/>
        </w:rPr>
        <w:t xml:space="preserve">With regards to recommendations 2 to 4, </w:t>
      </w:r>
      <w:r w:rsidRPr="00975358">
        <w:rPr>
          <w:rFonts w:ascii="Cambria" w:hAnsi="Cambria" w:cs="Calibri Light"/>
          <w:color w:val="000000"/>
          <w:sz w:val="20"/>
          <w:szCs w:val="20"/>
        </w:rPr>
        <w:t>the parties have not submitted any information about measures adopted by the State of Guyana to implement these recommendations. Based on this, the Commission finds that Recommendations 2, 3 and 4 are pending compliance.</w:t>
      </w:r>
    </w:p>
    <w:p w14:paraId="3CDB9B45" w14:textId="4E021214" w:rsidR="00874EE2" w:rsidRPr="00975358" w:rsidRDefault="00874EE2" w:rsidP="002346AE">
      <w:pPr>
        <w:rPr>
          <w:rFonts w:ascii="Cambria" w:hAnsi="Cambria"/>
          <w:color w:val="000000"/>
          <w:sz w:val="20"/>
          <w:szCs w:val="20"/>
        </w:rPr>
      </w:pPr>
    </w:p>
    <w:p w14:paraId="1AE08550" w14:textId="77777777" w:rsidR="002346AE" w:rsidRPr="00975358" w:rsidRDefault="002346AE" w:rsidP="002346AE">
      <w:pPr>
        <w:pStyle w:val="ListParagraph"/>
        <w:numPr>
          <w:ilvl w:val="0"/>
          <w:numId w:val="8"/>
        </w:numPr>
        <w:ind w:left="1440"/>
        <w:jc w:val="both"/>
        <w:rPr>
          <w:rFonts w:ascii="Cambria" w:hAnsi="Cambria" w:cs="Calibri Light"/>
          <w:b/>
          <w:color w:val="000000"/>
          <w:sz w:val="20"/>
          <w:szCs w:val="20"/>
        </w:rPr>
      </w:pPr>
      <w:r w:rsidRPr="00975358">
        <w:rPr>
          <w:rFonts w:ascii="Cambria" w:hAnsi="Cambria" w:cs="Calibri Light"/>
          <w:b/>
          <w:color w:val="000000"/>
          <w:sz w:val="20"/>
          <w:szCs w:val="20"/>
        </w:rPr>
        <w:t xml:space="preserve">Level of compliance of the case  </w:t>
      </w:r>
    </w:p>
    <w:p w14:paraId="326712FF" w14:textId="77777777" w:rsidR="002346AE" w:rsidRPr="00975358" w:rsidRDefault="002346AE" w:rsidP="002346AE">
      <w:pPr>
        <w:jc w:val="both"/>
        <w:rPr>
          <w:rFonts w:ascii="Cambria" w:hAnsi="Cambria" w:cs="Calibri Light"/>
          <w:color w:val="000000"/>
          <w:sz w:val="20"/>
          <w:szCs w:val="20"/>
        </w:rPr>
      </w:pPr>
    </w:p>
    <w:p w14:paraId="37509EAC" w14:textId="77777777" w:rsidR="002346AE" w:rsidRPr="00975358" w:rsidRDefault="002346AE" w:rsidP="002346AE">
      <w:pPr>
        <w:pStyle w:val="ListParagraph"/>
        <w:numPr>
          <w:ilvl w:val="0"/>
          <w:numId w:val="9"/>
        </w:numPr>
        <w:shd w:val="clear" w:color="auto" w:fill="FFFFFF"/>
        <w:ind w:left="0" w:firstLine="709"/>
        <w:jc w:val="both"/>
        <w:rPr>
          <w:rFonts w:ascii="Cambria" w:hAnsi="Cambria" w:cs="Calibri Light"/>
          <w:color w:val="000000"/>
          <w:sz w:val="20"/>
          <w:szCs w:val="20"/>
        </w:rPr>
      </w:pPr>
      <w:r w:rsidRPr="00975358">
        <w:rPr>
          <w:rFonts w:ascii="Cambria" w:hAnsi="Cambria" w:cs="Calibri Light"/>
          <w:color w:val="000000"/>
          <w:sz w:val="20"/>
          <w:szCs w:val="20"/>
        </w:rPr>
        <w:t>Based on the foregoing, the IACHR concludes that the level of compliance of the case is partial. Consequently, the Commission will continue to monitor Recommendations 1, 2, 3 and 4.</w:t>
      </w:r>
    </w:p>
    <w:p w14:paraId="2AE404C0" w14:textId="77777777" w:rsidR="002346AE" w:rsidRPr="00975358" w:rsidRDefault="002346AE" w:rsidP="002346AE">
      <w:pPr>
        <w:pStyle w:val="ListParagraph"/>
        <w:shd w:val="clear" w:color="auto" w:fill="FFFFFF"/>
        <w:ind w:left="0" w:firstLine="709"/>
        <w:jc w:val="both"/>
        <w:rPr>
          <w:rFonts w:ascii="Cambria" w:hAnsi="Cambria" w:cs="Calibri Light"/>
          <w:color w:val="000000"/>
          <w:sz w:val="20"/>
          <w:szCs w:val="20"/>
        </w:rPr>
      </w:pPr>
    </w:p>
    <w:p w14:paraId="0897128B" w14:textId="77777777" w:rsidR="002346AE" w:rsidRPr="00975358" w:rsidRDefault="002346AE" w:rsidP="002346AE">
      <w:pPr>
        <w:pStyle w:val="ListParagraph"/>
        <w:numPr>
          <w:ilvl w:val="0"/>
          <w:numId w:val="9"/>
        </w:numPr>
        <w:shd w:val="clear" w:color="auto" w:fill="FFFFFF"/>
        <w:ind w:left="0" w:firstLine="709"/>
        <w:jc w:val="both"/>
        <w:rPr>
          <w:rFonts w:ascii="Cambria" w:hAnsi="Cambria" w:cs="Calibri Light"/>
          <w:color w:val="000000"/>
          <w:sz w:val="20"/>
          <w:szCs w:val="20"/>
        </w:rPr>
      </w:pPr>
      <w:r w:rsidRPr="00975358">
        <w:rPr>
          <w:rFonts w:ascii="Cambria" w:hAnsi="Cambria" w:cs="Calibri Light"/>
          <w:color w:val="000000"/>
          <w:sz w:val="20"/>
          <w:szCs w:val="20"/>
        </w:rPr>
        <w:lastRenderedPageBreak/>
        <w:t>The Commission calls the parties to provide detailed information regarding actions taken to comply with the aforementioned recommendations.</w:t>
      </w:r>
    </w:p>
    <w:p w14:paraId="26AF1B57" w14:textId="77777777" w:rsidR="002346AE" w:rsidRPr="00975358" w:rsidRDefault="002346AE" w:rsidP="002346AE">
      <w:pPr>
        <w:jc w:val="both"/>
        <w:rPr>
          <w:rFonts w:ascii="Cambria" w:hAnsi="Cambria"/>
          <w:color w:val="000000"/>
          <w:sz w:val="20"/>
          <w:szCs w:val="20"/>
        </w:rPr>
      </w:pPr>
    </w:p>
    <w:p w14:paraId="26B89EF7" w14:textId="77777777" w:rsidR="002346AE" w:rsidRPr="00975358" w:rsidRDefault="002346AE" w:rsidP="002346AE">
      <w:pPr>
        <w:pStyle w:val="ListParagraph"/>
        <w:numPr>
          <w:ilvl w:val="0"/>
          <w:numId w:val="8"/>
        </w:numPr>
        <w:ind w:left="1440"/>
        <w:jc w:val="both"/>
        <w:rPr>
          <w:rFonts w:ascii="Cambria" w:hAnsi="Cambria"/>
          <w:b/>
          <w:color w:val="000000"/>
          <w:sz w:val="20"/>
          <w:szCs w:val="20"/>
        </w:rPr>
      </w:pPr>
      <w:r w:rsidRPr="00975358">
        <w:rPr>
          <w:rFonts w:ascii="Cambria" w:hAnsi="Cambria"/>
          <w:b/>
          <w:color w:val="000000"/>
          <w:sz w:val="20"/>
          <w:szCs w:val="20"/>
        </w:rPr>
        <w:t xml:space="preserve">Individual and structural results of the case </w:t>
      </w:r>
    </w:p>
    <w:p w14:paraId="13B732B7" w14:textId="77777777" w:rsidR="002346AE" w:rsidRPr="00975358" w:rsidRDefault="002346AE" w:rsidP="002346AE">
      <w:pPr>
        <w:pStyle w:val="ListParagraph"/>
        <w:jc w:val="both"/>
        <w:rPr>
          <w:rFonts w:ascii="Cambria" w:hAnsi="Cambria"/>
          <w:color w:val="000000"/>
          <w:sz w:val="20"/>
          <w:szCs w:val="20"/>
        </w:rPr>
      </w:pPr>
    </w:p>
    <w:p w14:paraId="762146CE" w14:textId="77777777" w:rsidR="002346AE" w:rsidRPr="00975358" w:rsidRDefault="002346AE" w:rsidP="002346AE">
      <w:pPr>
        <w:pStyle w:val="ListParagraph"/>
        <w:numPr>
          <w:ilvl w:val="0"/>
          <w:numId w:val="9"/>
        </w:numPr>
        <w:ind w:left="0" w:firstLine="720"/>
        <w:jc w:val="both"/>
        <w:rPr>
          <w:rFonts w:ascii="Cambria" w:hAnsi="Cambria"/>
          <w:color w:val="000000"/>
          <w:sz w:val="20"/>
          <w:szCs w:val="20"/>
        </w:rPr>
      </w:pPr>
      <w:r w:rsidRPr="00975358">
        <w:rPr>
          <w:rFonts w:ascii="Cambria" w:hAnsi="Cambria"/>
          <w:color w:val="000000"/>
          <w:sz w:val="20"/>
          <w:szCs w:val="20"/>
        </w:rPr>
        <w:t xml:space="preserve">This section highlights the individual and structural results informed by the parties. </w:t>
      </w:r>
    </w:p>
    <w:p w14:paraId="75A6531B" w14:textId="77777777" w:rsidR="002346AE" w:rsidRPr="00975358" w:rsidRDefault="002346AE" w:rsidP="002346AE">
      <w:pPr>
        <w:pStyle w:val="ListParagraph"/>
        <w:autoSpaceDE w:val="0"/>
        <w:autoSpaceDN w:val="0"/>
        <w:adjustRightInd w:val="0"/>
        <w:ind w:left="1440"/>
        <w:jc w:val="both"/>
        <w:rPr>
          <w:rFonts w:ascii="Cambria" w:hAnsi="Cambria"/>
          <w:b/>
          <w:color w:val="000000"/>
          <w:sz w:val="20"/>
          <w:szCs w:val="20"/>
        </w:rPr>
      </w:pPr>
    </w:p>
    <w:p w14:paraId="08CF1FD5" w14:textId="77777777" w:rsidR="002346AE" w:rsidRPr="00975358" w:rsidRDefault="002346AE" w:rsidP="002346AE">
      <w:pPr>
        <w:pStyle w:val="ListParagraph"/>
        <w:numPr>
          <w:ilvl w:val="0"/>
          <w:numId w:val="10"/>
        </w:numPr>
        <w:autoSpaceDE w:val="0"/>
        <w:autoSpaceDN w:val="0"/>
        <w:adjustRightInd w:val="0"/>
        <w:ind w:left="1440" w:hanging="720"/>
        <w:jc w:val="both"/>
        <w:rPr>
          <w:rFonts w:ascii="Cambria" w:hAnsi="Cambria"/>
          <w:b/>
          <w:color w:val="000000"/>
          <w:sz w:val="20"/>
          <w:szCs w:val="20"/>
        </w:rPr>
      </w:pPr>
      <w:r w:rsidRPr="00975358">
        <w:rPr>
          <w:rFonts w:ascii="Cambria" w:hAnsi="Cambria"/>
          <w:b/>
          <w:color w:val="000000"/>
          <w:sz w:val="20"/>
          <w:szCs w:val="20"/>
        </w:rPr>
        <w:t>Individual results of the case</w:t>
      </w:r>
    </w:p>
    <w:p w14:paraId="0D04ECF3" w14:textId="77777777" w:rsidR="002346AE" w:rsidRPr="00975358" w:rsidRDefault="002346AE" w:rsidP="002346AE">
      <w:pPr>
        <w:rPr>
          <w:rFonts w:ascii="Cambria" w:hAnsi="Cambria"/>
          <w:i/>
          <w:color w:val="000000"/>
          <w:sz w:val="20"/>
          <w:szCs w:val="20"/>
        </w:rPr>
      </w:pPr>
    </w:p>
    <w:p w14:paraId="1102CD18" w14:textId="77777777" w:rsidR="002346AE" w:rsidRPr="00975358" w:rsidRDefault="002346AE" w:rsidP="002346AE">
      <w:pPr>
        <w:rPr>
          <w:rFonts w:ascii="Cambria" w:hAnsi="Cambria"/>
          <w:i/>
          <w:color w:val="000000"/>
          <w:sz w:val="20"/>
          <w:szCs w:val="20"/>
        </w:rPr>
      </w:pPr>
      <w:r w:rsidRPr="00975358">
        <w:rPr>
          <w:rFonts w:ascii="Cambria" w:hAnsi="Cambria"/>
          <w:i/>
          <w:color w:val="000000"/>
          <w:sz w:val="20"/>
          <w:szCs w:val="20"/>
        </w:rPr>
        <w:t>Restoration of the infringed right measures</w:t>
      </w:r>
    </w:p>
    <w:p w14:paraId="3382C8A4" w14:textId="4CFE5381" w:rsidR="002346AE" w:rsidRPr="00975358" w:rsidRDefault="002346AE" w:rsidP="002346AE">
      <w:pPr>
        <w:pStyle w:val="ListParagraph"/>
        <w:numPr>
          <w:ilvl w:val="0"/>
          <w:numId w:val="11"/>
        </w:numPr>
        <w:autoSpaceDE w:val="0"/>
        <w:autoSpaceDN w:val="0"/>
        <w:adjustRightInd w:val="0"/>
        <w:jc w:val="both"/>
        <w:rPr>
          <w:rFonts w:ascii="Cambria" w:hAnsi="Cambria"/>
          <w:b/>
          <w:color w:val="000000"/>
          <w:sz w:val="20"/>
          <w:szCs w:val="20"/>
        </w:rPr>
      </w:pPr>
      <w:r w:rsidRPr="00975358">
        <w:rPr>
          <w:rFonts w:ascii="Cambria" w:hAnsi="Cambria"/>
          <w:color w:val="000000"/>
          <w:sz w:val="20"/>
          <w:szCs w:val="20"/>
        </w:rPr>
        <w:t>On January 28, 2013, the Superior Court commuted the sentences of Daniel and Kornel Vaux to life imprisonment.</w:t>
      </w:r>
    </w:p>
    <w:p w14:paraId="53D664E9" w14:textId="17750BA5" w:rsidR="003E2817" w:rsidRPr="00975358" w:rsidRDefault="003E2817" w:rsidP="002346AE">
      <w:pPr>
        <w:pStyle w:val="ListParagraph"/>
        <w:numPr>
          <w:ilvl w:val="0"/>
          <w:numId w:val="11"/>
        </w:numPr>
        <w:autoSpaceDE w:val="0"/>
        <w:autoSpaceDN w:val="0"/>
        <w:adjustRightInd w:val="0"/>
        <w:jc w:val="both"/>
        <w:rPr>
          <w:rFonts w:ascii="Cambria" w:hAnsi="Cambria"/>
          <w:b/>
          <w:color w:val="000000"/>
          <w:sz w:val="20"/>
          <w:szCs w:val="20"/>
        </w:rPr>
      </w:pPr>
      <w:r w:rsidRPr="00975358">
        <w:rPr>
          <w:rFonts w:ascii="Cambria" w:hAnsi="Cambria"/>
          <w:bCs/>
          <w:color w:val="000000" w:themeColor="text1"/>
          <w:sz w:val="20"/>
          <w:szCs w:val="20"/>
        </w:rPr>
        <w:t>On 2 December 2019, the brothers Daniel and Kornel Vaux were granted parole.</w:t>
      </w:r>
    </w:p>
    <w:p w14:paraId="3B581AE3" w14:textId="77777777" w:rsidR="002346AE" w:rsidRPr="00975358" w:rsidRDefault="002346AE" w:rsidP="002346AE">
      <w:pPr>
        <w:pStyle w:val="ListParagraph"/>
        <w:autoSpaceDE w:val="0"/>
        <w:autoSpaceDN w:val="0"/>
        <w:adjustRightInd w:val="0"/>
        <w:jc w:val="both"/>
        <w:rPr>
          <w:rFonts w:ascii="Cambria" w:hAnsi="Cambria"/>
          <w:b/>
          <w:color w:val="000000"/>
          <w:sz w:val="20"/>
          <w:szCs w:val="20"/>
        </w:rPr>
      </w:pPr>
    </w:p>
    <w:p w14:paraId="0DC42A80" w14:textId="1216A081" w:rsidR="00F10B18" w:rsidRPr="00975358" w:rsidRDefault="002346AE" w:rsidP="00F10B18">
      <w:pPr>
        <w:pStyle w:val="ListParagraph"/>
        <w:numPr>
          <w:ilvl w:val="0"/>
          <w:numId w:val="10"/>
        </w:numPr>
        <w:autoSpaceDE w:val="0"/>
        <w:autoSpaceDN w:val="0"/>
        <w:adjustRightInd w:val="0"/>
        <w:ind w:left="1440" w:hanging="720"/>
        <w:jc w:val="both"/>
        <w:rPr>
          <w:rFonts w:ascii="Cambria" w:hAnsi="Cambria"/>
          <w:b/>
          <w:color w:val="000000"/>
          <w:sz w:val="20"/>
          <w:szCs w:val="20"/>
        </w:rPr>
      </w:pPr>
      <w:r w:rsidRPr="00975358">
        <w:rPr>
          <w:rFonts w:ascii="Cambria" w:hAnsi="Cambria"/>
          <w:b/>
          <w:color w:val="000000"/>
          <w:sz w:val="20"/>
          <w:szCs w:val="20"/>
        </w:rPr>
        <w:t>Structural results of the case</w:t>
      </w:r>
    </w:p>
    <w:p w14:paraId="295B04CC" w14:textId="54A30A04" w:rsidR="00BD17B0" w:rsidRPr="002346AE" w:rsidRDefault="002346AE" w:rsidP="00F10B18">
      <w:pPr>
        <w:rPr>
          <w:sz w:val="20"/>
          <w:szCs w:val="20"/>
        </w:rPr>
      </w:pPr>
      <w:r w:rsidRPr="00975358">
        <w:rPr>
          <w:rFonts w:ascii="Cambria" w:hAnsi="Cambria"/>
          <w:color w:val="000000"/>
          <w:sz w:val="20"/>
          <w:szCs w:val="20"/>
        </w:rPr>
        <w:t>No structural results have been informed</w:t>
      </w:r>
      <w:bookmarkStart w:id="0" w:name="_GoBack"/>
      <w:bookmarkEnd w:id="0"/>
    </w:p>
    <w:p w14:paraId="0D583799" w14:textId="0C599D8F" w:rsidR="00BD17B0" w:rsidRPr="002346AE" w:rsidRDefault="00BD17B0" w:rsidP="008463D3">
      <w:pPr>
        <w:jc w:val="center"/>
        <w:rPr>
          <w:sz w:val="20"/>
          <w:szCs w:val="20"/>
        </w:rPr>
      </w:pPr>
    </w:p>
    <w:p w14:paraId="64FE3A88" w14:textId="08186D78" w:rsidR="00BD17B0" w:rsidRPr="002346AE" w:rsidRDefault="00BD17B0" w:rsidP="008463D3">
      <w:pPr>
        <w:jc w:val="center"/>
        <w:rPr>
          <w:sz w:val="20"/>
          <w:szCs w:val="20"/>
        </w:rPr>
      </w:pPr>
    </w:p>
    <w:p w14:paraId="2C2C43F3" w14:textId="39379353" w:rsidR="00BD17B0" w:rsidRPr="002346AE" w:rsidRDefault="00BD17B0" w:rsidP="008463D3">
      <w:pPr>
        <w:jc w:val="center"/>
        <w:rPr>
          <w:sz w:val="20"/>
          <w:szCs w:val="20"/>
        </w:rPr>
      </w:pPr>
    </w:p>
    <w:p w14:paraId="241BAD06" w14:textId="54C978CC" w:rsidR="00BD17B0" w:rsidRPr="002346AE" w:rsidRDefault="00BD17B0" w:rsidP="008463D3">
      <w:pPr>
        <w:jc w:val="center"/>
        <w:rPr>
          <w:sz w:val="20"/>
          <w:szCs w:val="20"/>
        </w:rPr>
      </w:pPr>
    </w:p>
    <w:p w14:paraId="502C1E19" w14:textId="478B85D0" w:rsidR="00BD17B0" w:rsidRPr="002346AE" w:rsidRDefault="00BD17B0" w:rsidP="008463D3">
      <w:pPr>
        <w:jc w:val="center"/>
        <w:rPr>
          <w:sz w:val="20"/>
          <w:szCs w:val="20"/>
        </w:rPr>
      </w:pPr>
    </w:p>
    <w:p w14:paraId="4E996982" w14:textId="6E717E1C" w:rsidR="00BD17B0" w:rsidRPr="002346AE" w:rsidRDefault="00BD17B0" w:rsidP="008463D3">
      <w:pPr>
        <w:jc w:val="center"/>
        <w:rPr>
          <w:sz w:val="20"/>
          <w:szCs w:val="20"/>
        </w:rPr>
      </w:pPr>
    </w:p>
    <w:p w14:paraId="12FFE8DE" w14:textId="7E954750" w:rsidR="00BD17B0" w:rsidRPr="002346AE" w:rsidRDefault="00BD17B0" w:rsidP="008463D3">
      <w:pPr>
        <w:jc w:val="center"/>
        <w:rPr>
          <w:sz w:val="20"/>
          <w:szCs w:val="20"/>
        </w:rPr>
      </w:pPr>
    </w:p>
    <w:p w14:paraId="3FDDD0E2" w14:textId="3BA33BA7" w:rsidR="00BD17B0" w:rsidRPr="002346AE" w:rsidRDefault="00BD17B0" w:rsidP="008463D3">
      <w:pPr>
        <w:jc w:val="center"/>
        <w:rPr>
          <w:sz w:val="20"/>
          <w:szCs w:val="20"/>
        </w:rPr>
      </w:pPr>
    </w:p>
    <w:p w14:paraId="00344F70" w14:textId="71D82006" w:rsidR="00BD17B0" w:rsidRPr="002346AE" w:rsidRDefault="00BD17B0" w:rsidP="008463D3">
      <w:pPr>
        <w:jc w:val="center"/>
        <w:rPr>
          <w:sz w:val="20"/>
          <w:szCs w:val="20"/>
        </w:rPr>
      </w:pPr>
    </w:p>
    <w:p w14:paraId="0B518A0F" w14:textId="522A1752" w:rsidR="00BD17B0" w:rsidRPr="002346AE" w:rsidRDefault="00BD17B0" w:rsidP="008463D3">
      <w:pPr>
        <w:jc w:val="center"/>
        <w:rPr>
          <w:sz w:val="20"/>
          <w:szCs w:val="20"/>
        </w:rPr>
      </w:pPr>
    </w:p>
    <w:p w14:paraId="33CD95A2" w14:textId="70F23074" w:rsidR="00BD17B0" w:rsidRPr="002346AE" w:rsidRDefault="00BD17B0" w:rsidP="008463D3">
      <w:pPr>
        <w:jc w:val="center"/>
        <w:rPr>
          <w:sz w:val="20"/>
          <w:szCs w:val="20"/>
        </w:rPr>
      </w:pPr>
    </w:p>
    <w:p w14:paraId="1639D2B8" w14:textId="4355AAFE" w:rsidR="00BD17B0" w:rsidRPr="002346AE" w:rsidRDefault="00BD17B0" w:rsidP="008463D3">
      <w:pPr>
        <w:jc w:val="center"/>
        <w:rPr>
          <w:sz w:val="20"/>
          <w:szCs w:val="20"/>
        </w:rPr>
      </w:pPr>
    </w:p>
    <w:p w14:paraId="488DBD6C" w14:textId="00A8A856" w:rsidR="00BD17B0" w:rsidRPr="002346AE" w:rsidRDefault="00BD17B0" w:rsidP="008463D3">
      <w:pPr>
        <w:jc w:val="center"/>
        <w:rPr>
          <w:sz w:val="20"/>
          <w:szCs w:val="20"/>
        </w:rPr>
      </w:pPr>
    </w:p>
    <w:p w14:paraId="614EA563" w14:textId="212B9F02" w:rsidR="00BD17B0" w:rsidRPr="002346AE" w:rsidRDefault="00BD17B0" w:rsidP="008463D3">
      <w:pPr>
        <w:jc w:val="center"/>
        <w:rPr>
          <w:sz w:val="20"/>
          <w:szCs w:val="20"/>
        </w:rPr>
      </w:pPr>
    </w:p>
    <w:p w14:paraId="217FDF14" w14:textId="419DC374" w:rsidR="00BD17B0" w:rsidRPr="002346AE" w:rsidRDefault="00BD17B0" w:rsidP="008463D3">
      <w:pPr>
        <w:jc w:val="center"/>
        <w:rPr>
          <w:sz w:val="20"/>
          <w:szCs w:val="20"/>
        </w:rPr>
      </w:pPr>
    </w:p>
    <w:p w14:paraId="5C601407" w14:textId="6CED370B" w:rsidR="00BD17B0" w:rsidRPr="002346AE" w:rsidRDefault="00BD17B0" w:rsidP="008463D3">
      <w:pPr>
        <w:jc w:val="center"/>
        <w:rPr>
          <w:sz w:val="20"/>
          <w:szCs w:val="20"/>
        </w:rPr>
      </w:pPr>
    </w:p>
    <w:p w14:paraId="63658D6A" w14:textId="49EF156A" w:rsidR="00BD17B0" w:rsidRPr="002346AE" w:rsidRDefault="00BD17B0" w:rsidP="008463D3">
      <w:pPr>
        <w:jc w:val="center"/>
        <w:rPr>
          <w:sz w:val="20"/>
          <w:szCs w:val="20"/>
        </w:rPr>
      </w:pPr>
    </w:p>
    <w:p w14:paraId="741571A6" w14:textId="75B5EDF4" w:rsidR="00BD17B0" w:rsidRPr="002346AE" w:rsidRDefault="00BD17B0" w:rsidP="008463D3">
      <w:pPr>
        <w:jc w:val="center"/>
        <w:rPr>
          <w:sz w:val="20"/>
          <w:szCs w:val="20"/>
        </w:rPr>
      </w:pPr>
    </w:p>
    <w:p w14:paraId="5F76A532" w14:textId="65AC5D3B" w:rsidR="00BD17B0" w:rsidRPr="002346AE" w:rsidRDefault="00BD17B0" w:rsidP="008463D3">
      <w:pPr>
        <w:jc w:val="center"/>
        <w:rPr>
          <w:sz w:val="20"/>
          <w:szCs w:val="20"/>
        </w:rPr>
      </w:pPr>
    </w:p>
    <w:p w14:paraId="20819A1F" w14:textId="27024A24" w:rsidR="00BD17B0" w:rsidRPr="002346AE" w:rsidRDefault="00BD17B0" w:rsidP="008463D3">
      <w:pPr>
        <w:jc w:val="center"/>
        <w:rPr>
          <w:sz w:val="20"/>
          <w:szCs w:val="20"/>
        </w:rPr>
      </w:pPr>
    </w:p>
    <w:p w14:paraId="1DE3075E" w14:textId="299E7525" w:rsidR="00BD17B0" w:rsidRPr="002346AE" w:rsidRDefault="00BD17B0" w:rsidP="008463D3">
      <w:pPr>
        <w:jc w:val="center"/>
        <w:rPr>
          <w:sz w:val="20"/>
          <w:szCs w:val="20"/>
        </w:rPr>
      </w:pPr>
    </w:p>
    <w:p w14:paraId="3F00D7AB" w14:textId="1E5EA30D" w:rsidR="00BD17B0" w:rsidRPr="002346AE" w:rsidRDefault="00BD17B0" w:rsidP="008463D3">
      <w:pPr>
        <w:jc w:val="center"/>
        <w:rPr>
          <w:sz w:val="20"/>
          <w:szCs w:val="20"/>
        </w:rPr>
      </w:pPr>
    </w:p>
    <w:p w14:paraId="2FA1DABA" w14:textId="6F50E377" w:rsidR="00BD17B0" w:rsidRPr="002346AE" w:rsidRDefault="00BD17B0" w:rsidP="008463D3">
      <w:pPr>
        <w:jc w:val="center"/>
        <w:rPr>
          <w:sz w:val="20"/>
          <w:szCs w:val="20"/>
        </w:rPr>
      </w:pPr>
    </w:p>
    <w:p w14:paraId="0D333A87" w14:textId="01590EE9" w:rsidR="00BD17B0" w:rsidRPr="002346AE" w:rsidRDefault="00BD17B0" w:rsidP="008463D3">
      <w:pPr>
        <w:jc w:val="center"/>
        <w:rPr>
          <w:sz w:val="20"/>
          <w:szCs w:val="20"/>
        </w:rPr>
      </w:pPr>
    </w:p>
    <w:p w14:paraId="509DA728" w14:textId="4B22914F" w:rsidR="00BD17B0" w:rsidRPr="002346AE" w:rsidRDefault="00BD17B0" w:rsidP="008463D3">
      <w:pPr>
        <w:jc w:val="center"/>
        <w:rPr>
          <w:sz w:val="20"/>
          <w:szCs w:val="20"/>
        </w:rPr>
      </w:pPr>
    </w:p>
    <w:p w14:paraId="082D5899" w14:textId="0A7BDACE" w:rsidR="00BD17B0" w:rsidRPr="002346AE" w:rsidRDefault="00BD17B0" w:rsidP="008463D3">
      <w:pPr>
        <w:jc w:val="center"/>
        <w:rPr>
          <w:sz w:val="20"/>
          <w:szCs w:val="20"/>
        </w:rPr>
      </w:pPr>
    </w:p>
    <w:p w14:paraId="4C85C98E" w14:textId="66C740A9" w:rsidR="00BD17B0" w:rsidRPr="002346AE" w:rsidRDefault="00BD17B0" w:rsidP="008463D3">
      <w:pPr>
        <w:jc w:val="center"/>
        <w:rPr>
          <w:sz w:val="20"/>
          <w:szCs w:val="20"/>
        </w:rPr>
      </w:pPr>
    </w:p>
    <w:p w14:paraId="05087076" w14:textId="0F8586CE" w:rsidR="00BD17B0" w:rsidRPr="002346AE" w:rsidRDefault="00BD17B0" w:rsidP="008463D3">
      <w:pPr>
        <w:jc w:val="center"/>
        <w:rPr>
          <w:sz w:val="20"/>
          <w:szCs w:val="20"/>
        </w:rPr>
      </w:pPr>
    </w:p>
    <w:p w14:paraId="109150E0" w14:textId="4D3B82FA" w:rsidR="00BD17B0" w:rsidRPr="002346AE" w:rsidRDefault="00BD17B0" w:rsidP="008463D3">
      <w:pPr>
        <w:jc w:val="center"/>
        <w:rPr>
          <w:sz w:val="20"/>
          <w:szCs w:val="20"/>
        </w:rPr>
      </w:pPr>
    </w:p>
    <w:p w14:paraId="7F1C905A" w14:textId="5505903D" w:rsidR="00BD17B0" w:rsidRPr="002346AE" w:rsidRDefault="00BD17B0" w:rsidP="008463D3">
      <w:pPr>
        <w:jc w:val="center"/>
        <w:rPr>
          <w:sz w:val="20"/>
          <w:szCs w:val="20"/>
        </w:rPr>
      </w:pPr>
    </w:p>
    <w:p w14:paraId="45B26099" w14:textId="77777777" w:rsidR="00BD17B0" w:rsidRPr="002346AE" w:rsidRDefault="00BD17B0" w:rsidP="00B72DC0">
      <w:pPr>
        <w:rPr>
          <w:sz w:val="20"/>
          <w:szCs w:val="20"/>
        </w:rPr>
      </w:pPr>
    </w:p>
    <w:sectPr w:rsidR="00BD17B0" w:rsidRPr="002346AE" w:rsidSect="00566CD0">
      <w:headerReference w:type="default" r:id="rId9"/>
      <w:footerReference w:type="default" r:id="rId10"/>
      <w:headerReference w:type="first" r:id="rId11"/>
      <w:pgSz w:w="12240" w:h="15840"/>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50236" w16cex:dateUtc="2020-11-10T17:12:00Z"/>
  <w16cex:commentExtensible w16cex:durableId="23550381" w16cex:dateUtc="2020-11-10T1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D4AAEB" w16cid:durableId="23550236"/>
  <w16cid:commentId w16cid:paraId="1275A36C" w16cid:durableId="235503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FC987" w14:textId="77777777" w:rsidR="00AD741B" w:rsidRDefault="00AD741B" w:rsidP="00672733">
      <w:r>
        <w:separator/>
      </w:r>
    </w:p>
  </w:endnote>
  <w:endnote w:type="continuationSeparator" w:id="0">
    <w:p w14:paraId="56CBBDBD" w14:textId="77777777" w:rsidR="00AD741B" w:rsidRDefault="00AD741B"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1E7DE" w14:textId="2745E0BF"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975358">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01B2D" w14:textId="77777777" w:rsidR="00AD741B" w:rsidRDefault="00AD741B" w:rsidP="00672733">
      <w:r>
        <w:separator/>
      </w:r>
    </w:p>
  </w:footnote>
  <w:footnote w:type="continuationSeparator" w:id="0">
    <w:p w14:paraId="2C6AB477" w14:textId="77777777" w:rsidR="00AD741B" w:rsidRDefault="00AD741B" w:rsidP="00672733">
      <w:r>
        <w:continuationSeparator/>
      </w:r>
    </w:p>
  </w:footnote>
  <w:footnote w:id="1">
    <w:p w14:paraId="122C9B58" w14:textId="77777777" w:rsidR="00975585" w:rsidRDefault="00975585" w:rsidP="00975585">
      <w:pPr>
        <w:pStyle w:val="FootnoteText"/>
        <w:spacing w:after="120"/>
        <w:ind w:firstLine="720"/>
        <w:jc w:val="both"/>
      </w:pPr>
      <w:r w:rsidRPr="00754763">
        <w:rPr>
          <w:rFonts w:ascii="Cambria" w:hAnsi="Cambria"/>
          <w:color w:val="000000"/>
          <w:sz w:val="16"/>
          <w:szCs w:val="16"/>
          <w:vertAlign w:val="superscript"/>
        </w:rPr>
        <w:footnoteRef/>
      </w:r>
      <w:r w:rsidRPr="00754763">
        <w:rPr>
          <w:rFonts w:ascii="Cambria" w:hAnsi="Cambria"/>
          <w:color w:val="000000"/>
          <w:sz w:val="16"/>
          <w:szCs w:val="16"/>
          <w:vertAlign w:val="superscript"/>
        </w:rPr>
        <w:t xml:space="preserve"> </w:t>
      </w:r>
      <w:r w:rsidRPr="00754763">
        <w:rPr>
          <w:rFonts w:ascii="Cambria" w:hAnsi="Cambria"/>
          <w:color w:val="000000"/>
          <w:sz w:val="16"/>
          <w:szCs w:val="16"/>
        </w:rPr>
        <w:t xml:space="preserve">IACtHR, </w:t>
      </w:r>
      <w:hyperlink r:id="rId1" w:history="1">
        <w:r w:rsidRPr="00754763">
          <w:rPr>
            <w:rStyle w:val="Hyperlink"/>
            <w:rFonts w:ascii="Cambria" w:hAnsi="Cambria"/>
            <w:color w:val="000000"/>
            <w:sz w:val="16"/>
            <w:szCs w:val="16"/>
          </w:rPr>
          <w:t>Case of La Cantuta Vs. Peru, Judgement of November 29, 2006</w:t>
        </w:r>
      </w:hyperlink>
      <w:r w:rsidRPr="00754763">
        <w:rPr>
          <w:rFonts w:ascii="Cambria" w:hAnsi="Cambria"/>
          <w:color w:val="000000"/>
          <w:sz w:val="16"/>
          <w:szCs w:val="16"/>
        </w:rPr>
        <w:t xml:space="preserve">. Series C No. 162, paras. 199-200. </w:t>
      </w:r>
    </w:p>
  </w:footnote>
  <w:footnote w:id="2">
    <w:p w14:paraId="5450397D" w14:textId="77777777" w:rsidR="00975585" w:rsidRDefault="00975585" w:rsidP="00975585">
      <w:pPr>
        <w:pStyle w:val="FootnoteText"/>
        <w:spacing w:after="120"/>
        <w:ind w:firstLine="720"/>
        <w:jc w:val="both"/>
      </w:pPr>
      <w:r w:rsidRPr="00754763">
        <w:rPr>
          <w:rFonts w:ascii="Cambria" w:hAnsi="Cambria"/>
          <w:color w:val="000000"/>
          <w:sz w:val="16"/>
          <w:szCs w:val="16"/>
          <w:vertAlign w:val="superscript"/>
        </w:rPr>
        <w:footnoteRef/>
      </w:r>
      <w:r w:rsidRPr="00754763">
        <w:rPr>
          <w:rFonts w:ascii="Cambria" w:hAnsi="Cambria"/>
          <w:color w:val="000000"/>
          <w:sz w:val="16"/>
          <w:szCs w:val="16"/>
        </w:rPr>
        <w:t xml:space="preserve"> IACHR, </w:t>
      </w:r>
      <w:hyperlink r:id="rId2" w:history="1">
        <w:r w:rsidRPr="00754763">
          <w:rPr>
            <w:rStyle w:val="Hyperlink"/>
            <w:rFonts w:ascii="Cambria" w:hAnsi="Cambria"/>
            <w:color w:val="000000"/>
            <w:sz w:val="16"/>
            <w:szCs w:val="16"/>
          </w:rPr>
          <w:t>Principal Guidelines for a Comprehensive Reparations Policy</w:t>
        </w:r>
      </w:hyperlink>
      <w:r w:rsidRPr="00754763">
        <w:rPr>
          <w:rFonts w:ascii="Cambria" w:hAnsi="Cambria"/>
          <w:color w:val="000000"/>
          <w:sz w:val="16"/>
          <w:szCs w:val="16"/>
        </w:rPr>
        <w:t xml:space="preserve">, 19 February 2008, OEA/Ser/L/V/II.131, doc. 1, para. 1; UNGA, </w:t>
      </w:r>
      <w:hyperlink r:id="rId3" w:history="1">
        <w:r w:rsidRPr="00754763">
          <w:rPr>
            <w:rStyle w:val="Hyperlink"/>
            <w:rFonts w:ascii="Cambria" w:hAnsi="Cambria"/>
            <w:color w:val="000000"/>
            <w:sz w:val="16"/>
            <w:szCs w:val="16"/>
          </w:rPr>
          <w:t>Resolution 60/147 Basic Principles and Guidelines on the Right to a Remedy and Reparation for Victims of Gross Violations of International Human Rights Law and Serious Violations of International Humanitarian Law</w:t>
        </w:r>
      </w:hyperlink>
      <w:r w:rsidRPr="00754763">
        <w:rPr>
          <w:rFonts w:ascii="Cambria" w:hAnsi="Cambria"/>
          <w:color w:val="000000"/>
          <w:sz w:val="16"/>
          <w:szCs w:val="16"/>
        </w:rPr>
        <w:t xml:space="preserve">, 16 December 2005. A/RES/60/147. </w:t>
      </w:r>
    </w:p>
  </w:footnote>
  <w:footnote w:id="3">
    <w:p w14:paraId="24BA44EE" w14:textId="77777777" w:rsidR="00975585" w:rsidRDefault="00975585" w:rsidP="00975585">
      <w:pPr>
        <w:pStyle w:val="FootnoteText"/>
        <w:spacing w:after="120"/>
        <w:ind w:firstLine="720"/>
        <w:jc w:val="both"/>
      </w:pPr>
      <w:r w:rsidRPr="00754763">
        <w:rPr>
          <w:rFonts w:ascii="Cambria" w:hAnsi="Cambria"/>
          <w:color w:val="000000"/>
          <w:sz w:val="16"/>
          <w:szCs w:val="16"/>
          <w:vertAlign w:val="superscript"/>
        </w:rPr>
        <w:footnoteRef/>
      </w:r>
      <w:r w:rsidRPr="00754763">
        <w:rPr>
          <w:rFonts w:ascii="Cambria" w:hAnsi="Cambria"/>
          <w:color w:val="000000"/>
          <w:sz w:val="16"/>
          <w:szCs w:val="16"/>
          <w:vertAlign w:val="superscript"/>
        </w:rPr>
        <w:t xml:space="preserve"> </w:t>
      </w:r>
      <w:r w:rsidRPr="00754763">
        <w:rPr>
          <w:rFonts w:ascii="Cambria" w:hAnsi="Cambria"/>
          <w:color w:val="000000"/>
          <w:sz w:val="16"/>
          <w:szCs w:val="16"/>
        </w:rPr>
        <w:t xml:space="preserve">IACtHR, </w:t>
      </w:r>
      <w:hyperlink r:id="rId4" w:history="1">
        <w:r w:rsidRPr="00754763">
          <w:rPr>
            <w:rStyle w:val="Hyperlink"/>
            <w:rFonts w:ascii="Cambria" w:hAnsi="Cambria"/>
            <w:color w:val="000000"/>
            <w:sz w:val="16"/>
            <w:szCs w:val="16"/>
          </w:rPr>
          <w:t>Case of La Cantuta Vs. Peru, Judgement of November 29, 2006</w:t>
        </w:r>
      </w:hyperlink>
      <w:r w:rsidRPr="00754763">
        <w:rPr>
          <w:rFonts w:ascii="Cambria" w:hAnsi="Cambria"/>
          <w:color w:val="000000"/>
          <w:sz w:val="16"/>
          <w:szCs w:val="16"/>
        </w:rPr>
        <w:t>. Series C No. 162, para. 200.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2C92C" w14:textId="49FB3B02" w:rsidR="00566CD0" w:rsidRPr="00ED1EBA" w:rsidRDefault="00975358" w:rsidP="00ED1EBA">
    <w:pPr>
      <w:pStyle w:val="Header"/>
      <w:rPr>
        <w:rFonts w:ascii="Arial" w:hAnsi="Arial" w:cs="Arial"/>
        <w:color w:val="3B3838" w:themeColor="background2" w:themeShade="40"/>
        <w:sz w:val="22"/>
        <w:szCs w:val="28"/>
      </w:rPr>
    </w:pPr>
    <w:r>
      <w:rPr>
        <w:noProof/>
        <w:sz w:val="20"/>
      </w:rPr>
      <w:pict w14:anchorId="6EDEE5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88.5pt;margin-top:-9.1pt;width:72.75pt;height:27.85pt;z-index:251668480;mso-position-horizontal-relative:text;mso-position-vertical-relative:text;mso-width-relative:page;mso-height-relative:page">
          <v:imagedata r:id="rId1" o:title="CIDH-en" cropbottom="3349f" cropright="27470f"/>
          <w10:wrap type="square"/>
        </v:shape>
      </w:pict>
    </w:r>
    <w:r w:rsidR="00ED1EBA">
      <w:rPr>
        <w:rFonts w:ascii="Arial" w:hAnsi="Arial" w:cs="Arial"/>
        <w:color w:val="3B3838" w:themeColor="background2" w:themeShade="40"/>
        <w:sz w:val="22"/>
        <w:szCs w:val="28"/>
      </w:rPr>
      <w:t xml:space="preserve">                       </w:t>
    </w:r>
    <w:r w:rsidR="00ED1EBA" w:rsidRPr="00ED1EBA">
      <w:rPr>
        <w:rFonts w:ascii="Arial" w:hAnsi="Arial" w:cs="Arial"/>
        <w:noProof/>
        <w:color w:val="3B3838" w:themeColor="background2" w:themeShade="40"/>
        <w:sz w:val="22"/>
        <w:szCs w:val="28"/>
      </w:rPr>
      <w:t>Inter-American Commission on Human Rights</w:t>
    </w:r>
  </w:p>
  <w:p w14:paraId="60E6F577" w14:textId="7E60D2C5"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10346C42">
              <wp:simplePos x="0" y="0"/>
              <wp:positionH relativeFrom="column">
                <wp:posOffset>-5610</wp:posOffset>
              </wp:positionH>
              <wp:positionV relativeFrom="paragraph">
                <wp:posOffset>167882</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AF49A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F865" w14:textId="3E750BA9" w:rsidR="00566CD0" w:rsidRPr="006B1F24" w:rsidRDefault="00EA0262" w:rsidP="00EA0262">
    <w:pPr>
      <w:pStyle w:val="Header"/>
      <w:spacing w:line="216" w:lineRule="auto"/>
      <w:rPr>
        <w:rFonts w:ascii="Arial" w:hAnsi="Arial" w:cs="Arial"/>
        <w:color w:val="3B3838" w:themeColor="background2" w:themeShade="40"/>
        <w:sz w:val="28"/>
        <w:szCs w:val="28"/>
        <w:lang w:val="es-ES"/>
      </w:rPr>
    </w:pPr>
    <w:r w:rsidRPr="00ED1EBA">
      <w:rPr>
        <w:rFonts w:ascii="Arial" w:hAnsi="Arial" w:cs="Arial"/>
        <w:noProof/>
        <w:color w:val="3B3838" w:themeColor="background2" w:themeShade="40"/>
        <w:sz w:val="44"/>
        <w:szCs w:val="28"/>
      </w:rPr>
      <mc:AlternateContent>
        <mc:Choice Requires="wps">
          <w:drawing>
            <wp:anchor distT="0" distB="0" distL="114300" distR="114300" simplePos="0" relativeHeight="251663360" behindDoc="1" locked="0" layoutInCell="1" allowOverlap="1" wp14:anchorId="1F9B0906" wp14:editId="1EC8527F">
              <wp:simplePos x="0" y="0"/>
              <wp:positionH relativeFrom="column">
                <wp:posOffset>1071880</wp:posOffset>
              </wp:positionH>
              <wp:positionV relativeFrom="paragraph">
                <wp:posOffset>-63500</wp:posOffset>
              </wp:positionV>
              <wp:extent cx="1447332" cy="605918"/>
              <wp:effectExtent l="0" t="0" r="635" b="3810"/>
              <wp:wrapNone/>
              <wp:docPr id="4" name="Text Box 4"/>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7A80083F" w14:textId="26CDE986" w:rsidR="00566CD0" w:rsidRPr="00EA0262" w:rsidRDefault="00566CD0" w:rsidP="00566CD0">
                          <w:pPr>
                            <w:rPr>
                              <w:rFonts w:ascii="Arial" w:hAnsi="Arial" w:cs="Arial"/>
                              <w:b/>
                              <w:bCs/>
                              <w:color w:val="767171" w:themeColor="background2" w:themeShade="80"/>
                              <w:sz w:val="80"/>
                              <w:szCs w:val="80"/>
                              <w:lang w:val="es-ES"/>
                            </w:rPr>
                          </w:pPr>
                          <w:r w:rsidRPr="00EA0262">
                            <w:rPr>
                              <w:rFonts w:ascii="Arial" w:hAnsi="Arial" w:cs="Arial"/>
                              <w:b/>
                              <w:bCs/>
                              <w:color w:val="767171" w:themeColor="background2" w:themeShade="80"/>
                              <w:sz w:val="80"/>
                              <w:szCs w:val="80"/>
                              <w:lang w:val="es-ES"/>
                            </w:rPr>
                            <w:t>20</w:t>
                          </w:r>
                          <w:r w:rsidR="00E042FE" w:rsidRPr="00EA0262">
                            <w:rPr>
                              <w:rFonts w:ascii="Arial" w:hAnsi="Arial" w:cs="Arial"/>
                              <w:b/>
                              <w:bCs/>
                              <w:color w:val="767171" w:themeColor="background2" w:themeShade="80"/>
                              <w:sz w:val="80"/>
                              <w:szCs w:val="80"/>
                              <w:lang w:val="es-ES"/>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9B0906" id="_x0000_t202" coordsize="21600,21600" o:spt="202" path="m,l,21600r21600,l21600,xe">
              <v:stroke joinstyle="miter"/>
              <v:path gradientshapeok="t" o:connecttype="rect"/>
            </v:shapetype>
            <v:shape id="Text Box 4" o:spid="_x0000_s1026" type="#_x0000_t202" style="position:absolute;margin-left:84.4pt;margin-top:-5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" fillcolor="white [3201]" stroked="f" strokeweight=".5pt">
              <v:textbox>
                <w:txbxContent>
                  <w:p w14:paraId="7A80083F" w14:textId="26CDE986" w:rsidR="00566CD0" w:rsidRPr="00EA0262" w:rsidRDefault="00566CD0" w:rsidP="00566CD0">
                    <w:pPr>
                      <w:rPr>
                        <w:rFonts w:ascii="Arial" w:hAnsi="Arial" w:cs="Arial"/>
                        <w:b/>
                        <w:bCs/>
                        <w:color w:val="767171" w:themeColor="background2" w:themeShade="80"/>
                        <w:sz w:val="80"/>
                        <w:szCs w:val="80"/>
                        <w:lang w:val="es-ES"/>
                      </w:rPr>
                    </w:pPr>
                    <w:r w:rsidRPr="00EA0262">
                      <w:rPr>
                        <w:rFonts w:ascii="Arial" w:hAnsi="Arial" w:cs="Arial"/>
                        <w:b/>
                        <w:bCs/>
                        <w:color w:val="767171" w:themeColor="background2" w:themeShade="80"/>
                        <w:sz w:val="80"/>
                        <w:szCs w:val="80"/>
                        <w:lang w:val="es-ES"/>
                      </w:rPr>
                      <w:t>20</w:t>
                    </w:r>
                    <w:r w:rsidR="00E042FE" w:rsidRPr="00EA0262">
                      <w:rPr>
                        <w:rFonts w:ascii="Arial" w:hAnsi="Arial" w:cs="Arial"/>
                        <w:b/>
                        <w:bCs/>
                        <w:color w:val="767171" w:themeColor="background2" w:themeShade="80"/>
                        <w:sz w:val="80"/>
                        <w:szCs w:val="80"/>
                        <w:lang w:val="es-ES"/>
                      </w:rPr>
                      <w:t>20</w:t>
                    </w:r>
                  </w:p>
                </w:txbxContent>
              </v:textbox>
            </v:shape>
          </w:pict>
        </mc:Fallback>
      </mc:AlternateContent>
    </w:r>
    <w:r w:rsidR="00975358">
      <w:rPr>
        <w:noProof/>
      </w:rPr>
      <w:pict w14:anchorId="6A09C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95.5pt;margin-top:2.3pt;width:187.5pt;height:44.25pt;z-index:251666432;mso-position-horizontal-relative:text;mso-position-vertical-relative:text;mso-width-relative:page;mso-height-relative:page">
          <v:imagedata r:id="rId1" o:title="CIDH-en"/>
          <w10:wrap type="square"/>
        </v:shape>
      </w:pict>
    </w:r>
    <w:r w:rsidR="00ED1EBA" w:rsidRPr="00ED1EBA">
      <w:rPr>
        <w:noProof/>
        <w:sz w:val="44"/>
        <w:szCs w:val="28"/>
      </w:rPr>
      <w:t>ANNUAL</w:t>
    </w:r>
    <w:r w:rsidR="00ED1EBA">
      <w:rPr>
        <w:noProof/>
        <w:sz w:val="44"/>
        <w:szCs w:val="28"/>
      </w:rPr>
      <w:t xml:space="preserve"> </w:t>
    </w:r>
  </w:p>
  <w:p w14:paraId="434D4143" w14:textId="68C1076C" w:rsidR="00566CD0" w:rsidRPr="006B1F24" w:rsidRDefault="00ED1EBA" w:rsidP="00EA0262">
    <w:pPr>
      <w:pStyle w:val="Header"/>
      <w:tabs>
        <w:tab w:val="clear" w:pos="4680"/>
        <w:tab w:val="clear" w:pos="9360"/>
        <w:tab w:val="left" w:pos="1925"/>
      </w:tabs>
      <w:spacing w:line="216" w:lineRule="auto"/>
      <w:rPr>
        <w:rFonts w:ascii="Arial" w:hAnsi="Arial" w:cs="Arial"/>
        <w:b/>
        <w:bCs/>
        <w:color w:val="404040" w:themeColor="text1" w:themeTint="BF"/>
        <w:sz w:val="38"/>
        <w:szCs w:val="38"/>
        <w:lang w:val="es-ES"/>
      </w:rPr>
    </w:pPr>
    <w:r>
      <w:rPr>
        <w:rFonts w:ascii="Arial" w:hAnsi="Arial" w:cs="Arial"/>
        <w:b/>
        <w:bCs/>
        <w:color w:val="404040" w:themeColor="text1" w:themeTint="BF"/>
        <w:sz w:val="38"/>
        <w:szCs w:val="38"/>
        <w:lang w:val="es-ES"/>
      </w:rPr>
      <w:t>REPORT</w:t>
    </w:r>
  </w:p>
  <w:p w14:paraId="2AF194D7" w14:textId="36C35356" w:rsidR="00566CD0" w:rsidRPr="00566CD0" w:rsidRDefault="00566CD0">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402717A8">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39D982"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 w15:restartNumberingAfterBreak="0">
    <w:nsid w:val="250B5432"/>
    <w:multiLevelType w:val="hybridMultilevel"/>
    <w:tmpl w:val="EDB2787E"/>
    <w:lvl w:ilvl="0" w:tplc="FDCAF20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2D3B72F2"/>
    <w:multiLevelType w:val="hybridMultilevel"/>
    <w:tmpl w:val="570CF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7"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537545"/>
    <w:multiLevelType w:val="hybridMultilevel"/>
    <w:tmpl w:val="67602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3D7147"/>
    <w:multiLevelType w:val="hybridMultilevel"/>
    <w:tmpl w:val="F138A150"/>
    <w:lvl w:ilvl="0" w:tplc="EC0AFE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abstractNumId w:val="6"/>
  </w:num>
  <w:num w:numId="2">
    <w:abstractNumId w:val="11"/>
  </w:num>
  <w:num w:numId="3">
    <w:abstractNumId w:val="8"/>
  </w:num>
  <w:num w:numId="4">
    <w:abstractNumId w:val="2"/>
  </w:num>
  <w:num w:numId="5">
    <w:abstractNumId w:val="1"/>
  </w:num>
  <w:num w:numId="6">
    <w:abstractNumId w:val="4"/>
  </w:num>
  <w:num w:numId="7">
    <w:abstractNumId w:val="0"/>
  </w:num>
  <w:num w:numId="8">
    <w:abstractNumId w:val="7"/>
  </w:num>
  <w:num w:numId="9">
    <w:abstractNumId w:val="3"/>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33"/>
    <w:rsid w:val="00045E5E"/>
    <w:rsid w:val="000B5E1D"/>
    <w:rsid w:val="00135931"/>
    <w:rsid w:val="001519D7"/>
    <w:rsid w:val="0019031C"/>
    <w:rsid w:val="002346AE"/>
    <w:rsid w:val="00270CAB"/>
    <w:rsid w:val="002B4C3F"/>
    <w:rsid w:val="002C3294"/>
    <w:rsid w:val="00317121"/>
    <w:rsid w:val="00322720"/>
    <w:rsid w:val="003E2817"/>
    <w:rsid w:val="00453115"/>
    <w:rsid w:val="004758C9"/>
    <w:rsid w:val="00485C2B"/>
    <w:rsid w:val="0048723C"/>
    <w:rsid w:val="00536D9A"/>
    <w:rsid w:val="00566CD0"/>
    <w:rsid w:val="00637ED3"/>
    <w:rsid w:val="006638E5"/>
    <w:rsid w:val="00672733"/>
    <w:rsid w:val="006B1F24"/>
    <w:rsid w:val="006E00CB"/>
    <w:rsid w:val="008463D3"/>
    <w:rsid w:val="00874EE2"/>
    <w:rsid w:val="008818B0"/>
    <w:rsid w:val="008F0105"/>
    <w:rsid w:val="00925525"/>
    <w:rsid w:val="00943F4C"/>
    <w:rsid w:val="00970BB6"/>
    <w:rsid w:val="00975358"/>
    <w:rsid w:val="00975585"/>
    <w:rsid w:val="00AD741B"/>
    <w:rsid w:val="00B72DC0"/>
    <w:rsid w:val="00B8047E"/>
    <w:rsid w:val="00B81423"/>
    <w:rsid w:val="00BB330C"/>
    <w:rsid w:val="00BD17B0"/>
    <w:rsid w:val="00CA271A"/>
    <w:rsid w:val="00CA558D"/>
    <w:rsid w:val="00CB0A87"/>
    <w:rsid w:val="00D56DC4"/>
    <w:rsid w:val="00E042FE"/>
    <w:rsid w:val="00E35EDE"/>
    <w:rsid w:val="00E516AB"/>
    <w:rsid w:val="00E90CB3"/>
    <w:rsid w:val="00EA0262"/>
    <w:rsid w:val="00ED0AAA"/>
    <w:rsid w:val="00ED1EBA"/>
    <w:rsid w:val="00F00692"/>
    <w:rsid w:val="00F10B18"/>
    <w:rsid w:val="00FE6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275B2B5"/>
  <w15:chartTrackingRefBased/>
  <w15:docId w15:val="{90C71373-7FC8-954C-ADE4-56D64BFC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rsid w:val="002346AE"/>
    <w:pPr>
      <w:spacing w:after="160" w:line="240" w:lineRule="exact"/>
    </w:pPr>
    <w:rPr>
      <w:vertAlign w:val="superscript"/>
    </w:rPr>
  </w:style>
  <w:style w:type="character" w:styleId="Hyperlink">
    <w:name w:val="Hyperlink"/>
    <w:uiPriority w:val="99"/>
    <w:unhideWhenUsed/>
    <w:rsid w:val="002346AE"/>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2346AE"/>
  </w:style>
  <w:style w:type="character" w:styleId="CommentReference">
    <w:name w:val="annotation reference"/>
    <w:basedOn w:val="DefaultParagraphFont"/>
    <w:uiPriority w:val="99"/>
    <w:semiHidden/>
    <w:unhideWhenUsed/>
    <w:rsid w:val="00135931"/>
    <w:rPr>
      <w:sz w:val="16"/>
      <w:szCs w:val="16"/>
    </w:rPr>
  </w:style>
  <w:style w:type="paragraph" w:styleId="CommentText">
    <w:name w:val="annotation text"/>
    <w:basedOn w:val="Normal"/>
    <w:link w:val="CommentTextChar"/>
    <w:uiPriority w:val="99"/>
    <w:semiHidden/>
    <w:unhideWhenUsed/>
    <w:rsid w:val="00135931"/>
    <w:rPr>
      <w:sz w:val="20"/>
      <w:szCs w:val="20"/>
    </w:rPr>
  </w:style>
  <w:style w:type="character" w:customStyle="1" w:styleId="CommentTextChar">
    <w:name w:val="Comment Text Char"/>
    <w:basedOn w:val="DefaultParagraphFont"/>
    <w:link w:val="CommentText"/>
    <w:uiPriority w:val="99"/>
    <w:semiHidden/>
    <w:rsid w:val="00135931"/>
    <w:rPr>
      <w:sz w:val="20"/>
      <w:szCs w:val="20"/>
    </w:rPr>
  </w:style>
  <w:style w:type="paragraph" w:styleId="CommentSubject">
    <w:name w:val="annotation subject"/>
    <w:basedOn w:val="CommentText"/>
    <w:next w:val="CommentText"/>
    <w:link w:val="CommentSubjectChar"/>
    <w:uiPriority w:val="99"/>
    <w:semiHidden/>
    <w:unhideWhenUsed/>
    <w:rsid w:val="00135931"/>
    <w:rPr>
      <w:b/>
      <w:bCs/>
    </w:rPr>
  </w:style>
  <w:style w:type="character" w:customStyle="1" w:styleId="CommentSubjectChar">
    <w:name w:val="Comment Subject Char"/>
    <w:basedOn w:val="CommentTextChar"/>
    <w:link w:val="CommentSubject"/>
    <w:uiPriority w:val="99"/>
    <w:semiHidden/>
    <w:rsid w:val="00135931"/>
    <w:rPr>
      <w:b/>
      <w:bCs/>
      <w:sz w:val="20"/>
      <w:szCs w:val="20"/>
    </w:rPr>
  </w:style>
  <w:style w:type="paragraph" w:styleId="BalloonText">
    <w:name w:val="Balloon Text"/>
    <w:basedOn w:val="Normal"/>
    <w:link w:val="BalloonTextChar"/>
    <w:uiPriority w:val="99"/>
    <w:semiHidden/>
    <w:unhideWhenUsed/>
    <w:rsid w:val="001359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9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7eng/Guyana12504eng.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legal.un.org/avl/pdf/ha/ga_60-147/ga_60-147_ph_e.pdf" TargetMode="External"/><Relationship Id="rId2" Type="http://schemas.openxmlformats.org/officeDocument/2006/relationships/hyperlink" Target="http://www.cidh.org/pdf%20files/Lineamientos%20Reparacion%20Administrativa%2014%20mar%202008%20ENG%20final.pdf" TargetMode="External"/><Relationship Id="rId1" Type="http://schemas.openxmlformats.org/officeDocument/2006/relationships/hyperlink" Target="http://www.corteidh.or.cr/docs/casos/articulos/seriec_162_ing.pdf" TargetMode="External"/><Relationship Id="rId4" Type="http://schemas.openxmlformats.org/officeDocument/2006/relationships/hyperlink" Target="http://www.corteidh.or.cr/docs/casos/articulos/seriec_162_i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4DEDE-114B-4E93-AD69-E4141307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jospofe24@estudiantec.cr</dc:creator>
  <cp:keywords/>
  <dc:description/>
  <cp:lastModifiedBy>Paez, Suzdal</cp:lastModifiedBy>
  <cp:revision>16</cp:revision>
  <dcterms:created xsi:type="dcterms:W3CDTF">2020-11-10T00:03:00Z</dcterms:created>
  <dcterms:modified xsi:type="dcterms:W3CDTF">2021-03-25T22:04:00Z</dcterms:modified>
</cp:coreProperties>
</file>