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9A0943" w14:textId="77777777" w:rsidR="00D870B8" w:rsidRPr="00D91E06" w:rsidRDefault="00D870B8" w:rsidP="001C21F3">
      <w:pPr>
        <w:pStyle w:val="Header"/>
        <w:jc w:val="center"/>
        <w:rPr>
          <w:rFonts w:ascii="Cambria" w:hAnsi="Cambria"/>
          <w:sz w:val="22"/>
          <w:szCs w:val="22"/>
        </w:rPr>
      </w:pPr>
      <w:r w:rsidRPr="00D91E06">
        <w:rPr>
          <w:rFonts w:ascii="Cambria" w:hAnsi="Cambria"/>
          <w:b/>
          <w:sz w:val="22"/>
          <w:szCs w:val="22"/>
        </w:rPr>
        <w:t>FOLLOW-UP FACTSHEET OF REPORT No. 78/02</w:t>
      </w:r>
    </w:p>
    <w:p w14:paraId="1C623BC3" w14:textId="77777777" w:rsidR="00D870B8" w:rsidRPr="00D91E06" w:rsidRDefault="00D870B8" w:rsidP="001C21F3">
      <w:pPr>
        <w:jc w:val="center"/>
        <w:rPr>
          <w:rFonts w:ascii="Cambria" w:hAnsi="Cambria"/>
          <w:b/>
          <w:sz w:val="22"/>
          <w:szCs w:val="22"/>
        </w:rPr>
      </w:pPr>
      <w:r w:rsidRPr="00D91E06">
        <w:rPr>
          <w:rFonts w:ascii="Cambria" w:hAnsi="Cambria"/>
          <w:b/>
          <w:sz w:val="22"/>
          <w:szCs w:val="22"/>
        </w:rPr>
        <w:t>CASE 11.335</w:t>
      </w:r>
    </w:p>
    <w:p w14:paraId="7F9B7B4E" w14:textId="06C9C98D" w:rsidR="00D870B8" w:rsidRPr="00D91E06" w:rsidRDefault="00D870B8" w:rsidP="001C21F3">
      <w:pPr>
        <w:jc w:val="center"/>
        <w:rPr>
          <w:rFonts w:ascii="Cambria" w:hAnsi="Cambria"/>
          <w:b/>
          <w:sz w:val="22"/>
          <w:szCs w:val="22"/>
        </w:rPr>
      </w:pPr>
      <w:r w:rsidRPr="00D91E06">
        <w:rPr>
          <w:rFonts w:ascii="Cambria" w:hAnsi="Cambria"/>
          <w:b/>
          <w:color w:val="000000"/>
          <w:sz w:val="22"/>
          <w:szCs w:val="22"/>
        </w:rPr>
        <w:t>GUY MALARY</w:t>
      </w:r>
    </w:p>
    <w:p w14:paraId="0AD66CE1" w14:textId="77777777" w:rsidR="00D870B8" w:rsidRPr="00D91E06" w:rsidRDefault="00D870B8" w:rsidP="001C21F3">
      <w:pPr>
        <w:jc w:val="center"/>
        <w:rPr>
          <w:rFonts w:ascii="Cambria" w:hAnsi="Cambria"/>
          <w:b/>
          <w:sz w:val="22"/>
          <w:szCs w:val="22"/>
        </w:rPr>
      </w:pPr>
      <w:r w:rsidRPr="00D91E06">
        <w:rPr>
          <w:rFonts w:ascii="Cambria" w:hAnsi="Cambria"/>
          <w:b/>
          <w:sz w:val="22"/>
          <w:szCs w:val="22"/>
        </w:rPr>
        <w:t>(Haiti)</w:t>
      </w:r>
    </w:p>
    <w:p w14:paraId="5F1BABDC" w14:textId="77777777" w:rsidR="00D870B8" w:rsidRPr="00D91E06" w:rsidRDefault="00D870B8" w:rsidP="00D870B8">
      <w:pPr>
        <w:jc w:val="center"/>
        <w:rPr>
          <w:rFonts w:ascii="Cambria" w:hAnsi="Cambria"/>
          <w:sz w:val="20"/>
          <w:szCs w:val="20"/>
        </w:rPr>
      </w:pPr>
    </w:p>
    <w:p w14:paraId="439CF2A2" w14:textId="77777777" w:rsidR="00D870B8" w:rsidRPr="00D91E06" w:rsidRDefault="00D870B8" w:rsidP="00D870B8">
      <w:pPr>
        <w:numPr>
          <w:ilvl w:val="0"/>
          <w:numId w:val="8"/>
        </w:numPr>
        <w:ind w:left="1440"/>
        <w:rPr>
          <w:rFonts w:ascii="Cambria" w:hAnsi="Cambria" w:cs="Calibri Light"/>
          <w:b/>
          <w:sz w:val="20"/>
          <w:szCs w:val="20"/>
        </w:rPr>
      </w:pPr>
      <w:r w:rsidRPr="00D91E06">
        <w:rPr>
          <w:rFonts w:ascii="Cambria" w:hAnsi="Cambria" w:cs="Calibri Light"/>
          <w:b/>
          <w:sz w:val="20"/>
          <w:szCs w:val="20"/>
        </w:rPr>
        <w:t xml:space="preserve">Summary of Case  </w:t>
      </w:r>
    </w:p>
    <w:p w14:paraId="77151747" w14:textId="77777777" w:rsidR="00D870B8" w:rsidRPr="00D91E06" w:rsidRDefault="00D870B8" w:rsidP="00D870B8">
      <w:pPr>
        <w:ind w:left="1080"/>
        <w:rPr>
          <w:rFonts w:ascii="Cambria" w:hAnsi="Cambria" w:cs="Calibri Light"/>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350"/>
      </w:tblGrid>
      <w:tr w:rsidR="00D870B8" w:rsidRPr="00D91E06" w14:paraId="4E8AEEF8" w14:textId="77777777" w:rsidTr="008D52E0">
        <w:trPr>
          <w:jc w:val="center"/>
        </w:trPr>
        <w:tc>
          <w:tcPr>
            <w:tcW w:w="9576" w:type="dxa"/>
            <w:shd w:val="clear" w:color="auto" w:fill="F2F2F2"/>
          </w:tcPr>
          <w:p w14:paraId="7F2AE43E" w14:textId="77777777" w:rsidR="00D870B8" w:rsidRPr="00D91E06" w:rsidRDefault="00D870B8" w:rsidP="008D52E0">
            <w:pPr>
              <w:spacing w:before="120"/>
              <w:rPr>
                <w:rFonts w:ascii="Cambria" w:hAnsi="Cambria"/>
                <w:b/>
                <w:sz w:val="20"/>
                <w:szCs w:val="20"/>
              </w:rPr>
            </w:pPr>
            <w:r w:rsidRPr="00D91E06">
              <w:rPr>
                <w:rFonts w:ascii="Cambria" w:hAnsi="Cambria"/>
                <w:b/>
                <w:sz w:val="20"/>
                <w:szCs w:val="20"/>
              </w:rPr>
              <w:t xml:space="preserve">Victim (s): </w:t>
            </w:r>
            <w:r w:rsidRPr="00D91E06">
              <w:rPr>
                <w:rFonts w:ascii="Cambria" w:hAnsi="Cambria"/>
                <w:sz w:val="20"/>
                <w:szCs w:val="20"/>
              </w:rPr>
              <w:t xml:space="preserve">Guy </w:t>
            </w:r>
            <w:proofErr w:type="spellStart"/>
            <w:r w:rsidRPr="00D91E06">
              <w:rPr>
                <w:rFonts w:ascii="Cambria" w:hAnsi="Cambria"/>
                <w:sz w:val="20"/>
                <w:szCs w:val="20"/>
              </w:rPr>
              <w:t>Malary</w:t>
            </w:r>
            <w:proofErr w:type="spellEnd"/>
          </w:p>
          <w:p w14:paraId="2B831CA1" w14:textId="77777777" w:rsidR="00D870B8" w:rsidRPr="00D91E06" w:rsidRDefault="00D870B8" w:rsidP="008D52E0">
            <w:pPr>
              <w:rPr>
                <w:rFonts w:ascii="Cambria" w:hAnsi="Cambria"/>
                <w:b/>
                <w:sz w:val="20"/>
                <w:szCs w:val="20"/>
                <w:lang w:val="fr-CA"/>
              </w:rPr>
            </w:pPr>
            <w:proofErr w:type="spellStart"/>
            <w:r w:rsidRPr="00D91E06">
              <w:rPr>
                <w:rFonts w:ascii="Cambria" w:hAnsi="Cambria"/>
                <w:b/>
                <w:sz w:val="20"/>
                <w:szCs w:val="20"/>
                <w:lang w:val="fr-CA"/>
              </w:rPr>
              <w:t>Petitioner</w:t>
            </w:r>
            <w:proofErr w:type="spellEnd"/>
            <w:r w:rsidRPr="00D91E06">
              <w:rPr>
                <w:rFonts w:ascii="Cambria" w:hAnsi="Cambria"/>
                <w:b/>
                <w:sz w:val="20"/>
                <w:szCs w:val="20"/>
                <w:lang w:val="fr-CA"/>
              </w:rPr>
              <w:t xml:space="preserve"> (s):</w:t>
            </w:r>
            <w:r w:rsidRPr="00D91E06">
              <w:rPr>
                <w:rFonts w:ascii="Cambria" w:hAnsi="Cambria"/>
                <w:sz w:val="20"/>
                <w:szCs w:val="20"/>
                <w:lang w:val="fr-CA"/>
              </w:rPr>
              <w:t xml:space="preserve"> Natalie L. Reid (</w:t>
            </w:r>
            <w:proofErr w:type="spellStart"/>
            <w:r w:rsidRPr="00D91E06">
              <w:rPr>
                <w:rFonts w:ascii="Cambria" w:hAnsi="Cambria"/>
                <w:sz w:val="20"/>
                <w:szCs w:val="20"/>
                <w:lang w:val="fr-CA"/>
              </w:rPr>
              <w:t>Debevoise</w:t>
            </w:r>
            <w:proofErr w:type="spellEnd"/>
            <w:r w:rsidRPr="00D91E06">
              <w:rPr>
                <w:rFonts w:ascii="Cambria" w:hAnsi="Cambria"/>
                <w:sz w:val="20"/>
                <w:szCs w:val="20"/>
                <w:lang w:val="fr-CA"/>
              </w:rPr>
              <w:t xml:space="preserve"> &amp; </w:t>
            </w:r>
            <w:proofErr w:type="spellStart"/>
            <w:r w:rsidRPr="00D91E06">
              <w:rPr>
                <w:rFonts w:ascii="Cambria" w:hAnsi="Cambria"/>
                <w:sz w:val="20"/>
                <w:szCs w:val="20"/>
                <w:lang w:val="fr-CA"/>
              </w:rPr>
              <w:t>Plimpton</w:t>
            </w:r>
            <w:proofErr w:type="spellEnd"/>
            <w:r w:rsidRPr="00D91E06">
              <w:rPr>
                <w:rFonts w:ascii="Cambria" w:hAnsi="Cambria"/>
                <w:sz w:val="20"/>
                <w:szCs w:val="20"/>
                <w:lang w:val="fr-CA"/>
              </w:rPr>
              <w:t>)</w:t>
            </w:r>
          </w:p>
          <w:p w14:paraId="5FEE1AF0" w14:textId="77777777" w:rsidR="00D870B8" w:rsidRPr="00D91E06" w:rsidRDefault="00D870B8" w:rsidP="008D52E0">
            <w:pPr>
              <w:rPr>
                <w:rFonts w:ascii="Cambria" w:hAnsi="Cambria"/>
                <w:sz w:val="20"/>
                <w:szCs w:val="20"/>
              </w:rPr>
            </w:pPr>
            <w:r w:rsidRPr="00D91E06">
              <w:rPr>
                <w:rFonts w:ascii="Cambria" w:hAnsi="Cambria"/>
                <w:b/>
                <w:sz w:val="20"/>
                <w:szCs w:val="20"/>
              </w:rPr>
              <w:t xml:space="preserve">State: </w:t>
            </w:r>
            <w:r w:rsidRPr="00D91E06">
              <w:rPr>
                <w:rFonts w:ascii="Cambria" w:hAnsi="Cambria"/>
                <w:sz w:val="20"/>
                <w:szCs w:val="20"/>
              </w:rPr>
              <w:t>Haiti</w:t>
            </w:r>
          </w:p>
          <w:p w14:paraId="4C8C49D8" w14:textId="77777777" w:rsidR="00D870B8" w:rsidRPr="00D91E06" w:rsidRDefault="00D870B8" w:rsidP="008D52E0">
            <w:pPr>
              <w:rPr>
                <w:rFonts w:ascii="Cambria" w:hAnsi="Cambria"/>
                <w:sz w:val="20"/>
                <w:szCs w:val="20"/>
              </w:rPr>
            </w:pPr>
            <w:r w:rsidRPr="00D91E06">
              <w:rPr>
                <w:rFonts w:ascii="Cambria" w:hAnsi="Cambria"/>
                <w:b/>
                <w:sz w:val="20"/>
                <w:szCs w:val="20"/>
              </w:rPr>
              <w:t xml:space="preserve">Merits Report No.: </w:t>
            </w:r>
            <w:hyperlink r:id="rId8" w:history="1">
              <w:r w:rsidRPr="00D91E06">
                <w:rPr>
                  <w:rStyle w:val="Hyperlink"/>
                  <w:rFonts w:ascii="Cambria" w:hAnsi="Cambria"/>
                  <w:sz w:val="20"/>
                  <w:szCs w:val="20"/>
                </w:rPr>
                <w:t>78/02</w:t>
              </w:r>
            </w:hyperlink>
            <w:r w:rsidRPr="00D91E06">
              <w:rPr>
                <w:rFonts w:ascii="Cambria" w:hAnsi="Cambria"/>
                <w:sz w:val="20"/>
                <w:szCs w:val="20"/>
              </w:rPr>
              <w:t>, published on December 27, 2002</w:t>
            </w:r>
          </w:p>
          <w:p w14:paraId="3CF9C972" w14:textId="77777777" w:rsidR="00D870B8" w:rsidRPr="00D91E06" w:rsidRDefault="00D870B8" w:rsidP="008D52E0">
            <w:pPr>
              <w:rPr>
                <w:rFonts w:ascii="Cambria" w:hAnsi="Cambria"/>
                <w:sz w:val="20"/>
                <w:szCs w:val="20"/>
              </w:rPr>
            </w:pPr>
            <w:r w:rsidRPr="00D91E06">
              <w:rPr>
                <w:rFonts w:ascii="Cambria" w:hAnsi="Cambria"/>
                <w:b/>
                <w:sz w:val="20"/>
                <w:szCs w:val="20"/>
              </w:rPr>
              <w:t xml:space="preserve">Admissibility Report No.: </w:t>
            </w:r>
            <w:hyperlink r:id="rId9" w:history="1">
              <w:r w:rsidRPr="00D91E06">
                <w:rPr>
                  <w:rStyle w:val="Hyperlink"/>
                  <w:rFonts w:ascii="Cambria" w:hAnsi="Cambria"/>
                  <w:sz w:val="20"/>
                  <w:szCs w:val="20"/>
                </w:rPr>
                <w:t>113/00</w:t>
              </w:r>
            </w:hyperlink>
            <w:r w:rsidRPr="00D91E06">
              <w:rPr>
                <w:rFonts w:ascii="Cambria" w:hAnsi="Cambria"/>
                <w:sz w:val="20"/>
                <w:szCs w:val="20"/>
              </w:rPr>
              <w:t>, published on December 4, 2000</w:t>
            </w:r>
          </w:p>
          <w:p w14:paraId="55B1FC6B" w14:textId="77777777" w:rsidR="00D870B8" w:rsidRPr="00D91E06" w:rsidRDefault="00D870B8" w:rsidP="008D52E0">
            <w:pPr>
              <w:spacing w:after="120"/>
              <w:jc w:val="both"/>
              <w:rPr>
                <w:rFonts w:ascii="Cambria" w:hAnsi="Cambria"/>
                <w:sz w:val="20"/>
                <w:szCs w:val="20"/>
              </w:rPr>
            </w:pPr>
            <w:r w:rsidRPr="00D91E06">
              <w:rPr>
                <w:rFonts w:ascii="Cambria" w:hAnsi="Cambria"/>
                <w:b/>
                <w:sz w:val="20"/>
                <w:szCs w:val="20"/>
              </w:rPr>
              <w:t xml:space="preserve">Themes: </w:t>
            </w:r>
            <w:r w:rsidRPr="00D91E06">
              <w:rPr>
                <w:rFonts w:ascii="Cambria" w:hAnsi="Cambria"/>
                <w:sz w:val="20"/>
                <w:szCs w:val="20"/>
              </w:rPr>
              <w:t xml:space="preserve">Right to Life / Summary, Extrajudicial or Arbitrary Executions / Right to a Fair Trial / Judicial Protection / Investigation and Due Diligence / Domestic Effects.  </w:t>
            </w:r>
          </w:p>
          <w:p w14:paraId="282D8531" w14:textId="77777777" w:rsidR="00D870B8" w:rsidRPr="00D91E06" w:rsidRDefault="00D870B8" w:rsidP="008D52E0">
            <w:pPr>
              <w:tabs>
                <w:tab w:val="num" w:pos="720"/>
              </w:tabs>
              <w:spacing w:after="120"/>
              <w:jc w:val="both"/>
              <w:rPr>
                <w:rFonts w:ascii="Cambria" w:eastAsia="Times New Roman" w:hAnsi="Cambria"/>
                <w:sz w:val="20"/>
                <w:szCs w:val="20"/>
              </w:rPr>
            </w:pPr>
            <w:r w:rsidRPr="00D91E06">
              <w:rPr>
                <w:rFonts w:ascii="Cambria" w:hAnsi="Cambria"/>
                <w:b/>
                <w:sz w:val="20"/>
                <w:szCs w:val="20"/>
              </w:rPr>
              <w:t xml:space="preserve">Facts: </w:t>
            </w:r>
            <w:r w:rsidRPr="00D91E06">
              <w:rPr>
                <w:rFonts w:ascii="Cambria" w:eastAsia="Times New Roman" w:hAnsi="Cambria"/>
                <w:sz w:val="20"/>
                <w:szCs w:val="20"/>
              </w:rPr>
              <w:t xml:space="preserve">This case refers to the assassination of Mr. Guy </w:t>
            </w:r>
            <w:proofErr w:type="spellStart"/>
            <w:r w:rsidRPr="00D91E06">
              <w:rPr>
                <w:rFonts w:ascii="Cambria" w:eastAsia="Times New Roman" w:hAnsi="Cambria"/>
                <w:sz w:val="20"/>
                <w:szCs w:val="20"/>
              </w:rPr>
              <w:t>Malary</w:t>
            </w:r>
            <w:proofErr w:type="spellEnd"/>
            <w:r w:rsidRPr="00D91E06">
              <w:rPr>
                <w:rFonts w:ascii="Cambria" w:eastAsia="Times New Roman" w:hAnsi="Cambria"/>
                <w:sz w:val="20"/>
                <w:szCs w:val="20"/>
              </w:rPr>
              <w:t xml:space="preserve"> on October 14, 1993 in Port-au-Prince by individuals, with the participation of agents of the State, and the failure of the Haitian State </w:t>
            </w:r>
            <w:proofErr w:type="gramStart"/>
            <w:r w:rsidRPr="00D91E06">
              <w:rPr>
                <w:rFonts w:ascii="Cambria" w:eastAsia="Times New Roman" w:hAnsi="Cambria"/>
                <w:sz w:val="20"/>
                <w:szCs w:val="20"/>
              </w:rPr>
              <w:t>to adequately investigate</w:t>
            </w:r>
            <w:proofErr w:type="gramEnd"/>
            <w:r w:rsidRPr="00D91E06">
              <w:rPr>
                <w:rFonts w:ascii="Cambria" w:eastAsia="Times New Roman" w:hAnsi="Cambria"/>
                <w:sz w:val="20"/>
                <w:szCs w:val="20"/>
              </w:rPr>
              <w:t>,</w:t>
            </w:r>
            <w:r w:rsidRPr="00D91E06">
              <w:rPr>
                <w:rFonts w:ascii="Verdana" w:hAnsi="Verdana"/>
                <w:sz w:val="20"/>
                <w:szCs w:val="20"/>
              </w:rPr>
              <w:t xml:space="preserve"> </w:t>
            </w:r>
            <w:r w:rsidRPr="00D91E06">
              <w:rPr>
                <w:rFonts w:ascii="Cambria" w:hAnsi="Cambria"/>
                <w:sz w:val="20"/>
                <w:szCs w:val="20"/>
              </w:rPr>
              <w:t xml:space="preserve">to identify those responsible and to impose the appropriate punishment. </w:t>
            </w:r>
            <w:r w:rsidRPr="00D91E06">
              <w:rPr>
                <w:rFonts w:ascii="Cambria" w:eastAsia="Times New Roman" w:hAnsi="Cambria"/>
                <w:sz w:val="20"/>
                <w:szCs w:val="20"/>
              </w:rPr>
              <w:t xml:space="preserve">Mr. </w:t>
            </w:r>
            <w:proofErr w:type="spellStart"/>
            <w:r w:rsidRPr="00D91E06">
              <w:rPr>
                <w:rFonts w:ascii="Cambria" w:eastAsia="Times New Roman" w:hAnsi="Cambria"/>
                <w:sz w:val="20"/>
                <w:szCs w:val="20"/>
              </w:rPr>
              <w:t>Malary</w:t>
            </w:r>
            <w:proofErr w:type="spellEnd"/>
            <w:r w:rsidRPr="00D91E06">
              <w:rPr>
                <w:rFonts w:ascii="Cambria" w:eastAsia="Times New Roman" w:hAnsi="Cambria"/>
                <w:sz w:val="20"/>
                <w:szCs w:val="20"/>
              </w:rPr>
              <w:t xml:space="preserve"> </w:t>
            </w:r>
            <w:proofErr w:type="gramStart"/>
            <w:r w:rsidRPr="00D91E06">
              <w:rPr>
                <w:rFonts w:ascii="Cambria" w:eastAsia="Times New Roman" w:hAnsi="Cambria"/>
                <w:sz w:val="20"/>
                <w:szCs w:val="20"/>
              </w:rPr>
              <w:t xml:space="preserve">was appointed Minister of Justice by President Jean-Bertrand Aristide during his first term and continued to hold that office under the </w:t>
            </w:r>
            <w:r w:rsidRPr="00D91E06">
              <w:rPr>
                <w:rFonts w:ascii="Cambria" w:eastAsia="Times New Roman" w:hAnsi="Cambria"/>
                <w:i/>
                <w:sz w:val="20"/>
                <w:szCs w:val="20"/>
              </w:rPr>
              <w:t>de facto</w:t>
            </w:r>
            <w:r w:rsidRPr="00D91E06">
              <w:rPr>
                <w:rFonts w:ascii="Cambria" w:eastAsia="Times New Roman" w:hAnsi="Cambria"/>
                <w:sz w:val="20"/>
                <w:szCs w:val="20"/>
              </w:rPr>
              <w:t xml:space="preserve"> military government of Raoul </w:t>
            </w:r>
            <w:proofErr w:type="spellStart"/>
            <w:r w:rsidRPr="00D91E06">
              <w:rPr>
                <w:rFonts w:ascii="Cambria" w:eastAsia="Times New Roman" w:hAnsi="Cambria"/>
                <w:sz w:val="20"/>
                <w:szCs w:val="20"/>
              </w:rPr>
              <w:t>Cédras</w:t>
            </w:r>
            <w:proofErr w:type="spellEnd"/>
            <w:proofErr w:type="gramEnd"/>
            <w:r w:rsidRPr="00D91E06">
              <w:rPr>
                <w:rFonts w:ascii="Cambria" w:eastAsia="Times New Roman" w:hAnsi="Cambria"/>
                <w:sz w:val="20"/>
                <w:szCs w:val="20"/>
              </w:rPr>
              <w:t xml:space="preserve">. </w:t>
            </w:r>
          </w:p>
          <w:p w14:paraId="755B66FD" w14:textId="77777777" w:rsidR="00D870B8" w:rsidRPr="00D91E06" w:rsidRDefault="00D870B8" w:rsidP="008D52E0">
            <w:pPr>
              <w:spacing w:after="120"/>
              <w:jc w:val="both"/>
              <w:rPr>
                <w:rFonts w:ascii="Cambria" w:hAnsi="Cambria"/>
                <w:sz w:val="20"/>
                <w:szCs w:val="20"/>
              </w:rPr>
            </w:pPr>
            <w:proofErr w:type="gramStart"/>
            <w:r w:rsidRPr="00D91E06">
              <w:rPr>
                <w:rFonts w:ascii="Cambria" w:hAnsi="Cambria"/>
                <w:b/>
                <w:sz w:val="20"/>
                <w:szCs w:val="20"/>
              </w:rPr>
              <w:t xml:space="preserve">Rights violated: </w:t>
            </w:r>
            <w:r w:rsidRPr="00D91E06">
              <w:rPr>
                <w:rFonts w:ascii="Cambria" w:hAnsi="Cambria"/>
                <w:sz w:val="20"/>
                <w:szCs w:val="20"/>
              </w:rPr>
              <w:t xml:space="preserve">The IACHR concluded that: a) the Haitian State violated the right to life enshrined in Article 4 of the American Convention to the detriment of Mr. Guy </w:t>
            </w:r>
            <w:proofErr w:type="spellStart"/>
            <w:r w:rsidRPr="00D91E06">
              <w:rPr>
                <w:rFonts w:ascii="Cambria" w:hAnsi="Cambria"/>
                <w:sz w:val="20"/>
                <w:szCs w:val="20"/>
              </w:rPr>
              <w:t>Malary</w:t>
            </w:r>
            <w:proofErr w:type="spellEnd"/>
            <w:r w:rsidRPr="00D91E06">
              <w:rPr>
                <w:rFonts w:ascii="Cambria" w:hAnsi="Cambria"/>
                <w:sz w:val="20"/>
                <w:szCs w:val="20"/>
              </w:rPr>
              <w:t xml:space="preserve">;  b) the Haitian State violated the right to a fair trial and the right to judicial protection enshrined in Articles 8(1) and 25 of the American Convention to the detriment of the next-of-kin of Mr. Guy </w:t>
            </w:r>
            <w:proofErr w:type="spellStart"/>
            <w:r w:rsidRPr="00D91E06">
              <w:rPr>
                <w:rFonts w:ascii="Cambria" w:hAnsi="Cambria"/>
                <w:sz w:val="20"/>
                <w:szCs w:val="20"/>
              </w:rPr>
              <w:t>Malary</w:t>
            </w:r>
            <w:proofErr w:type="spellEnd"/>
            <w:r w:rsidRPr="00D91E06">
              <w:rPr>
                <w:rFonts w:ascii="Cambria" w:hAnsi="Cambria"/>
                <w:sz w:val="20"/>
                <w:szCs w:val="20"/>
              </w:rPr>
              <w:t xml:space="preserve">; and c) that these violations involved the breach of the general obligation to respect and guarantee the rights provided for in Article 1(1) of American Convention, to the detriment of Mr. Guy </w:t>
            </w:r>
            <w:proofErr w:type="spellStart"/>
            <w:r w:rsidRPr="00D91E06">
              <w:rPr>
                <w:rFonts w:ascii="Cambria" w:hAnsi="Cambria"/>
                <w:sz w:val="20"/>
                <w:szCs w:val="20"/>
              </w:rPr>
              <w:t>Malary</w:t>
            </w:r>
            <w:proofErr w:type="spellEnd"/>
            <w:r w:rsidRPr="00D91E06">
              <w:rPr>
                <w:rFonts w:ascii="Cambria" w:hAnsi="Cambria"/>
                <w:sz w:val="20"/>
                <w:szCs w:val="20"/>
              </w:rPr>
              <w:t xml:space="preserve"> and his next-of-kin, and that the Haitian State is obliged to investigate the facts, sanction those responsible and repair the consequences of these violations and pay compensation to Mr. Guy </w:t>
            </w:r>
            <w:proofErr w:type="spellStart"/>
            <w:r w:rsidRPr="00D91E06">
              <w:rPr>
                <w:rFonts w:ascii="Cambria" w:hAnsi="Cambria"/>
                <w:sz w:val="20"/>
                <w:szCs w:val="20"/>
              </w:rPr>
              <w:t>Malary’s</w:t>
            </w:r>
            <w:proofErr w:type="spellEnd"/>
            <w:r w:rsidRPr="00D91E06">
              <w:rPr>
                <w:rFonts w:ascii="Cambria" w:hAnsi="Cambria"/>
                <w:sz w:val="20"/>
                <w:szCs w:val="20"/>
              </w:rPr>
              <w:t xml:space="preserve"> next-of-kin.</w:t>
            </w:r>
            <w:proofErr w:type="gramEnd"/>
            <w:r w:rsidRPr="00D91E06">
              <w:rPr>
                <w:rFonts w:ascii="Cambria" w:hAnsi="Cambria"/>
                <w:sz w:val="20"/>
                <w:szCs w:val="20"/>
              </w:rPr>
              <w:t xml:space="preserve">  </w:t>
            </w:r>
          </w:p>
        </w:tc>
      </w:tr>
    </w:tbl>
    <w:p w14:paraId="42FE920F" w14:textId="77777777" w:rsidR="00D870B8" w:rsidRPr="00D91E06" w:rsidRDefault="00D870B8" w:rsidP="00D870B8">
      <w:pPr>
        <w:ind w:left="180"/>
        <w:rPr>
          <w:rFonts w:ascii="Cambria" w:hAnsi="Cambria"/>
          <w:sz w:val="20"/>
          <w:szCs w:val="20"/>
        </w:rPr>
      </w:pPr>
    </w:p>
    <w:p w14:paraId="3B362DDB" w14:textId="77777777" w:rsidR="00D870B8" w:rsidRPr="00D91E06" w:rsidRDefault="00D870B8" w:rsidP="00D870B8">
      <w:pPr>
        <w:numPr>
          <w:ilvl w:val="0"/>
          <w:numId w:val="8"/>
        </w:numPr>
        <w:ind w:left="1440"/>
        <w:jc w:val="both"/>
        <w:rPr>
          <w:rFonts w:ascii="Cambria" w:hAnsi="Cambria" w:cs="Calibri Light"/>
          <w:b/>
          <w:sz w:val="20"/>
          <w:szCs w:val="20"/>
        </w:rPr>
      </w:pPr>
      <w:r w:rsidRPr="00D91E06">
        <w:rPr>
          <w:rFonts w:ascii="Cambria" w:hAnsi="Cambria" w:cs="Calibri Light"/>
          <w:b/>
          <w:sz w:val="20"/>
          <w:szCs w:val="20"/>
        </w:rPr>
        <w:t>Recommendations</w:t>
      </w:r>
    </w:p>
    <w:p w14:paraId="2889ED52" w14:textId="77777777" w:rsidR="00D870B8" w:rsidRPr="00D91E06" w:rsidRDefault="00D870B8" w:rsidP="00D870B8">
      <w:pPr>
        <w:ind w:left="1080"/>
        <w:jc w:val="both"/>
        <w:rPr>
          <w:rFonts w:ascii="Cambria" w:hAnsi="Cambria" w:cs="Calibri Light"/>
          <w:sz w:val="20"/>
          <w:szCs w:val="20"/>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67"/>
        <w:gridCol w:w="2565"/>
      </w:tblGrid>
      <w:tr w:rsidR="00D870B8" w:rsidRPr="00D91E06" w14:paraId="64908323" w14:textId="77777777" w:rsidTr="008D52E0">
        <w:tc>
          <w:tcPr>
            <w:tcW w:w="6930" w:type="dxa"/>
            <w:shd w:val="clear" w:color="auto" w:fill="auto"/>
          </w:tcPr>
          <w:p w14:paraId="4E62368F" w14:textId="77777777" w:rsidR="00D870B8" w:rsidRPr="00D91E06" w:rsidRDefault="00D870B8" w:rsidP="008D52E0">
            <w:pPr>
              <w:jc w:val="center"/>
              <w:rPr>
                <w:rFonts w:ascii="Cambria" w:hAnsi="Cambria" w:cs="Calibri Light"/>
                <w:b/>
                <w:sz w:val="18"/>
                <w:szCs w:val="18"/>
              </w:rPr>
            </w:pPr>
            <w:r w:rsidRPr="00D91E06">
              <w:rPr>
                <w:rFonts w:ascii="Cambria" w:hAnsi="Cambria" w:cs="Calibri Light"/>
                <w:b/>
                <w:sz w:val="18"/>
                <w:szCs w:val="18"/>
              </w:rPr>
              <w:t>Recommendations</w:t>
            </w:r>
          </w:p>
        </w:tc>
        <w:tc>
          <w:tcPr>
            <w:tcW w:w="2610" w:type="dxa"/>
            <w:shd w:val="clear" w:color="auto" w:fill="auto"/>
          </w:tcPr>
          <w:p w14:paraId="28D3E8A3" w14:textId="77777777" w:rsidR="00D870B8" w:rsidRPr="00D91E06" w:rsidRDefault="00D870B8" w:rsidP="008D52E0">
            <w:pPr>
              <w:jc w:val="center"/>
              <w:rPr>
                <w:rFonts w:ascii="Cambria" w:hAnsi="Cambria" w:cs="Calibri Light"/>
                <w:b/>
                <w:sz w:val="18"/>
                <w:szCs w:val="18"/>
              </w:rPr>
            </w:pPr>
            <w:r w:rsidRPr="00D91E06">
              <w:rPr>
                <w:rFonts w:ascii="Cambria" w:hAnsi="Cambria" w:cs="Calibri Light"/>
                <w:b/>
                <w:sz w:val="18"/>
                <w:szCs w:val="18"/>
              </w:rPr>
              <w:t xml:space="preserve">State of compliance in </w:t>
            </w:r>
            <w:r w:rsidRPr="00D91E06">
              <w:rPr>
                <w:rFonts w:ascii="Cambria" w:hAnsi="Cambria" w:cs="Calibri Light"/>
                <w:b/>
                <w:color w:val="000000" w:themeColor="text1"/>
                <w:sz w:val="18"/>
                <w:szCs w:val="18"/>
              </w:rPr>
              <w:t>2020</w:t>
            </w:r>
          </w:p>
        </w:tc>
      </w:tr>
      <w:tr w:rsidR="00D870B8" w:rsidRPr="00D91E06" w14:paraId="40E726A2" w14:textId="77777777" w:rsidTr="008D52E0">
        <w:tc>
          <w:tcPr>
            <w:tcW w:w="6930" w:type="dxa"/>
            <w:shd w:val="clear" w:color="auto" w:fill="auto"/>
          </w:tcPr>
          <w:p w14:paraId="1703D253" w14:textId="77777777" w:rsidR="00D870B8" w:rsidRPr="00D91E06" w:rsidRDefault="00D870B8" w:rsidP="008D52E0">
            <w:pPr>
              <w:pStyle w:val="BodyTextIndent2"/>
              <w:ind w:firstLine="0"/>
              <w:rPr>
                <w:rFonts w:ascii="Cambria" w:hAnsi="Cambria"/>
                <w:sz w:val="18"/>
                <w:szCs w:val="18"/>
                <w:lang w:val="en-US"/>
              </w:rPr>
            </w:pPr>
            <w:r w:rsidRPr="00D91E06">
              <w:rPr>
                <w:rFonts w:ascii="Cambria" w:hAnsi="Cambria"/>
                <w:sz w:val="18"/>
                <w:szCs w:val="18"/>
                <w:lang w:val="en-US"/>
              </w:rPr>
              <w:t xml:space="preserve">1. Carry out a full, prompt, impartial, and effective investigation within the Haitian ordinary criminal jurisdiction in order to establish the responsibility of the authors of the violation of the right to life of Mr. Guy </w:t>
            </w:r>
            <w:proofErr w:type="spellStart"/>
            <w:r w:rsidRPr="00D91E06">
              <w:rPr>
                <w:rFonts w:ascii="Cambria" w:hAnsi="Cambria"/>
                <w:sz w:val="18"/>
                <w:szCs w:val="18"/>
                <w:lang w:val="en-US"/>
              </w:rPr>
              <w:t>Malary</w:t>
            </w:r>
            <w:proofErr w:type="spellEnd"/>
            <w:r w:rsidRPr="00D91E06">
              <w:rPr>
                <w:rFonts w:ascii="Cambria" w:hAnsi="Cambria"/>
                <w:sz w:val="18"/>
                <w:szCs w:val="18"/>
                <w:lang w:val="en-US"/>
              </w:rPr>
              <w:t xml:space="preserve"> and punish all those responsible.</w:t>
            </w:r>
          </w:p>
        </w:tc>
        <w:tc>
          <w:tcPr>
            <w:tcW w:w="2610" w:type="dxa"/>
            <w:shd w:val="clear" w:color="auto" w:fill="auto"/>
            <w:vAlign w:val="center"/>
          </w:tcPr>
          <w:p w14:paraId="08A87041" w14:textId="77777777" w:rsidR="00D870B8" w:rsidRPr="00D91E06" w:rsidRDefault="00D870B8" w:rsidP="008D52E0">
            <w:pPr>
              <w:jc w:val="center"/>
              <w:rPr>
                <w:rFonts w:ascii="Cambria" w:hAnsi="Cambria" w:cs="Calibri Light"/>
                <w:sz w:val="18"/>
                <w:szCs w:val="18"/>
              </w:rPr>
            </w:pPr>
            <w:r w:rsidRPr="00D91E06">
              <w:rPr>
                <w:rFonts w:ascii="Cambria" w:hAnsi="Cambria" w:cs="Calibri Light"/>
                <w:sz w:val="18"/>
                <w:szCs w:val="18"/>
              </w:rPr>
              <w:t>Pending Compliance</w:t>
            </w:r>
          </w:p>
        </w:tc>
      </w:tr>
      <w:tr w:rsidR="00D870B8" w:rsidRPr="00D91E06" w14:paraId="7A8F0820" w14:textId="77777777" w:rsidTr="008D52E0">
        <w:tc>
          <w:tcPr>
            <w:tcW w:w="6930" w:type="dxa"/>
            <w:shd w:val="clear" w:color="auto" w:fill="auto"/>
          </w:tcPr>
          <w:p w14:paraId="7EC1F774" w14:textId="77777777" w:rsidR="00D870B8" w:rsidRPr="00D91E06" w:rsidRDefault="00D870B8" w:rsidP="008D52E0">
            <w:pPr>
              <w:jc w:val="both"/>
              <w:rPr>
                <w:rFonts w:ascii="Cambria" w:hAnsi="Cambria"/>
                <w:sz w:val="18"/>
                <w:szCs w:val="18"/>
              </w:rPr>
            </w:pPr>
            <w:r w:rsidRPr="00D91E06">
              <w:rPr>
                <w:rFonts w:ascii="Cambria" w:hAnsi="Cambria"/>
                <w:sz w:val="18"/>
                <w:szCs w:val="18"/>
              </w:rPr>
              <w:t xml:space="preserve">2. Provide full reparation to the next-of-kin of the victim, </w:t>
            </w:r>
            <w:r w:rsidRPr="00D91E06">
              <w:rPr>
                <w:rFonts w:ascii="Cambria" w:hAnsi="Cambria"/>
                <w:i/>
                <w:iCs/>
                <w:sz w:val="18"/>
                <w:szCs w:val="18"/>
              </w:rPr>
              <w:t>inter alia</w:t>
            </w:r>
            <w:r w:rsidRPr="00D91E06">
              <w:rPr>
                <w:rFonts w:ascii="Cambria" w:hAnsi="Cambria"/>
                <w:sz w:val="18"/>
                <w:szCs w:val="18"/>
              </w:rPr>
              <w:t>, the payment of just compensation.</w:t>
            </w:r>
          </w:p>
        </w:tc>
        <w:tc>
          <w:tcPr>
            <w:tcW w:w="2610" w:type="dxa"/>
            <w:shd w:val="clear" w:color="auto" w:fill="auto"/>
            <w:vAlign w:val="center"/>
          </w:tcPr>
          <w:p w14:paraId="723F1ED7" w14:textId="77777777" w:rsidR="00D870B8" w:rsidRPr="00D91E06" w:rsidRDefault="00D870B8" w:rsidP="008D52E0">
            <w:pPr>
              <w:jc w:val="center"/>
              <w:rPr>
                <w:rFonts w:ascii="Cambria" w:hAnsi="Cambria" w:cs="Calibri Light"/>
                <w:b/>
                <w:sz w:val="18"/>
                <w:szCs w:val="18"/>
              </w:rPr>
            </w:pPr>
            <w:r w:rsidRPr="00D91E06">
              <w:rPr>
                <w:rFonts w:ascii="Cambria" w:hAnsi="Cambria" w:cs="Calibri Light"/>
                <w:sz w:val="18"/>
                <w:szCs w:val="18"/>
              </w:rPr>
              <w:t>Pending Compliance</w:t>
            </w:r>
          </w:p>
        </w:tc>
      </w:tr>
      <w:tr w:rsidR="00D870B8" w:rsidRPr="00D91E06" w14:paraId="57D018E2" w14:textId="77777777" w:rsidTr="008D52E0">
        <w:tc>
          <w:tcPr>
            <w:tcW w:w="6930" w:type="dxa"/>
            <w:shd w:val="clear" w:color="auto" w:fill="auto"/>
          </w:tcPr>
          <w:p w14:paraId="5C37B4BA" w14:textId="77777777" w:rsidR="00D870B8" w:rsidRPr="00D91E06" w:rsidRDefault="00D870B8" w:rsidP="008D52E0">
            <w:pPr>
              <w:jc w:val="both"/>
              <w:rPr>
                <w:rFonts w:ascii="Cambria" w:hAnsi="Cambria"/>
                <w:sz w:val="18"/>
                <w:szCs w:val="18"/>
              </w:rPr>
            </w:pPr>
            <w:r w:rsidRPr="00D91E06">
              <w:rPr>
                <w:rFonts w:ascii="Cambria" w:hAnsi="Cambria"/>
                <w:sz w:val="18"/>
                <w:szCs w:val="18"/>
              </w:rPr>
              <w:t>3. Adopt the measures necessary to carry out programs targeting the competent judicial authorities responsible for judicial investigations and auxiliary proceedings, in order for them to conduct criminal proceedings in the accordance with international instruments on human rights.</w:t>
            </w:r>
          </w:p>
        </w:tc>
        <w:tc>
          <w:tcPr>
            <w:tcW w:w="2610" w:type="dxa"/>
            <w:shd w:val="clear" w:color="auto" w:fill="auto"/>
            <w:vAlign w:val="center"/>
          </w:tcPr>
          <w:p w14:paraId="601D1C35" w14:textId="77777777" w:rsidR="00D870B8" w:rsidRPr="00D91E06" w:rsidRDefault="00D870B8" w:rsidP="008D52E0">
            <w:pPr>
              <w:jc w:val="center"/>
              <w:rPr>
                <w:rFonts w:ascii="Cambria" w:hAnsi="Cambria" w:cs="Calibri Light"/>
                <w:b/>
                <w:sz w:val="18"/>
                <w:szCs w:val="18"/>
              </w:rPr>
            </w:pPr>
            <w:r w:rsidRPr="00D91E06">
              <w:rPr>
                <w:rFonts w:ascii="Cambria" w:hAnsi="Cambria" w:cs="Calibri Light"/>
                <w:sz w:val="18"/>
                <w:szCs w:val="18"/>
              </w:rPr>
              <w:t>Pending Compliance</w:t>
            </w:r>
          </w:p>
        </w:tc>
      </w:tr>
    </w:tbl>
    <w:p w14:paraId="65578B10" w14:textId="77777777" w:rsidR="00D870B8" w:rsidRPr="00D91E06" w:rsidRDefault="00D870B8" w:rsidP="00D870B8">
      <w:pPr>
        <w:jc w:val="both"/>
        <w:rPr>
          <w:rFonts w:ascii="Cambria" w:hAnsi="Cambria" w:cs="Calibri Light"/>
          <w:sz w:val="20"/>
          <w:szCs w:val="20"/>
        </w:rPr>
      </w:pPr>
    </w:p>
    <w:p w14:paraId="6A7ED368" w14:textId="77777777" w:rsidR="00D870B8" w:rsidRPr="00D91E06" w:rsidRDefault="00D870B8" w:rsidP="00D870B8">
      <w:pPr>
        <w:pStyle w:val="ListParagraph"/>
        <w:numPr>
          <w:ilvl w:val="0"/>
          <w:numId w:val="8"/>
        </w:numPr>
        <w:ind w:left="1440"/>
        <w:jc w:val="both"/>
        <w:rPr>
          <w:rFonts w:ascii="Cambria" w:hAnsi="Cambria" w:cs="Calibri Light"/>
          <w:b/>
          <w:sz w:val="20"/>
          <w:szCs w:val="20"/>
        </w:rPr>
      </w:pPr>
      <w:r w:rsidRPr="00D91E06">
        <w:rPr>
          <w:rFonts w:ascii="Cambria" w:hAnsi="Cambria"/>
          <w:b/>
          <w:sz w:val="20"/>
          <w:szCs w:val="20"/>
        </w:rPr>
        <w:t xml:space="preserve">Procedural Activity </w:t>
      </w:r>
    </w:p>
    <w:p w14:paraId="1E811A85" w14:textId="77777777" w:rsidR="00D870B8" w:rsidRPr="00D91E06" w:rsidRDefault="00D870B8" w:rsidP="00D870B8">
      <w:pPr>
        <w:jc w:val="both"/>
        <w:rPr>
          <w:rFonts w:ascii="Cambria" w:hAnsi="Cambria" w:cs="Calibri Light"/>
          <w:sz w:val="20"/>
          <w:szCs w:val="20"/>
        </w:rPr>
      </w:pPr>
    </w:p>
    <w:p w14:paraId="59E31CB5" w14:textId="00B5D5A2" w:rsidR="00D870B8" w:rsidRPr="00D91E06" w:rsidRDefault="00D870B8" w:rsidP="00D870B8">
      <w:pPr>
        <w:pStyle w:val="ListParagraph"/>
        <w:numPr>
          <w:ilvl w:val="0"/>
          <w:numId w:val="9"/>
        </w:numPr>
        <w:ind w:left="0" w:firstLine="720"/>
        <w:jc w:val="both"/>
        <w:rPr>
          <w:rFonts w:ascii="Cambria" w:hAnsi="Cambria" w:cs="Calibri Light"/>
          <w:color w:val="000000" w:themeColor="text1"/>
          <w:sz w:val="20"/>
          <w:szCs w:val="20"/>
        </w:rPr>
      </w:pPr>
      <w:r w:rsidRPr="00D91E06">
        <w:rPr>
          <w:rFonts w:ascii="Cambria" w:hAnsi="Cambria" w:cs="Calibri Light"/>
          <w:color w:val="000000" w:themeColor="text1"/>
          <w:sz w:val="20"/>
          <w:szCs w:val="20"/>
        </w:rPr>
        <w:t xml:space="preserve">In 2020, the IACHR requested updated information on compliance from the State and from the petitioners on August 17. As of the closing date of this report, the Commission had not received said information from neither of the parties. </w:t>
      </w:r>
      <w:r w:rsidR="001B1285" w:rsidRPr="00D91E06">
        <w:rPr>
          <w:rFonts w:ascii="Cambria" w:hAnsi="Cambria" w:cs="Calibri Light"/>
          <w:color w:val="000000" w:themeColor="text1"/>
          <w:sz w:val="20"/>
          <w:szCs w:val="20"/>
        </w:rPr>
        <w:t>The Commission notes with concern that the petitioner has not presented information about measures adopted to implement the recommendations contained in Merits Report No. 78/02 to the IACHR since 2003 and the State since the publication the merit</w:t>
      </w:r>
      <w:r w:rsidR="002E6165" w:rsidRPr="00D91E06">
        <w:rPr>
          <w:rFonts w:ascii="Cambria" w:hAnsi="Cambria" w:cs="Calibri Light"/>
          <w:color w:val="000000" w:themeColor="text1"/>
          <w:sz w:val="20"/>
          <w:szCs w:val="20"/>
        </w:rPr>
        <w:t>s</w:t>
      </w:r>
      <w:r w:rsidR="001B1285" w:rsidRPr="00D91E06">
        <w:rPr>
          <w:rFonts w:ascii="Cambria" w:hAnsi="Cambria" w:cs="Calibri Light"/>
          <w:color w:val="000000" w:themeColor="text1"/>
          <w:sz w:val="20"/>
          <w:szCs w:val="20"/>
        </w:rPr>
        <w:t xml:space="preserve"> report, in 2002.</w:t>
      </w:r>
    </w:p>
    <w:p w14:paraId="54EB4BEC" w14:textId="21729B76" w:rsidR="0081401B" w:rsidRPr="00D91E06" w:rsidRDefault="0081401B" w:rsidP="0081401B">
      <w:pPr>
        <w:jc w:val="both"/>
        <w:rPr>
          <w:rFonts w:ascii="Cambria" w:hAnsi="Cambria" w:cs="Calibri Light"/>
          <w:sz w:val="20"/>
          <w:szCs w:val="20"/>
        </w:rPr>
      </w:pPr>
    </w:p>
    <w:p w14:paraId="78D13506" w14:textId="29045AA0" w:rsidR="00D870B8" w:rsidRPr="00D91E06" w:rsidRDefault="00D870B8" w:rsidP="00D870B8">
      <w:pPr>
        <w:jc w:val="both"/>
        <w:rPr>
          <w:rFonts w:ascii="Cambria" w:hAnsi="Cambria" w:cs="Calibri Light"/>
          <w:sz w:val="20"/>
          <w:szCs w:val="20"/>
        </w:rPr>
      </w:pPr>
    </w:p>
    <w:p w14:paraId="0CEC2F41" w14:textId="77777777" w:rsidR="00D870B8" w:rsidRPr="00D91E06" w:rsidRDefault="00D870B8" w:rsidP="00D870B8">
      <w:pPr>
        <w:pStyle w:val="ListParagraph"/>
        <w:numPr>
          <w:ilvl w:val="0"/>
          <w:numId w:val="8"/>
        </w:numPr>
        <w:ind w:left="1440"/>
        <w:jc w:val="both"/>
        <w:rPr>
          <w:rFonts w:ascii="Cambria" w:hAnsi="Cambria" w:cs="Calibri Light"/>
          <w:b/>
          <w:sz w:val="20"/>
          <w:szCs w:val="20"/>
        </w:rPr>
      </w:pPr>
      <w:r w:rsidRPr="00D91E06">
        <w:rPr>
          <w:rFonts w:ascii="Cambria" w:hAnsi="Cambria" w:cs="Calibri Light"/>
          <w:b/>
          <w:sz w:val="20"/>
          <w:szCs w:val="20"/>
        </w:rPr>
        <w:lastRenderedPageBreak/>
        <w:t xml:space="preserve">Analysis of the information presented </w:t>
      </w:r>
    </w:p>
    <w:p w14:paraId="5BDD7EB1" w14:textId="77777777" w:rsidR="00D870B8" w:rsidRPr="00D91E06" w:rsidRDefault="00D870B8" w:rsidP="00D870B8">
      <w:pPr>
        <w:jc w:val="both"/>
        <w:rPr>
          <w:rFonts w:ascii="Cambria" w:hAnsi="Cambria" w:cs="Calibri Light"/>
          <w:color w:val="000000" w:themeColor="text1"/>
          <w:sz w:val="20"/>
          <w:szCs w:val="20"/>
        </w:rPr>
      </w:pPr>
    </w:p>
    <w:p w14:paraId="36313973" w14:textId="7F94499D" w:rsidR="00D870B8" w:rsidRPr="00D91E06" w:rsidRDefault="002E6165" w:rsidP="00D870B8">
      <w:pPr>
        <w:pStyle w:val="ListParagraph"/>
        <w:numPr>
          <w:ilvl w:val="0"/>
          <w:numId w:val="10"/>
        </w:numPr>
        <w:ind w:left="0" w:firstLine="720"/>
        <w:jc w:val="both"/>
        <w:rPr>
          <w:rFonts w:ascii="Cambria" w:hAnsi="Cambria" w:cs="Calibri Light"/>
          <w:color w:val="000000" w:themeColor="text1"/>
          <w:sz w:val="20"/>
          <w:szCs w:val="20"/>
        </w:rPr>
      </w:pPr>
      <w:r w:rsidRPr="00D91E06">
        <w:rPr>
          <w:rFonts w:ascii="Cambria" w:hAnsi="Cambria"/>
          <w:color w:val="000000" w:themeColor="text1"/>
          <w:sz w:val="20"/>
          <w:szCs w:val="20"/>
        </w:rPr>
        <w:t>B</w:t>
      </w:r>
      <w:r w:rsidR="00D870B8" w:rsidRPr="00D91E06">
        <w:rPr>
          <w:rFonts w:ascii="Cambria" w:hAnsi="Cambria" w:cs="Calibri Light"/>
          <w:color w:val="000000" w:themeColor="text1"/>
          <w:sz w:val="20"/>
          <w:szCs w:val="20"/>
        </w:rPr>
        <w:t>ecause of the lack of updated information on the level of compliance with the recommendations, the IACHR reiterates the analysis of compliance and the conclusions made in its 2019 Annual Report.</w:t>
      </w:r>
    </w:p>
    <w:p w14:paraId="1975D3E9" w14:textId="77777777" w:rsidR="00D870B8" w:rsidRPr="00D91E06" w:rsidRDefault="00D870B8" w:rsidP="00D870B8">
      <w:pPr>
        <w:jc w:val="both"/>
        <w:rPr>
          <w:rFonts w:ascii="Cambria" w:hAnsi="Cambria" w:cs="Calibri Light"/>
          <w:sz w:val="20"/>
          <w:szCs w:val="20"/>
        </w:rPr>
      </w:pPr>
    </w:p>
    <w:p w14:paraId="584F5108" w14:textId="77777777" w:rsidR="00D870B8" w:rsidRPr="00D91E06" w:rsidRDefault="00D870B8" w:rsidP="00D870B8">
      <w:pPr>
        <w:pStyle w:val="ListParagraph"/>
        <w:numPr>
          <w:ilvl w:val="0"/>
          <w:numId w:val="8"/>
        </w:numPr>
        <w:ind w:left="1440"/>
        <w:jc w:val="both"/>
        <w:rPr>
          <w:rFonts w:ascii="Cambria" w:hAnsi="Cambria" w:cs="Calibri Light"/>
          <w:b/>
          <w:sz w:val="20"/>
          <w:szCs w:val="20"/>
        </w:rPr>
      </w:pPr>
      <w:r w:rsidRPr="00D91E06">
        <w:rPr>
          <w:rFonts w:ascii="Cambria" w:hAnsi="Cambria" w:cs="Calibri Light"/>
          <w:b/>
          <w:sz w:val="20"/>
          <w:szCs w:val="20"/>
        </w:rPr>
        <w:t xml:space="preserve">Analysis of compliance with the recommendations </w:t>
      </w:r>
    </w:p>
    <w:p w14:paraId="75E4935E" w14:textId="77777777" w:rsidR="00D870B8" w:rsidRPr="00D91E06" w:rsidRDefault="00D870B8" w:rsidP="00D870B8">
      <w:pPr>
        <w:jc w:val="both"/>
        <w:rPr>
          <w:rFonts w:ascii="Cambria" w:hAnsi="Cambria" w:cs="Calibri Light"/>
          <w:sz w:val="20"/>
          <w:szCs w:val="20"/>
        </w:rPr>
      </w:pPr>
    </w:p>
    <w:p w14:paraId="5CF679D4" w14:textId="77777777" w:rsidR="00D870B8" w:rsidRPr="00D91E06" w:rsidRDefault="00D870B8" w:rsidP="00D870B8">
      <w:pPr>
        <w:pStyle w:val="ListParagraph"/>
        <w:numPr>
          <w:ilvl w:val="0"/>
          <w:numId w:val="10"/>
        </w:numPr>
        <w:ind w:left="0" w:firstLine="720"/>
        <w:jc w:val="both"/>
        <w:rPr>
          <w:rFonts w:ascii="Cambria" w:hAnsi="Cambria" w:cs="Calibri Light"/>
          <w:sz w:val="20"/>
          <w:szCs w:val="20"/>
        </w:rPr>
      </w:pPr>
      <w:proofErr w:type="gramStart"/>
      <w:r w:rsidRPr="00D91E06">
        <w:rPr>
          <w:rFonts w:ascii="Cambria" w:hAnsi="Cambria" w:cs="Calibri Light"/>
          <w:b/>
          <w:sz w:val="20"/>
          <w:szCs w:val="20"/>
        </w:rPr>
        <w:t>With regards to</w:t>
      </w:r>
      <w:proofErr w:type="gramEnd"/>
      <w:r w:rsidRPr="00D91E06">
        <w:rPr>
          <w:rFonts w:ascii="Cambria" w:hAnsi="Cambria" w:cs="Calibri Light"/>
          <w:b/>
          <w:sz w:val="20"/>
          <w:szCs w:val="20"/>
        </w:rPr>
        <w:t xml:space="preserve"> the first recommendation</w:t>
      </w:r>
      <w:r w:rsidRPr="00D91E06">
        <w:rPr>
          <w:rFonts w:ascii="Cambria" w:hAnsi="Cambria" w:cs="Calibri Light"/>
          <w:sz w:val="20"/>
          <w:szCs w:val="20"/>
        </w:rPr>
        <w:t>,</w:t>
      </w:r>
      <w:r w:rsidRPr="00D91E06">
        <w:rPr>
          <w:rFonts w:ascii="Cambria" w:hAnsi="Cambria" w:cs="Calibri Light"/>
          <w:b/>
          <w:sz w:val="20"/>
          <w:szCs w:val="20"/>
        </w:rPr>
        <w:t xml:space="preserve"> </w:t>
      </w:r>
      <w:r w:rsidRPr="00D91E06">
        <w:rPr>
          <w:rFonts w:ascii="Cambria" w:hAnsi="Cambria" w:cs="Calibri Light"/>
          <w:sz w:val="20"/>
          <w:szCs w:val="20"/>
        </w:rPr>
        <w:t xml:space="preserve">the State of Haiti has not presented specific information about compliance with this recommendation. However, during the Commission’s two </w:t>
      </w:r>
      <w:r w:rsidRPr="00D91E06">
        <w:rPr>
          <w:rFonts w:ascii="Cambria" w:hAnsi="Cambria" w:cs="Calibri Light"/>
          <w:i/>
          <w:sz w:val="20"/>
          <w:szCs w:val="20"/>
        </w:rPr>
        <w:t>in situ</w:t>
      </w:r>
      <w:r w:rsidRPr="00D91E06">
        <w:rPr>
          <w:rFonts w:ascii="Cambria" w:hAnsi="Cambria" w:cs="Calibri Light"/>
          <w:sz w:val="20"/>
          <w:szCs w:val="20"/>
        </w:rPr>
        <w:t xml:space="preserve"> visits undertaken to the country in 2002, representatives of the State expressed to the delegation of the IACHR their willingness to investigate.</w:t>
      </w:r>
      <w:r w:rsidRPr="00D91E06">
        <w:rPr>
          <w:rStyle w:val="FootnoteReference"/>
          <w:rFonts w:ascii="Cambria" w:hAnsi="Cambria" w:cs="Calibri Light"/>
          <w:sz w:val="20"/>
          <w:szCs w:val="20"/>
        </w:rPr>
        <w:footnoteReference w:id="1"/>
      </w:r>
      <w:r w:rsidRPr="00D91E06">
        <w:rPr>
          <w:rFonts w:ascii="Cambria" w:hAnsi="Cambria" w:cs="Calibri Light"/>
          <w:sz w:val="20"/>
          <w:szCs w:val="20"/>
        </w:rPr>
        <w:t xml:space="preserve"> </w:t>
      </w:r>
    </w:p>
    <w:p w14:paraId="76AC9D71" w14:textId="77777777" w:rsidR="00D870B8" w:rsidRPr="00D91E06" w:rsidRDefault="00D870B8" w:rsidP="00D870B8">
      <w:pPr>
        <w:pStyle w:val="ListParagraph"/>
        <w:jc w:val="both"/>
        <w:rPr>
          <w:rFonts w:ascii="Cambria" w:hAnsi="Cambria" w:cs="Calibri Light"/>
          <w:sz w:val="20"/>
          <w:szCs w:val="20"/>
        </w:rPr>
      </w:pPr>
    </w:p>
    <w:p w14:paraId="5720F9AD" w14:textId="77777777" w:rsidR="00D870B8" w:rsidRPr="00D91E06" w:rsidRDefault="00D870B8" w:rsidP="00D870B8">
      <w:pPr>
        <w:pStyle w:val="ListParagraph"/>
        <w:numPr>
          <w:ilvl w:val="0"/>
          <w:numId w:val="10"/>
        </w:numPr>
        <w:ind w:left="0" w:firstLine="720"/>
        <w:jc w:val="both"/>
        <w:rPr>
          <w:rFonts w:ascii="Cambria" w:hAnsi="Cambria" w:cs="Calibri Light"/>
          <w:sz w:val="20"/>
          <w:szCs w:val="20"/>
        </w:rPr>
      </w:pPr>
      <w:r w:rsidRPr="00D91E06">
        <w:rPr>
          <w:rFonts w:ascii="Cambria" w:hAnsi="Cambria" w:cs="Calibri Light"/>
          <w:sz w:val="20"/>
          <w:szCs w:val="20"/>
        </w:rPr>
        <w:t xml:space="preserve">In 2003, the petitioners informed the Commission that the State had not yet carried out an impartial or effective investigation into Mr. </w:t>
      </w:r>
      <w:proofErr w:type="spellStart"/>
      <w:r w:rsidRPr="00D91E06">
        <w:rPr>
          <w:rFonts w:ascii="Cambria" w:hAnsi="Cambria" w:cs="Calibri Light"/>
          <w:sz w:val="20"/>
          <w:szCs w:val="20"/>
        </w:rPr>
        <w:t>Malary’s</w:t>
      </w:r>
      <w:proofErr w:type="spellEnd"/>
      <w:r w:rsidRPr="00D91E06">
        <w:rPr>
          <w:rFonts w:ascii="Cambria" w:hAnsi="Cambria" w:cs="Calibri Light"/>
          <w:sz w:val="20"/>
          <w:szCs w:val="20"/>
        </w:rPr>
        <w:t xml:space="preserve"> death nor had it brought those responsible to justice.</w:t>
      </w:r>
      <w:r w:rsidRPr="00D91E06">
        <w:rPr>
          <w:rStyle w:val="FootnoteReference"/>
          <w:rFonts w:ascii="Cambria" w:hAnsi="Cambria" w:cs="Calibri Light"/>
          <w:sz w:val="20"/>
          <w:szCs w:val="20"/>
        </w:rPr>
        <w:footnoteReference w:id="2"/>
      </w:r>
      <w:r w:rsidRPr="00D91E06">
        <w:rPr>
          <w:rFonts w:ascii="Cambria" w:hAnsi="Cambria" w:cs="Calibri Light"/>
          <w:sz w:val="20"/>
          <w:szCs w:val="20"/>
        </w:rPr>
        <w:t xml:space="preserve"> </w:t>
      </w:r>
    </w:p>
    <w:p w14:paraId="271744FB" w14:textId="77777777" w:rsidR="00D870B8" w:rsidRPr="00D91E06" w:rsidRDefault="00D870B8" w:rsidP="00D870B8">
      <w:pPr>
        <w:pStyle w:val="ListParagraph"/>
        <w:rPr>
          <w:rFonts w:ascii="Cambria" w:hAnsi="Cambria" w:cs="Calibri Light"/>
          <w:sz w:val="20"/>
          <w:szCs w:val="20"/>
        </w:rPr>
      </w:pPr>
    </w:p>
    <w:p w14:paraId="42BE1093" w14:textId="77777777" w:rsidR="00D870B8" w:rsidRPr="00D91E06" w:rsidRDefault="00D870B8" w:rsidP="00D870B8">
      <w:pPr>
        <w:pStyle w:val="ListParagraph"/>
        <w:numPr>
          <w:ilvl w:val="0"/>
          <w:numId w:val="10"/>
        </w:numPr>
        <w:ind w:left="0" w:firstLine="720"/>
        <w:jc w:val="both"/>
        <w:rPr>
          <w:rFonts w:ascii="Cambria" w:hAnsi="Cambria" w:cs="Calibri Light"/>
          <w:sz w:val="20"/>
          <w:szCs w:val="20"/>
        </w:rPr>
      </w:pPr>
      <w:proofErr w:type="gramStart"/>
      <w:r w:rsidRPr="00D91E06">
        <w:rPr>
          <w:rFonts w:ascii="Cambria" w:hAnsi="Cambria" w:cs="Calibri Light"/>
          <w:sz w:val="20"/>
          <w:szCs w:val="20"/>
        </w:rPr>
        <w:t xml:space="preserve">The Commission notes that it has not received detailed and up to date information regarding actions taken by the State to carry out a full, prompt, impartial, and effective investigation within the Haitian ordinary criminal jurisdiction in order to establish the responsibility of the authors of the violation of the right to life of Mr. Guy </w:t>
      </w:r>
      <w:proofErr w:type="spellStart"/>
      <w:r w:rsidRPr="00D91E06">
        <w:rPr>
          <w:rFonts w:ascii="Cambria" w:hAnsi="Cambria" w:cs="Calibri Light"/>
          <w:sz w:val="20"/>
          <w:szCs w:val="20"/>
        </w:rPr>
        <w:t>Malary</w:t>
      </w:r>
      <w:proofErr w:type="spellEnd"/>
      <w:r w:rsidRPr="00D91E06">
        <w:rPr>
          <w:rFonts w:ascii="Cambria" w:hAnsi="Cambria" w:cs="Calibri Light"/>
          <w:sz w:val="20"/>
          <w:szCs w:val="20"/>
        </w:rPr>
        <w:t xml:space="preserve"> and to punish those responsible.</w:t>
      </w:r>
      <w:proofErr w:type="gramEnd"/>
      <w:r w:rsidRPr="00D91E06">
        <w:rPr>
          <w:rFonts w:ascii="Cambria" w:hAnsi="Cambria" w:cs="Calibri Light"/>
          <w:sz w:val="20"/>
          <w:szCs w:val="20"/>
        </w:rPr>
        <w:t xml:space="preserve"> Based on this, the Commission finds that Recommendation 1 is pending compliance. </w:t>
      </w:r>
      <w:r w:rsidRPr="00D91E06">
        <w:rPr>
          <w:rFonts w:ascii="Cambria" w:hAnsi="Cambria" w:cs="Calibri Light"/>
          <w:b/>
          <w:sz w:val="20"/>
          <w:szCs w:val="20"/>
        </w:rPr>
        <w:t xml:space="preserve"> </w:t>
      </w:r>
    </w:p>
    <w:p w14:paraId="108EA482" w14:textId="77777777" w:rsidR="00D870B8" w:rsidRPr="00D91E06" w:rsidRDefault="00D870B8" w:rsidP="00D870B8">
      <w:pPr>
        <w:pStyle w:val="ListParagraph"/>
        <w:jc w:val="both"/>
        <w:rPr>
          <w:rFonts w:ascii="Cambria" w:hAnsi="Cambria" w:cs="Calibri Light"/>
          <w:b/>
          <w:sz w:val="20"/>
          <w:szCs w:val="20"/>
        </w:rPr>
      </w:pPr>
    </w:p>
    <w:p w14:paraId="4B49BF2E" w14:textId="77777777" w:rsidR="00D870B8" w:rsidRPr="00D91E06" w:rsidRDefault="00D870B8" w:rsidP="00D870B8">
      <w:pPr>
        <w:pStyle w:val="ListParagraph"/>
        <w:numPr>
          <w:ilvl w:val="0"/>
          <w:numId w:val="10"/>
        </w:numPr>
        <w:ind w:left="0" w:firstLine="720"/>
        <w:jc w:val="both"/>
        <w:rPr>
          <w:rFonts w:ascii="Cambria" w:hAnsi="Cambria" w:cs="Calibri Light"/>
          <w:b/>
          <w:sz w:val="20"/>
          <w:szCs w:val="20"/>
        </w:rPr>
      </w:pPr>
      <w:r w:rsidRPr="00D91E06">
        <w:rPr>
          <w:rFonts w:ascii="Cambria" w:hAnsi="Cambria" w:cs="Calibri Light"/>
          <w:b/>
          <w:sz w:val="20"/>
          <w:szCs w:val="20"/>
        </w:rPr>
        <w:t>Regarding the second recommendation</w:t>
      </w:r>
      <w:r w:rsidRPr="00D91E06">
        <w:rPr>
          <w:rFonts w:ascii="Cambria" w:hAnsi="Cambria" w:cs="Calibri Light"/>
          <w:sz w:val="20"/>
          <w:szCs w:val="20"/>
        </w:rPr>
        <w:t>,</w:t>
      </w:r>
      <w:r w:rsidRPr="00D91E06">
        <w:rPr>
          <w:rFonts w:ascii="Cambria" w:hAnsi="Cambria" w:cs="Calibri Light"/>
          <w:b/>
          <w:sz w:val="20"/>
          <w:szCs w:val="20"/>
        </w:rPr>
        <w:t xml:space="preserve"> </w:t>
      </w:r>
      <w:r w:rsidRPr="00D91E06">
        <w:rPr>
          <w:rFonts w:ascii="Cambria" w:hAnsi="Cambria" w:cs="Calibri Light"/>
          <w:sz w:val="20"/>
          <w:szCs w:val="20"/>
        </w:rPr>
        <w:t xml:space="preserve">the State of Haiti has not presented specific information about compliance with this recommendation. However, during the Commission’s two </w:t>
      </w:r>
      <w:r w:rsidRPr="00D91E06">
        <w:rPr>
          <w:rFonts w:ascii="Cambria" w:hAnsi="Cambria" w:cs="Calibri Light"/>
          <w:i/>
          <w:sz w:val="20"/>
          <w:szCs w:val="20"/>
        </w:rPr>
        <w:t>in situ</w:t>
      </w:r>
      <w:r w:rsidRPr="00D91E06">
        <w:rPr>
          <w:rFonts w:ascii="Cambria" w:hAnsi="Cambria" w:cs="Calibri Light"/>
          <w:sz w:val="20"/>
          <w:szCs w:val="20"/>
        </w:rPr>
        <w:t xml:space="preserve"> visits undertaken to the country in 2002, representatives of the State expressed to the delegation of the IACHR their willingness to pay compensation to Mr. </w:t>
      </w:r>
      <w:proofErr w:type="spellStart"/>
      <w:r w:rsidRPr="00D91E06">
        <w:rPr>
          <w:rFonts w:ascii="Cambria" w:hAnsi="Cambria" w:cs="Calibri Light"/>
          <w:sz w:val="20"/>
          <w:szCs w:val="20"/>
        </w:rPr>
        <w:t>Malary’s</w:t>
      </w:r>
      <w:proofErr w:type="spellEnd"/>
      <w:r w:rsidRPr="00D91E06">
        <w:rPr>
          <w:rFonts w:ascii="Cambria" w:hAnsi="Cambria" w:cs="Calibri Light"/>
          <w:sz w:val="20"/>
          <w:szCs w:val="20"/>
        </w:rPr>
        <w:t xml:space="preserve"> next-of-kin.</w:t>
      </w:r>
      <w:r w:rsidRPr="00D91E06">
        <w:rPr>
          <w:rStyle w:val="FootnoteReference"/>
          <w:rFonts w:ascii="Cambria" w:hAnsi="Cambria" w:cs="Calibri Light"/>
          <w:sz w:val="20"/>
          <w:szCs w:val="20"/>
        </w:rPr>
        <w:footnoteReference w:id="3"/>
      </w:r>
      <w:r w:rsidRPr="00D91E06">
        <w:rPr>
          <w:rFonts w:ascii="Cambria" w:hAnsi="Cambria" w:cs="Calibri Light"/>
          <w:sz w:val="20"/>
          <w:szCs w:val="20"/>
        </w:rPr>
        <w:t xml:space="preserve"> </w:t>
      </w:r>
    </w:p>
    <w:p w14:paraId="67382B24" w14:textId="77777777" w:rsidR="00D870B8" w:rsidRPr="00D91E06" w:rsidRDefault="00D870B8" w:rsidP="00D870B8">
      <w:pPr>
        <w:jc w:val="both"/>
        <w:rPr>
          <w:rFonts w:ascii="Cambria" w:hAnsi="Cambria" w:cs="Calibri Light"/>
          <w:b/>
          <w:sz w:val="20"/>
          <w:szCs w:val="20"/>
        </w:rPr>
      </w:pPr>
    </w:p>
    <w:p w14:paraId="70DBDF57" w14:textId="77777777" w:rsidR="00D870B8" w:rsidRPr="00D91E06" w:rsidRDefault="00D870B8" w:rsidP="00D870B8">
      <w:pPr>
        <w:pStyle w:val="ListParagraph"/>
        <w:numPr>
          <w:ilvl w:val="0"/>
          <w:numId w:val="10"/>
        </w:numPr>
        <w:ind w:left="0" w:firstLine="720"/>
        <w:jc w:val="both"/>
        <w:rPr>
          <w:rFonts w:ascii="Cambria" w:hAnsi="Cambria" w:cs="Calibri Light"/>
          <w:b/>
          <w:sz w:val="20"/>
          <w:szCs w:val="20"/>
        </w:rPr>
      </w:pPr>
      <w:r w:rsidRPr="00D91E06">
        <w:rPr>
          <w:rFonts w:ascii="Cambria" w:hAnsi="Cambria" w:cs="Calibri Light"/>
          <w:sz w:val="20"/>
          <w:szCs w:val="20"/>
        </w:rPr>
        <w:t>In 2003, the petitioners informed the Commission that the Haitian State had not yet provided reparations to the next-of-kin of the victim.</w:t>
      </w:r>
      <w:r w:rsidRPr="00D91E06">
        <w:rPr>
          <w:rStyle w:val="FootnoteReference"/>
          <w:rFonts w:ascii="Cambria" w:hAnsi="Cambria" w:cs="Calibri Light"/>
          <w:sz w:val="20"/>
          <w:szCs w:val="20"/>
        </w:rPr>
        <w:footnoteReference w:id="4"/>
      </w:r>
      <w:r w:rsidRPr="00D91E06">
        <w:rPr>
          <w:rFonts w:ascii="Cambria" w:hAnsi="Cambria" w:cs="Calibri Light"/>
          <w:sz w:val="20"/>
          <w:szCs w:val="20"/>
        </w:rPr>
        <w:t xml:space="preserve">  </w:t>
      </w:r>
    </w:p>
    <w:p w14:paraId="3E13EF96" w14:textId="77777777" w:rsidR="00D870B8" w:rsidRPr="00D91E06" w:rsidRDefault="00D870B8" w:rsidP="00D870B8">
      <w:pPr>
        <w:pStyle w:val="ListParagraph"/>
        <w:jc w:val="both"/>
        <w:rPr>
          <w:rFonts w:ascii="Cambria" w:hAnsi="Cambria" w:cs="Calibri Light"/>
          <w:b/>
          <w:sz w:val="20"/>
          <w:szCs w:val="20"/>
        </w:rPr>
      </w:pPr>
    </w:p>
    <w:p w14:paraId="1DDB2563" w14:textId="77777777" w:rsidR="00D870B8" w:rsidRPr="00D91E06" w:rsidRDefault="00D870B8" w:rsidP="00D870B8">
      <w:pPr>
        <w:pStyle w:val="ListParagraph"/>
        <w:numPr>
          <w:ilvl w:val="0"/>
          <w:numId w:val="10"/>
        </w:numPr>
        <w:ind w:left="0" w:firstLine="720"/>
        <w:jc w:val="both"/>
        <w:rPr>
          <w:rFonts w:ascii="Cambria" w:hAnsi="Cambria" w:cs="Calibri Light"/>
          <w:b/>
          <w:sz w:val="20"/>
          <w:szCs w:val="20"/>
        </w:rPr>
      </w:pPr>
      <w:r w:rsidRPr="00D91E06">
        <w:rPr>
          <w:rFonts w:ascii="Cambria" w:hAnsi="Cambria" w:cs="Calibri Light"/>
          <w:sz w:val="20"/>
          <w:szCs w:val="20"/>
        </w:rPr>
        <w:t xml:space="preserve">The Commission notes that it has not received information regarding actions taken by the State to provide full reparation to the next-of-kin of the victim. Based on this, the Commission finds that Recommendation 2 is pending compliance. </w:t>
      </w:r>
    </w:p>
    <w:p w14:paraId="7B35FCE9" w14:textId="77777777" w:rsidR="00D870B8" w:rsidRPr="00D91E06" w:rsidRDefault="00D870B8" w:rsidP="00D870B8">
      <w:pPr>
        <w:pStyle w:val="ListParagraph"/>
        <w:jc w:val="both"/>
        <w:rPr>
          <w:rFonts w:ascii="Cambria" w:hAnsi="Cambria" w:cs="Calibri Light"/>
          <w:b/>
          <w:sz w:val="20"/>
          <w:szCs w:val="20"/>
        </w:rPr>
      </w:pPr>
    </w:p>
    <w:p w14:paraId="61346E74" w14:textId="77777777" w:rsidR="00D870B8" w:rsidRPr="00D91E06" w:rsidRDefault="00D870B8" w:rsidP="00D870B8">
      <w:pPr>
        <w:pStyle w:val="ListParagraph"/>
        <w:numPr>
          <w:ilvl w:val="0"/>
          <w:numId w:val="10"/>
        </w:numPr>
        <w:ind w:left="0" w:firstLine="720"/>
        <w:jc w:val="both"/>
        <w:rPr>
          <w:rFonts w:ascii="Cambria" w:hAnsi="Cambria" w:cs="Calibri Light"/>
          <w:b/>
          <w:sz w:val="20"/>
          <w:szCs w:val="20"/>
        </w:rPr>
      </w:pPr>
      <w:proofErr w:type="gramStart"/>
      <w:r w:rsidRPr="00D91E06">
        <w:rPr>
          <w:rFonts w:ascii="Cambria" w:hAnsi="Cambria" w:cs="Calibri Light"/>
          <w:b/>
          <w:sz w:val="20"/>
          <w:szCs w:val="20"/>
        </w:rPr>
        <w:t>With regards to</w:t>
      </w:r>
      <w:proofErr w:type="gramEnd"/>
      <w:r w:rsidRPr="00D91E06">
        <w:rPr>
          <w:rFonts w:ascii="Cambria" w:hAnsi="Cambria" w:cs="Calibri Light"/>
          <w:b/>
          <w:sz w:val="20"/>
          <w:szCs w:val="20"/>
        </w:rPr>
        <w:t xml:space="preserve"> the third recommendation</w:t>
      </w:r>
      <w:r w:rsidRPr="00D91E06">
        <w:rPr>
          <w:rFonts w:ascii="Cambria" w:hAnsi="Cambria" w:cs="Calibri Light"/>
          <w:sz w:val="20"/>
          <w:szCs w:val="20"/>
        </w:rPr>
        <w:t>,</w:t>
      </w:r>
      <w:r w:rsidRPr="00D91E06">
        <w:rPr>
          <w:rFonts w:ascii="Cambria" w:hAnsi="Cambria" w:cs="Calibri Light"/>
          <w:b/>
          <w:sz w:val="20"/>
          <w:szCs w:val="20"/>
        </w:rPr>
        <w:t xml:space="preserve"> </w:t>
      </w:r>
      <w:r w:rsidRPr="00D91E06">
        <w:rPr>
          <w:rFonts w:ascii="Cambria" w:hAnsi="Cambria" w:cs="Calibri Light"/>
          <w:sz w:val="20"/>
          <w:szCs w:val="20"/>
        </w:rPr>
        <w:t xml:space="preserve">neither the State nor the petitioners have presented specific information about compliance with this recommendation. </w:t>
      </w:r>
    </w:p>
    <w:p w14:paraId="337E4310" w14:textId="77777777" w:rsidR="00D870B8" w:rsidRPr="00D91E06" w:rsidRDefault="00D870B8" w:rsidP="00D870B8">
      <w:pPr>
        <w:pStyle w:val="ListParagraph"/>
        <w:rPr>
          <w:rFonts w:ascii="Cambria" w:hAnsi="Cambria" w:cs="Calibri Light"/>
          <w:sz w:val="20"/>
          <w:szCs w:val="20"/>
        </w:rPr>
      </w:pPr>
    </w:p>
    <w:p w14:paraId="0DDF9E5F" w14:textId="77777777" w:rsidR="00D870B8" w:rsidRPr="00D91E06" w:rsidRDefault="00D870B8" w:rsidP="00D870B8">
      <w:pPr>
        <w:pStyle w:val="ListParagraph"/>
        <w:numPr>
          <w:ilvl w:val="0"/>
          <w:numId w:val="10"/>
        </w:numPr>
        <w:ind w:left="0" w:firstLine="720"/>
        <w:jc w:val="both"/>
        <w:rPr>
          <w:rFonts w:ascii="Cambria" w:hAnsi="Cambria" w:cs="Calibri Light"/>
          <w:b/>
          <w:sz w:val="20"/>
          <w:szCs w:val="20"/>
        </w:rPr>
      </w:pPr>
      <w:r w:rsidRPr="00D91E06">
        <w:rPr>
          <w:rFonts w:ascii="Cambria" w:hAnsi="Cambria" w:cs="Calibri Light"/>
          <w:sz w:val="20"/>
          <w:szCs w:val="20"/>
        </w:rPr>
        <w:t xml:space="preserve">The Commission notes that it has not received information regarding measures adopted by the State to carry out programs targeting the competent judicial authorities responsible for judicial investigations and auxiliary proceedings, in order for them to conduct criminal proceedings in the accordance with international instruments on human rights. The Commission urges the State to adopt actions to comply with this recommendation and to inform the IACHR of these actions. Based on this, the Commission finds that Recommendation 3 is pending compliance. </w:t>
      </w:r>
    </w:p>
    <w:p w14:paraId="1C96E9C0" w14:textId="707AB13B" w:rsidR="00D870B8" w:rsidRPr="00D91E06" w:rsidRDefault="00D870B8" w:rsidP="00D870B8">
      <w:pPr>
        <w:rPr>
          <w:rFonts w:ascii="Cambria" w:hAnsi="Cambria"/>
          <w:sz w:val="20"/>
          <w:szCs w:val="20"/>
        </w:rPr>
      </w:pPr>
    </w:p>
    <w:p w14:paraId="2DEE070A" w14:textId="0543807C" w:rsidR="002E6165" w:rsidRPr="00D91E06" w:rsidRDefault="002E6165" w:rsidP="00D870B8">
      <w:pPr>
        <w:rPr>
          <w:rFonts w:ascii="Cambria" w:hAnsi="Cambria"/>
          <w:sz w:val="20"/>
          <w:szCs w:val="20"/>
        </w:rPr>
      </w:pPr>
    </w:p>
    <w:p w14:paraId="09A4B545" w14:textId="0D987267" w:rsidR="002E6165" w:rsidRPr="00D91E06" w:rsidRDefault="002E6165" w:rsidP="00D870B8">
      <w:pPr>
        <w:rPr>
          <w:rFonts w:ascii="Cambria" w:hAnsi="Cambria"/>
          <w:sz w:val="20"/>
          <w:szCs w:val="20"/>
        </w:rPr>
      </w:pPr>
    </w:p>
    <w:p w14:paraId="2C698E2B" w14:textId="663B4EAA" w:rsidR="002E6165" w:rsidRPr="00D91E06" w:rsidRDefault="002E6165" w:rsidP="00D870B8">
      <w:pPr>
        <w:rPr>
          <w:rFonts w:ascii="Cambria" w:hAnsi="Cambria"/>
          <w:sz w:val="20"/>
          <w:szCs w:val="20"/>
        </w:rPr>
      </w:pPr>
    </w:p>
    <w:p w14:paraId="0C45C639" w14:textId="77777777" w:rsidR="002E6165" w:rsidRPr="00D91E06" w:rsidRDefault="002E6165" w:rsidP="00D870B8">
      <w:pPr>
        <w:rPr>
          <w:rFonts w:ascii="Cambria" w:hAnsi="Cambria"/>
          <w:sz w:val="20"/>
          <w:szCs w:val="20"/>
        </w:rPr>
      </w:pPr>
    </w:p>
    <w:p w14:paraId="6492250B" w14:textId="77777777" w:rsidR="00D870B8" w:rsidRPr="00D91E06" w:rsidRDefault="00D870B8" w:rsidP="00D870B8">
      <w:pPr>
        <w:pStyle w:val="ListParagraph"/>
        <w:numPr>
          <w:ilvl w:val="0"/>
          <w:numId w:val="8"/>
        </w:numPr>
        <w:ind w:left="1440"/>
        <w:jc w:val="both"/>
        <w:rPr>
          <w:rFonts w:ascii="Cambria" w:hAnsi="Cambria" w:cs="Calibri Light"/>
          <w:b/>
          <w:sz w:val="20"/>
          <w:szCs w:val="20"/>
        </w:rPr>
      </w:pPr>
      <w:r w:rsidRPr="00D91E06">
        <w:rPr>
          <w:rFonts w:ascii="Cambria" w:hAnsi="Cambria" w:cs="Calibri Light"/>
          <w:b/>
          <w:sz w:val="20"/>
          <w:szCs w:val="20"/>
        </w:rPr>
        <w:lastRenderedPageBreak/>
        <w:t xml:space="preserve">Level of compliance of the case  </w:t>
      </w:r>
    </w:p>
    <w:p w14:paraId="55A3FCF9" w14:textId="77777777" w:rsidR="00D870B8" w:rsidRPr="00D91E06" w:rsidRDefault="00D870B8" w:rsidP="00D870B8">
      <w:pPr>
        <w:jc w:val="both"/>
        <w:rPr>
          <w:rFonts w:ascii="Cambria" w:hAnsi="Cambria" w:cs="Calibri Light"/>
          <w:sz w:val="20"/>
          <w:szCs w:val="20"/>
        </w:rPr>
      </w:pPr>
    </w:p>
    <w:p w14:paraId="0F2CBE77" w14:textId="77777777" w:rsidR="00D870B8" w:rsidRPr="00D91E06" w:rsidRDefault="00D870B8" w:rsidP="00D870B8">
      <w:pPr>
        <w:pStyle w:val="ListParagraph"/>
        <w:numPr>
          <w:ilvl w:val="0"/>
          <w:numId w:val="10"/>
        </w:numPr>
        <w:ind w:left="0" w:firstLine="720"/>
        <w:jc w:val="both"/>
        <w:rPr>
          <w:rFonts w:ascii="Cambria" w:hAnsi="Cambria" w:cs="Calibri Light"/>
          <w:sz w:val="20"/>
          <w:szCs w:val="20"/>
        </w:rPr>
      </w:pPr>
      <w:r w:rsidRPr="00D91E06">
        <w:rPr>
          <w:rFonts w:ascii="Cambria" w:hAnsi="Cambria" w:cs="Calibri Light"/>
          <w:sz w:val="20"/>
          <w:szCs w:val="20"/>
        </w:rPr>
        <w:t xml:space="preserve">Based on the foregoing, the IACHR concludes that the level of compliance of the case is pending. Consequently, the Commission will continue to monitor compliance with Recommendations 1, 2 and 3. </w:t>
      </w:r>
    </w:p>
    <w:p w14:paraId="4293A52F" w14:textId="77777777" w:rsidR="00D870B8" w:rsidRPr="00D91E06" w:rsidRDefault="00D870B8" w:rsidP="00D870B8">
      <w:pPr>
        <w:jc w:val="both"/>
        <w:rPr>
          <w:rFonts w:ascii="Cambria" w:hAnsi="Cambria" w:cs="Calibri Light"/>
          <w:sz w:val="20"/>
          <w:szCs w:val="20"/>
        </w:rPr>
      </w:pPr>
    </w:p>
    <w:p w14:paraId="3534E0A1" w14:textId="77777777" w:rsidR="00D870B8" w:rsidRPr="00D91E06" w:rsidRDefault="00D870B8" w:rsidP="00D870B8">
      <w:pPr>
        <w:pStyle w:val="ListParagraph"/>
        <w:numPr>
          <w:ilvl w:val="0"/>
          <w:numId w:val="10"/>
        </w:numPr>
        <w:ind w:left="0" w:firstLine="720"/>
        <w:jc w:val="both"/>
        <w:rPr>
          <w:rFonts w:ascii="Cambria" w:hAnsi="Cambria"/>
          <w:sz w:val="20"/>
          <w:szCs w:val="20"/>
        </w:rPr>
      </w:pPr>
      <w:r w:rsidRPr="00D91E06">
        <w:rPr>
          <w:rFonts w:ascii="Cambria" w:hAnsi="Cambria" w:cs="Calibri Light"/>
          <w:sz w:val="20"/>
          <w:szCs w:val="20"/>
        </w:rPr>
        <w:t xml:space="preserve">The Commission calls the State to adopt the necessary measures to comply with the recommendations issued in Merits Report No. 78/02 and to provide up to date and detailed information on these measures to the Commission. At the same time, the IACHR invites the petitioners to present information about measures adopted by the State to comply with the Commission’s recommendations.  </w:t>
      </w:r>
    </w:p>
    <w:p w14:paraId="489A5130" w14:textId="77777777" w:rsidR="00D870B8" w:rsidRPr="00D91E06" w:rsidRDefault="00D870B8" w:rsidP="00D870B8">
      <w:pPr>
        <w:jc w:val="both"/>
        <w:rPr>
          <w:rFonts w:ascii="Cambria" w:hAnsi="Cambria"/>
          <w:sz w:val="20"/>
          <w:szCs w:val="20"/>
        </w:rPr>
      </w:pPr>
    </w:p>
    <w:p w14:paraId="632969F7" w14:textId="77777777" w:rsidR="00D870B8" w:rsidRPr="00D91E06" w:rsidRDefault="00D870B8" w:rsidP="00D870B8">
      <w:pPr>
        <w:pStyle w:val="ListParagraph"/>
        <w:numPr>
          <w:ilvl w:val="0"/>
          <w:numId w:val="8"/>
        </w:numPr>
        <w:ind w:left="1440"/>
        <w:rPr>
          <w:rFonts w:ascii="Cambria" w:hAnsi="Cambria"/>
          <w:b/>
          <w:sz w:val="20"/>
          <w:szCs w:val="20"/>
        </w:rPr>
      </w:pPr>
      <w:r w:rsidRPr="00D91E06">
        <w:rPr>
          <w:rFonts w:ascii="Cambria" w:hAnsi="Cambria"/>
          <w:b/>
          <w:sz w:val="20"/>
          <w:szCs w:val="20"/>
        </w:rPr>
        <w:t xml:space="preserve">Individual and structural results of the case </w:t>
      </w:r>
    </w:p>
    <w:p w14:paraId="46D3062A" w14:textId="77777777" w:rsidR="00D870B8" w:rsidRPr="00D91E06" w:rsidRDefault="00D870B8" w:rsidP="00D870B8">
      <w:pPr>
        <w:pStyle w:val="ListParagraph"/>
        <w:rPr>
          <w:rFonts w:ascii="Cambria" w:hAnsi="Cambria"/>
          <w:b/>
          <w:sz w:val="20"/>
          <w:szCs w:val="20"/>
        </w:rPr>
      </w:pPr>
    </w:p>
    <w:p w14:paraId="28A06681" w14:textId="77777777" w:rsidR="00D870B8" w:rsidRPr="00D91E06" w:rsidRDefault="00D870B8" w:rsidP="00D870B8">
      <w:pPr>
        <w:pStyle w:val="ListParagraph"/>
        <w:numPr>
          <w:ilvl w:val="0"/>
          <w:numId w:val="10"/>
        </w:numPr>
        <w:ind w:left="0" w:firstLine="720"/>
        <w:jc w:val="both"/>
        <w:rPr>
          <w:rFonts w:ascii="Cambria" w:hAnsi="Cambria"/>
          <w:sz w:val="20"/>
          <w:szCs w:val="20"/>
        </w:rPr>
      </w:pPr>
      <w:r w:rsidRPr="00D91E06">
        <w:rPr>
          <w:rFonts w:ascii="Cambria" w:hAnsi="Cambria"/>
          <w:sz w:val="20"/>
          <w:szCs w:val="20"/>
        </w:rPr>
        <w:t xml:space="preserve">Given that this case is pending compliance, there are no individual or structural </w:t>
      </w:r>
      <w:proofErr w:type="gramStart"/>
      <w:r w:rsidRPr="00D91E06">
        <w:rPr>
          <w:rFonts w:ascii="Cambria" w:hAnsi="Cambria"/>
          <w:sz w:val="20"/>
          <w:szCs w:val="20"/>
        </w:rPr>
        <w:t>results which</w:t>
      </w:r>
      <w:proofErr w:type="gramEnd"/>
      <w:r w:rsidRPr="00D91E06">
        <w:rPr>
          <w:rFonts w:ascii="Cambria" w:hAnsi="Cambria"/>
          <w:sz w:val="20"/>
          <w:szCs w:val="20"/>
        </w:rPr>
        <w:t xml:space="preserve"> have been informed by the parties.</w:t>
      </w:r>
    </w:p>
    <w:p w14:paraId="24A0B2C5" w14:textId="43F706EF" w:rsidR="00BD17B0" w:rsidRPr="00D870B8" w:rsidRDefault="00BD17B0" w:rsidP="008463D3">
      <w:pPr>
        <w:jc w:val="center"/>
        <w:rPr>
          <w:sz w:val="20"/>
          <w:szCs w:val="20"/>
        </w:rPr>
      </w:pPr>
      <w:bookmarkStart w:id="0" w:name="_GoBack"/>
      <w:bookmarkEnd w:id="0"/>
    </w:p>
    <w:p w14:paraId="76D1D0B8" w14:textId="6A411123" w:rsidR="00BD17B0" w:rsidRPr="00D870B8" w:rsidRDefault="00BD17B0" w:rsidP="008463D3">
      <w:pPr>
        <w:jc w:val="center"/>
        <w:rPr>
          <w:sz w:val="20"/>
          <w:szCs w:val="20"/>
        </w:rPr>
      </w:pPr>
    </w:p>
    <w:p w14:paraId="5D3B53F0" w14:textId="4810116D" w:rsidR="00BD17B0" w:rsidRPr="00D870B8" w:rsidRDefault="00BD17B0" w:rsidP="008463D3">
      <w:pPr>
        <w:jc w:val="center"/>
        <w:rPr>
          <w:sz w:val="20"/>
          <w:szCs w:val="20"/>
        </w:rPr>
      </w:pPr>
    </w:p>
    <w:p w14:paraId="2B796A60" w14:textId="6BF2AE4D" w:rsidR="00BD17B0" w:rsidRPr="00D870B8" w:rsidRDefault="00BD17B0" w:rsidP="008463D3">
      <w:pPr>
        <w:jc w:val="center"/>
        <w:rPr>
          <w:sz w:val="20"/>
          <w:szCs w:val="20"/>
        </w:rPr>
      </w:pPr>
    </w:p>
    <w:p w14:paraId="5815C079" w14:textId="5585CF93" w:rsidR="00BD17B0" w:rsidRPr="00D870B8" w:rsidRDefault="00BD17B0" w:rsidP="008463D3">
      <w:pPr>
        <w:jc w:val="center"/>
        <w:rPr>
          <w:sz w:val="20"/>
          <w:szCs w:val="20"/>
        </w:rPr>
      </w:pPr>
    </w:p>
    <w:p w14:paraId="097930A5" w14:textId="094BCF2F" w:rsidR="00BD17B0" w:rsidRPr="00D870B8" w:rsidRDefault="00BD17B0" w:rsidP="008463D3">
      <w:pPr>
        <w:jc w:val="center"/>
        <w:rPr>
          <w:sz w:val="20"/>
          <w:szCs w:val="20"/>
        </w:rPr>
      </w:pPr>
    </w:p>
    <w:p w14:paraId="3C57FC1E" w14:textId="166FCDAA" w:rsidR="00BD17B0" w:rsidRPr="00D870B8" w:rsidRDefault="00BD17B0" w:rsidP="008463D3">
      <w:pPr>
        <w:jc w:val="center"/>
        <w:rPr>
          <w:sz w:val="20"/>
          <w:szCs w:val="20"/>
        </w:rPr>
      </w:pPr>
    </w:p>
    <w:p w14:paraId="5A31A02A" w14:textId="3CDA47F2" w:rsidR="00BD17B0" w:rsidRPr="00D870B8" w:rsidRDefault="00BD17B0" w:rsidP="008463D3">
      <w:pPr>
        <w:jc w:val="center"/>
        <w:rPr>
          <w:sz w:val="20"/>
          <w:szCs w:val="20"/>
        </w:rPr>
      </w:pPr>
    </w:p>
    <w:p w14:paraId="1D06DCD8" w14:textId="2B52FA59" w:rsidR="00BD17B0" w:rsidRPr="00D870B8" w:rsidRDefault="00BD17B0" w:rsidP="008463D3">
      <w:pPr>
        <w:jc w:val="center"/>
        <w:rPr>
          <w:sz w:val="20"/>
          <w:szCs w:val="20"/>
        </w:rPr>
      </w:pPr>
    </w:p>
    <w:p w14:paraId="295B04CC" w14:textId="23D3BF22" w:rsidR="00BD17B0" w:rsidRPr="00D870B8" w:rsidRDefault="00BD17B0" w:rsidP="008463D3">
      <w:pPr>
        <w:jc w:val="center"/>
        <w:rPr>
          <w:sz w:val="20"/>
          <w:szCs w:val="20"/>
        </w:rPr>
      </w:pPr>
    </w:p>
    <w:p w14:paraId="0D583799" w14:textId="0C599D8F" w:rsidR="00BD17B0" w:rsidRPr="00D870B8" w:rsidRDefault="00BD17B0" w:rsidP="008463D3">
      <w:pPr>
        <w:jc w:val="center"/>
        <w:rPr>
          <w:sz w:val="20"/>
          <w:szCs w:val="20"/>
        </w:rPr>
      </w:pPr>
    </w:p>
    <w:p w14:paraId="64FE3A88" w14:textId="08186D78" w:rsidR="00BD17B0" w:rsidRPr="00D870B8" w:rsidRDefault="00BD17B0" w:rsidP="008463D3">
      <w:pPr>
        <w:jc w:val="center"/>
        <w:rPr>
          <w:sz w:val="20"/>
          <w:szCs w:val="20"/>
        </w:rPr>
      </w:pPr>
    </w:p>
    <w:p w14:paraId="2C2C43F3" w14:textId="39379353" w:rsidR="00BD17B0" w:rsidRPr="00D870B8" w:rsidRDefault="00BD17B0" w:rsidP="008463D3">
      <w:pPr>
        <w:jc w:val="center"/>
        <w:rPr>
          <w:sz w:val="20"/>
          <w:szCs w:val="20"/>
        </w:rPr>
      </w:pPr>
    </w:p>
    <w:p w14:paraId="241BAD06" w14:textId="54C978CC" w:rsidR="00BD17B0" w:rsidRPr="00D870B8" w:rsidRDefault="00BD17B0" w:rsidP="008463D3">
      <w:pPr>
        <w:jc w:val="center"/>
        <w:rPr>
          <w:sz w:val="20"/>
          <w:szCs w:val="20"/>
        </w:rPr>
      </w:pPr>
    </w:p>
    <w:p w14:paraId="502C1E19" w14:textId="478B85D0" w:rsidR="00BD17B0" w:rsidRPr="00D870B8" w:rsidRDefault="00BD17B0" w:rsidP="008463D3">
      <w:pPr>
        <w:jc w:val="center"/>
        <w:rPr>
          <w:sz w:val="20"/>
          <w:szCs w:val="20"/>
        </w:rPr>
      </w:pPr>
    </w:p>
    <w:p w14:paraId="4E996982" w14:textId="6E717E1C" w:rsidR="00BD17B0" w:rsidRPr="00D870B8" w:rsidRDefault="00BD17B0" w:rsidP="008463D3">
      <w:pPr>
        <w:jc w:val="center"/>
        <w:rPr>
          <w:sz w:val="20"/>
          <w:szCs w:val="20"/>
        </w:rPr>
      </w:pPr>
    </w:p>
    <w:p w14:paraId="12FFE8DE" w14:textId="7E954750" w:rsidR="00BD17B0" w:rsidRPr="00D870B8" w:rsidRDefault="00BD17B0" w:rsidP="008463D3">
      <w:pPr>
        <w:jc w:val="center"/>
        <w:rPr>
          <w:sz w:val="20"/>
          <w:szCs w:val="20"/>
        </w:rPr>
      </w:pPr>
    </w:p>
    <w:p w14:paraId="3FDDD0E2" w14:textId="3BA33BA7" w:rsidR="00BD17B0" w:rsidRPr="00D870B8" w:rsidRDefault="00BD17B0" w:rsidP="008463D3">
      <w:pPr>
        <w:jc w:val="center"/>
        <w:rPr>
          <w:sz w:val="20"/>
          <w:szCs w:val="20"/>
        </w:rPr>
      </w:pPr>
    </w:p>
    <w:p w14:paraId="00344F70" w14:textId="71D82006" w:rsidR="00BD17B0" w:rsidRPr="00D870B8" w:rsidRDefault="00BD17B0" w:rsidP="008463D3">
      <w:pPr>
        <w:jc w:val="center"/>
        <w:rPr>
          <w:sz w:val="20"/>
          <w:szCs w:val="20"/>
        </w:rPr>
      </w:pPr>
    </w:p>
    <w:p w14:paraId="0B518A0F" w14:textId="522A1752" w:rsidR="00BD17B0" w:rsidRPr="00D870B8" w:rsidRDefault="00BD17B0" w:rsidP="008463D3">
      <w:pPr>
        <w:jc w:val="center"/>
        <w:rPr>
          <w:sz w:val="20"/>
          <w:szCs w:val="20"/>
        </w:rPr>
      </w:pPr>
    </w:p>
    <w:p w14:paraId="33CD95A2" w14:textId="70F23074" w:rsidR="00BD17B0" w:rsidRPr="00D870B8" w:rsidRDefault="00BD17B0" w:rsidP="008463D3">
      <w:pPr>
        <w:jc w:val="center"/>
        <w:rPr>
          <w:sz w:val="20"/>
          <w:szCs w:val="20"/>
        </w:rPr>
      </w:pPr>
    </w:p>
    <w:p w14:paraId="1639D2B8" w14:textId="4355AAFE" w:rsidR="00BD17B0" w:rsidRPr="00D870B8" w:rsidRDefault="00BD17B0" w:rsidP="008463D3">
      <w:pPr>
        <w:jc w:val="center"/>
        <w:rPr>
          <w:sz w:val="20"/>
          <w:szCs w:val="20"/>
        </w:rPr>
      </w:pPr>
    </w:p>
    <w:p w14:paraId="488DBD6C" w14:textId="00A8A856" w:rsidR="00BD17B0" w:rsidRPr="00D870B8" w:rsidRDefault="00BD17B0" w:rsidP="008463D3">
      <w:pPr>
        <w:jc w:val="center"/>
        <w:rPr>
          <w:sz w:val="20"/>
          <w:szCs w:val="20"/>
        </w:rPr>
      </w:pPr>
    </w:p>
    <w:p w14:paraId="614EA563" w14:textId="212B9F02" w:rsidR="00BD17B0" w:rsidRPr="00D870B8" w:rsidRDefault="00BD17B0" w:rsidP="008463D3">
      <w:pPr>
        <w:jc w:val="center"/>
        <w:rPr>
          <w:sz w:val="20"/>
          <w:szCs w:val="20"/>
        </w:rPr>
      </w:pPr>
    </w:p>
    <w:p w14:paraId="217FDF14" w14:textId="419DC374" w:rsidR="00BD17B0" w:rsidRPr="00D870B8" w:rsidRDefault="00BD17B0" w:rsidP="008463D3">
      <w:pPr>
        <w:jc w:val="center"/>
        <w:rPr>
          <w:sz w:val="20"/>
          <w:szCs w:val="20"/>
        </w:rPr>
      </w:pPr>
    </w:p>
    <w:p w14:paraId="5C601407" w14:textId="6CED370B" w:rsidR="00BD17B0" w:rsidRPr="00D870B8" w:rsidRDefault="00BD17B0" w:rsidP="008463D3">
      <w:pPr>
        <w:jc w:val="center"/>
        <w:rPr>
          <w:sz w:val="20"/>
          <w:szCs w:val="20"/>
        </w:rPr>
      </w:pPr>
    </w:p>
    <w:p w14:paraId="63658D6A" w14:textId="49EF156A" w:rsidR="00BD17B0" w:rsidRPr="00D870B8" w:rsidRDefault="00BD17B0" w:rsidP="008463D3">
      <w:pPr>
        <w:jc w:val="center"/>
        <w:rPr>
          <w:sz w:val="20"/>
          <w:szCs w:val="20"/>
        </w:rPr>
      </w:pPr>
    </w:p>
    <w:p w14:paraId="741571A6" w14:textId="75B5EDF4" w:rsidR="00BD17B0" w:rsidRPr="00D870B8" w:rsidRDefault="00BD17B0" w:rsidP="008463D3">
      <w:pPr>
        <w:jc w:val="center"/>
        <w:rPr>
          <w:sz w:val="20"/>
          <w:szCs w:val="20"/>
        </w:rPr>
      </w:pPr>
    </w:p>
    <w:p w14:paraId="5F76A532" w14:textId="65AC5D3B" w:rsidR="00BD17B0" w:rsidRPr="00D870B8" w:rsidRDefault="00BD17B0" w:rsidP="008463D3">
      <w:pPr>
        <w:jc w:val="center"/>
        <w:rPr>
          <w:sz w:val="20"/>
          <w:szCs w:val="20"/>
        </w:rPr>
      </w:pPr>
    </w:p>
    <w:p w14:paraId="20819A1F" w14:textId="27024A24" w:rsidR="00BD17B0" w:rsidRPr="00D870B8" w:rsidRDefault="00BD17B0" w:rsidP="008463D3">
      <w:pPr>
        <w:jc w:val="center"/>
        <w:rPr>
          <w:sz w:val="20"/>
          <w:szCs w:val="20"/>
        </w:rPr>
      </w:pPr>
    </w:p>
    <w:p w14:paraId="45B26099" w14:textId="77777777" w:rsidR="00BD17B0" w:rsidRPr="00D870B8" w:rsidRDefault="00BD17B0" w:rsidP="00FC3772">
      <w:pPr>
        <w:rPr>
          <w:sz w:val="20"/>
          <w:szCs w:val="20"/>
        </w:rPr>
      </w:pPr>
    </w:p>
    <w:sectPr w:rsidR="00BD17B0" w:rsidRPr="00D870B8" w:rsidSect="00566CD0">
      <w:headerReference w:type="default" r:id="rId10"/>
      <w:footerReference w:type="default" r:id="rId11"/>
      <w:headerReference w:type="first" r:id="rId12"/>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F152DE" w14:textId="77777777" w:rsidR="00464531" w:rsidRDefault="00464531" w:rsidP="00672733">
      <w:r>
        <w:separator/>
      </w:r>
    </w:p>
  </w:endnote>
  <w:endnote w:type="continuationSeparator" w:id="0">
    <w:p w14:paraId="4BFAD43C" w14:textId="77777777" w:rsidR="00464531" w:rsidRDefault="00464531" w:rsidP="00672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Univers">
    <w:panose1 w:val="020B0603020202030204"/>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41E7DE" w14:textId="6CC0E361" w:rsidR="00E516AB" w:rsidRPr="00E516AB" w:rsidRDefault="00E516AB">
    <w:pPr>
      <w:pStyle w:val="Footer"/>
      <w:tabs>
        <w:tab w:val="clear" w:pos="4680"/>
        <w:tab w:val="clear" w:pos="9360"/>
      </w:tabs>
      <w:jc w:val="center"/>
      <w:rPr>
        <w:caps/>
        <w:noProof/>
        <w:color w:val="000000" w:themeColor="text1"/>
        <w:sz w:val="20"/>
        <w:szCs w:val="20"/>
      </w:rPr>
    </w:pPr>
    <w:r w:rsidRPr="00E516AB">
      <w:rPr>
        <w:caps/>
        <w:color w:val="000000" w:themeColor="text1"/>
        <w:sz w:val="20"/>
        <w:szCs w:val="20"/>
      </w:rPr>
      <w:fldChar w:fldCharType="begin"/>
    </w:r>
    <w:r w:rsidRPr="00E516AB">
      <w:rPr>
        <w:caps/>
        <w:color w:val="000000" w:themeColor="text1"/>
        <w:sz w:val="20"/>
        <w:szCs w:val="20"/>
      </w:rPr>
      <w:instrText xml:space="preserve"> PAGE   \* MERGEFORMAT </w:instrText>
    </w:r>
    <w:r w:rsidRPr="00E516AB">
      <w:rPr>
        <w:caps/>
        <w:color w:val="000000" w:themeColor="text1"/>
        <w:sz w:val="20"/>
        <w:szCs w:val="20"/>
      </w:rPr>
      <w:fldChar w:fldCharType="separate"/>
    </w:r>
    <w:r w:rsidR="00D91E06">
      <w:rPr>
        <w:caps/>
        <w:noProof/>
        <w:color w:val="000000" w:themeColor="text1"/>
        <w:sz w:val="20"/>
        <w:szCs w:val="20"/>
      </w:rPr>
      <w:t>2</w:t>
    </w:r>
    <w:r w:rsidRPr="00E516AB">
      <w:rPr>
        <w:caps/>
        <w:noProof/>
        <w:color w:val="000000" w:themeColor="text1"/>
        <w:sz w:val="20"/>
        <w:szCs w:val="20"/>
      </w:rPr>
      <w:fldChar w:fldCharType="end"/>
    </w:r>
  </w:p>
  <w:p w14:paraId="51A13522" w14:textId="77777777" w:rsidR="00E516AB" w:rsidRDefault="00E516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BC5AAD" w14:textId="77777777" w:rsidR="00464531" w:rsidRDefault="00464531" w:rsidP="00672733">
      <w:r>
        <w:separator/>
      </w:r>
    </w:p>
  </w:footnote>
  <w:footnote w:type="continuationSeparator" w:id="0">
    <w:p w14:paraId="0A69C980" w14:textId="77777777" w:rsidR="00464531" w:rsidRDefault="00464531" w:rsidP="00672733">
      <w:r>
        <w:continuationSeparator/>
      </w:r>
    </w:p>
  </w:footnote>
  <w:footnote w:id="1">
    <w:p w14:paraId="2C893643" w14:textId="77777777" w:rsidR="00D870B8" w:rsidRPr="00506001" w:rsidRDefault="00D870B8" w:rsidP="00D870B8">
      <w:pPr>
        <w:pStyle w:val="FootnoteText"/>
        <w:spacing w:after="120"/>
        <w:ind w:firstLine="720"/>
        <w:jc w:val="both"/>
        <w:rPr>
          <w:rFonts w:ascii="Cambria" w:hAnsi="Cambria"/>
          <w:sz w:val="16"/>
          <w:szCs w:val="16"/>
        </w:rPr>
      </w:pPr>
      <w:r w:rsidRPr="00506001">
        <w:rPr>
          <w:rStyle w:val="FootnoteReference"/>
          <w:rFonts w:ascii="Cambria" w:hAnsi="Cambria"/>
          <w:sz w:val="16"/>
          <w:szCs w:val="16"/>
        </w:rPr>
        <w:footnoteRef/>
      </w:r>
      <w:r w:rsidRPr="00506001">
        <w:rPr>
          <w:rFonts w:ascii="Cambria" w:hAnsi="Cambria"/>
          <w:sz w:val="16"/>
          <w:szCs w:val="16"/>
        </w:rPr>
        <w:t xml:space="preserve"> IACHR, </w:t>
      </w:r>
      <w:hyperlink r:id="rId1" w:history="1">
        <w:r w:rsidRPr="00506001">
          <w:rPr>
            <w:rStyle w:val="Hyperlink"/>
            <w:rFonts w:ascii="Cambria" w:hAnsi="Cambria"/>
            <w:sz w:val="16"/>
            <w:szCs w:val="16"/>
          </w:rPr>
          <w:t xml:space="preserve">Case 11.335, Merits Report No. 78/02, Guy </w:t>
        </w:r>
        <w:proofErr w:type="spellStart"/>
        <w:r w:rsidRPr="00506001">
          <w:rPr>
            <w:rStyle w:val="Hyperlink"/>
            <w:rFonts w:ascii="Cambria" w:hAnsi="Cambria"/>
            <w:sz w:val="16"/>
            <w:szCs w:val="16"/>
          </w:rPr>
          <w:t>Malary</w:t>
        </w:r>
        <w:proofErr w:type="spellEnd"/>
        <w:r w:rsidRPr="00506001">
          <w:rPr>
            <w:rStyle w:val="Hyperlink"/>
            <w:rFonts w:ascii="Cambria" w:hAnsi="Cambria"/>
            <w:sz w:val="16"/>
            <w:szCs w:val="16"/>
          </w:rPr>
          <w:t xml:space="preserve"> (Haiti)</w:t>
        </w:r>
      </w:hyperlink>
      <w:r w:rsidRPr="00506001">
        <w:rPr>
          <w:rFonts w:ascii="Cambria" w:hAnsi="Cambria"/>
          <w:sz w:val="16"/>
          <w:szCs w:val="16"/>
        </w:rPr>
        <w:t>, para. 98.</w:t>
      </w:r>
    </w:p>
  </w:footnote>
  <w:footnote w:id="2">
    <w:p w14:paraId="26F36230" w14:textId="77777777" w:rsidR="00D870B8" w:rsidRPr="00506001" w:rsidRDefault="00D870B8" w:rsidP="00D870B8">
      <w:pPr>
        <w:pStyle w:val="FootnoteText"/>
        <w:spacing w:after="120"/>
        <w:ind w:firstLine="720"/>
        <w:jc w:val="both"/>
        <w:rPr>
          <w:rFonts w:ascii="Cambria" w:hAnsi="Cambria"/>
          <w:sz w:val="16"/>
          <w:szCs w:val="16"/>
        </w:rPr>
      </w:pPr>
      <w:r w:rsidRPr="00506001">
        <w:rPr>
          <w:rStyle w:val="FootnoteReference"/>
          <w:rFonts w:ascii="Cambria" w:hAnsi="Cambria"/>
          <w:sz w:val="16"/>
          <w:szCs w:val="16"/>
        </w:rPr>
        <w:footnoteRef/>
      </w:r>
      <w:r w:rsidRPr="00506001">
        <w:rPr>
          <w:rFonts w:ascii="Cambria" w:hAnsi="Cambria"/>
          <w:sz w:val="16"/>
          <w:szCs w:val="16"/>
        </w:rPr>
        <w:t xml:space="preserve"> IACHR, 2003 Annual Report, </w:t>
      </w:r>
      <w:hyperlink r:id="rId2" w:history="1">
        <w:r w:rsidRPr="00506001">
          <w:rPr>
            <w:rStyle w:val="Hyperlink"/>
            <w:rFonts w:ascii="Cambria" w:hAnsi="Cambria"/>
            <w:sz w:val="16"/>
            <w:szCs w:val="16"/>
          </w:rPr>
          <w:t>Chapter III, Section D: Status of compliance with the recommendations of the IACHR</w:t>
        </w:r>
      </w:hyperlink>
      <w:r w:rsidRPr="00506001">
        <w:rPr>
          <w:rFonts w:ascii="Cambria" w:hAnsi="Cambria"/>
          <w:sz w:val="16"/>
          <w:szCs w:val="16"/>
        </w:rPr>
        <w:t xml:space="preserve">, para. 182. </w:t>
      </w:r>
    </w:p>
  </w:footnote>
  <w:footnote w:id="3">
    <w:p w14:paraId="620A879A" w14:textId="77777777" w:rsidR="00D870B8" w:rsidRPr="00506001" w:rsidRDefault="00D870B8" w:rsidP="00D870B8">
      <w:pPr>
        <w:pStyle w:val="FootnoteText"/>
        <w:spacing w:after="120"/>
        <w:ind w:firstLine="720"/>
        <w:jc w:val="both"/>
        <w:rPr>
          <w:rFonts w:ascii="Cambria" w:hAnsi="Cambria"/>
          <w:sz w:val="16"/>
          <w:szCs w:val="16"/>
        </w:rPr>
      </w:pPr>
      <w:r w:rsidRPr="00506001">
        <w:rPr>
          <w:rStyle w:val="FootnoteReference"/>
          <w:rFonts w:ascii="Cambria" w:hAnsi="Cambria"/>
          <w:sz w:val="16"/>
          <w:szCs w:val="16"/>
        </w:rPr>
        <w:footnoteRef/>
      </w:r>
      <w:r w:rsidRPr="00506001">
        <w:rPr>
          <w:rFonts w:ascii="Cambria" w:hAnsi="Cambria"/>
          <w:sz w:val="16"/>
          <w:szCs w:val="16"/>
        </w:rPr>
        <w:t xml:space="preserve"> IACHR, </w:t>
      </w:r>
      <w:hyperlink r:id="rId3" w:history="1">
        <w:r w:rsidRPr="00506001">
          <w:rPr>
            <w:rStyle w:val="Hyperlink"/>
            <w:rFonts w:ascii="Cambria" w:hAnsi="Cambria"/>
            <w:sz w:val="16"/>
            <w:szCs w:val="16"/>
          </w:rPr>
          <w:t xml:space="preserve">Case 11.335, Merits Report No. 78/02, Guy </w:t>
        </w:r>
        <w:proofErr w:type="spellStart"/>
        <w:r w:rsidRPr="00506001">
          <w:rPr>
            <w:rStyle w:val="Hyperlink"/>
            <w:rFonts w:ascii="Cambria" w:hAnsi="Cambria"/>
            <w:sz w:val="16"/>
            <w:szCs w:val="16"/>
          </w:rPr>
          <w:t>Malary</w:t>
        </w:r>
        <w:proofErr w:type="spellEnd"/>
        <w:r w:rsidRPr="00506001">
          <w:rPr>
            <w:rStyle w:val="Hyperlink"/>
            <w:rFonts w:ascii="Cambria" w:hAnsi="Cambria"/>
            <w:sz w:val="16"/>
            <w:szCs w:val="16"/>
          </w:rPr>
          <w:t xml:space="preserve"> (Haiti)</w:t>
        </w:r>
      </w:hyperlink>
      <w:r w:rsidRPr="00506001">
        <w:rPr>
          <w:rFonts w:ascii="Cambria" w:hAnsi="Cambria"/>
          <w:sz w:val="16"/>
          <w:szCs w:val="16"/>
        </w:rPr>
        <w:t>, para. 98.</w:t>
      </w:r>
    </w:p>
  </w:footnote>
  <w:footnote w:id="4">
    <w:p w14:paraId="490119AD" w14:textId="77777777" w:rsidR="00D870B8" w:rsidRDefault="00D870B8" w:rsidP="00D870B8">
      <w:pPr>
        <w:pStyle w:val="FootnoteText"/>
        <w:spacing w:after="120"/>
        <w:ind w:firstLine="720"/>
        <w:jc w:val="both"/>
      </w:pPr>
      <w:r w:rsidRPr="00506001">
        <w:rPr>
          <w:rStyle w:val="FootnoteReference"/>
          <w:rFonts w:ascii="Cambria" w:hAnsi="Cambria"/>
          <w:sz w:val="16"/>
          <w:szCs w:val="16"/>
        </w:rPr>
        <w:footnoteRef/>
      </w:r>
      <w:r w:rsidRPr="00506001">
        <w:rPr>
          <w:rFonts w:ascii="Cambria" w:hAnsi="Cambria"/>
          <w:sz w:val="16"/>
          <w:szCs w:val="16"/>
        </w:rPr>
        <w:t xml:space="preserve"> IACHR, 2003 Annual Report, </w:t>
      </w:r>
      <w:hyperlink r:id="rId4" w:history="1">
        <w:r w:rsidRPr="00506001">
          <w:rPr>
            <w:rStyle w:val="Hyperlink"/>
            <w:rFonts w:ascii="Cambria" w:hAnsi="Cambria"/>
            <w:sz w:val="16"/>
            <w:szCs w:val="16"/>
          </w:rPr>
          <w:t>Chapter III, Section D: Status of compliance with the recommendations of the IACHR</w:t>
        </w:r>
      </w:hyperlink>
      <w:r w:rsidRPr="00506001">
        <w:rPr>
          <w:rFonts w:ascii="Cambria" w:hAnsi="Cambria"/>
          <w:sz w:val="16"/>
          <w:szCs w:val="16"/>
        </w:rPr>
        <w:t>, para. 182.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82C92C" w14:textId="49FB3B02" w:rsidR="00566CD0" w:rsidRPr="00ED1EBA" w:rsidRDefault="00D91E06" w:rsidP="00ED1EBA">
    <w:pPr>
      <w:pStyle w:val="Header"/>
      <w:rPr>
        <w:rFonts w:ascii="Arial" w:hAnsi="Arial" w:cs="Arial"/>
        <w:color w:val="3B3838" w:themeColor="background2" w:themeShade="40"/>
        <w:sz w:val="22"/>
        <w:szCs w:val="28"/>
      </w:rPr>
    </w:pPr>
    <w:r>
      <w:rPr>
        <w:noProof/>
        <w:sz w:val="20"/>
      </w:rPr>
      <w:pict w14:anchorId="6EDEE5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88.5pt;margin-top:-9.1pt;width:72.75pt;height:27.85pt;z-index:251668480;mso-position-horizontal-relative:text;mso-position-vertical-relative:text;mso-width-relative:page;mso-height-relative:page">
          <v:imagedata r:id="rId1" o:title="CIDH-en" cropbottom="3349f" cropright="27470f"/>
          <w10:wrap type="square"/>
        </v:shape>
      </w:pict>
    </w:r>
    <w:r w:rsidR="00ED1EBA">
      <w:rPr>
        <w:rFonts w:ascii="Arial" w:hAnsi="Arial" w:cs="Arial"/>
        <w:color w:val="3B3838" w:themeColor="background2" w:themeShade="40"/>
        <w:sz w:val="22"/>
        <w:szCs w:val="28"/>
      </w:rPr>
      <w:t xml:space="preserve">                       </w:t>
    </w:r>
    <w:r w:rsidR="00ED1EBA" w:rsidRPr="00ED1EBA">
      <w:rPr>
        <w:rFonts w:ascii="Arial" w:hAnsi="Arial" w:cs="Arial"/>
        <w:noProof/>
        <w:color w:val="3B3838" w:themeColor="background2" w:themeShade="40"/>
        <w:sz w:val="22"/>
        <w:szCs w:val="28"/>
      </w:rPr>
      <w:t>Inter-American Commission on Human Rights</w:t>
    </w:r>
  </w:p>
  <w:p w14:paraId="60E6F577" w14:textId="7E60D2C5" w:rsidR="00D56DC4" w:rsidRPr="00D56DC4" w:rsidRDefault="00D56DC4">
    <w:pPr>
      <w:pStyle w:val="Header"/>
      <w:rPr>
        <w:rFonts w:ascii="Arial" w:hAnsi="Arial" w:cs="Arial"/>
        <w:b/>
        <w:bCs/>
        <w:color w:val="404040" w:themeColor="text1" w:themeTint="BF"/>
        <w:sz w:val="44"/>
        <w:szCs w:val="44"/>
        <w:lang w:val="es-ES"/>
      </w:rPr>
    </w:pPr>
    <w:r>
      <w:rPr>
        <w:rFonts w:ascii="Arial" w:hAnsi="Arial" w:cs="Arial"/>
        <w:b/>
        <w:bCs/>
        <w:noProof/>
        <w:color w:val="000000" w:themeColor="text1"/>
        <w:sz w:val="44"/>
        <w:szCs w:val="44"/>
      </w:rPr>
      <mc:AlternateContent>
        <mc:Choice Requires="wps">
          <w:drawing>
            <wp:anchor distT="0" distB="0" distL="114300" distR="114300" simplePos="0" relativeHeight="251660288" behindDoc="0" locked="0" layoutInCell="1" allowOverlap="1" wp14:anchorId="3A98BB66" wp14:editId="10346C42">
              <wp:simplePos x="0" y="0"/>
              <wp:positionH relativeFrom="column">
                <wp:posOffset>-5610</wp:posOffset>
              </wp:positionH>
              <wp:positionV relativeFrom="paragraph">
                <wp:posOffset>167882</wp:posOffset>
              </wp:positionV>
              <wp:extent cx="6148358" cy="0"/>
              <wp:effectExtent l="0" t="0" r="11430" b="12700"/>
              <wp:wrapNone/>
              <wp:docPr id="2" name="Straight Connector 2"/>
              <wp:cNvGraphicFramePr/>
              <a:graphic xmlns:a="http://schemas.openxmlformats.org/drawingml/2006/main">
                <a:graphicData uri="http://schemas.microsoft.com/office/word/2010/wordprocessingShape">
                  <wps:wsp>
                    <wps:cNvCnPr/>
                    <wps:spPr>
                      <a:xfrm>
                        <a:off x="0" y="0"/>
                        <a:ext cx="6148358" cy="0"/>
                      </a:xfrm>
                      <a:prstGeom prst="line">
                        <a:avLst/>
                      </a:prstGeom>
                      <a:ln w="158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2AF49AB"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13.2pt" to="483.6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" strokecolor="#272727 [2749]" strokeweight="1.25pt">
              <v:stroke joinstyle="miter"/>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B3F865" w14:textId="3E750BA9" w:rsidR="00566CD0" w:rsidRPr="006B1F24" w:rsidRDefault="00EA0262" w:rsidP="00EA0262">
    <w:pPr>
      <w:pStyle w:val="Header"/>
      <w:spacing w:line="216" w:lineRule="auto"/>
      <w:rPr>
        <w:rFonts w:ascii="Arial" w:hAnsi="Arial" w:cs="Arial"/>
        <w:color w:val="3B3838" w:themeColor="background2" w:themeShade="40"/>
        <w:sz w:val="28"/>
        <w:szCs w:val="28"/>
        <w:lang w:val="es-ES"/>
      </w:rPr>
    </w:pPr>
    <w:r w:rsidRPr="00ED1EBA">
      <w:rPr>
        <w:rFonts w:ascii="Arial" w:hAnsi="Arial" w:cs="Arial"/>
        <w:noProof/>
        <w:color w:val="3B3838" w:themeColor="background2" w:themeShade="40"/>
        <w:sz w:val="44"/>
        <w:szCs w:val="28"/>
      </w:rPr>
      <mc:AlternateContent>
        <mc:Choice Requires="wps">
          <w:drawing>
            <wp:anchor distT="0" distB="0" distL="114300" distR="114300" simplePos="0" relativeHeight="251663360" behindDoc="1" locked="0" layoutInCell="1" allowOverlap="1" wp14:anchorId="1F9B0906" wp14:editId="1EC8527F">
              <wp:simplePos x="0" y="0"/>
              <wp:positionH relativeFrom="column">
                <wp:posOffset>1071880</wp:posOffset>
              </wp:positionH>
              <wp:positionV relativeFrom="paragraph">
                <wp:posOffset>-63500</wp:posOffset>
              </wp:positionV>
              <wp:extent cx="1447332" cy="605918"/>
              <wp:effectExtent l="0" t="0" r="635" b="3810"/>
              <wp:wrapNone/>
              <wp:docPr id="4" name="Text Box 4"/>
              <wp:cNvGraphicFramePr/>
              <a:graphic xmlns:a="http://schemas.openxmlformats.org/drawingml/2006/main">
                <a:graphicData uri="http://schemas.microsoft.com/office/word/2010/wordprocessingShape">
                  <wps:wsp>
                    <wps:cNvSpPr txBox="1"/>
                    <wps:spPr>
                      <a:xfrm>
                        <a:off x="0" y="0"/>
                        <a:ext cx="1447332" cy="605918"/>
                      </a:xfrm>
                      <a:prstGeom prst="rect">
                        <a:avLst/>
                      </a:prstGeom>
                      <a:solidFill>
                        <a:schemeClr val="lt1"/>
                      </a:solidFill>
                      <a:ln w="6350">
                        <a:noFill/>
                      </a:ln>
                    </wps:spPr>
                    <wps:txbx>
                      <w:txbxContent>
                        <w:p w14:paraId="7A80083F" w14:textId="26CDE986" w:rsidR="00566CD0" w:rsidRPr="00EA0262" w:rsidRDefault="00566CD0" w:rsidP="00566CD0">
                          <w:pPr>
                            <w:rPr>
                              <w:rFonts w:ascii="Arial" w:hAnsi="Arial" w:cs="Arial"/>
                              <w:b/>
                              <w:bCs/>
                              <w:color w:val="767171" w:themeColor="background2" w:themeShade="80"/>
                              <w:sz w:val="80"/>
                              <w:szCs w:val="80"/>
                              <w:lang w:val="es-ES"/>
                            </w:rPr>
                          </w:pPr>
                          <w:r w:rsidRPr="00EA0262">
                            <w:rPr>
                              <w:rFonts w:ascii="Arial" w:hAnsi="Arial" w:cs="Arial"/>
                              <w:b/>
                              <w:bCs/>
                              <w:color w:val="767171" w:themeColor="background2" w:themeShade="80"/>
                              <w:sz w:val="80"/>
                              <w:szCs w:val="80"/>
                              <w:lang w:val="es-ES"/>
                            </w:rPr>
                            <w:t>20</w:t>
                          </w:r>
                          <w:r w:rsidR="00E042FE" w:rsidRPr="00EA0262">
                            <w:rPr>
                              <w:rFonts w:ascii="Arial" w:hAnsi="Arial" w:cs="Arial"/>
                              <w:b/>
                              <w:bCs/>
                              <w:color w:val="767171" w:themeColor="background2" w:themeShade="80"/>
                              <w:sz w:val="80"/>
                              <w:szCs w:val="80"/>
                              <w:lang w:val="es-ES"/>
                            </w:rPr>
                            <w:t>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F9B0906" id="_x0000_t202" coordsize="21600,21600" o:spt="202" path="m,l,21600r21600,l21600,xe">
              <v:stroke joinstyle="miter"/>
              <v:path gradientshapeok="t" o:connecttype="rect"/>
            </v:shapetype>
            <v:shape id="Text Box 4" o:spid="_x0000_s1026" type="#_x0000_t202" style="position:absolute;margin-left:84.4pt;margin-top:-5pt;width:113.95pt;height:47.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" fillcolor="white [3201]" stroked="f" strokeweight=".5pt">
              <v:textbox>
                <w:txbxContent>
                  <w:p w14:paraId="7A80083F" w14:textId="26CDE986" w:rsidR="00566CD0" w:rsidRPr="00EA0262" w:rsidRDefault="00566CD0" w:rsidP="00566CD0">
                    <w:pPr>
                      <w:rPr>
                        <w:rFonts w:ascii="Arial" w:hAnsi="Arial" w:cs="Arial"/>
                        <w:b/>
                        <w:bCs/>
                        <w:color w:val="767171" w:themeColor="background2" w:themeShade="80"/>
                        <w:sz w:val="80"/>
                        <w:szCs w:val="80"/>
                        <w:lang w:val="es-ES"/>
                      </w:rPr>
                    </w:pPr>
                    <w:r w:rsidRPr="00EA0262">
                      <w:rPr>
                        <w:rFonts w:ascii="Arial" w:hAnsi="Arial" w:cs="Arial"/>
                        <w:b/>
                        <w:bCs/>
                        <w:color w:val="767171" w:themeColor="background2" w:themeShade="80"/>
                        <w:sz w:val="80"/>
                        <w:szCs w:val="80"/>
                        <w:lang w:val="es-ES"/>
                      </w:rPr>
                      <w:t>20</w:t>
                    </w:r>
                    <w:r w:rsidR="00E042FE" w:rsidRPr="00EA0262">
                      <w:rPr>
                        <w:rFonts w:ascii="Arial" w:hAnsi="Arial" w:cs="Arial"/>
                        <w:b/>
                        <w:bCs/>
                        <w:color w:val="767171" w:themeColor="background2" w:themeShade="80"/>
                        <w:sz w:val="80"/>
                        <w:szCs w:val="80"/>
                        <w:lang w:val="es-ES"/>
                      </w:rPr>
                      <w:t>20</w:t>
                    </w:r>
                  </w:p>
                </w:txbxContent>
              </v:textbox>
            </v:shape>
          </w:pict>
        </mc:Fallback>
      </mc:AlternateContent>
    </w:r>
    <w:r w:rsidR="00D91E06">
      <w:rPr>
        <w:noProof/>
      </w:rPr>
      <w:pict w14:anchorId="6A09C3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295.5pt;margin-top:2.3pt;width:187.5pt;height:44.25pt;z-index:251666432;mso-position-horizontal-relative:text;mso-position-vertical-relative:text;mso-width-relative:page;mso-height-relative:page">
          <v:imagedata r:id="rId1" o:title="CIDH-en"/>
          <w10:wrap type="square"/>
        </v:shape>
      </w:pict>
    </w:r>
    <w:r w:rsidR="00ED1EBA" w:rsidRPr="00ED1EBA">
      <w:rPr>
        <w:noProof/>
        <w:sz w:val="44"/>
        <w:szCs w:val="28"/>
      </w:rPr>
      <w:t>ANNUAL</w:t>
    </w:r>
    <w:r w:rsidR="00ED1EBA">
      <w:rPr>
        <w:noProof/>
        <w:sz w:val="44"/>
        <w:szCs w:val="28"/>
      </w:rPr>
      <w:t xml:space="preserve"> </w:t>
    </w:r>
  </w:p>
  <w:p w14:paraId="434D4143" w14:textId="68C1076C" w:rsidR="00566CD0" w:rsidRPr="006B1F24" w:rsidRDefault="00ED1EBA" w:rsidP="00EA0262">
    <w:pPr>
      <w:pStyle w:val="Header"/>
      <w:tabs>
        <w:tab w:val="clear" w:pos="4680"/>
        <w:tab w:val="clear" w:pos="9360"/>
        <w:tab w:val="left" w:pos="1925"/>
      </w:tabs>
      <w:spacing w:line="216" w:lineRule="auto"/>
      <w:rPr>
        <w:rFonts w:ascii="Arial" w:hAnsi="Arial" w:cs="Arial"/>
        <w:b/>
        <w:bCs/>
        <w:color w:val="404040" w:themeColor="text1" w:themeTint="BF"/>
        <w:sz w:val="38"/>
        <w:szCs w:val="38"/>
        <w:lang w:val="es-ES"/>
      </w:rPr>
    </w:pPr>
    <w:r>
      <w:rPr>
        <w:rFonts w:ascii="Arial" w:hAnsi="Arial" w:cs="Arial"/>
        <w:b/>
        <w:bCs/>
        <w:color w:val="404040" w:themeColor="text1" w:themeTint="BF"/>
        <w:sz w:val="38"/>
        <w:szCs w:val="38"/>
        <w:lang w:val="es-ES"/>
      </w:rPr>
      <w:t>REPORT</w:t>
    </w:r>
  </w:p>
  <w:p w14:paraId="2AF194D7" w14:textId="36C35356" w:rsidR="00566CD0" w:rsidRPr="00566CD0" w:rsidRDefault="00566CD0">
    <w:pPr>
      <w:pStyle w:val="Header"/>
      <w:rPr>
        <w:rFonts w:ascii="Arial" w:hAnsi="Arial" w:cs="Arial"/>
        <w:b/>
        <w:bCs/>
        <w:color w:val="404040" w:themeColor="text1" w:themeTint="BF"/>
        <w:sz w:val="44"/>
        <w:szCs w:val="44"/>
        <w:lang w:val="es-ES"/>
      </w:rPr>
    </w:pPr>
    <w:r>
      <w:rPr>
        <w:rFonts w:ascii="Arial" w:hAnsi="Arial" w:cs="Arial"/>
        <w:b/>
        <w:bCs/>
        <w:noProof/>
        <w:color w:val="000000" w:themeColor="text1"/>
        <w:sz w:val="44"/>
        <w:szCs w:val="44"/>
      </w:rPr>
      <mc:AlternateContent>
        <mc:Choice Requires="wps">
          <w:drawing>
            <wp:anchor distT="0" distB="0" distL="114300" distR="114300" simplePos="0" relativeHeight="251664384" behindDoc="0" locked="0" layoutInCell="1" allowOverlap="1" wp14:anchorId="7114A5BC" wp14:editId="402717A8">
              <wp:simplePos x="0" y="0"/>
              <wp:positionH relativeFrom="column">
                <wp:posOffset>-5610</wp:posOffset>
              </wp:positionH>
              <wp:positionV relativeFrom="paragraph">
                <wp:posOffset>167882</wp:posOffset>
              </wp:positionV>
              <wp:extent cx="6148358" cy="0"/>
              <wp:effectExtent l="0" t="0" r="11430" b="12700"/>
              <wp:wrapNone/>
              <wp:docPr id="5" name="Straight Connector 5"/>
              <wp:cNvGraphicFramePr/>
              <a:graphic xmlns:a="http://schemas.openxmlformats.org/drawingml/2006/main">
                <a:graphicData uri="http://schemas.microsoft.com/office/word/2010/wordprocessingShape">
                  <wps:wsp>
                    <wps:cNvCnPr/>
                    <wps:spPr>
                      <a:xfrm>
                        <a:off x="0" y="0"/>
                        <a:ext cx="6148358" cy="0"/>
                      </a:xfrm>
                      <a:prstGeom prst="line">
                        <a:avLst/>
                      </a:prstGeom>
                      <a:ln w="158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839D982" id="Straight Connector 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13.2pt" to="483.6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" strokecolor="#272727 [2749]" strokeweight="1.2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E1BD6"/>
    <w:multiLevelType w:val="hybridMultilevel"/>
    <w:tmpl w:val="AB042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A25FCF"/>
    <w:multiLevelType w:val="hybridMultilevel"/>
    <w:tmpl w:val="900CA938"/>
    <w:lvl w:ilvl="0" w:tplc="497A34DC">
      <w:start w:val="1"/>
      <w:numFmt w:val="decimal"/>
      <w:lvlText w:val="%1."/>
      <w:lvlJc w:val="left"/>
      <w:pPr>
        <w:ind w:left="720" w:hanging="360"/>
      </w:pPr>
      <w:rPr>
        <w:rFonts w:hint="default"/>
        <w:color w:val="0000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214909"/>
    <w:multiLevelType w:val="hybridMultilevel"/>
    <w:tmpl w:val="6082D756"/>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3" w15:restartNumberingAfterBreak="0">
    <w:nsid w:val="1B2C1702"/>
    <w:multiLevelType w:val="hybridMultilevel"/>
    <w:tmpl w:val="B1989748"/>
    <w:lvl w:ilvl="0" w:tplc="04090001">
      <w:start w:val="1"/>
      <w:numFmt w:val="bullet"/>
      <w:lvlText w:val=""/>
      <w:lvlJc w:val="left"/>
      <w:pPr>
        <w:ind w:left="1210" w:hanging="360"/>
      </w:pPr>
      <w:rPr>
        <w:rFonts w:ascii="Symbol" w:hAnsi="Symbo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4" w15:restartNumberingAfterBreak="0">
    <w:nsid w:val="26AD727E"/>
    <w:multiLevelType w:val="hybridMultilevel"/>
    <w:tmpl w:val="4D620182"/>
    <w:lvl w:ilvl="0" w:tplc="04090001">
      <w:start w:val="1"/>
      <w:numFmt w:val="bullet"/>
      <w:lvlText w:val=""/>
      <w:lvlJc w:val="left"/>
      <w:pPr>
        <w:ind w:left="1210" w:hanging="360"/>
      </w:pPr>
      <w:rPr>
        <w:rFonts w:ascii="Symbol" w:hAnsi="Symbo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5" w15:restartNumberingAfterBreak="0">
    <w:nsid w:val="3D830208"/>
    <w:multiLevelType w:val="hybridMultilevel"/>
    <w:tmpl w:val="296EB434"/>
    <w:lvl w:ilvl="0" w:tplc="0409000F">
      <w:start w:val="1"/>
      <w:numFmt w:val="decimal"/>
      <w:lvlText w:val="%1."/>
      <w:lvlJc w:val="left"/>
      <w:pPr>
        <w:ind w:left="775" w:hanging="360"/>
      </w:pPr>
    </w:lvl>
    <w:lvl w:ilvl="1" w:tplc="04090019" w:tentative="1">
      <w:start w:val="1"/>
      <w:numFmt w:val="lowerLetter"/>
      <w:lvlText w:val="%2."/>
      <w:lvlJc w:val="left"/>
      <w:pPr>
        <w:ind w:left="1495" w:hanging="360"/>
      </w:pPr>
    </w:lvl>
    <w:lvl w:ilvl="2" w:tplc="0409001B" w:tentative="1">
      <w:start w:val="1"/>
      <w:numFmt w:val="lowerRoman"/>
      <w:lvlText w:val="%3."/>
      <w:lvlJc w:val="right"/>
      <w:pPr>
        <w:ind w:left="2215" w:hanging="180"/>
      </w:pPr>
    </w:lvl>
    <w:lvl w:ilvl="3" w:tplc="0409000F" w:tentative="1">
      <w:start w:val="1"/>
      <w:numFmt w:val="decimal"/>
      <w:lvlText w:val="%4."/>
      <w:lvlJc w:val="left"/>
      <w:pPr>
        <w:ind w:left="2935" w:hanging="360"/>
      </w:pPr>
    </w:lvl>
    <w:lvl w:ilvl="4" w:tplc="04090019" w:tentative="1">
      <w:start w:val="1"/>
      <w:numFmt w:val="lowerLetter"/>
      <w:lvlText w:val="%5."/>
      <w:lvlJc w:val="left"/>
      <w:pPr>
        <w:ind w:left="3655" w:hanging="360"/>
      </w:pPr>
    </w:lvl>
    <w:lvl w:ilvl="5" w:tplc="0409001B" w:tentative="1">
      <w:start w:val="1"/>
      <w:numFmt w:val="lowerRoman"/>
      <w:lvlText w:val="%6."/>
      <w:lvlJc w:val="right"/>
      <w:pPr>
        <w:ind w:left="4375" w:hanging="180"/>
      </w:pPr>
    </w:lvl>
    <w:lvl w:ilvl="6" w:tplc="0409000F" w:tentative="1">
      <w:start w:val="1"/>
      <w:numFmt w:val="decimal"/>
      <w:lvlText w:val="%7."/>
      <w:lvlJc w:val="left"/>
      <w:pPr>
        <w:ind w:left="5095" w:hanging="360"/>
      </w:pPr>
    </w:lvl>
    <w:lvl w:ilvl="7" w:tplc="04090019" w:tentative="1">
      <w:start w:val="1"/>
      <w:numFmt w:val="lowerLetter"/>
      <w:lvlText w:val="%8."/>
      <w:lvlJc w:val="left"/>
      <w:pPr>
        <w:ind w:left="5815" w:hanging="360"/>
      </w:pPr>
    </w:lvl>
    <w:lvl w:ilvl="8" w:tplc="0409001B" w:tentative="1">
      <w:start w:val="1"/>
      <w:numFmt w:val="lowerRoman"/>
      <w:lvlText w:val="%9."/>
      <w:lvlJc w:val="right"/>
      <w:pPr>
        <w:ind w:left="6535" w:hanging="180"/>
      </w:pPr>
    </w:lvl>
  </w:abstractNum>
  <w:abstractNum w:abstractNumId="6" w15:restartNumberingAfterBreak="0">
    <w:nsid w:val="560A07D1"/>
    <w:multiLevelType w:val="hybridMultilevel"/>
    <w:tmpl w:val="ABBA8D18"/>
    <w:lvl w:ilvl="0" w:tplc="36DC0F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A0D6F05"/>
    <w:multiLevelType w:val="hybridMultilevel"/>
    <w:tmpl w:val="BA7C9F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BEC2B22"/>
    <w:multiLevelType w:val="hybridMultilevel"/>
    <w:tmpl w:val="C2F0EC96"/>
    <w:lvl w:ilvl="0" w:tplc="08EA728A">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C9B1B07"/>
    <w:multiLevelType w:val="hybridMultilevel"/>
    <w:tmpl w:val="787EE794"/>
    <w:lvl w:ilvl="0" w:tplc="41EA200E">
      <w:start w:val="1"/>
      <w:numFmt w:val="decimal"/>
      <w:lvlText w:val="%1."/>
      <w:lvlJc w:val="left"/>
      <w:pPr>
        <w:ind w:left="4754" w:hanging="360"/>
      </w:pPr>
      <w:rPr>
        <w:b w:val="0"/>
        <w:strike w:val="0"/>
        <w:color w:val="auto"/>
      </w:rPr>
    </w:lvl>
    <w:lvl w:ilvl="1" w:tplc="04090019">
      <w:start w:val="1"/>
      <w:numFmt w:val="lowerLetter"/>
      <w:lvlText w:val="%2."/>
      <w:lvlJc w:val="left"/>
      <w:pPr>
        <w:ind w:left="1636" w:hanging="360"/>
      </w:pPr>
    </w:lvl>
    <w:lvl w:ilvl="2" w:tplc="0409001B" w:tentative="1">
      <w:start w:val="1"/>
      <w:numFmt w:val="lowerRoman"/>
      <w:lvlText w:val="%3."/>
      <w:lvlJc w:val="right"/>
      <w:pPr>
        <w:ind w:left="6074" w:hanging="180"/>
      </w:pPr>
    </w:lvl>
    <w:lvl w:ilvl="3" w:tplc="0409000F" w:tentative="1">
      <w:start w:val="1"/>
      <w:numFmt w:val="decimal"/>
      <w:lvlText w:val="%4."/>
      <w:lvlJc w:val="left"/>
      <w:pPr>
        <w:ind w:left="6794" w:hanging="360"/>
      </w:pPr>
    </w:lvl>
    <w:lvl w:ilvl="4" w:tplc="04090019" w:tentative="1">
      <w:start w:val="1"/>
      <w:numFmt w:val="lowerLetter"/>
      <w:lvlText w:val="%5."/>
      <w:lvlJc w:val="left"/>
      <w:pPr>
        <w:ind w:left="7514" w:hanging="360"/>
      </w:pPr>
    </w:lvl>
    <w:lvl w:ilvl="5" w:tplc="0409001B" w:tentative="1">
      <w:start w:val="1"/>
      <w:numFmt w:val="lowerRoman"/>
      <w:lvlText w:val="%6."/>
      <w:lvlJc w:val="right"/>
      <w:pPr>
        <w:ind w:left="8234" w:hanging="180"/>
      </w:pPr>
    </w:lvl>
    <w:lvl w:ilvl="6" w:tplc="0409000F" w:tentative="1">
      <w:start w:val="1"/>
      <w:numFmt w:val="decimal"/>
      <w:lvlText w:val="%7."/>
      <w:lvlJc w:val="left"/>
      <w:pPr>
        <w:ind w:left="8954" w:hanging="360"/>
      </w:pPr>
    </w:lvl>
    <w:lvl w:ilvl="7" w:tplc="04090019" w:tentative="1">
      <w:start w:val="1"/>
      <w:numFmt w:val="lowerLetter"/>
      <w:lvlText w:val="%8."/>
      <w:lvlJc w:val="left"/>
      <w:pPr>
        <w:ind w:left="9674" w:hanging="360"/>
      </w:pPr>
    </w:lvl>
    <w:lvl w:ilvl="8" w:tplc="0409001B" w:tentative="1">
      <w:start w:val="1"/>
      <w:numFmt w:val="lowerRoman"/>
      <w:lvlText w:val="%9."/>
      <w:lvlJc w:val="right"/>
      <w:pPr>
        <w:ind w:left="10394" w:hanging="180"/>
      </w:pPr>
    </w:lvl>
  </w:abstractNum>
  <w:num w:numId="1">
    <w:abstractNumId w:val="5"/>
  </w:num>
  <w:num w:numId="2">
    <w:abstractNumId w:val="9"/>
  </w:num>
  <w:num w:numId="3">
    <w:abstractNumId w:val="7"/>
  </w:num>
  <w:num w:numId="4">
    <w:abstractNumId w:val="3"/>
  </w:num>
  <w:num w:numId="5">
    <w:abstractNumId w:val="2"/>
  </w:num>
  <w:num w:numId="6">
    <w:abstractNumId w:val="4"/>
  </w:num>
  <w:num w:numId="7">
    <w:abstractNumId w:val="0"/>
  </w:num>
  <w:num w:numId="8">
    <w:abstractNumId w:val="6"/>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733"/>
    <w:rsid w:val="00045E5E"/>
    <w:rsid w:val="000B5E1D"/>
    <w:rsid w:val="000D31A1"/>
    <w:rsid w:val="0019251A"/>
    <w:rsid w:val="001B1285"/>
    <w:rsid w:val="001C084E"/>
    <w:rsid w:val="001C21F3"/>
    <w:rsid w:val="002E6165"/>
    <w:rsid w:val="003133B9"/>
    <w:rsid w:val="00322720"/>
    <w:rsid w:val="003D343B"/>
    <w:rsid w:val="00431EC5"/>
    <w:rsid w:val="00453115"/>
    <w:rsid w:val="00464531"/>
    <w:rsid w:val="004758C9"/>
    <w:rsid w:val="0048723C"/>
    <w:rsid w:val="00566CD0"/>
    <w:rsid w:val="005B44CF"/>
    <w:rsid w:val="00637ED3"/>
    <w:rsid w:val="006638E5"/>
    <w:rsid w:val="00672733"/>
    <w:rsid w:val="006B1F24"/>
    <w:rsid w:val="007902A4"/>
    <w:rsid w:val="0081401B"/>
    <w:rsid w:val="008463D3"/>
    <w:rsid w:val="008818B0"/>
    <w:rsid w:val="00935082"/>
    <w:rsid w:val="00B7400A"/>
    <w:rsid w:val="00BD17B0"/>
    <w:rsid w:val="00D56DC4"/>
    <w:rsid w:val="00D618EC"/>
    <w:rsid w:val="00D870B8"/>
    <w:rsid w:val="00D91E06"/>
    <w:rsid w:val="00DC18A3"/>
    <w:rsid w:val="00E042FE"/>
    <w:rsid w:val="00E516AB"/>
    <w:rsid w:val="00E82538"/>
    <w:rsid w:val="00E90CB3"/>
    <w:rsid w:val="00EA0262"/>
    <w:rsid w:val="00ED0AAA"/>
    <w:rsid w:val="00ED1EBA"/>
    <w:rsid w:val="00FA419F"/>
    <w:rsid w:val="00FC0B75"/>
    <w:rsid w:val="00FC37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275B2B5"/>
  <w15:chartTrackingRefBased/>
  <w15:docId w15:val="{90C71373-7FC8-954C-ADE4-56D64BFCB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B1F24"/>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2733"/>
    <w:pPr>
      <w:tabs>
        <w:tab w:val="center" w:pos="4680"/>
        <w:tab w:val="right" w:pos="9360"/>
      </w:tabs>
    </w:pPr>
  </w:style>
  <w:style w:type="character" w:customStyle="1" w:styleId="HeaderChar">
    <w:name w:val="Header Char"/>
    <w:basedOn w:val="DefaultParagraphFont"/>
    <w:link w:val="Header"/>
    <w:uiPriority w:val="99"/>
    <w:rsid w:val="00672733"/>
  </w:style>
  <w:style w:type="paragraph" w:styleId="Footer">
    <w:name w:val="footer"/>
    <w:basedOn w:val="Normal"/>
    <w:link w:val="FooterChar"/>
    <w:uiPriority w:val="99"/>
    <w:unhideWhenUsed/>
    <w:rsid w:val="00672733"/>
    <w:pPr>
      <w:tabs>
        <w:tab w:val="center" w:pos="4680"/>
        <w:tab w:val="right" w:pos="9360"/>
      </w:tabs>
    </w:pPr>
  </w:style>
  <w:style w:type="character" w:customStyle="1" w:styleId="FooterChar">
    <w:name w:val="Footer Char"/>
    <w:basedOn w:val="DefaultParagraphFont"/>
    <w:link w:val="Footer"/>
    <w:uiPriority w:val="99"/>
    <w:rsid w:val="00672733"/>
  </w:style>
  <w:style w:type="paragraph" w:styleId="Title">
    <w:name w:val="Title"/>
    <w:basedOn w:val="Normal"/>
    <w:next w:val="Normal"/>
    <w:link w:val="TitleChar"/>
    <w:uiPriority w:val="10"/>
    <w:qFormat/>
    <w:rsid w:val="006B1F2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B1F24"/>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6B1F24"/>
    <w:rPr>
      <w:b/>
      <w:bCs/>
    </w:rPr>
  </w:style>
  <w:style w:type="character" w:customStyle="1" w:styleId="Heading1Char">
    <w:name w:val="Heading 1 Char"/>
    <w:basedOn w:val="DefaultParagraphFont"/>
    <w:link w:val="Heading1"/>
    <w:uiPriority w:val="9"/>
    <w:rsid w:val="006B1F24"/>
    <w:rPr>
      <w:rFonts w:asciiTheme="majorHAnsi" w:eastAsiaTheme="majorEastAsia" w:hAnsiTheme="majorHAnsi" w:cstheme="majorBidi"/>
      <w:color w:val="2F5496" w:themeColor="accent1" w:themeShade="BF"/>
      <w:sz w:val="32"/>
      <w:szCs w:val="32"/>
    </w:rPr>
  </w:style>
  <w:style w:type="paragraph" w:styleId="ListParagraph">
    <w:name w:val="List Paragraph"/>
    <w:aliases w:val="Párrafo de lista1,List Paragraph1,Colorful List - Accent 11,List Paragraph11"/>
    <w:basedOn w:val="Normal"/>
    <w:link w:val="ListParagraphChar"/>
    <w:uiPriority w:val="34"/>
    <w:qFormat/>
    <w:rsid w:val="00045E5E"/>
    <w:pPr>
      <w:ind w:left="720"/>
      <w:contextualSpacing/>
    </w:pPr>
  </w:style>
  <w:style w:type="paragraph" w:styleId="Subtitle">
    <w:name w:val="Subtitle"/>
    <w:basedOn w:val="Normal"/>
    <w:next w:val="Normal"/>
    <w:link w:val="SubtitleChar"/>
    <w:uiPriority w:val="11"/>
    <w:qFormat/>
    <w:rsid w:val="00045E5E"/>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045E5E"/>
    <w:rPr>
      <w:rFonts w:eastAsiaTheme="minorEastAsia"/>
      <w:color w:val="5A5A5A" w:themeColor="text1" w:themeTint="A5"/>
      <w:spacing w:val="15"/>
      <w:sz w:val="22"/>
      <w:szCs w:val="22"/>
    </w:rPr>
  </w:style>
  <w:style w:type="table" w:styleId="TableGrid">
    <w:name w:val="Table Grid"/>
    <w:basedOn w:val="TableNormal"/>
    <w:uiPriority w:val="39"/>
    <w:rsid w:val="003227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32272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322720"/>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322720"/>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footnote text"/>
    <w:basedOn w:val="Normal"/>
    <w:link w:val="FootnoteTextChar"/>
    <w:uiPriority w:val="99"/>
    <w:unhideWhenUsed/>
    <w:qFormat/>
    <w:rsid w:val="00E516AB"/>
    <w:rPr>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basedOn w:val="DefaultParagraphFont"/>
    <w:link w:val="FootnoteText"/>
    <w:uiPriority w:val="99"/>
    <w:rsid w:val="00E516AB"/>
    <w:rPr>
      <w:sz w:val="20"/>
      <w:szCs w:val="20"/>
    </w:rPr>
  </w:style>
  <w:style w:type="character" w:styleId="FootnoteReference">
    <w:name w:val="footnote reference"/>
    <w:aliases w:val="Footnotes refss,Texto de nota al pie,referencia nota al pie,BVI fnr,Appel note de bas de page,Footnote symbol,Footnote number,f,Ref. de nota al pie.,4_G,16 Point,Superscript 6 Point,Texto nota al pie,Ref. de nota al pi,Ref,f1,4,norma"/>
    <w:basedOn w:val="DefaultParagraphFont"/>
    <w:link w:val="Appelnotedebasde"/>
    <w:unhideWhenUsed/>
    <w:qFormat/>
    <w:rsid w:val="00E516AB"/>
    <w:rPr>
      <w:vertAlign w:val="superscript"/>
    </w:rPr>
  </w:style>
  <w:style w:type="paragraph" w:styleId="Caption">
    <w:name w:val="caption"/>
    <w:basedOn w:val="Normal"/>
    <w:next w:val="Normal"/>
    <w:uiPriority w:val="35"/>
    <w:unhideWhenUsed/>
    <w:qFormat/>
    <w:rsid w:val="00566CD0"/>
    <w:pPr>
      <w:spacing w:after="200"/>
    </w:pPr>
    <w:rPr>
      <w:i/>
      <w:iCs/>
      <w:color w:val="44546A" w:themeColor="text2"/>
      <w:sz w:val="18"/>
      <w:szCs w:val="18"/>
    </w:rPr>
  </w:style>
  <w:style w:type="paragraph" w:customStyle="1" w:styleId="Appelnotedebasde">
    <w:name w:val="Appel note de bas de..."/>
    <w:basedOn w:val="Normal"/>
    <w:link w:val="FootnoteReference"/>
    <w:rsid w:val="00D870B8"/>
    <w:pPr>
      <w:spacing w:after="160" w:line="240" w:lineRule="exact"/>
    </w:pPr>
    <w:rPr>
      <w:vertAlign w:val="superscript"/>
    </w:rPr>
  </w:style>
  <w:style w:type="paragraph" w:styleId="BodyTextIndent2">
    <w:name w:val="Body Text Indent 2"/>
    <w:basedOn w:val="Normal"/>
    <w:link w:val="BodyTextIndent2Char"/>
    <w:rsid w:val="00D870B8"/>
    <w:pPr>
      <w:ind w:firstLine="720"/>
      <w:jc w:val="both"/>
    </w:pPr>
    <w:rPr>
      <w:rFonts w:ascii="Univers" w:eastAsia="Times New Roman" w:hAnsi="Univers" w:cs="Times New Roman"/>
      <w:sz w:val="22"/>
      <w:szCs w:val="20"/>
      <w:lang w:val="es-ES" w:eastAsia="es-ES"/>
    </w:rPr>
  </w:style>
  <w:style w:type="character" w:customStyle="1" w:styleId="BodyTextIndent2Char">
    <w:name w:val="Body Text Indent 2 Char"/>
    <w:basedOn w:val="DefaultParagraphFont"/>
    <w:link w:val="BodyTextIndent2"/>
    <w:rsid w:val="00D870B8"/>
    <w:rPr>
      <w:rFonts w:ascii="Univers" w:eastAsia="Times New Roman" w:hAnsi="Univers" w:cs="Times New Roman"/>
      <w:sz w:val="22"/>
      <w:szCs w:val="20"/>
      <w:lang w:val="es-ES" w:eastAsia="es-ES"/>
    </w:rPr>
  </w:style>
  <w:style w:type="character" w:styleId="Hyperlink">
    <w:name w:val="Hyperlink"/>
    <w:uiPriority w:val="99"/>
    <w:unhideWhenUsed/>
    <w:rsid w:val="00D870B8"/>
    <w:rPr>
      <w:color w:val="0563C1"/>
      <w:u w:val="single"/>
    </w:rPr>
  </w:style>
  <w:style w:type="character" w:customStyle="1" w:styleId="ListParagraphChar">
    <w:name w:val="List Paragraph Char"/>
    <w:aliases w:val="Párrafo de lista1 Char,List Paragraph1 Char,Colorful List - Accent 11 Char,List Paragraph11 Char"/>
    <w:link w:val="ListParagraph"/>
    <w:uiPriority w:val="34"/>
    <w:qFormat/>
    <w:locked/>
    <w:rsid w:val="00D870B8"/>
  </w:style>
  <w:style w:type="paragraph" w:styleId="BalloonText">
    <w:name w:val="Balloon Text"/>
    <w:basedOn w:val="Normal"/>
    <w:link w:val="BalloonTextChar"/>
    <w:uiPriority w:val="99"/>
    <w:semiHidden/>
    <w:unhideWhenUsed/>
    <w:rsid w:val="008140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401B"/>
    <w:rPr>
      <w:rFonts w:ascii="Segoe UI" w:hAnsi="Segoe UI" w:cs="Segoe UI"/>
      <w:sz w:val="18"/>
      <w:szCs w:val="18"/>
    </w:rPr>
  </w:style>
  <w:style w:type="character" w:styleId="CommentReference">
    <w:name w:val="annotation reference"/>
    <w:basedOn w:val="DefaultParagraphFont"/>
    <w:uiPriority w:val="99"/>
    <w:semiHidden/>
    <w:unhideWhenUsed/>
    <w:rsid w:val="0081401B"/>
    <w:rPr>
      <w:sz w:val="16"/>
      <w:szCs w:val="16"/>
    </w:rPr>
  </w:style>
  <w:style w:type="paragraph" w:styleId="CommentText">
    <w:name w:val="annotation text"/>
    <w:basedOn w:val="Normal"/>
    <w:link w:val="CommentTextChar"/>
    <w:uiPriority w:val="99"/>
    <w:semiHidden/>
    <w:unhideWhenUsed/>
    <w:rsid w:val="0081401B"/>
    <w:rPr>
      <w:sz w:val="20"/>
      <w:szCs w:val="20"/>
    </w:rPr>
  </w:style>
  <w:style w:type="character" w:customStyle="1" w:styleId="CommentTextChar">
    <w:name w:val="Comment Text Char"/>
    <w:basedOn w:val="DefaultParagraphFont"/>
    <w:link w:val="CommentText"/>
    <w:uiPriority w:val="99"/>
    <w:semiHidden/>
    <w:rsid w:val="0081401B"/>
    <w:rPr>
      <w:sz w:val="20"/>
      <w:szCs w:val="20"/>
    </w:rPr>
  </w:style>
  <w:style w:type="paragraph" w:styleId="CommentSubject">
    <w:name w:val="annotation subject"/>
    <w:basedOn w:val="CommentText"/>
    <w:next w:val="CommentText"/>
    <w:link w:val="CommentSubjectChar"/>
    <w:uiPriority w:val="99"/>
    <w:semiHidden/>
    <w:unhideWhenUsed/>
    <w:rsid w:val="0081401B"/>
    <w:rPr>
      <w:b/>
      <w:bCs/>
    </w:rPr>
  </w:style>
  <w:style w:type="character" w:customStyle="1" w:styleId="CommentSubjectChar">
    <w:name w:val="Comment Subject Char"/>
    <w:basedOn w:val="CommentTextChar"/>
    <w:link w:val="CommentSubject"/>
    <w:uiPriority w:val="99"/>
    <w:semiHidden/>
    <w:rsid w:val="0081401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idh.org/annualrep/2002eng/Haiti.11335.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cidh.org/annualrep/2000eng/ChapterIII/Admissible/Haiti11.335.htm"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cidh.org/annualrep/2002eng/Haiti.11335.htm" TargetMode="External"/><Relationship Id="rId2" Type="http://schemas.openxmlformats.org/officeDocument/2006/relationships/hyperlink" Target="http://www.cidh.org/annualrep/2003eng/chap.3f.htm" TargetMode="External"/><Relationship Id="rId1" Type="http://schemas.openxmlformats.org/officeDocument/2006/relationships/hyperlink" Target="http://cidh.org/annualrep/2002eng/Haiti.11335.htm" TargetMode="External"/><Relationship Id="rId4" Type="http://schemas.openxmlformats.org/officeDocument/2006/relationships/hyperlink" Target="http://www.cidh.org/annualrep/2003eng/chap.3f.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C21056-2828-473B-8F9D-A50AFC9B7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1017</Words>
  <Characters>5797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jospofe24@estudiantec.cr</dc:creator>
  <cp:keywords/>
  <dc:description/>
  <cp:lastModifiedBy>Paez, Suzdal</cp:lastModifiedBy>
  <cp:revision>7</cp:revision>
  <dcterms:created xsi:type="dcterms:W3CDTF">2020-11-09T15:00:00Z</dcterms:created>
  <dcterms:modified xsi:type="dcterms:W3CDTF">2021-03-25T22:07:00Z</dcterms:modified>
</cp:coreProperties>
</file>