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B1102" w14:textId="0CC0CC6C" w:rsidR="0071717C" w:rsidRPr="008768A5" w:rsidRDefault="00631616" w:rsidP="00DD79D0">
      <w:pPr>
        <w:pStyle w:val="Header"/>
        <w:jc w:val="center"/>
        <w:rPr>
          <w:rFonts w:ascii="Cambria" w:hAnsi="Cambria"/>
        </w:rPr>
      </w:pPr>
      <w:r w:rsidRPr="008768A5">
        <w:rPr>
          <w:rFonts w:ascii="Cambria" w:hAnsi="Cambria"/>
          <w:b/>
        </w:rPr>
        <w:t>F</w:t>
      </w:r>
      <w:r w:rsidR="00DD79D0" w:rsidRPr="008768A5">
        <w:rPr>
          <w:rFonts w:ascii="Cambria" w:hAnsi="Cambria"/>
          <w:b/>
        </w:rPr>
        <w:t xml:space="preserve">OLLOW-UP FACTSHEET OF REPORT </w:t>
      </w:r>
      <w:r w:rsidR="0071717C" w:rsidRPr="008768A5">
        <w:rPr>
          <w:rFonts w:ascii="Cambria" w:hAnsi="Cambria"/>
          <w:b/>
        </w:rPr>
        <w:t>No. 28/09</w:t>
      </w:r>
    </w:p>
    <w:p w14:paraId="5C585AFB" w14:textId="4677EAC0" w:rsidR="0071717C" w:rsidRPr="008768A5" w:rsidRDefault="00DD79D0" w:rsidP="0071717C">
      <w:pPr>
        <w:spacing w:after="0" w:line="240" w:lineRule="auto"/>
        <w:jc w:val="center"/>
        <w:rPr>
          <w:rFonts w:ascii="Cambria" w:hAnsi="Cambria"/>
          <w:b/>
        </w:rPr>
      </w:pPr>
      <w:r w:rsidRPr="008768A5">
        <w:rPr>
          <w:rFonts w:ascii="Cambria" w:hAnsi="Cambria"/>
          <w:b/>
        </w:rPr>
        <w:t xml:space="preserve">CASE </w:t>
      </w:r>
      <w:r w:rsidR="0071717C" w:rsidRPr="008768A5">
        <w:rPr>
          <w:rFonts w:ascii="Cambria" w:hAnsi="Cambria"/>
          <w:b/>
        </w:rPr>
        <w:t>12.269</w:t>
      </w:r>
    </w:p>
    <w:p w14:paraId="44A746B2" w14:textId="16860965" w:rsidR="0071717C" w:rsidRPr="008768A5" w:rsidRDefault="00DD79D0" w:rsidP="0071717C">
      <w:pPr>
        <w:spacing w:after="0" w:line="240" w:lineRule="auto"/>
        <w:jc w:val="center"/>
        <w:rPr>
          <w:rFonts w:ascii="Cambria" w:hAnsi="Cambria"/>
          <w:b/>
        </w:rPr>
      </w:pPr>
      <w:r w:rsidRPr="008768A5">
        <w:rPr>
          <w:rFonts w:ascii="Cambria" w:hAnsi="Cambria"/>
          <w:b/>
        </w:rPr>
        <w:t>DEXTER LENDORE</w:t>
      </w:r>
    </w:p>
    <w:p w14:paraId="604FE9A3" w14:textId="77777777" w:rsidR="0071717C" w:rsidRPr="008768A5" w:rsidRDefault="0071717C" w:rsidP="0071717C">
      <w:pPr>
        <w:spacing w:after="0" w:line="240" w:lineRule="auto"/>
        <w:jc w:val="center"/>
        <w:rPr>
          <w:rFonts w:ascii="Cambria" w:hAnsi="Cambria"/>
          <w:b/>
        </w:rPr>
      </w:pPr>
      <w:r w:rsidRPr="008768A5">
        <w:rPr>
          <w:rFonts w:ascii="Cambria" w:hAnsi="Cambria"/>
          <w:b/>
        </w:rPr>
        <w:t>(Trinidad and Tobago)</w:t>
      </w:r>
    </w:p>
    <w:p w14:paraId="74C2FD49" w14:textId="77777777" w:rsidR="0071717C" w:rsidRPr="008768A5" w:rsidRDefault="0071717C" w:rsidP="0071717C">
      <w:pPr>
        <w:spacing w:after="0" w:line="240" w:lineRule="auto"/>
        <w:jc w:val="center"/>
        <w:rPr>
          <w:rFonts w:ascii="Cambria" w:hAnsi="Cambria"/>
          <w:sz w:val="20"/>
          <w:szCs w:val="20"/>
        </w:rPr>
      </w:pPr>
    </w:p>
    <w:p w14:paraId="777BC903" w14:textId="77777777" w:rsidR="0071717C" w:rsidRPr="008768A5" w:rsidRDefault="0071717C" w:rsidP="00DD79D0">
      <w:pPr>
        <w:numPr>
          <w:ilvl w:val="0"/>
          <w:numId w:val="6"/>
        </w:numPr>
        <w:spacing w:after="0" w:line="240" w:lineRule="auto"/>
        <w:ind w:left="1440"/>
        <w:jc w:val="both"/>
        <w:rPr>
          <w:rFonts w:ascii="Cambria" w:hAnsi="Cambria" w:cs="Calibri Light"/>
          <w:b/>
          <w:sz w:val="20"/>
          <w:szCs w:val="20"/>
        </w:rPr>
      </w:pPr>
      <w:r w:rsidRPr="008768A5">
        <w:rPr>
          <w:rFonts w:ascii="Cambria" w:hAnsi="Cambria" w:cs="Calibri Light"/>
          <w:b/>
          <w:sz w:val="20"/>
          <w:szCs w:val="20"/>
        </w:rPr>
        <w:t xml:space="preserve">Summary of Case  </w:t>
      </w:r>
    </w:p>
    <w:p w14:paraId="62DB5CB7" w14:textId="77777777" w:rsidR="0071717C" w:rsidRPr="008768A5" w:rsidRDefault="0071717C" w:rsidP="0071717C">
      <w:pPr>
        <w:spacing w:after="0" w:line="240" w:lineRule="auto"/>
        <w:ind w:left="1080"/>
        <w:jc w:val="both"/>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B60255" w:rsidRPr="008768A5" w14:paraId="0A776B51" w14:textId="77777777" w:rsidTr="0071717C">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1480D696" w14:textId="77777777" w:rsidR="0071717C" w:rsidRPr="008768A5" w:rsidRDefault="0071717C" w:rsidP="00DD79D0">
            <w:pPr>
              <w:spacing w:before="120" w:after="0" w:line="240" w:lineRule="auto"/>
              <w:jc w:val="both"/>
              <w:rPr>
                <w:rFonts w:ascii="Cambria" w:hAnsi="Cambria"/>
                <w:b/>
                <w:sz w:val="20"/>
                <w:szCs w:val="20"/>
              </w:rPr>
            </w:pPr>
            <w:r w:rsidRPr="008768A5">
              <w:rPr>
                <w:rFonts w:ascii="Cambria" w:hAnsi="Cambria"/>
                <w:b/>
                <w:sz w:val="20"/>
                <w:szCs w:val="20"/>
              </w:rPr>
              <w:t xml:space="preserve">Victim (s): </w:t>
            </w:r>
            <w:r w:rsidRPr="008768A5">
              <w:rPr>
                <w:rFonts w:ascii="Cambria" w:hAnsi="Cambria"/>
                <w:sz w:val="20"/>
                <w:szCs w:val="20"/>
              </w:rPr>
              <w:t xml:space="preserve">Dexter Lendore </w:t>
            </w:r>
          </w:p>
          <w:p w14:paraId="2DB506DE" w14:textId="520ED20E" w:rsidR="0071717C" w:rsidRPr="008768A5" w:rsidRDefault="00DD79D0" w:rsidP="00875784">
            <w:pPr>
              <w:spacing w:after="0" w:line="240" w:lineRule="auto"/>
              <w:jc w:val="both"/>
              <w:rPr>
                <w:rFonts w:ascii="Cambria" w:hAnsi="Cambria"/>
                <w:sz w:val="20"/>
                <w:szCs w:val="20"/>
              </w:rPr>
            </w:pPr>
            <w:r w:rsidRPr="008768A5">
              <w:rPr>
                <w:rFonts w:ascii="Cambria" w:hAnsi="Cambria"/>
                <w:b/>
                <w:sz w:val="20"/>
                <w:szCs w:val="20"/>
              </w:rPr>
              <w:t>Petitioner</w:t>
            </w:r>
            <w:r w:rsidR="0071717C" w:rsidRPr="008768A5">
              <w:rPr>
                <w:rFonts w:ascii="Cambria" w:hAnsi="Cambria"/>
                <w:b/>
                <w:sz w:val="20"/>
                <w:szCs w:val="20"/>
              </w:rPr>
              <w:t xml:space="preserve"> (s):</w:t>
            </w:r>
            <w:r w:rsidR="0071717C" w:rsidRPr="008768A5">
              <w:rPr>
                <w:rFonts w:ascii="Cambria" w:hAnsi="Cambria"/>
                <w:sz w:val="20"/>
                <w:szCs w:val="20"/>
              </w:rPr>
              <w:t xml:space="preserve"> </w:t>
            </w:r>
            <w:r w:rsidR="007525F4" w:rsidRPr="008768A5">
              <w:rPr>
                <w:rFonts w:ascii="Cambria" w:hAnsi="Cambria"/>
                <w:sz w:val="20"/>
                <w:szCs w:val="20"/>
              </w:rPr>
              <w:t>Saul Lehrfreund (Death Penalty Project)</w:t>
            </w:r>
          </w:p>
          <w:p w14:paraId="14D54C57" w14:textId="77777777" w:rsidR="0071717C" w:rsidRPr="008768A5" w:rsidRDefault="0071717C" w:rsidP="00875784">
            <w:pPr>
              <w:spacing w:after="0" w:line="240" w:lineRule="auto"/>
              <w:jc w:val="both"/>
              <w:rPr>
                <w:rFonts w:ascii="Cambria" w:hAnsi="Cambria"/>
                <w:sz w:val="20"/>
                <w:szCs w:val="20"/>
              </w:rPr>
            </w:pPr>
            <w:r w:rsidRPr="008768A5">
              <w:rPr>
                <w:rFonts w:ascii="Cambria" w:hAnsi="Cambria"/>
                <w:b/>
                <w:sz w:val="20"/>
                <w:szCs w:val="20"/>
              </w:rPr>
              <w:t xml:space="preserve">State: </w:t>
            </w:r>
            <w:r w:rsidRPr="008768A5">
              <w:rPr>
                <w:rFonts w:ascii="Cambria" w:hAnsi="Cambria"/>
                <w:sz w:val="20"/>
                <w:szCs w:val="20"/>
              </w:rPr>
              <w:t>Trinidad and Tobago</w:t>
            </w:r>
          </w:p>
          <w:p w14:paraId="55DE6957" w14:textId="77777777" w:rsidR="0071717C" w:rsidRPr="008768A5" w:rsidRDefault="00875784" w:rsidP="00875784">
            <w:pPr>
              <w:spacing w:after="0" w:line="240" w:lineRule="auto"/>
              <w:jc w:val="both"/>
              <w:rPr>
                <w:rFonts w:ascii="Cambria" w:hAnsi="Cambria"/>
                <w:sz w:val="20"/>
                <w:szCs w:val="20"/>
              </w:rPr>
            </w:pPr>
            <w:r w:rsidRPr="008768A5">
              <w:rPr>
                <w:rFonts w:ascii="Cambria" w:hAnsi="Cambria"/>
                <w:b/>
                <w:sz w:val="20"/>
                <w:szCs w:val="20"/>
              </w:rPr>
              <w:t>Merits Report No.</w:t>
            </w:r>
            <w:r w:rsidR="0071717C" w:rsidRPr="008768A5">
              <w:rPr>
                <w:rFonts w:ascii="Cambria" w:hAnsi="Cambria"/>
                <w:b/>
                <w:sz w:val="20"/>
                <w:szCs w:val="20"/>
              </w:rPr>
              <w:t xml:space="preserve">: </w:t>
            </w:r>
            <w:hyperlink r:id="rId8" w:history="1">
              <w:r w:rsidR="0071717C" w:rsidRPr="008768A5">
                <w:rPr>
                  <w:rStyle w:val="Hyperlink"/>
                  <w:rFonts w:ascii="Cambria" w:hAnsi="Cambria"/>
                  <w:color w:val="auto"/>
                  <w:sz w:val="20"/>
                  <w:szCs w:val="20"/>
                </w:rPr>
                <w:t>28/09</w:t>
              </w:r>
            </w:hyperlink>
            <w:r w:rsidR="0071717C" w:rsidRPr="008768A5">
              <w:rPr>
                <w:rFonts w:ascii="Cambria" w:hAnsi="Cambria"/>
                <w:sz w:val="20"/>
                <w:szCs w:val="20"/>
              </w:rPr>
              <w:t>, published on March 20, 2009</w:t>
            </w:r>
          </w:p>
          <w:p w14:paraId="507C103D" w14:textId="77777777" w:rsidR="0071717C" w:rsidRPr="008768A5" w:rsidRDefault="00875784" w:rsidP="00875784">
            <w:pPr>
              <w:spacing w:after="0" w:line="240" w:lineRule="auto"/>
              <w:jc w:val="both"/>
              <w:rPr>
                <w:rFonts w:ascii="Cambria" w:hAnsi="Cambria"/>
                <w:sz w:val="20"/>
                <w:szCs w:val="20"/>
              </w:rPr>
            </w:pPr>
            <w:r w:rsidRPr="008768A5">
              <w:rPr>
                <w:rFonts w:ascii="Cambria" w:hAnsi="Cambria"/>
                <w:b/>
                <w:sz w:val="20"/>
                <w:szCs w:val="20"/>
              </w:rPr>
              <w:t>Admissibility Report No.</w:t>
            </w:r>
            <w:r w:rsidR="0071717C" w:rsidRPr="008768A5">
              <w:rPr>
                <w:rFonts w:ascii="Cambria" w:hAnsi="Cambria"/>
                <w:b/>
                <w:sz w:val="20"/>
                <w:szCs w:val="20"/>
              </w:rPr>
              <w:t xml:space="preserve">: </w:t>
            </w:r>
            <w:hyperlink r:id="rId9" w:history="1">
              <w:r w:rsidR="0071717C" w:rsidRPr="008768A5">
                <w:rPr>
                  <w:rStyle w:val="Hyperlink"/>
                  <w:rFonts w:ascii="Cambria" w:hAnsi="Cambria"/>
                  <w:color w:val="auto"/>
                  <w:sz w:val="20"/>
                  <w:szCs w:val="20"/>
                </w:rPr>
                <w:t>21/05</w:t>
              </w:r>
            </w:hyperlink>
            <w:r w:rsidR="0071717C" w:rsidRPr="008768A5">
              <w:rPr>
                <w:rFonts w:ascii="Cambria" w:hAnsi="Cambria"/>
                <w:sz w:val="20"/>
                <w:szCs w:val="20"/>
              </w:rPr>
              <w:t>, adopted on February 25, 2005</w:t>
            </w:r>
          </w:p>
          <w:p w14:paraId="4287C1A3" w14:textId="06E7DF9A" w:rsidR="0071717C" w:rsidRPr="008768A5" w:rsidRDefault="0071717C" w:rsidP="00DD79D0">
            <w:pPr>
              <w:spacing w:after="120" w:line="240" w:lineRule="auto"/>
              <w:jc w:val="both"/>
              <w:rPr>
                <w:rFonts w:ascii="Cambria" w:hAnsi="Cambria"/>
                <w:b/>
                <w:sz w:val="20"/>
                <w:szCs w:val="20"/>
              </w:rPr>
            </w:pPr>
            <w:r w:rsidRPr="008768A5">
              <w:rPr>
                <w:rFonts w:ascii="Cambria" w:hAnsi="Cambria"/>
                <w:b/>
                <w:sz w:val="20"/>
                <w:szCs w:val="20"/>
              </w:rPr>
              <w:t xml:space="preserve">Themes: </w:t>
            </w:r>
            <w:r w:rsidR="00566934" w:rsidRPr="008768A5">
              <w:rPr>
                <w:rFonts w:ascii="Cambria" w:hAnsi="Cambria"/>
                <w:sz w:val="20"/>
                <w:szCs w:val="20"/>
              </w:rPr>
              <w:t>Domestic Effects / Right to a Fair Trial / Judicial Protection / Righ</w:t>
            </w:r>
            <w:r w:rsidR="00B60255" w:rsidRPr="008768A5">
              <w:rPr>
                <w:rFonts w:ascii="Cambria" w:hAnsi="Cambria"/>
                <w:sz w:val="20"/>
                <w:szCs w:val="20"/>
              </w:rPr>
              <w:t>t</w:t>
            </w:r>
            <w:r w:rsidR="00566934" w:rsidRPr="008768A5">
              <w:rPr>
                <w:rFonts w:ascii="Cambria" w:hAnsi="Cambria"/>
                <w:sz w:val="20"/>
                <w:szCs w:val="20"/>
              </w:rPr>
              <w:t xml:space="preserve"> to Humane Treatment /</w:t>
            </w:r>
            <w:r w:rsidR="00B60255" w:rsidRPr="008768A5">
              <w:rPr>
                <w:rFonts w:ascii="Cambria" w:hAnsi="Cambria"/>
                <w:sz w:val="20"/>
                <w:szCs w:val="20"/>
              </w:rPr>
              <w:t xml:space="preserve"> Right to Personal Liberty /</w:t>
            </w:r>
            <w:r w:rsidR="00566934" w:rsidRPr="008768A5">
              <w:rPr>
                <w:rFonts w:ascii="Cambria" w:hAnsi="Cambria"/>
                <w:sz w:val="20"/>
                <w:szCs w:val="20"/>
              </w:rPr>
              <w:t xml:space="preserve"> Conditions of Detention / Torture, Cruel, Inhuman and / or Degrading Treatment. </w:t>
            </w:r>
          </w:p>
          <w:p w14:paraId="74290AE9" w14:textId="23BA743B" w:rsidR="0071717C" w:rsidRPr="008768A5" w:rsidRDefault="0071717C" w:rsidP="00DD79D0">
            <w:pPr>
              <w:spacing w:after="120" w:line="240" w:lineRule="auto"/>
              <w:jc w:val="both"/>
              <w:rPr>
                <w:rFonts w:ascii="Cambria" w:eastAsia="Times New Roman" w:hAnsi="Cambria"/>
                <w:sz w:val="20"/>
                <w:szCs w:val="20"/>
              </w:rPr>
            </w:pPr>
            <w:r w:rsidRPr="008768A5">
              <w:rPr>
                <w:rFonts w:ascii="Cambria" w:hAnsi="Cambria"/>
                <w:b/>
                <w:sz w:val="20"/>
                <w:szCs w:val="20"/>
              </w:rPr>
              <w:t xml:space="preserve">Facts: </w:t>
            </w:r>
            <w:r w:rsidRPr="008768A5">
              <w:rPr>
                <w:rFonts w:ascii="Cambria" w:eastAsia="Times New Roman" w:hAnsi="Cambria"/>
                <w:sz w:val="20"/>
                <w:szCs w:val="20"/>
              </w:rPr>
              <w:t xml:space="preserve">This </w:t>
            </w:r>
            <w:r w:rsidR="00DD79D0" w:rsidRPr="008768A5">
              <w:rPr>
                <w:rFonts w:ascii="Cambria" w:eastAsia="Times New Roman" w:hAnsi="Cambria"/>
                <w:sz w:val="20"/>
                <w:szCs w:val="20"/>
              </w:rPr>
              <w:t>c</w:t>
            </w:r>
            <w:r w:rsidRPr="008768A5">
              <w:rPr>
                <w:rFonts w:ascii="Cambria" w:eastAsia="Times New Roman" w:hAnsi="Cambria"/>
                <w:sz w:val="20"/>
                <w:szCs w:val="20"/>
              </w:rPr>
              <w:t>ase</w:t>
            </w:r>
            <w:r w:rsidR="00835DBB" w:rsidRPr="008768A5">
              <w:rPr>
                <w:rFonts w:ascii="Cambria" w:eastAsia="Times New Roman" w:hAnsi="Cambria"/>
                <w:sz w:val="20"/>
                <w:szCs w:val="20"/>
              </w:rPr>
              <w:t xml:space="preserve"> concerns</w:t>
            </w:r>
            <w:r w:rsidR="00652DC2" w:rsidRPr="008768A5">
              <w:rPr>
                <w:rFonts w:ascii="Cambria" w:eastAsia="Times New Roman" w:hAnsi="Cambria"/>
                <w:sz w:val="20"/>
                <w:szCs w:val="20"/>
              </w:rPr>
              <w:t xml:space="preserve"> the </w:t>
            </w:r>
            <w:r w:rsidR="00E306C6" w:rsidRPr="008768A5">
              <w:rPr>
                <w:rFonts w:ascii="Cambria" w:eastAsia="Times New Roman" w:hAnsi="Cambria"/>
                <w:sz w:val="20"/>
                <w:szCs w:val="20"/>
              </w:rPr>
              <w:t xml:space="preserve">detention </w:t>
            </w:r>
            <w:r w:rsidR="00652DC2" w:rsidRPr="008768A5">
              <w:rPr>
                <w:rFonts w:ascii="Cambria" w:eastAsia="Times New Roman" w:hAnsi="Cambria"/>
                <w:sz w:val="20"/>
                <w:szCs w:val="20"/>
              </w:rPr>
              <w:t>condition</w:t>
            </w:r>
            <w:r w:rsidR="00E306C6" w:rsidRPr="008768A5">
              <w:rPr>
                <w:rFonts w:ascii="Cambria" w:eastAsia="Times New Roman" w:hAnsi="Cambria"/>
                <w:sz w:val="20"/>
                <w:szCs w:val="20"/>
              </w:rPr>
              <w:t>s</w:t>
            </w:r>
            <w:r w:rsidR="00652DC2" w:rsidRPr="008768A5">
              <w:rPr>
                <w:rFonts w:ascii="Cambria" w:eastAsia="Times New Roman" w:hAnsi="Cambria"/>
                <w:sz w:val="20"/>
                <w:szCs w:val="20"/>
              </w:rPr>
              <w:t xml:space="preserve"> of </w:t>
            </w:r>
            <w:r w:rsidR="00835DBB" w:rsidRPr="008768A5">
              <w:rPr>
                <w:rFonts w:ascii="Cambria" w:eastAsia="Times New Roman" w:hAnsi="Cambria"/>
                <w:sz w:val="20"/>
                <w:szCs w:val="20"/>
              </w:rPr>
              <w:t xml:space="preserve">Mr. Dexter Lendore, who </w:t>
            </w:r>
            <w:r w:rsidR="00E306C6" w:rsidRPr="008768A5">
              <w:rPr>
                <w:rFonts w:ascii="Cambria" w:eastAsia="Times New Roman" w:hAnsi="Cambria"/>
                <w:sz w:val="20"/>
                <w:szCs w:val="20"/>
              </w:rPr>
              <w:t xml:space="preserve">was </w:t>
            </w:r>
            <w:r w:rsidR="00835DBB" w:rsidRPr="008768A5">
              <w:rPr>
                <w:rFonts w:ascii="Cambria" w:eastAsia="Times New Roman" w:hAnsi="Cambria"/>
                <w:sz w:val="20"/>
                <w:szCs w:val="20"/>
              </w:rPr>
              <w:t>detained on death row at the state prison, in Port of Spain, Trinidad and Tobago</w:t>
            </w:r>
            <w:r w:rsidR="00E306C6" w:rsidRPr="008768A5">
              <w:rPr>
                <w:rFonts w:ascii="Cambria" w:eastAsia="Times New Roman" w:hAnsi="Cambria"/>
                <w:sz w:val="20"/>
                <w:szCs w:val="20"/>
              </w:rPr>
              <w:t xml:space="preserve"> and whose sentence was subsequently</w:t>
            </w:r>
            <w:r w:rsidR="00835DBB" w:rsidRPr="008768A5">
              <w:rPr>
                <w:rFonts w:ascii="Cambria" w:eastAsia="Times New Roman" w:hAnsi="Cambria"/>
                <w:sz w:val="20"/>
                <w:szCs w:val="20"/>
              </w:rPr>
              <w:t xml:space="preserve"> commuted to seventy-five years imprisonment with hard labor.</w:t>
            </w:r>
          </w:p>
          <w:p w14:paraId="0F6AACE4" w14:textId="69594658" w:rsidR="0071717C" w:rsidRPr="008768A5" w:rsidRDefault="0071717C" w:rsidP="00E306C6">
            <w:pPr>
              <w:spacing w:after="120" w:line="240" w:lineRule="auto"/>
              <w:jc w:val="both"/>
              <w:rPr>
                <w:rFonts w:ascii="Cambria" w:hAnsi="Cambria"/>
                <w:sz w:val="20"/>
                <w:szCs w:val="20"/>
              </w:rPr>
            </w:pPr>
            <w:r w:rsidRPr="008768A5">
              <w:rPr>
                <w:rFonts w:ascii="Cambria" w:hAnsi="Cambria"/>
                <w:b/>
                <w:sz w:val="20"/>
                <w:szCs w:val="20"/>
              </w:rPr>
              <w:t xml:space="preserve">Rights violated: </w:t>
            </w:r>
            <w:r w:rsidRPr="008768A5">
              <w:rPr>
                <w:rFonts w:ascii="Cambria" w:hAnsi="Cambria" w:cs="Arial"/>
                <w:sz w:val="20"/>
                <w:szCs w:val="20"/>
              </w:rPr>
              <w:t>The Inter-American Commission concluded</w:t>
            </w:r>
            <w:r w:rsidRPr="008768A5">
              <w:rPr>
                <w:rFonts w:ascii="Cambria" w:hAnsi="Cambria"/>
                <w:sz w:val="20"/>
                <w:szCs w:val="20"/>
              </w:rPr>
              <w:t xml:space="preserve"> that Trinidad and Tobago </w:t>
            </w:r>
            <w:r w:rsidR="00E306C6" w:rsidRPr="008768A5">
              <w:rPr>
                <w:rFonts w:ascii="Cambria" w:hAnsi="Cambria"/>
                <w:sz w:val="20"/>
                <w:szCs w:val="20"/>
              </w:rPr>
              <w:t>was</w:t>
            </w:r>
            <w:r w:rsidRPr="008768A5">
              <w:rPr>
                <w:rFonts w:ascii="Cambria" w:hAnsi="Cambria"/>
                <w:sz w:val="20"/>
                <w:szCs w:val="20"/>
              </w:rPr>
              <w:t xml:space="preserve"> responsible for violating Mr. Lendore’s rights under Articles 8(1) and 8(2) of the American Convention, in conjunction with violations of Article 1(1) of that international instrument, due to its failure to provide him with the assistance of competent and effective counsel during his criminal proceedings; and that the State is also responsible for violating Mr. Lendore’s rights under Articles 25 and 8 of the American Convention, in conjunction with violations of Article 1(1) of the American Convention, as well as violations of Articles XVIII and XXVI of the American Declaration, by failing to provide Mr. Lendore with effective access to a Constitutional Motion for the protection of his fundamental rights.</w:t>
            </w:r>
          </w:p>
        </w:tc>
      </w:tr>
    </w:tbl>
    <w:p w14:paraId="225CB6A7" w14:textId="77777777" w:rsidR="0071717C" w:rsidRPr="008768A5" w:rsidRDefault="0071717C" w:rsidP="0071717C">
      <w:pPr>
        <w:spacing w:after="0" w:line="240" w:lineRule="auto"/>
        <w:ind w:left="180"/>
        <w:jc w:val="both"/>
        <w:rPr>
          <w:rFonts w:ascii="Cambria" w:hAnsi="Cambria"/>
          <w:sz w:val="20"/>
          <w:szCs w:val="20"/>
        </w:rPr>
      </w:pPr>
    </w:p>
    <w:p w14:paraId="59D7EF4C" w14:textId="77777777" w:rsidR="0071717C" w:rsidRPr="008768A5" w:rsidRDefault="0071717C" w:rsidP="00E306C6">
      <w:pPr>
        <w:numPr>
          <w:ilvl w:val="0"/>
          <w:numId w:val="6"/>
        </w:numPr>
        <w:spacing w:after="0" w:line="240" w:lineRule="auto"/>
        <w:ind w:left="1440"/>
        <w:jc w:val="both"/>
        <w:rPr>
          <w:rFonts w:ascii="Cambria" w:hAnsi="Cambria" w:cs="Calibri Light"/>
          <w:b/>
          <w:sz w:val="20"/>
          <w:szCs w:val="20"/>
        </w:rPr>
      </w:pPr>
      <w:r w:rsidRPr="008768A5">
        <w:rPr>
          <w:rFonts w:ascii="Cambria" w:hAnsi="Cambria" w:cs="Calibri Light"/>
          <w:b/>
          <w:sz w:val="20"/>
          <w:szCs w:val="20"/>
        </w:rPr>
        <w:t>Recommendations</w:t>
      </w:r>
    </w:p>
    <w:p w14:paraId="4C040D27" w14:textId="77777777" w:rsidR="0071717C" w:rsidRPr="008768A5" w:rsidRDefault="0071717C" w:rsidP="0071717C">
      <w:pPr>
        <w:spacing w:after="0" w:line="240" w:lineRule="auto"/>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90"/>
      </w:tblGrid>
      <w:tr w:rsidR="00B60255" w:rsidRPr="008768A5" w14:paraId="60C69CEC" w14:textId="77777777" w:rsidTr="00436AA3">
        <w:tc>
          <w:tcPr>
            <w:tcW w:w="7650" w:type="dxa"/>
            <w:tcBorders>
              <w:top w:val="single" w:sz="4" w:space="0" w:color="auto"/>
              <w:left w:val="single" w:sz="4" w:space="0" w:color="auto"/>
              <w:bottom w:val="single" w:sz="4" w:space="0" w:color="auto"/>
              <w:right w:val="single" w:sz="4" w:space="0" w:color="auto"/>
            </w:tcBorders>
            <w:vAlign w:val="center"/>
            <w:hideMark/>
          </w:tcPr>
          <w:p w14:paraId="52796324" w14:textId="77777777" w:rsidR="0071717C" w:rsidRPr="008768A5" w:rsidRDefault="0071717C" w:rsidP="00436AA3">
            <w:pPr>
              <w:spacing w:after="0" w:line="240" w:lineRule="auto"/>
              <w:jc w:val="center"/>
              <w:rPr>
                <w:rFonts w:ascii="Cambria" w:hAnsi="Cambria" w:cs="Calibri Light"/>
                <w:b/>
                <w:sz w:val="18"/>
                <w:szCs w:val="18"/>
              </w:rPr>
            </w:pPr>
            <w:r w:rsidRPr="008768A5">
              <w:rPr>
                <w:rFonts w:ascii="Cambria" w:hAnsi="Cambria" w:cs="Calibri Light"/>
                <w:b/>
                <w:sz w:val="18"/>
                <w:szCs w:val="18"/>
              </w:rPr>
              <w:t>Recommendations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5DD2AFB" w14:textId="7A36EFDE" w:rsidR="0071717C" w:rsidRPr="008768A5" w:rsidRDefault="007525F4" w:rsidP="00431C5C">
            <w:pPr>
              <w:spacing w:after="0" w:line="240" w:lineRule="auto"/>
              <w:jc w:val="center"/>
              <w:rPr>
                <w:rFonts w:ascii="Cambria" w:hAnsi="Cambria" w:cs="Calibri Light"/>
                <w:b/>
                <w:color w:val="000000" w:themeColor="text1"/>
                <w:sz w:val="18"/>
                <w:szCs w:val="18"/>
              </w:rPr>
            </w:pPr>
            <w:r w:rsidRPr="008768A5">
              <w:rPr>
                <w:rFonts w:ascii="Cambria" w:hAnsi="Cambria" w:cs="Calibri Light"/>
                <w:b/>
                <w:color w:val="000000" w:themeColor="text1"/>
                <w:sz w:val="18"/>
                <w:szCs w:val="18"/>
              </w:rPr>
              <w:t xml:space="preserve">State of compliance in </w:t>
            </w:r>
            <w:r w:rsidR="00431C5C" w:rsidRPr="008768A5">
              <w:rPr>
                <w:rFonts w:ascii="Cambria" w:hAnsi="Cambria" w:cs="Calibri Light"/>
                <w:b/>
                <w:color w:val="000000" w:themeColor="text1"/>
                <w:sz w:val="18"/>
                <w:szCs w:val="18"/>
              </w:rPr>
              <w:t>2020</w:t>
            </w:r>
          </w:p>
        </w:tc>
      </w:tr>
      <w:tr w:rsidR="00B60255" w:rsidRPr="008768A5" w14:paraId="6DC40CAD" w14:textId="77777777" w:rsidTr="00E306C6">
        <w:tc>
          <w:tcPr>
            <w:tcW w:w="7650" w:type="dxa"/>
            <w:tcBorders>
              <w:top w:val="single" w:sz="4" w:space="0" w:color="auto"/>
              <w:left w:val="single" w:sz="4" w:space="0" w:color="auto"/>
              <w:bottom w:val="single" w:sz="4" w:space="0" w:color="auto"/>
              <w:right w:val="single" w:sz="4" w:space="0" w:color="auto"/>
            </w:tcBorders>
            <w:hideMark/>
          </w:tcPr>
          <w:p w14:paraId="3E7EFD59" w14:textId="77777777" w:rsidR="0071717C" w:rsidRPr="008768A5" w:rsidRDefault="00385239" w:rsidP="00385239">
            <w:pPr>
              <w:spacing w:after="0" w:line="240" w:lineRule="auto"/>
              <w:jc w:val="both"/>
              <w:rPr>
                <w:rFonts w:ascii="Cambria" w:hAnsi="Cambria" w:cs="Calibri Light"/>
                <w:sz w:val="18"/>
                <w:szCs w:val="18"/>
              </w:rPr>
            </w:pPr>
            <w:r w:rsidRPr="008768A5">
              <w:rPr>
                <w:rFonts w:ascii="Cambria" w:hAnsi="Cambria"/>
                <w:sz w:val="18"/>
                <w:szCs w:val="18"/>
              </w:rPr>
              <w:t xml:space="preserve">1. </w:t>
            </w:r>
            <w:r w:rsidR="0071717C" w:rsidRPr="008768A5">
              <w:rPr>
                <w:rFonts w:ascii="Cambria" w:hAnsi="Cambria"/>
                <w:sz w:val="18"/>
                <w:szCs w:val="18"/>
              </w:rPr>
              <w:t>Grant Mr. Lendore an effective remedy, which includes a re-trial in accordance with the due process protections prescribed under Article 8 of the American Convention or, where a re-trial in compliance with these protections is not possible, his release, and compensation.</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CA2396" w14:textId="77777777" w:rsidR="0071717C" w:rsidRPr="008768A5" w:rsidRDefault="00385239" w:rsidP="00385239">
            <w:pPr>
              <w:spacing w:after="0" w:line="240" w:lineRule="auto"/>
              <w:jc w:val="center"/>
              <w:rPr>
                <w:rFonts w:ascii="Cambria" w:hAnsi="Cambria" w:cs="Calibri Light"/>
                <w:b/>
                <w:color w:val="000000" w:themeColor="text1"/>
                <w:sz w:val="18"/>
                <w:szCs w:val="18"/>
              </w:rPr>
            </w:pPr>
            <w:r w:rsidRPr="008768A5">
              <w:rPr>
                <w:rFonts w:ascii="Cambria" w:hAnsi="Cambria"/>
                <w:color w:val="000000" w:themeColor="text1"/>
                <w:sz w:val="18"/>
                <w:szCs w:val="18"/>
              </w:rPr>
              <w:t>Pending compliance</w:t>
            </w:r>
          </w:p>
        </w:tc>
      </w:tr>
      <w:tr w:rsidR="00B60255" w:rsidRPr="008768A5" w14:paraId="225FE6BD" w14:textId="77777777" w:rsidTr="00E306C6">
        <w:tc>
          <w:tcPr>
            <w:tcW w:w="7650" w:type="dxa"/>
            <w:tcBorders>
              <w:top w:val="single" w:sz="4" w:space="0" w:color="auto"/>
              <w:left w:val="single" w:sz="4" w:space="0" w:color="auto"/>
              <w:bottom w:val="single" w:sz="4" w:space="0" w:color="auto"/>
              <w:right w:val="single" w:sz="4" w:space="0" w:color="auto"/>
            </w:tcBorders>
          </w:tcPr>
          <w:p w14:paraId="1F7DA5A5" w14:textId="013FB065" w:rsidR="0071717C" w:rsidRPr="008768A5" w:rsidRDefault="00385239" w:rsidP="00A52273">
            <w:pPr>
              <w:spacing w:after="0" w:line="240" w:lineRule="auto"/>
              <w:ind w:right="-14"/>
              <w:jc w:val="both"/>
              <w:rPr>
                <w:rFonts w:ascii="Cambria" w:hAnsi="Cambria"/>
                <w:sz w:val="18"/>
                <w:szCs w:val="18"/>
              </w:rPr>
            </w:pPr>
            <w:r w:rsidRPr="008768A5">
              <w:rPr>
                <w:rFonts w:ascii="Cambria" w:hAnsi="Cambria"/>
                <w:sz w:val="18"/>
                <w:szCs w:val="18"/>
              </w:rPr>
              <w:t xml:space="preserve">2. </w:t>
            </w:r>
            <w:r w:rsidR="0071717C" w:rsidRPr="008768A5">
              <w:rPr>
                <w:rFonts w:ascii="Cambria" w:hAnsi="Cambria"/>
                <w:sz w:val="18"/>
                <w:szCs w:val="18"/>
              </w:rPr>
              <w:t>Adopt such legislative or other measures as may be necessary to ensure that Mr. Lendore’s conditions of detention comply with applicable international standards of humane treatment as articulated in the present report, including the removal of Mr. Lendore from death row.</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2487FE9" w14:textId="2EDC916A" w:rsidR="0071717C" w:rsidRPr="008768A5" w:rsidRDefault="00564144" w:rsidP="00385239">
            <w:pPr>
              <w:spacing w:after="0" w:line="240" w:lineRule="auto"/>
              <w:jc w:val="center"/>
              <w:rPr>
                <w:rFonts w:ascii="Cambria" w:hAnsi="Cambria" w:cs="Calibri Light"/>
                <w:b/>
                <w:sz w:val="18"/>
                <w:szCs w:val="18"/>
              </w:rPr>
            </w:pPr>
            <w:r w:rsidRPr="008768A5">
              <w:rPr>
                <w:rFonts w:ascii="Cambria" w:hAnsi="Cambria"/>
                <w:sz w:val="18"/>
                <w:szCs w:val="18"/>
              </w:rPr>
              <w:t>Pending compliance</w:t>
            </w:r>
          </w:p>
        </w:tc>
      </w:tr>
      <w:tr w:rsidR="0071717C" w:rsidRPr="008768A5" w14:paraId="691E7EFE" w14:textId="77777777" w:rsidTr="00E306C6">
        <w:tc>
          <w:tcPr>
            <w:tcW w:w="7650" w:type="dxa"/>
            <w:tcBorders>
              <w:top w:val="single" w:sz="4" w:space="0" w:color="auto"/>
              <w:left w:val="single" w:sz="4" w:space="0" w:color="auto"/>
              <w:bottom w:val="single" w:sz="4" w:space="0" w:color="auto"/>
              <w:right w:val="single" w:sz="4" w:space="0" w:color="auto"/>
            </w:tcBorders>
          </w:tcPr>
          <w:p w14:paraId="54239303" w14:textId="77777777" w:rsidR="0071717C" w:rsidRPr="008768A5" w:rsidRDefault="00385239" w:rsidP="00385239">
            <w:pPr>
              <w:spacing w:after="0" w:line="240" w:lineRule="auto"/>
              <w:jc w:val="both"/>
              <w:rPr>
                <w:rFonts w:ascii="Cambria" w:hAnsi="Cambria"/>
                <w:sz w:val="18"/>
                <w:szCs w:val="18"/>
              </w:rPr>
            </w:pPr>
            <w:r w:rsidRPr="008768A5">
              <w:rPr>
                <w:rFonts w:ascii="Cambria" w:hAnsi="Cambria"/>
                <w:sz w:val="18"/>
                <w:szCs w:val="18"/>
              </w:rPr>
              <w:t xml:space="preserve">3. </w:t>
            </w:r>
            <w:r w:rsidR="0071717C" w:rsidRPr="008768A5">
              <w:rPr>
                <w:rFonts w:ascii="Cambria" w:hAnsi="Cambria"/>
                <w:sz w:val="18"/>
                <w:szCs w:val="18"/>
              </w:rPr>
              <w:t>Adopt such legislative or other measures as may be necessary to ensure that the right to judicial protection under Articles XVIII and XXVI of the American Declaration is given effect in Trinidad and Tobago in relation to recourse to Constitutional Motions.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3CBB653" w14:textId="09D2AB54" w:rsidR="0071717C" w:rsidRPr="008768A5" w:rsidRDefault="00564144" w:rsidP="00385239">
            <w:pPr>
              <w:spacing w:after="0" w:line="240" w:lineRule="auto"/>
              <w:jc w:val="center"/>
              <w:rPr>
                <w:rFonts w:ascii="Cambria" w:hAnsi="Cambria" w:cs="Calibri Light"/>
                <w:b/>
                <w:sz w:val="18"/>
                <w:szCs w:val="18"/>
              </w:rPr>
            </w:pPr>
            <w:r w:rsidRPr="008768A5">
              <w:rPr>
                <w:rFonts w:ascii="Cambria" w:hAnsi="Cambria"/>
                <w:sz w:val="18"/>
                <w:szCs w:val="18"/>
              </w:rPr>
              <w:t>Pending compliance</w:t>
            </w:r>
          </w:p>
        </w:tc>
      </w:tr>
    </w:tbl>
    <w:p w14:paraId="51FAC564" w14:textId="77777777" w:rsidR="0071717C" w:rsidRPr="008768A5" w:rsidRDefault="0071717C" w:rsidP="0071717C">
      <w:pPr>
        <w:spacing w:after="0" w:line="240" w:lineRule="auto"/>
        <w:jc w:val="both"/>
        <w:rPr>
          <w:rFonts w:ascii="Cambria" w:hAnsi="Cambria" w:cs="Calibri Light"/>
          <w:sz w:val="20"/>
          <w:szCs w:val="20"/>
        </w:rPr>
      </w:pPr>
    </w:p>
    <w:p w14:paraId="1C73757B" w14:textId="77777777" w:rsidR="0071717C" w:rsidRPr="008768A5" w:rsidRDefault="0071717C" w:rsidP="00E306C6">
      <w:pPr>
        <w:pStyle w:val="ListParagraph"/>
        <w:numPr>
          <w:ilvl w:val="0"/>
          <w:numId w:val="6"/>
        </w:numPr>
        <w:spacing w:after="0" w:line="240" w:lineRule="auto"/>
        <w:ind w:left="1440"/>
        <w:jc w:val="both"/>
        <w:rPr>
          <w:rFonts w:ascii="Cambria" w:hAnsi="Cambria" w:cs="Calibri Light"/>
          <w:b/>
          <w:sz w:val="20"/>
          <w:szCs w:val="20"/>
        </w:rPr>
      </w:pPr>
      <w:r w:rsidRPr="008768A5">
        <w:rPr>
          <w:rFonts w:ascii="Cambria" w:hAnsi="Cambria"/>
          <w:b/>
          <w:sz w:val="20"/>
          <w:szCs w:val="20"/>
        </w:rPr>
        <w:t xml:space="preserve">Procedural Activity </w:t>
      </w:r>
    </w:p>
    <w:p w14:paraId="54C21F0D" w14:textId="77777777" w:rsidR="002E30F3" w:rsidRPr="008768A5" w:rsidRDefault="002E30F3" w:rsidP="002E30F3">
      <w:pPr>
        <w:pStyle w:val="ListParagraph"/>
        <w:spacing w:after="0" w:line="240" w:lineRule="auto"/>
        <w:ind w:left="1077"/>
        <w:jc w:val="both"/>
        <w:rPr>
          <w:rFonts w:ascii="Cambria" w:hAnsi="Cambria" w:cs="Calibri Light"/>
          <w:sz w:val="20"/>
          <w:szCs w:val="20"/>
        </w:rPr>
      </w:pPr>
    </w:p>
    <w:p w14:paraId="2B371B5A" w14:textId="55FBE7A1" w:rsidR="00F77079" w:rsidRPr="008768A5" w:rsidRDefault="0009628A" w:rsidP="0009628A">
      <w:pPr>
        <w:pStyle w:val="ListParagraph"/>
        <w:numPr>
          <w:ilvl w:val="0"/>
          <w:numId w:val="23"/>
        </w:numPr>
        <w:spacing w:after="0" w:line="240" w:lineRule="auto"/>
        <w:ind w:left="0" w:firstLine="720"/>
        <w:jc w:val="both"/>
        <w:rPr>
          <w:rFonts w:ascii="Cambria" w:hAnsi="Cambria" w:cs="Calibri Light"/>
          <w:color w:val="000000" w:themeColor="text1"/>
          <w:sz w:val="20"/>
          <w:szCs w:val="20"/>
        </w:rPr>
      </w:pPr>
      <w:r w:rsidRPr="008768A5">
        <w:rPr>
          <w:rFonts w:ascii="Cambria" w:hAnsi="Cambria" w:cs="Calibri Light"/>
          <w:color w:val="000000" w:themeColor="text1"/>
          <w:sz w:val="20"/>
          <w:szCs w:val="20"/>
        </w:rPr>
        <w:t xml:space="preserve">In </w:t>
      </w:r>
      <w:r w:rsidR="004E6378" w:rsidRPr="008768A5">
        <w:rPr>
          <w:rFonts w:ascii="Cambria" w:hAnsi="Cambria" w:cs="Calibri Light"/>
          <w:color w:val="000000" w:themeColor="text1"/>
          <w:sz w:val="20"/>
          <w:szCs w:val="20"/>
        </w:rPr>
        <w:t>2020</w:t>
      </w:r>
      <w:r w:rsidRPr="008768A5">
        <w:rPr>
          <w:rFonts w:ascii="Cambria" w:hAnsi="Cambria" w:cs="Calibri Light"/>
          <w:color w:val="000000" w:themeColor="text1"/>
          <w:sz w:val="20"/>
          <w:szCs w:val="20"/>
        </w:rPr>
        <w:t xml:space="preserve">, the IACHR requested updated information on compliance from the State </w:t>
      </w:r>
      <w:r w:rsidR="00F77079" w:rsidRPr="008768A5">
        <w:rPr>
          <w:rFonts w:ascii="Cambria" w:hAnsi="Cambria" w:cs="Calibri Light"/>
          <w:color w:val="000000" w:themeColor="text1"/>
          <w:sz w:val="20"/>
          <w:szCs w:val="20"/>
        </w:rPr>
        <w:t xml:space="preserve">on </w:t>
      </w:r>
      <w:r w:rsidR="004E6378" w:rsidRPr="008768A5">
        <w:rPr>
          <w:rFonts w:ascii="Cambria" w:hAnsi="Cambria" w:cs="Calibri Light"/>
          <w:color w:val="000000" w:themeColor="text1"/>
          <w:sz w:val="20"/>
          <w:szCs w:val="20"/>
        </w:rPr>
        <w:t>August</w:t>
      </w:r>
      <w:r w:rsidR="00F77079" w:rsidRPr="008768A5">
        <w:rPr>
          <w:rFonts w:ascii="Cambria" w:hAnsi="Cambria" w:cs="Calibri Light"/>
          <w:color w:val="000000" w:themeColor="text1"/>
          <w:sz w:val="20"/>
          <w:szCs w:val="20"/>
        </w:rPr>
        <w:t xml:space="preserve"> </w:t>
      </w:r>
      <w:r w:rsidR="004E6378" w:rsidRPr="008768A5">
        <w:rPr>
          <w:rFonts w:ascii="Cambria" w:hAnsi="Cambria" w:cs="Calibri Light"/>
          <w:color w:val="000000" w:themeColor="text1"/>
          <w:sz w:val="20"/>
          <w:szCs w:val="20"/>
        </w:rPr>
        <w:t>7</w:t>
      </w:r>
      <w:r w:rsidR="00A14F81" w:rsidRPr="008768A5">
        <w:rPr>
          <w:rFonts w:ascii="Cambria" w:hAnsi="Cambria" w:cs="Calibri Light"/>
          <w:color w:val="000000" w:themeColor="text1"/>
          <w:sz w:val="20"/>
          <w:szCs w:val="20"/>
        </w:rPr>
        <w:t xml:space="preserve">. The State </w:t>
      </w:r>
      <w:r w:rsidR="00F77079" w:rsidRPr="008768A5">
        <w:rPr>
          <w:rFonts w:ascii="Cambria" w:hAnsi="Cambria" w:cs="Calibri Light"/>
          <w:color w:val="000000" w:themeColor="text1"/>
          <w:sz w:val="20"/>
          <w:szCs w:val="20"/>
        </w:rPr>
        <w:t xml:space="preserve">presented said information </w:t>
      </w:r>
      <w:r w:rsidR="00A14F81" w:rsidRPr="008768A5">
        <w:rPr>
          <w:rFonts w:ascii="Cambria" w:hAnsi="Cambria" w:cs="Calibri Light"/>
          <w:color w:val="000000" w:themeColor="text1"/>
          <w:sz w:val="20"/>
          <w:szCs w:val="20"/>
        </w:rPr>
        <w:t>on</w:t>
      </w:r>
      <w:r w:rsidR="00F740DC" w:rsidRPr="008768A5">
        <w:rPr>
          <w:rFonts w:ascii="Cambria" w:hAnsi="Cambria" w:cs="Calibri Light"/>
          <w:color w:val="000000" w:themeColor="text1"/>
          <w:sz w:val="20"/>
          <w:szCs w:val="20"/>
        </w:rPr>
        <w:t xml:space="preserve"> </w:t>
      </w:r>
      <w:r w:rsidR="002337BD" w:rsidRPr="008768A5">
        <w:rPr>
          <w:rFonts w:ascii="Cambria" w:hAnsi="Cambria" w:cs="Calibri Light"/>
          <w:color w:val="000000" w:themeColor="text1"/>
          <w:sz w:val="20"/>
          <w:szCs w:val="20"/>
        </w:rPr>
        <w:t>September</w:t>
      </w:r>
      <w:r w:rsidR="00F77079" w:rsidRPr="008768A5">
        <w:rPr>
          <w:rFonts w:ascii="Cambria" w:hAnsi="Cambria" w:cs="Calibri Light"/>
          <w:color w:val="000000" w:themeColor="text1"/>
          <w:sz w:val="20"/>
          <w:szCs w:val="20"/>
        </w:rPr>
        <w:t xml:space="preserve"> </w:t>
      </w:r>
      <w:r w:rsidR="00A14F81" w:rsidRPr="008768A5">
        <w:rPr>
          <w:rFonts w:ascii="Cambria" w:hAnsi="Cambria" w:cs="Calibri Light"/>
          <w:color w:val="000000" w:themeColor="text1"/>
          <w:sz w:val="20"/>
          <w:szCs w:val="20"/>
        </w:rPr>
        <w:t>3</w:t>
      </w:r>
      <w:r w:rsidR="00F77079" w:rsidRPr="008768A5">
        <w:rPr>
          <w:rFonts w:ascii="Cambria" w:hAnsi="Cambria" w:cs="Calibri Light"/>
          <w:color w:val="000000" w:themeColor="text1"/>
          <w:sz w:val="20"/>
          <w:szCs w:val="20"/>
        </w:rPr>
        <w:t>.</w:t>
      </w:r>
    </w:p>
    <w:p w14:paraId="29328196" w14:textId="77777777" w:rsidR="00F77079" w:rsidRPr="008768A5" w:rsidRDefault="00F77079" w:rsidP="00F77079">
      <w:pPr>
        <w:spacing w:after="0" w:line="240" w:lineRule="auto"/>
        <w:jc w:val="both"/>
        <w:rPr>
          <w:rFonts w:ascii="Cambria" w:hAnsi="Cambria" w:cs="Calibri Light"/>
          <w:color w:val="000000" w:themeColor="text1"/>
          <w:sz w:val="20"/>
          <w:szCs w:val="20"/>
        </w:rPr>
      </w:pPr>
    </w:p>
    <w:p w14:paraId="76394DC0" w14:textId="602DEC49" w:rsidR="0071717C" w:rsidRPr="008768A5" w:rsidRDefault="00DB0679" w:rsidP="00F77079">
      <w:pPr>
        <w:pStyle w:val="ListParagraph"/>
        <w:numPr>
          <w:ilvl w:val="0"/>
          <w:numId w:val="23"/>
        </w:numPr>
        <w:spacing w:after="0" w:line="240" w:lineRule="auto"/>
        <w:ind w:left="0" w:firstLine="720"/>
        <w:jc w:val="both"/>
        <w:rPr>
          <w:rFonts w:ascii="Cambria" w:hAnsi="Cambria" w:cs="Calibri Light"/>
          <w:color w:val="000000" w:themeColor="text1"/>
          <w:sz w:val="20"/>
          <w:szCs w:val="20"/>
        </w:rPr>
      </w:pPr>
      <w:r w:rsidRPr="008768A5">
        <w:rPr>
          <w:rFonts w:ascii="Cambria" w:hAnsi="Cambria" w:cs="Calibri Light"/>
          <w:color w:val="000000" w:themeColor="text1"/>
          <w:sz w:val="20"/>
          <w:szCs w:val="20"/>
        </w:rPr>
        <w:t xml:space="preserve">The IACHR requested updated information on compliance from the petitioners on </w:t>
      </w:r>
      <w:r w:rsidR="00C13E73" w:rsidRPr="008768A5">
        <w:rPr>
          <w:rFonts w:ascii="Cambria" w:hAnsi="Cambria" w:cs="Calibri Light"/>
          <w:color w:val="000000" w:themeColor="text1"/>
          <w:sz w:val="20"/>
          <w:szCs w:val="20"/>
        </w:rPr>
        <w:t>August 7</w:t>
      </w:r>
      <w:r w:rsidRPr="008768A5">
        <w:rPr>
          <w:rFonts w:ascii="Cambria" w:hAnsi="Cambria" w:cs="Calibri Light"/>
          <w:color w:val="000000" w:themeColor="text1"/>
          <w:sz w:val="20"/>
          <w:szCs w:val="20"/>
        </w:rPr>
        <w:t xml:space="preserve">, </w:t>
      </w:r>
      <w:r w:rsidR="00F77079" w:rsidRPr="008768A5">
        <w:rPr>
          <w:rFonts w:ascii="Cambria" w:hAnsi="Cambria" w:cs="Calibri Light"/>
          <w:color w:val="000000" w:themeColor="text1"/>
          <w:sz w:val="20"/>
          <w:szCs w:val="20"/>
        </w:rPr>
        <w:t xml:space="preserve">and the petitioners presented said information on </w:t>
      </w:r>
      <w:r w:rsidR="00FA406D" w:rsidRPr="008768A5">
        <w:rPr>
          <w:rFonts w:ascii="Cambria" w:hAnsi="Cambria" w:cs="Calibri Light"/>
          <w:color w:val="000000" w:themeColor="text1"/>
          <w:sz w:val="20"/>
          <w:szCs w:val="20"/>
        </w:rPr>
        <w:t>October</w:t>
      </w:r>
      <w:r w:rsidR="00F77079" w:rsidRPr="008768A5">
        <w:rPr>
          <w:rFonts w:ascii="Cambria" w:hAnsi="Cambria" w:cs="Calibri Light"/>
          <w:color w:val="000000" w:themeColor="text1"/>
          <w:sz w:val="20"/>
          <w:szCs w:val="20"/>
        </w:rPr>
        <w:t xml:space="preserve"> </w:t>
      </w:r>
      <w:r w:rsidR="00FA406D" w:rsidRPr="008768A5">
        <w:rPr>
          <w:rFonts w:ascii="Cambria" w:hAnsi="Cambria" w:cs="Calibri Light"/>
          <w:color w:val="000000" w:themeColor="text1"/>
          <w:sz w:val="20"/>
          <w:szCs w:val="20"/>
        </w:rPr>
        <w:t>2</w:t>
      </w:r>
      <w:r w:rsidR="00F740DC" w:rsidRPr="008768A5">
        <w:rPr>
          <w:rFonts w:ascii="Cambria" w:hAnsi="Cambria" w:cs="Calibri Light"/>
          <w:color w:val="000000" w:themeColor="text1"/>
          <w:sz w:val="20"/>
          <w:szCs w:val="20"/>
        </w:rPr>
        <w:t>, 20</w:t>
      </w:r>
      <w:r w:rsidR="00FA406D" w:rsidRPr="008768A5">
        <w:rPr>
          <w:rFonts w:ascii="Cambria" w:hAnsi="Cambria" w:cs="Calibri Light"/>
          <w:color w:val="000000" w:themeColor="text1"/>
          <w:sz w:val="20"/>
          <w:szCs w:val="20"/>
        </w:rPr>
        <w:t>20</w:t>
      </w:r>
      <w:r w:rsidR="00F77079" w:rsidRPr="008768A5">
        <w:rPr>
          <w:rFonts w:ascii="Cambria" w:hAnsi="Cambria" w:cs="Calibri Light"/>
          <w:color w:val="000000" w:themeColor="text1"/>
          <w:sz w:val="20"/>
          <w:szCs w:val="20"/>
        </w:rPr>
        <w:t>.</w:t>
      </w:r>
    </w:p>
    <w:p w14:paraId="6BA8275B" w14:textId="77777777" w:rsidR="00F77079" w:rsidRPr="008768A5" w:rsidRDefault="00F77079" w:rsidP="00F77079">
      <w:pPr>
        <w:pStyle w:val="ListParagraph"/>
        <w:rPr>
          <w:rFonts w:ascii="Cambria" w:hAnsi="Cambria" w:cs="Calibri Light"/>
          <w:sz w:val="20"/>
          <w:szCs w:val="20"/>
        </w:rPr>
      </w:pPr>
    </w:p>
    <w:p w14:paraId="7327E45C" w14:textId="31C2F770" w:rsidR="00F77079" w:rsidRPr="008768A5" w:rsidRDefault="00F77079" w:rsidP="00F77079">
      <w:pPr>
        <w:pStyle w:val="ListParagraph"/>
        <w:spacing w:after="0" w:line="240" w:lineRule="auto"/>
        <w:jc w:val="both"/>
        <w:rPr>
          <w:rFonts w:ascii="Cambria" w:hAnsi="Cambria" w:cs="Calibri Light"/>
          <w:sz w:val="20"/>
          <w:szCs w:val="20"/>
        </w:rPr>
      </w:pPr>
    </w:p>
    <w:p w14:paraId="1F9B4E2B" w14:textId="77777777" w:rsidR="00F740DC" w:rsidRPr="008768A5" w:rsidRDefault="00F740DC" w:rsidP="00F77079">
      <w:pPr>
        <w:pStyle w:val="ListParagraph"/>
        <w:spacing w:after="0" w:line="240" w:lineRule="auto"/>
        <w:jc w:val="both"/>
        <w:rPr>
          <w:rFonts w:ascii="Cambria" w:hAnsi="Cambria" w:cs="Calibri Light"/>
          <w:sz w:val="20"/>
          <w:szCs w:val="20"/>
        </w:rPr>
      </w:pPr>
    </w:p>
    <w:p w14:paraId="0F68AE2C" w14:textId="77777777" w:rsidR="0071717C" w:rsidRPr="008768A5" w:rsidRDefault="0071717C" w:rsidP="00172180">
      <w:pPr>
        <w:pStyle w:val="ListParagraph"/>
        <w:numPr>
          <w:ilvl w:val="0"/>
          <w:numId w:val="6"/>
        </w:numPr>
        <w:spacing w:after="0" w:line="240" w:lineRule="auto"/>
        <w:ind w:left="1440"/>
        <w:jc w:val="both"/>
        <w:rPr>
          <w:rFonts w:ascii="Cambria" w:hAnsi="Cambria" w:cs="Calibri Light"/>
          <w:b/>
          <w:sz w:val="20"/>
          <w:szCs w:val="20"/>
        </w:rPr>
      </w:pPr>
      <w:r w:rsidRPr="008768A5">
        <w:rPr>
          <w:rFonts w:ascii="Cambria" w:hAnsi="Cambria" w:cs="Calibri Light"/>
          <w:b/>
          <w:sz w:val="20"/>
          <w:szCs w:val="20"/>
        </w:rPr>
        <w:lastRenderedPageBreak/>
        <w:t xml:space="preserve">Analysis of the information presented </w:t>
      </w:r>
    </w:p>
    <w:p w14:paraId="3DEE855B" w14:textId="77777777" w:rsidR="0071717C" w:rsidRPr="008768A5" w:rsidRDefault="0071717C" w:rsidP="0071717C">
      <w:pPr>
        <w:spacing w:after="0" w:line="240" w:lineRule="auto"/>
        <w:jc w:val="both"/>
        <w:rPr>
          <w:rFonts w:ascii="Cambria" w:hAnsi="Cambria" w:cs="Calibri Light"/>
          <w:sz w:val="20"/>
          <w:szCs w:val="20"/>
        </w:rPr>
      </w:pPr>
    </w:p>
    <w:p w14:paraId="784BDC1D" w14:textId="35FD019A" w:rsidR="00F77079" w:rsidRPr="008768A5" w:rsidRDefault="00D621A1" w:rsidP="00F77079">
      <w:pPr>
        <w:pStyle w:val="ListParagraph"/>
        <w:numPr>
          <w:ilvl w:val="0"/>
          <w:numId w:val="23"/>
        </w:numPr>
        <w:spacing w:after="0" w:line="240" w:lineRule="auto"/>
        <w:ind w:left="0" w:firstLine="720"/>
        <w:jc w:val="both"/>
        <w:rPr>
          <w:rFonts w:ascii="Cambria" w:hAnsi="Cambria" w:cs="Calibri Light"/>
          <w:color w:val="000000" w:themeColor="text1"/>
          <w:sz w:val="20"/>
          <w:szCs w:val="20"/>
        </w:rPr>
      </w:pPr>
      <w:r w:rsidRPr="008768A5">
        <w:rPr>
          <w:rFonts w:ascii="Cambria" w:hAnsi="Cambria" w:cs="Arial"/>
          <w:color w:val="000000" w:themeColor="text1"/>
          <w:sz w:val="20"/>
          <w:szCs w:val="20"/>
        </w:rPr>
        <w:t xml:space="preserve">The Commission </w:t>
      </w:r>
      <w:r w:rsidR="006B5176" w:rsidRPr="008768A5">
        <w:rPr>
          <w:rFonts w:ascii="Cambria" w:hAnsi="Cambria" w:cs="Arial"/>
          <w:color w:val="000000" w:themeColor="text1"/>
          <w:sz w:val="20"/>
          <w:szCs w:val="20"/>
        </w:rPr>
        <w:t xml:space="preserve">considers </w:t>
      </w:r>
      <w:r w:rsidR="00684670" w:rsidRPr="008768A5">
        <w:rPr>
          <w:rFonts w:ascii="Cambria" w:hAnsi="Cambria" w:cs="Arial"/>
          <w:color w:val="000000" w:themeColor="text1"/>
          <w:sz w:val="20"/>
          <w:szCs w:val="20"/>
        </w:rPr>
        <w:t xml:space="preserve">that </w:t>
      </w:r>
      <w:r w:rsidRPr="008768A5">
        <w:rPr>
          <w:rFonts w:ascii="Cambria" w:hAnsi="Cambria" w:cs="Arial"/>
          <w:color w:val="000000" w:themeColor="text1"/>
          <w:sz w:val="20"/>
          <w:szCs w:val="20"/>
        </w:rPr>
        <w:t xml:space="preserve">the information provided by the State and the petitioners in </w:t>
      </w:r>
      <w:r w:rsidR="008727B5" w:rsidRPr="008768A5">
        <w:rPr>
          <w:rFonts w:ascii="Cambria" w:hAnsi="Cambria" w:cs="Calibri Light"/>
          <w:color w:val="000000" w:themeColor="text1"/>
          <w:sz w:val="20"/>
          <w:szCs w:val="20"/>
        </w:rPr>
        <w:t xml:space="preserve">2020 is </w:t>
      </w:r>
      <w:r w:rsidR="00B814E7" w:rsidRPr="008768A5">
        <w:rPr>
          <w:rFonts w:ascii="Cambria" w:hAnsi="Cambria" w:cs="Calibri Light"/>
          <w:color w:val="000000" w:themeColor="text1"/>
          <w:sz w:val="20"/>
          <w:szCs w:val="20"/>
        </w:rPr>
        <w:t>relevant</w:t>
      </w:r>
      <w:r w:rsidR="00134517" w:rsidRPr="008768A5">
        <w:rPr>
          <w:rFonts w:ascii="Cambria" w:hAnsi="Cambria" w:cs="Calibri Light"/>
          <w:color w:val="000000" w:themeColor="text1"/>
          <w:sz w:val="20"/>
          <w:szCs w:val="20"/>
        </w:rPr>
        <w:t xml:space="preserve"> to update on the follow-up of the case</w:t>
      </w:r>
      <w:r w:rsidR="008727B5" w:rsidRPr="008768A5">
        <w:rPr>
          <w:rFonts w:ascii="Cambria" w:hAnsi="Cambria" w:cs="Calibri Light"/>
          <w:color w:val="000000" w:themeColor="text1"/>
          <w:sz w:val="20"/>
          <w:szCs w:val="20"/>
        </w:rPr>
        <w:t xml:space="preserve"> </w:t>
      </w:r>
      <w:r w:rsidR="00065E44" w:rsidRPr="008768A5">
        <w:rPr>
          <w:rFonts w:ascii="Cambria" w:hAnsi="Cambria" w:cs="Calibri Light"/>
          <w:color w:val="000000" w:themeColor="text1"/>
          <w:sz w:val="20"/>
          <w:szCs w:val="20"/>
        </w:rPr>
        <w:t xml:space="preserve">given that it is up to date and comprehensive on measures adopted </w:t>
      </w:r>
      <w:r w:rsidR="00134517" w:rsidRPr="008768A5">
        <w:rPr>
          <w:rFonts w:ascii="Cambria" w:hAnsi="Cambria" w:cs="Calibri Light"/>
          <w:color w:val="000000" w:themeColor="text1"/>
          <w:sz w:val="20"/>
          <w:szCs w:val="20"/>
        </w:rPr>
        <w:t xml:space="preserve">recently to comply with </w:t>
      </w:r>
      <w:r w:rsidR="008727B5" w:rsidRPr="008768A5">
        <w:rPr>
          <w:rFonts w:ascii="Cambria" w:hAnsi="Cambria" w:cs="Calibri Light"/>
          <w:color w:val="000000" w:themeColor="text1"/>
          <w:sz w:val="20"/>
          <w:szCs w:val="20"/>
        </w:rPr>
        <w:t xml:space="preserve">at least </w:t>
      </w:r>
      <w:r w:rsidR="00866D37" w:rsidRPr="008768A5">
        <w:rPr>
          <w:rFonts w:ascii="Cambria" w:hAnsi="Cambria" w:cs="Arial"/>
          <w:color w:val="000000" w:themeColor="text1"/>
          <w:sz w:val="20"/>
          <w:szCs w:val="20"/>
        </w:rPr>
        <w:t xml:space="preserve">one of the recommendations issued in Report No. 28/09.  </w:t>
      </w:r>
    </w:p>
    <w:p w14:paraId="3624E451" w14:textId="77777777" w:rsidR="00132178" w:rsidRPr="008768A5" w:rsidRDefault="00132178" w:rsidP="00F77079">
      <w:pPr>
        <w:spacing w:after="0" w:line="240" w:lineRule="auto"/>
        <w:ind w:firstLine="720"/>
        <w:jc w:val="both"/>
        <w:rPr>
          <w:rFonts w:ascii="Cambria" w:hAnsi="Cambria" w:cs="Calibri Light"/>
          <w:sz w:val="20"/>
          <w:szCs w:val="20"/>
        </w:rPr>
      </w:pPr>
    </w:p>
    <w:p w14:paraId="06A886AF" w14:textId="77777777" w:rsidR="0071717C" w:rsidRPr="008768A5" w:rsidRDefault="0071717C" w:rsidP="00E61AB5">
      <w:pPr>
        <w:pStyle w:val="ListParagraph"/>
        <w:numPr>
          <w:ilvl w:val="0"/>
          <w:numId w:val="6"/>
        </w:numPr>
        <w:spacing w:after="0" w:line="240" w:lineRule="auto"/>
        <w:ind w:left="1440"/>
        <w:jc w:val="both"/>
        <w:rPr>
          <w:rFonts w:ascii="Cambria" w:hAnsi="Cambria" w:cs="Calibri Light"/>
          <w:b/>
          <w:sz w:val="20"/>
          <w:szCs w:val="20"/>
        </w:rPr>
      </w:pPr>
      <w:r w:rsidRPr="008768A5">
        <w:rPr>
          <w:rFonts w:ascii="Cambria" w:hAnsi="Cambria" w:cs="Calibri Light"/>
          <w:b/>
          <w:sz w:val="20"/>
          <w:szCs w:val="20"/>
        </w:rPr>
        <w:t xml:space="preserve">Analysis of compliance with the recommendations </w:t>
      </w:r>
    </w:p>
    <w:p w14:paraId="0A439150" w14:textId="77777777" w:rsidR="0071717C" w:rsidRPr="008768A5" w:rsidRDefault="0071717C" w:rsidP="0071717C">
      <w:pPr>
        <w:spacing w:after="0" w:line="240" w:lineRule="auto"/>
        <w:jc w:val="both"/>
        <w:rPr>
          <w:rFonts w:ascii="Cambria" w:hAnsi="Cambria" w:cs="Calibri Light"/>
          <w:sz w:val="20"/>
          <w:szCs w:val="20"/>
        </w:rPr>
      </w:pPr>
    </w:p>
    <w:p w14:paraId="698193F9" w14:textId="5E14BBE6" w:rsidR="00B0347D" w:rsidRPr="008768A5" w:rsidRDefault="00385239" w:rsidP="00F77079">
      <w:pPr>
        <w:pStyle w:val="ListParagraph"/>
        <w:numPr>
          <w:ilvl w:val="0"/>
          <w:numId w:val="28"/>
        </w:numPr>
        <w:shd w:val="clear" w:color="auto" w:fill="FFFFFF" w:themeFill="background1"/>
        <w:spacing w:after="0" w:line="240" w:lineRule="auto"/>
        <w:ind w:left="0" w:firstLine="720"/>
        <w:jc w:val="both"/>
        <w:rPr>
          <w:rFonts w:ascii="Cambria" w:hAnsi="Cambria" w:cs="Calibri Light"/>
          <w:color w:val="FF0000"/>
          <w:sz w:val="20"/>
          <w:szCs w:val="20"/>
        </w:rPr>
      </w:pPr>
      <w:r w:rsidRPr="008768A5">
        <w:rPr>
          <w:rFonts w:ascii="Cambria" w:hAnsi="Cambria" w:cs="Calibri Light"/>
          <w:b/>
          <w:sz w:val="20"/>
          <w:szCs w:val="20"/>
        </w:rPr>
        <w:t xml:space="preserve">With regards to the </w:t>
      </w:r>
      <w:r w:rsidR="007955F4" w:rsidRPr="008768A5">
        <w:rPr>
          <w:rFonts w:ascii="Cambria" w:hAnsi="Cambria" w:cs="Calibri Light"/>
          <w:b/>
          <w:sz w:val="20"/>
          <w:szCs w:val="20"/>
        </w:rPr>
        <w:t>first recommendations</w:t>
      </w:r>
      <w:r w:rsidRPr="008768A5">
        <w:rPr>
          <w:rFonts w:ascii="Cambria" w:hAnsi="Cambria" w:cs="Calibri Light"/>
          <w:sz w:val="20"/>
          <w:szCs w:val="20"/>
        </w:rPr>
        <w:t>,</w:t>
      </w:r>
      <w:r w:rsidRPr="008768A5">
        <w:rPr>
          <w:rFonts w:ascii="Cambria" w:hAnsi="Cambria" w:cs="Calibri Light"/>
          <w:b/>
          <w:sz w:val="20"/>
          <w:szCs w:val="20"/>
        </w:rPr>
        <w:t xml:space="preserve"> </w:t>
      </w:r>
      <w:r w:rsidR="000108FE" w:rsidRPr="008768A5">
        <w:rPr>
          <w:rFonts w:ascii="Cambria" w:hAnsi="Cambria" w:cs="Calibri Light"/>
          <w:sz w:val="20"/>
          <w:szCs w:val="20"/>
        </w:rPr>
        <w:t xml:space="preserve">over </w:t>
      </w:r>
      <w:r w:rsidR="00F77079" w:rsidRPr="008768A5">
        <w:rPr>
          <w:rFonts w:ascii="Cambria" w:hAnsi="Cambria" w:cs="Calibri Light"/>
          <w:sz w:val="20"/>
          <w:szCs w:val="20"/>
        </w:rPr>
        <w:t>2019</w:t>
      </w:r>
      <w:r w:rsidR="000108FE" w:rsidRPr="008768A5">
        <w:rPr>
          <w:rFonts w:ascii="Cambria" w:hAnsi="Cambria" w:cs="Calibri Light"/>
          <w:sz w:val="20"/>
          <w:szCs w:val="20"/>
        </w:rPr>
        <w:t xml:space="preserve">, the State </w:t>
      </w:r>
      <w:r w:rsidR="002C2FA4" w:rsidRPr="008768A5">
        <w:rPr>
          <w:rFonts w:ascii="Cambria" w:hAnsi="Cambria" w:cs="Calibri Light"/>
          <w:sz w:val="20"/>
          <w:szCs w:val="20"/>
        </w:rPr>
        <w:t xml:space="preserve">asserted </w:t>
      </w:r>
      <w:r w:rsidR="000108FE" w:rsidRPr="008768A5">
        <w:rPr>
          <w:rFonts w:ascii="Cambria" w:hAnsi="Cambria" w:cs="Calibri Light"/>
          <w:sz w:val="20"/>
          <w:szCs w:val="20"/>
        </w:rPr>
        <w:t xml:space="preserve">that Mr. </w:t>
      </w:r>
      <w:r w:rsidR="00F77079" w:rsidRPr="008768A5">
        <w:rPr>
          <w:rFonts w:ascii="Cambria" w:hAnsi="Cambria" w:cs="Calibri Light"/>
          <w:sz w:val="20"/>
          <w:szCs w:val="20"/>
        </w:rPr>
        <w:t xml:space="preserve">Lendore </w:t>
      </w:r>
      <w:r w:rsidR="00D1790E" w:rsidRPr="008768A5">
        <w:rPr>
          <w:rFonts w:ascii="Cambria" w:hAnsi="Cambria" w:cs="Calibri Light"/>
          <w:sz w:val="20"/>
          <w:szCs w:val="20"/>
        </w:rPr>
        <w:t xml:space="preserve">does </w:t>
      </w:r>
      <w:r w:rsidR="006B5EA0" w:rsidRPr="008768A5">
        <w:rPr>
          <w:rFonts w:ascii="Cambria" w:hAnsi="Cambria" w:cs="Calibri Light"/>
          <w:sz w:val="20"/>
          <w:szCs w:val="20"/>
        </w:rPr>
        <w:t xml:space="preserve">not </w:t>
      </w:r>
      <w:r w:rsidR="00F422AB" w:rsidRPr="008768A5">
        <w:rPr>
          <w:rFonts w:ascii="Cambria" w:hAnsi="Cambria" w:cs="Calibri Light"/>
          <w:sz w:val="20"/>
          <w:szCs w:val="20"/>
        </w:rPr>
        <w:t>me</w:t>
      </w:r>
      <w:r w:rsidR="00D1790E" w:rsidRPr="008768A5">
        <w:rPr>
          <w:rFonts w:ascii="Cambria" w:hAnsi="Cambria" w:cs="Calibri Light"/>
          <w:sz w:val="20"/>
          <w:szCs w:val="20"/>
        </w:rPr>
        <w:t>e</w:t>
      </w:r>
      <w:r w:rsidR="00F422AB" w:rsidRPr="008768A5">
        <w:rPr>
          <w:rFonts w:ascii="Cambria" w:hAnsi="Cambria" w:cs="Calibri Light"/>
          <w:sz w:val="20"/>
          <w:szCs w:val="20"/>
        </w:rPr>
        <w:t>t the requirements for a re</w:t>
      </w:r>
      <w:r w:rsidR="000941B5" w:rsidRPr="008768A5">
        <w:rPr>
          <w:rFonts w:ascii="Cambria" w:hAnsi="Cambria" w:cs="Calibri Light"/>
          <w:sz w:val="20"/>
          <w:szCs w:val="20"/>
        </w:rPr>
        <w:t>-</w:t>
      </w:r>
      <w:r w:rsidR="00F422AB" w:rsidRPr="008768A5">
        <w:rPr>
          <w:rFonts w:ascii="Cambria" w:hAnsi="Cambria" w:cs="Calibri Light"/>
          <w:sz w:val="20"/>
          <w:szCs w:val="20"/>
        </w:rPr>
        <w:t>trial</w:t>
      </w:r>
      <w:r w:rsidR="006A5C47" w:rsidRPr="008768A5">
        <w:rPr>
          <w:rFonts w:ascii="Cambria" w:hAnsi="Cambria" w:cs="Calibri Light"/>
          <w:sz w:val="20"/>
          <w:szCs w:val="20"/>
        </w:rPr>
        <w:t>,</w:t>
      </w:r>
      <w:r w:rsidR="00F422AB" w:rsidRPr="008768A5">
        <w:rPr>
          <w:rFonts w:ascii="Cambria" w:hAnsi="Cambria" w:cs="Calibri Light"/>
          <w:sz w:val="20"/>
          <w:szCs w:val="20"/>
        </w:rPr>
        <w:t xml:space="preserve"> inasmuch as his </w:t>
      </w:r>
      <w:r w:rsidR="000941B5" w:rsidRPr="008768A5">
        <w:rPr>
          <w:rFonts w:ascii="Cambria" w:hAnsi="Cambria" w:cs="Calibri Light"/>
          <w:sz w:val="20"/>
          <w:szCs w:val="20"/>
        </w:rPr>
        <w:t>motion has been denied twice</w:t>
      </w:r>
      <w:r w:rsidR="004D30EB" w:rsidRPr="008768A5">
        <w:rPr>
          <w:rFonts w:ascii="Cambria" w:hAnsi="Cambria" w:cs="Calibri Light"/>
          <w:sz w:val="20"/>
          <w:szCs w:val="20"/>
        </w:rPr>
        <w:t xml:space="preserve"> by the Priv</w:t>
      </w:r>
      <w:r w:rsidR="00D73F52" w:rsidRPr="008768A5">
        <w:rPr>
          <w:rFonts w:ascii="Cambria" w:hAnsi="Cambria" w:cs="Calibri Light"/>
          <w:sz w:val="20"/>
          <w:szCs w:val="20"/>
        </w:rPr>
        <w:t>y</w:t>
      </w:r>
      <w:r w:rsidR="004D30EB" w:rsidRPr="008768A5">
        <w:rPr>
          <w:rFonts w:ascii="Cambria" w:hAnsi="Cambria" w:cs="Calibri Light"/>
          <w:sz w:val="20"/>
          <w:szCs w:val="20"/>
        </w:rPr>
        <w:t xml:space="preserve"> Council. </w:t>
      </w:r>
      <w:r w:rsidR="009C1EFC" w:rsidRPr="008768A5">
        <w:rPr>
          <w:rFonts w:ascii="Cambria" w:hAnsi="Cambria" w:cs="Calibri Light"/>
          <w:sz w:val="20"/>
          <w:szCs w:val="20"/>
        </w:rPr>
        <w:t>It reported that in 1998, the authorities commuted the death sentence</w:t>
      </w:r>
      <w:r w:rsidR="001D0D9E" w:rsidRPr="008768A5">
        <w:rPr>
          <w:rFonts w:ascii="Cambria" w:hAnsi="Cambria" w:cs="Calibri Light"/>
          <w:sz w:val="20"/>
          <w:szCs w:val="20"/>
        </w:rPr>
        <w:t xml:space="preserve"> imposed on him </w:t>
      </w:r>
      <w:r w:rsidR="008B3F71" w:rsidRPr="008768A5">
        <w:rPr>
          <w:rFonts w:ascii="Cambria" w:hAnsi="Cambria" w:cs="Calibri Light"/>
          <w:sz w:val="20"/>
          <w:szCs w:val="20"/>
        </w:rPr>
        <w:t>to</w:t>
      </w:r>
      <w:r w:rsidR="001D0D9E" w:rsidRPr="008768A5">
        <w:rPr>
          <w:rFonts w:ascii="Cambria" w:hAnsi="Cambria" w:cs="Calibri Light"/>
          <w:sz w:val="20"/>
          <w:szCs w:val="20"/>
        </w:rPr>
        <w:t xml:space="preserve"> a prison </w:t>
      </w:r>
      <w:r w:rsidR="0013282D" w:rsidRPr="008768A5">
        <w:rPr>
          <w:rFonts w:ascii="Cambria" w:hAnsi="Cambria" w:cs="Calibri Light"/>
          <w:sz w:val="20"/>
          <w:szCs w:val="20"/>
        </w:rPr>
        <w:t xml:space="preserve">term </w:t>
      </w:r>
      <w:r w:rsidR="001D0D9E" w:rsidRPr="008768A5">
        <w:rPr>
          <w:rFonts w:ascii="Cambria" w:hAnsi="Cambria" w:cs="Calibri Light"/>
          <w:sz w:val="20"/>
          <w:szCs w:val="20"/>
        </w:rPr>
        <w:t xml:space="preserve">of 75 years with hard labor. </w:t>
      </w:r>
      <w:r w:rsidR="00DF409E" w:rsidRPr="008768A5">
        <w:rPr>
          <w:rFonts w:ascii="Cambria" w:hAnsi="Cambria" w:cs="Calibri Light"/>
          <w:sz w:val="20"/>
          <w:szCs w:val="20"/>
        </w:rPr>
        <w:t xml:space="preserve">The State remarked that in 2017, as </w:t>
      </w:r>
      <w:r w:rsidR="00B86FD5" w:rsidRPr="008768A5">
        <w:rPr>
          <w:rFonts w:ascii="Cambria" w:hAnsi="Cambria" w:cs="Calibri Light"/>
          <w:sz w:val="20"/>
          <w:szCs w:val="20"/>
        </w:rPr>
        <w:t xml:space="preserve">a member </w:t>
      </w:r>
      <w:r w:rsidR="00DF409E" w:rsidRPr="008768A5">
        <w:rPr>
          <w:rFonts w:ascii="Cambria" w:hAnsi="Cambria" w:cs="Calibri Light"/>
          <w:sz w:val="20"/>
          <w:szCs w:val="20"/>
        </w:rPr>
        <w:t xml:space="preserve">of a larger group </w:t>
      </w:r>
      <w:r w:rsidR="007F179A" w:rsidRPr="008768A5">
        <w:rPr>
          <w:rFonts w:ascii="Cambria" w:hAnsi="Cambria" w:cs="Calibri Light"/>
          <w:sz w:val="20"/>
          <w:szCs w:val="20"/>
        </w:rPr>
        <w:t xml:space="preserve">of persons </w:t>
      </w:r>
      <w:r w:rsidR="000C5985" w:rsidRPr="008768A5">
        <w:rPr>
          <w:rFonts w:ascii="Cambria" w:hAnsi="Cambria" w:cs="Calibri Light"/>
          <w:sz w:val="20"/>
          <w:szCs w:val="20"/>
        </w:rPr>
        <w:t xml:space="preserve">in the same situation, Mr. </w:t>
      </w:r>
      <w:r w:rsidR="00F77079" w:rsidRPr="008768A5">
        <w:rPr>
          <w:rFonts w:ascii="Cambria" w:hAnsi="Cambria" w:cs="Calibri Light"/>
          <w:sz w:val="20"/>
          <w:szCs w:val="20"/>
        </w:rPr>
        <w:t xml:space="preserve">Lendore </w:t>
      </w:r>
      <w:r w:rsidR="00B727F6" w:rsidRPr="008768A5">
        <w:rPr>
          <w:rFonts w:ascii="Cambria" w:hAnsi="Cambria" w:cs="Calibri Light"/>
          <w:sz w:val="20"/>
          <w:szCs w:val="20"/>
        </w:rPr>
        <w:t xml:space="preserve">challenged the decision commuting his death sentence on the grounds that that decision had been made </w:t>
      </w:r>
      <w:r w:rsidR="00082900" w:rsidRPr="008768A5">
        <w:rPr>
          <w:rFonts w:ascii="Cambria" w:hAnsi="Cambria" w:cs="Calibri Light"/>
          <w:sz w:val="20"/>
          <w:szCs w:val="20"/>
        </w:rPr>
        <w:t xml:space="preserve">through </w:t>
      </w:r>
      <w:r w:rsidR="00F14C7A" w:rsidRPr="008768A5">
        <w:rPr>
          <w:rFonts w:ascii="Cambria" w:hAnsi="Cambria" w:cs="Calibri Light"/>
          <w:sz w:val="20"/>
          <w:szCs w:val="20"/>
        </w:rPr>
        <w:t>collectiv</w:t>
      </w:r>
      <w:r w:rsidR="00DC504B" w:rsidRPr="008768A5">
        <w:rPr>
          <w:rFonts w:ascii="Cambria" w:hAnsi="Cambria" w:cs="Calibri Light"/>
          <w:sz w:val="20"/>
          <w:szCs w:val="20"/>
        </w:rPr>
        <w:t xml:space="preserve">e examination and </w:t>
      </w:r>
      <w:r w:rsidR="00871839" w:rsidRPr="008768A5">
        <w:rPr>
          <w:rFonts w:ascii="Cambria" w:hAnsi="Cambria" w:cs="Calibri Light"/>
          <w:sz w:val="20"/>
          <w:szCs w:val="20"/>
        </w:rPr>
        <w:t xml:space="preserve">on a </w:t>
      </w:r>
      <w:r w:rsidR="00DC504B" w:rsidRPr="008768A5">
        <w:rPr>
          <w:rFonts w:ascii="Cambria" w:hAnsi="Cambria" w:cs="Calibri Light"/>
          <w:sz w:val="20"/>
          <w:szCs w:val="20"/>
        </w:rPr>
        <w:t>not case-by-case</w:t>
      </w:r>
      <w:r w:rsidR="008A4B60" w:rsidRPr="008768A5">
        <w:rPr>
          <w:rFonts w:ascii="Cambria" w:hAnsi="Cambria" w:cs="Calibri Light"/>
          <w:sz w:val="20"/>
          <w:szCs w:val="20"/>
        </w:rPr>
        <w:t xml:space="preserve"> basis</w:t>
      </w:r>
      <w:r w:rsidR="00DC504B" w:rsidRPr="008768A5">
        <w:rPr>
          <w:rFonts w:ascii="Cambria" w:hAnsi="Cambria" w:cs="Calibri Light"/>
          <w:sz w:val="20"/>
          <w:szCs w:val="20"/>
        </w:rPr>
        <w:t xml:space="preserve"> of each person sentenced. </w:t>
      </w:r>
      <w:r w:rsidR="00F14C7A" w:rsidRPr="008768A5">
        <w:rPr>
          <w:rFonts w:ascii="Cambria" w:hAnsi="Cambria" w:cs="Calibri Light"/>
          <w:sz w:val="20"/>
          <w:szCs w:val="20"/>
        </w:rPr>
        <w:t xml:space="preserve"> </w:t>
      </w:r>
      <w:r w:rsidR="005B0F5C" w:rsidRPr="008768A5">
        <w:rPr>
          <w:rFonts w:ascii="Cambria" w:hAnsi="Cambria" w:cs="Calibri Light"/>
          <w:sz w:val="20"/>
          <w:szCs w:val="20"/>
        </w:rPr>
        <w:t xml:space="preserve">The Privy Council </w:t>
      </w:r>
      <w:r w:rsidR="00D73F52" w:rsidRPr="008768A5">
        <w:rPr>
          <w:rFonts w:ascii="Cambria" w:hAnsi="Cambria" w:cs="Calibri Light"/>
          <w:sz w:val="20"/>
          <w:szCs w:val="20"/>
        </w:rPr>
        <w:t xml:space="preserve">denied said appeal and dismissed the argument on the grounds that the decision </w:t>
      </w:r>
      <w:r w:rsidR="00C719CA" w:rsidRPr="008768A5">
        <w:rPr>
          <w:rFonts w:ascii="Cambria" w:hAnsi="Cambria" w:cs="Calibri Light"/>
          <w:sz w:val="20"/>
          <w:szCs w:val="20"/>
        </w:rPr>
        <w:t xml:space="preserve">to commute had taken into </w:t>
      </w:r>
      <w:r w:rsidR="00AA69B5" w:rsidRPr="008768A5">
        <w:rPr>
          <w:rFonts w:ascii="Cambria" w:hAnsi="Cambria" w:cs="Calibri Light"/>
          <w:sz w:val="20"/>
          <w:szCs w:val="20"/>
        </w:rPr>
        <w:t xml:space="preserve">consideration the particular situation of each defendant. </w:t>
      </w:r>
      <w:r w:rsidR="007156B8" w:rsidRPr="008768A5">
        <w:rPr>
          <w:rFonts w:ascii="Cambria" w:hAnsi="Cambria" w:cs="Calibri Light"/>
          <w:sz w:val="20"/>
          <w:szCs w:val="20"/>
        </w:rPr>
        <w:t xml:space="preserve">Lastly, the State noted in its communication that complying with this recommendation would </w:t>
      </w:r>
      <w:r w:rsidR="00C54511" w:rsidRPr="008768A5">
        <w:rPr>
          <w:rFonts w:ascii="Cambria" w:hAnsi="Cambria" w:cs="Calibri Light"/>
          <w:sz w:val="20"/>
          <w:szCs w:val="20"/>
        </w:rPr>
        <w:t xml:space="preserve">mean </w:t>
      </w:r>
      <w:r w:rsidR="007156B8" w:rsidRPr="008768A5">
        <w:rPr>
          <w:rFonts w:ascii="Cambria" w:hAnsi="Cambria" w:cs="Calibri Light"/>
          <w:sz w:val="20"/>
          <w:szCs w:val="20"/>
        </w:rPr>
        <w:t xml:space="preserve">accepting </w:t>
      </w:r>
      <w:r w:rsidR="009964D0" w:rsidRPr="008768A5">
        <w:rPr>
          <w:rFonts w:ascii="Cambria" w:hAnsi="Cambria" w:cs="Calibri Light"/>
          <w:sz w:val="20"/>
          <w:szCs w:val="20"/>
        </w:rPr>
        <w:t xml:space="preserve">that the OAS, through the IACHR, </w:t>
      </w:r>
      <w:r w:rsidR="00CC200B" w:rsidRPr="008768A5">
        <w:rPr>
          <w:rFonts w:ascii="Cambria" w:hAnsi="Cambria" w:cs="Calibri Light"/>
          <w:sz w:val="20"/>
          <w:szCs w:val="20"/>
        </w:rPr>
        <w:t xml:space="preserve">is able to </w:t>
      </w:r>
      <w:r w:rsidR="00A17A4B" w:rsidRPr="008768A5">
        <w:rPr>
          <w:rFonts w:ascii="Cambria" w:hAnsi="Cambria" w:cs="Calibri Light"/>
          <w:sz w:val="20"/>
          <w:szCs w:val="20"/>
        </w:rPr>
        <w:t xml:space="preserve">wrongfully strip </w:t>
      </w:r>
      <w:r w:rsidR="00175C70" w:rsidRPr="008768A5">
        <w:rPr>
          <w:rFonts w:ascii="Cambria" w:hAnsi="Cambria" w:cs="Calibri Light"/>
          <w:sz w:val="20"/>
          <w:szCs w:val="20"/>
        </w:rPr>
        <w:t>the Judicial Committee of the Privy Council</w:t>
      </w:r>
      <w:r w:rsidR="00A17A4B" w:rsidRPr="008768A5">
        <w:rPr>
          <w:rFonts w:ascii="Cambria" w:hAnsi="Cambria" w:cs="Calibri Light"/>
          <w:sz w:val="20"/>
          <w:szCs w:val="20"/>
        </w:rPr>
        <w:t xml:space="preserve"> of its jurisdiction</w:t>
      </w:r>
      <w:r w:rsidR="00175C70" w:rsidRPr="008768A5">
        <w:rPr>
          <w:rFonts w:ascii="Cambria" w:hAnsi="Cambria" w:cs="Calibri Light"/>
          <w:sz w:val="20"/>
          <w:szCs w:val="20"/>
        </w:rPr>
        <w:t xml:space="preserve">. The State claimed that </w:t>
      </w:r>
      <w:r w:rsidR="00DD63EC" w:rsidRPr="008768A5">
        <w:rPr>
          <w:rFonts w:ascii="Cambria" w:hAnsi="Cambria" w:cs="Calibri Light"/>
          <w:sz w:val="20"/>
          <w:szCs w:val="20"/>
        </w:rPr>
        <w:t xml:space="preserve">it does not intend </w:t>
      </w:r>
      <w:r w:rsidR="00175C70" w:rsidRPr="008768A5">
        <w:rPr>
          <w:rFonts w:ascii="Cambria" w:hAnsi="Cambria" w:cs="Calibri Light"/>
          <w:sz w:val="20"/>
          <w:szCs w:val="20"/>
        </w:rPr>
        <w:t xml:space="preserve">to place the OAS in a position that </w:t>
      </w:r>
      <w:r w:rsidR="007C409C" w:rsidRPr="008768A5">
        <w:rPr>
          <w:rFonts w:ascii="Cambria" w:hAnsi="Cambria" w:cs="Calibri Light"/>
          <w:sz w:val="20"/>
          <w:szCs w:val="20"/>
        </w:rPr>
        <w:t xml:space="preserve">stands at odds with </w:t>
      </w:r>
      <w:r w:rsidR="00175C70" w:rsidRPr="008768A5">
        <w:rPr>
          <w:rFonts w:ascii="Cambria" w:hAnsi="Cambria" w:cs="Calibri Light"/>
          <w:sz w:val="20"/>
          <w:szCs w:val="20"/>
        </w:rPr>
        <w:t xml:space="preserve">the sovereign </w:t>
      </w:r>
      <w:r w:rsidR="005B1BCF" w:rsidRPr="008768A5">
        <w:rPr>
          <w:rFonts w:ascii="Cambria" w:hAnsi="Cambria" w:cs="Calibri Light"/>
          <w:sz w:val="20"/>
          <w:szCs w:val="20"/>
        </w:rPr>
        <w:t xml:space="preserve">enforcement </w:t>
      </w:r>
      <w:r w:rsidR="00175C70" w:rsidRPr="008768A5">
        <w:rPr>
          <w:rFonts w:ascii="Cambria" w:hAnsi="Cambria" w:cs="Calibri Light"/>
          <w:sz w:val="20"/>
          <w:szCs w:val="20"/>
        </w:rPr>
        <w:t xml:space="preserve">of its domestic legislation </w:t>
      </w:r>
      <w:r w:rsidR="00487071" w:rsidRPr="008768A5">
        <w:rPr>
          <w:rFonts w:ascii="Cambria" w:hAnsi="Cambria" w:cs="Calibri Light"/>
          <w:sz w:val="20"/>
          <w:szCs w:val="20"/>
        </w:rPr>
        <w:t xml:space="preserve">and specified that </w:t>
      </w:r>
      <w:r w:rsidR="00D52D5F" w:rsidRPr="008768A5">
        <w:rPr>
          <w:rFonts w:ascii="Cambria" w:hAnsi="Cambria" w:cs="Calibri Light"/>
          <w:sz w:val="20"/>
          <w:szCs w:val="20"/>
        </w:rPr>
        <w:t xml:space="preserve">because Trinidad and Tobago had denounced </w:t>
      </w:r>
      <w:r w:rsidR="005D490A" w:rsidRPr="008768A5">
        <w:rPr>
          <w:rFonts w:ascii="Cambria" w:hAnsi="Cambria" w:cs="Calibri Light"/>
          <w:sz w:val="20"/>
          <w:szCs w:val="20"/>
        </w:rPr>
        <w:t xml:space="preserve">the American Convention on Human Rights in 1999, the decisions that the IACHR issues are not binding on it. </w:t>
      </w:r>
    </w:p>
    <w:p w14:paraId="5C7961A9" w14:textId="77777777" w:rsidR="00B0347D" w:rsidRPr="008768A5" w:rsidRDefault="00B0347D" w:rsidP="00B0347D">
      <w:pPr>
        <w:pStyle w:val="ListParagraph"/>
        <w:shd w:val="clear" w:color="auto" w:fill="FFFFFF" w:themeFill="background1"/>
        <w:spacing w:after="0" w:line="240" w:lineRule="auto"/>
        <w:jc w:val="both"/>
        <w:rPr>
          <w:rFonts w:ascii="Cambria" w:hAnsi="Cambria" w:cs="Calibri Light"/>
          <w:color w:val="000000" w:themeColor="text1"/>
          <w:sz w:val="20"/>
          <w:szCs w:val="20"/>
        </w:rPr>
      </w:pPr>
    </w:p>
    <w:p w14:paraId="0342247F" w14:textId="4BE4D945" w:rsidR="00F77079" w:rsidRPr="008768A5" w:rsidRDefault="00396B62" w:rsidP="00F77079">
      <w:pPr>
        <w:pStyle w:val="ListParagraph"/>
        <w:numPr>
          <w:ilvl w:val="0"/>
          <w:numId w:val="28"/>
        </w:numPr>
        <w:shd w:val="clear" w:color="auto" w:fill="FFFFFF" w:themeFill="background1"/>
        <w:spacing w:after="0" w:line="240" w:lineRule="auto"/>
        <w:ind w:left="0" w:firstLine="720"/>
        <w:jc w:val="both"/>
        <w:rPr>
          <w:rFonts w:ascii="Cambria" w:hAnsi="Cambria" w:cs="Calibri Light"/>
          <w:color w:val="000000" w:themeColor="text1"/>
          <w:sz w:val="20"/>
          <w:szCs w:val="20"/>
        </w:rPr>
      </w:pPr>
      <w:r w:rsidRPr="008768A5">
        <w:rPr>
          <w:rFonts w:ascii="Cambria" w:hAnsi="Cambria" w:cs="Calibri Light"/>
          <w:color w:val="000000" w:themeColor="text1"/>
          <w:sz w:val="20"/>
          <w:szCs w:val="20"/>
        </w:rPr>
        <w:t>In</w:t>
      </w:r>
      <w:r w:rsidR="0078054A" w:rsidRPr="008768A5">
        <w:rPr>
          <w:rFonts w:ascii="Cambria" w:hAnsi="Cambria" w:cs="Calibri Light"/>
          <w:color w:val="000000" w:themeColor="text1"/>
          <w:sz w:val="20"/>
          <w:szCs w:val="20"/>
        </w:rPr>
        <w:t xml:space="preserve"> </w:t>
      </w:r>
      <w:r w:rsidR="00B0347D" w:rsidRPr="008768A5">
        <w:rPr>
          <w:rFonts w:ascii="Cambria" w:hAnsi="Cambria" w:cs="Calibri Light"/>
          <w:color w:val="000000" w:themeColor="text1"/>
          <w:sz w:val="20"/>
          <w:szCs w:val="20"/>
        </w:rPr>
        <w:t>2020</w:t>
      </w:r>
      <w:r w:rsidRPr="008768A5">
        <w:rPr>
          <w:rFonts w:ascii="Cambria" w:hAnsi="Cambria" w:cs="Calibri Light"/>
          <w:color w:val="000000" w:themeColor="text1"/>
          <w:sz w:val="20"/>
          <w:szCs w:val="20"/>
        </w:rPr>
        <w:t xml:space="preserve">, the State reiterated the </w:t>
      </w:r>
      <w:r w:rsidR="0078054A" w:rsidRPr="008768A5">
        <w:rPr>
          <w:rFonts w:ascii="Cambria" w:hAnsi="Cambria" w:cs="Calibri Light"/>
          <w:color w:val="000000" w:themeColor="text1"/>
          <w:sz w:val="20"/>
          <w:szCs w:val="20"/>
        </w:rPr>
        <w:t xml:space="preserve">same </w:t>
      </w:r>
      <w:r w:rsidRPr="008768A5">
        <w:rPr>
          <w:rFonts w:ascii="Cambria" w:hAnsi="Cambria" w:cs="Calibri Light"/>
          <w:color w:val="000000" w:themeColor="text1"/>
          <w:sz w:val="20"/>
          <w:szCs w:val="20"/>
        </w:rPr>
        <w:t xml:space="preserve">information provided in </w:t>
      </w:r>
      <w:r w:rsidR="0078054A" w:rsidRPr="008768A5">
        <w:rPr>
          <w:rFonts w:ascii="Cambria" w:hAnsi="Cambria" w:cs="Calibri Light"/>
          <w:color w:val="000000" w:themeColor="text1"/>
          <w:sz w:val="20"/>
          <w:szCs w:val="20"/>
        </w:rPr>
        <w:t>2019.</w:t>
      </w:r>
    </w:p>
    <w:p w14:paraId="73FE55BC" w14:textId="77777777" w:rsidR="00A52273" w:rsidRPr="008768A5" w:rsidRDefault="00A52273" w:rsidP="00A52273">
      <w:pPr>
        <w:pStyle w:val="ListParagraph"/>
        <w:shd w:val="clear" w:color="auto" w:fill="FFFFFF" w:themeFill="background1"/>
        <w:spacing w:after="0" w:line="240" w:lineRule="auto"/>
        <w:ind w:left="709"/>
        <w:jc w:val="both"/>
        <w:rPr>
          <w:rFonts w:ascii="Cambria" w:hAnsi="Cambria" w:cs="Calibri Light"/>
          <w:sz w:val="20"/>
          <w:szCs w:val="20"/>
        </w:rPr>
      </w:pPr>
    </w:p>
    <w:p w14:paraId="7A8A8F59" w14:textId="77777777" w:rsidR="00B0347D" w:rsidRPr="008768A5" w:rsidRDefault="00A52273" w:rsidP="00F77079">
      <w:pPr>
        <w:pStyle w:val="ListParagraph"/>
        <w:numPr>
          <w:ilvl w:val="0"/>
          <w:numId w:val="28"/>
        </w:numPr>
        <w:shd w:val="clear" w:color="auto" w:fill="FFFFFF" w:themeFill="background1"/>
        <w:spacing w:after="0" w:line="240" w:lineRule="auto"/>
        <w:ind w:left="0" w:firstLine="709"/>
        <w:jc w:val="both"/>
        <w:rPr>
          <w:rFonts w:ascii="Cambria" w:hAnsi="Cambria" w:cs="Calibri Light"/>
          <w:sz w:val="20"/>
          <w:szCs w:val="20"/>
        </w:rPr>
      </w:pPr>
      <w:r w:rsidRPr="008768A5">
        <w:rPr>
          <w:rFonts w:ascii="Cambria" w:hAnsi="Cambria" w:cs="Calibri Light"/>
          <w:sz w:val="20"/>
          <w:szCs w:val="20"/>
        </w:rPr>
        <w:t xml:space="preserve">In 2018, </w:t>
      </w:r>
      <w:r w:rsidR="00FA47FA" w:rsidRPr="008768A5">
        <w:rPr>
          <w:rFonts w:ascii="Cambria" w:hAnsi="Cambria" w:cs="Calibri Light"/>
          <w:sz w:val="20"/>
          <w:szCs w:val="20"/>
        </w:rPr>
        <w:t xml:space="preserve">the petitioners informed that they have not acted for Mr. Dexter Lendore for a considerable period of time. At the same time, the petitioners </w:t>
      </w:r>
      <w:r w:rsidR="002D56F8" w:rsidRPr="008768A5">
        <w:rPr>
          <w:rFonts w:ascii="Cambria" w:hAnsi="Cambria" w:cs="Calibri Light"/>
          <w:sz w:val="20"/>
          <w:szCs w:val="20"/>
        </w:rPr>
        <w:t>presented</w:t>
      </w:r>
      <w:r w:rsidR="00FA47FA" w:rsidRPr="008768A5">
        <w:rPr>
          <w:rFonts w:ascii="Cambria" w:hAnsi="Cambria" w:cs="Calibri Light"/>
          <w:sz w:val="20"/>
          <w:szCs w:val="20"/>
        </w:rPr>
        <w:t xml:space="preserve"> </w:t>
      </w:r>
      <w:r w:rsidR="002D56F8" w:rsidRPr="008768A5">
        <w:rPr>
          <w:rFonts w:ascii="Cambria" w:hAnsi="Cambria" w:cs="Calibri Light"/>
          <w:sz w:val="20"/>
          <w:szCs w:val="20"/>
        </w:rPr>
        <w:t xml:space="preserve">a </w:t>
      </w:r>
      <w:r w:rsidR="00FA47FA" w:rsidRPr="008768A5">
        <w:rPr>
          <w:rFonts w:ascii="Cambria" w:hAnsi="Cambria" w:cs="Calibri Light"/>
          <w:sz w:val="20"/>
          <w:szCs w:val="20"/>
        </w:rPr>
        <w:t>judgement of the Judicial Committee of the Privy Council</w:t>
      </w:r>
      <w:r w:rsidR="002D56F8" w:rsidRPr="008768A5">
        <w:rPr>
          <w:rFonts w:ascii="Cambria" w:hAnsi="Cambria" w:cs="Calibri Light"/>
          <w:sz w:val="20"/>
          <w:szCs w:val="20"/>
        </w:rPr>
        <w:t>,</w:t>
      </w:r>
      <w:r w:rsidR="00FA47FA" w:rsidRPr="008768A5">
        <w:rPr>
          <w:rFonts w:ascii="Cambria" w:hAnsi="Cambria" w:cs="Calibri Light"/>
          <w:sz w:val="20"/>
          <w:szCs w:val="20"/>
        </w:rPr>
        <w:t xml:space="preserve"> </w:t>
      </w:r>
      <w:r w:rsidR="002D56F8" w:rsidRPr="008768A5">
        <w:rPr>
          <w:rFonts w:ascii="Cambria" w:hAnsi="Cambria" w:cs="Calibri Light"/>
          <w:i/>
          <w:sz w:val="20"/>
          <w:szCs w:val="20"/>
        </w:rPr>
        <w:t>L</w:t>
      </w:r>
      <w:r w:rsidR="001D7402" w:rsidRPr="008768A5">
        <w:rPr>
          <w:rFonts w:ascii="Cambria" w:hAnsi="Cambria" w:cs="Calibri Light"/>
          <w:i/>
          <w:sz w:val="20"/>
          <w:szCs w:val="20"/>
        </w:rPr>
        <w:t>endore and others v. The Attorney General of Trinidad and Tobago (2017)</w:t>
      </w:r>
      <w:r w:rsidR="00826178" w:rsidRPr="008768A5">
        <w:rPr>
          <w:rFonts w:ascii="Cambria" w:hAnsi="Cambria" w:cs="Calibri Light"/>
          <w:sz w:val="20"/>
          <w:szCs w:val="20"/>
        </w:rPr>
        <w:t>,</w:t>
      </w:r>
      <w:r w:rsidR="00365BD5" w:rsidRPr="008768A5">
        <w:rPr>
          <w:rStyle w:val="FootnoteReference"/>
          <w:rFonts w:ascii="Cambria" w:hAnsi="Cambria" w:cs="Calibri Light"/>
          <w:sz w:val="20"/>
          <w:szCs w:val="20"/>
        </w:rPr>
        <w:footnoteReference w:id="1"/>
      </w:r>
      <w:r w:rsidR="002D56F8" w:rsidRPr="008768A5">
        <w:rPr>
          <w:rFonts w:ascii="Cambria" w:hAnsi="Cambria" w:cs="Calibri Light"/>
          <w:i/>
          <w:sz w:val="20"/>
          <w:szCs w:val="20"/>
        </w:rPr>
        <w:t xml:space="preserve"> </w:t>
      </w:r>
      <w:r w:rsidR="002D56F8" w:rsidRPr="008768A5">
        <w:rPr>
          <w:rFonts w:ascii="Cambria" w:hAnsi="Cambria" w:cs="Calibri Light"/>
          <w:sz w:val="20"/>
          <w:szCs w:val="20"/>
        </w:rPr>
        <w:t xml:space="preserve">which concerns </w:t>
      </w:r>
      <w:r w:rsidR="00D96D03" w:rsidRPr="008768A5">
        <w:rPr>
          <w:rFonts w:ascii="Cambria" w:hAnsi="Cambria" w:cs="Calibri Light"/>
          <w:sz w:val="20"/>
          <w:szCs w:val="20"/>
        </w:rPr>
        <w:t>Mr. Dexter Lendore</w:t>
      </w:r>
      <w:r w:rsidR="002D56F8" w:rsidRPr="008768A5">
        <w:rPr>
          <w:rFonts w:ascii="Cambria" w:hAnsi="Cambria" w:cs="Calibri Light"/>
          <w:sz w:val="20"/>
          <w:szCs w:val="20"/>
        </w:rPr>
        <w:t>.</w:t>
      </w:r>
      <w:r w:rsidR="002D56F8" w:rsidRPr="008768A5">
        <w:rPr>
          <w:rFonts w:ascii="Cambria" w:hAnsi="Cambria" w:cs="Calibri Light"/>
          <w:i/>
          <w:sz w:val="20"/>
          <w:szCs w:val="20"/>
        </w:rPr>
        <w:t xml:space="preserve"> </w:t>
      </w:r>
      <w:r w:rsidR="001D7402" w:rsidRPr="008768A5">
        <w:rPr>
          <w:rFonts w:ascii="Cambria" w:hAnsi="Cambria" w:cs="Calibri Light"/>
          <w:sz w:val="20"/>
          <w:szCs w:val="20"/>
        </w:rPr>
        <w:t xml:space="preserve">In this </w:t>
      </w:r>
      <w:r w:rsidR="00EC666B" w:rsidRPr="008768A5">
        <w:rPr>
          <w:rFonts w:ascii="Cambria" w:hAnsi="Cambria" w:cs="Calibri Light"/>
          <w:sz w:val="20"/>
          <w:szCs w:val="20"/>
        </w:rPr>
        <w:t>case</w:t>
      </w:r>
      <w:r w:rsidR="001D7402" w:rsidRPr="008768A5">
        <w:rPr>
          <w:rFonts w:ascii="Cambria" w:hAnsi="Cambria" w:cs="Calibri Light"/>
          <w:sz w:val="20"/>
          <w:szCs w:val="20"/>
        </w:rPr>
        <w:t>, Mr. Dexter Lendore, along with other individuals whose mandatory death sentences had been commuted to life imprisonment or imprisonment for 75 years</w:t>
      </w:r>
      <w:r w:rsidR="00EC666B" w:rsidRPr="008768A5">
        <w:rPr>
          <w:rFonts w:ascii="Cambria" w:hAnsi="Cambria" w:cs="Calibri Light"/>
          <w:sz w:val="20"/>
          <w:szCs w:val="20"/>
        </w:rPr>
        <w:t xml:space="preserve"> in Trinidad and Tobago</w:t>
      </w:r>
      <w:r w:rsidR="001D7402" w:rsidRPr="008768A5">
        <w:rPr>
          <w:rFonts w:ascii="Cambria" w:hAnsi="Cambria" w:cs="Calibri Light"/>
          <w:sz w:val="20"/>
          <w:szCs w:val="20"/>
        </w:rPr>
        <w:t xml:space="preserve">, challenged the constitutionality of the substituted sentences </w:t>
      </w:r>
      <w:r w:rsidR="0009659C" w:rsidRPr="008768A5">
        <w:rPr>
          <w:rFonts w:ascii="Cambria" w:hAnsi="Cambria" w:cs="Calibri Light"/>
          <w:sz w:val="20"/>
          <w:szCs w:val="20"/>
        </w:rPr>
        <w:t xml:space="preserve">arguing </w:t>
      </w:r>
      <w:r w:rsidR="001D7402" w:rsidRPr="008768A5">
        <w:rPr>
          <w:rFonts w:ascii="Cambria" w:hAnsi="Cambria" w:cs="Calibri Light"/>
          <w:sz w:val="20"/>
          <w:szCs w:val="20"/>
        </w:rPr>
        <w:t xml:space="preserve">that these sentences were imposed on a broad group of prisoners without consideration of the individual circumstances of each one. </w:t>
      </w:r>
    </w:p>
    <w:p w14:paraId="01BA99F9" w14:textId="7F1CBF6A" w:rsidR="00F77079" w:rsidRPr="008768A5" w:rsidRDefault="00F77079" w:rsidP="00431CF8">
      <w:pPr>
        <w:shd w:val="clear" w:color="auto" w:fill="FFFFFF" w:themeFill="background1"/>
        <w:spacing w:after="0" w:line="240" w:lineRule="auto"/>
        <w:jc w:val="both"/>
        <w:rPr>
          <w:rFonts w:ascii="Cambria" w:hAnsi="Cambria" w:cs="Calibri Light"/>
          <w:sz w:val="20"/>
          <w:szCs w:val="20"/>
        </w:rPr>
      </w:pPr>
    </w:p>
    <w:p w14:paraId="5F6ADF2B" w14:textId="05D38ECB" w:rsidR="00F77079" w:rsidRPr="008768A5" w:rsidRDefault="007801DB" w:rsidP="00D9616A">
      <w:pPr>
        <w:pStyle w:val="ListParagraph"/>
        <w:numPr>
          <w:ilvl w:val="0"/>
          <w:numId w:val="28"/>
        </w:numPr>
        <w:shd w:val="clear" w:color="auto" w:fill="FFFFFF"/>
        <w:spacing w:after="0" w:line="240" w:lineRule="auto"/>
        <w:ind w:left="0" w:firstLine="709"/>
        <w:jc w:val="both"/>
        <w:rPr>
          <w:rFonts w:ascii="Cambria" w:hAnsi="Cambria" w:cs="Calibri Light"/>
          <w:color w:val="000000" w:themeColor="text1"/>
          <w:sz w:val="20"/>
          <w:szCs w:val="20"/>
        </w:rPr>
      </w:pPr>
      <w:r w:rsidRPr="008768A5">
        <w:rPr>
          <w:rFonts w:ascii="Cambria" w:hAnsi="Cambria" w:cs="Calibri Light"/>
          <w:sz w:val="20"/>
          <w:szCs w:val="20"/>
        </w:rPr>
        <w:t>In</w:t>
      </w:r>
      <w:r w:rsidR="00D2293B" w:rsidRPr="008768A5">
        <w:rPr>
          <w:rFonts w:ascii="Cambria" w:hAnsi="Cambria" w:cs="Calibri Light"/>
          <w:sz w:val="20"/>
          <w:szCs w:val="20"/>
        </w:rPr>
        <w:t xml:space="preserve"> </w:t>
      </w:r>
      <w:r w:rsidR="00F77079" w:rsidRPr="008768A5">
        <w:rPr>
          <w:rFonts w:ascii="Cambria" w:hAnsi="Cambria" w:cs="Calibri Light"/>
          <w:sz w:val="20"/>
          <w:szCs w:val="20"/>
        </w:rPr>
        <w:t>2019</w:t>
      </w:r>
      <w:r w:rsidR="00D2293B" w:rsidRPr="008768A5">
        <w:rPr>
          <w:rFonts w:ascii="Cambria" w:hAnsi="Cambria" w:cs="Calibri Light"/>
          <w:sz w:val="20"/>
          <w:szCs w:val="20"/>
        </w:rPr>
        <w:t xml:space="preserve">, the petitioners reported that in 1998, Mr. </w:t>
      </w:r>
      <w:r w:rsidR="00F77079" w:rsidRPr="008768A5">
        <w:rPr>
          <w:rFonts w:ascii="Cambria" w:hAnsi="Cambria" w:cs="Calibri Light"/>
          <w:sz w:val="20"/>
          <w:szCs w:val="20"/>
        </w:rPr>
        <w:t xml:space="preserve">Lendore </w:t>
      </w:r>
      <w:r w:rsidR="00D2293B" w:rsidRPr="008768A5">
        <w:rPr>
          <w:rFonts w:ascii="Cambria" w:hAnsi="Cambria" w:cs="Calibri Light"/>
          <w:sz w:val="20"/>
          <w:szCs w:val="20"/>
        </w:rPr>
        <w:t xml:space="preserve">had benefited </w:t>
      </w:r>
      <w:r w:rsidR="00806D19" w:rsidRPr="008768A5">
        <w:rPr>
          <w:rFonts w:ascii="Cambria" w:hAnsi="Cambria" w:cs="Calibri Light"/>
          <w:sz w:val="20"/>
          <w:szCs w:val="20"/>
        </w:rPr>
        <w:t xml:space="preserve">from the commutation of the death sentence </w:t>
      </w:r>
      <w:r w:rsidR="009A6661" w:rsidRPr="008768A5">
        <w:rPr>
          <w:rFonts w:ascii="Cambria" w:hAnsi="Cambria" w:cs="Calibri Light"/>
          <w:sz w:val="20"/>
          <w:szCs w:val="20"/>
        </w:rPr>
        <w:t>to</w:t>
      </w:r>
      <w:r w:rsidR="00806D19" w:rsidRPr="008768A5">
        <w:rPr>
          <w:rFonts w:ascii="Cambria" w:hAnsi="Cambria" w:cs="Calibri Light"/>
          <w:sz w:val="20"/>
          <w:szCs w:val="20"/>
        </w:rPr>
        <w:t xml:space="preserve"> a 75</w:t>
      </w:r>
      <w:r w:rsidR="00202EAC" w:rsidRPr="008768A5">
        <w:rPr>
          <w:rFonts w:ascii="Cambria" w:hAnsi="Cambria" w:cs="Calibri Light"/>
          <w:sz w:val="20"/>
          <w:szCs w:val="20"/>
        </w:rPr>
        <w:t>-</w:t>
      </w:r>
      <w:r w:rsidR="00806D19" w:rsidRPr="008768A5">
        <w:rPr>
          <w:rFonts w:ascii="Cambria" w:hAnsi="Cambria" w:cs="Calibri Light"/>
          <w:sz w:val="20"/>
          <w:szCs w:val="20"/>
        </w:rPr>
        <w:t>year prison</w:t>
      </w:r>
      <w:r w:rsidR="00202EAC" w:rsidRPr="008768A5">
        <w:rPr>
          <w:rFonts w:ascii="Cambria" w:hAnsi="Cambria" w:cs="Calibri Light"/>
          <w:sz w:val="20"/>
          <w:szCs w:val="20"/>
        </w:rPr>
        <w:t xml:space="preserve"> term</w:t>
      </w:r>
      <w:r w:rsidR="00806D19" w:rsidRPr="008768A5">
        <w:rPr>
          <w:rFonts w:ascii="Cambria" w:hAnsi="Cambria" w:cs="Calibri Light"/>
          <w:sz w:val="20"/>
          <w:szCs w:val="20"/>
        </w:rPr>
        <w:t xml:space="preserve">. </w:t>
      </w:r>
      <w:r w:rsidR="00700FCB" w:rsidRPr="008768A5">
        <w:rPr>
          <w:rFonts w:ascii="Cambria" w:hAnsi="Cambria" w:cs="Calibri Light"/>
          <w:sz w:val="20"/>
          <w:szCs w:val="20"/>
        </w:rPr>
        <w:t xml:space="preserve">They explained that even though </w:t>
      </w:r>
      <w:r w:rsidR="00BB0CAA" w:rsidRPr="008768A5">
        <w:rPr>
          <w:rFonts w:ascii="Cambria" w:hAnsi="Cambria" w:cs="Calibri Light"/>
          <w:sz w:val="20"/>
          <w:szCs w:val="20"/>
        </w:rPr>
        <w:t xml:space="preserve">the State provides </w:t>
      </w:r>
      <w:r w:rsidR="00700FCB" w:rsidRPr="008768A5">
        <w:rPr>
          <w:rFonts w:ascii="Cambria" w:hAnsi="Cambria" w:cs="Calibri Light"/>
          <w:sz w:val="20"/>
          <w:szCs w:val="20"/>
        </w:rPr>
        <w:t>legal assistance services for cases that involve potential human rights violations, the State has still not ordered hi</w:t>
      </w:r>
      <w:r w:rsidR="006769AD" w:rsidRPr="008768A5">
        <w:rPr>
          <w:rFonts w:ascii="Cambria" w:hAnsi="Cambria" w:cs="Calibri Light"/>
          <w:sz w:val="20"/>
          <w:szCs w:val="20"/>
        </w:rPr>
        <w:t xml:space="preserve">s </w:t>
      </w:r>
      <w:r w:rsidR="00700FCB" w:rsidRPr="008768A5">
        <w:rPr>
          <w:rFonts w:ascii="Cambria" w:hAnsi="Cambria" w:cs="Calibri Light"/>
          <w:sz w:val="20"/>
          <w:szCs w:val="20"/>
        </w:rPr>
        <w:t>release.</w:t>
      </w:r>
      <w:r w:rsidR="00BB0CAA" w:rsidRPr="008768A5">
        <w:rPr>
          <w:rFonts w:ascii="Cambria" w:hAnsi="Cambria" w:cs="Calibri Light"/>
          <w:sz w:val="20"/>
          <w:szCs w:val="20"/>
        </w:rPr>
        <w:t xml:space="preserve"> </w:t>
      </w:r>
      <w:r w:rsidR="008623A8" w:rsidRPr="008768A5">
        <w:rPr>
          <w:rFonts w:ascii="Cambria" w:hAnsi="Cambria" w:cs="Calibri Light"/>
          <w:sz w:val="20"/>
          <w:szCs w:val="20"/>
        </w:rPr>
        <w:t xml:space="preserve">The petitioners reported to the IACHR that </w:t>
      </w:r>
      <w:r w:rsidR="00B229BA" w:rsidRPr="008768A5">
        <w:rPr>
          <w:rFonts w:ascii="Cambria" w:hAnsi="Cambria" w:cs="Calibri Light"/>
          <w:sz w:val="20"/>
          <w:szCs w:val="20"/>
        </w:rPr>
        <w:t xml:space="preserve">the judgment </w:t>
      </w:r>
      <w:r w:rsidR="00B05A8B" w:rsidRPr="008768A5">
        <w:rPr>
          <w:rFonts w:ascii="Cambria" w:hAnsi="Cambria" w:cs="Calibri Light"/>
          <w:sz w:val="20"/>
          <w:szCs w:val="20"/>
        </w:rPr>
        <w:t>handed down against Mr. Lendore is still pending an appeal for review by judicial authorities</w:t>
      </w:r>
      <w:r w:rsidR="00B05A8B" w:rsidRPr="008768A5">
        <w:rPr>
          <w:rFonts w:ascii="Cambria" w:hAnsi="Cambria" w:cs="Calibri Light"/>
          <w:color w:val="000000" w:themeColor="text1"/>
          <w:sz w:val="20"/>
          <w:szCs w:val="20"/>
        </w:rPr>
        <w:t xml:space="preserve">. </w:t>
      </w:r>
      <w:r w:rsidR="003A129D" w:rsidRPr="008768A5">
        <w:rPr>
          <w:rFonts w:ascii="Cambria" w:hAnsi="Cambria" w:cs="Calibri Light"/>
          <w:color w:val="000000" w:themeColor="text1"/>
          <w:sz w:val="20"/>
          <w:szCs w:val="20"/>
        </w:rPr>
        <w:t xml:space="preserve">In 2020, the petitioners informed that they </w:t>
      </w:r>
      <w:r w:rsidR="00D73D14" w:rsidRPr="008768A5">
        <w:rPr>
          <w:rFonts w:ascii="Cambria" w:hAnsi="Cambria" w:cs="Calibri Light"/>
          <w:color w:val="000000" w:themeColor="text1"/>
          <w:sz w:val="20"/>
          <w:szCs w:val="20"/>
        </w:rPr>
        <w:t xml:space="preserve">were not aware of </w:t>
      </w:r>
      <w:r w:rsidR="003A129D" w:rsidRPr="008768A5">
        <w:rPr>
          <w:rFonts w:ascii="Cambria" w:hAnsi="Cambria" w:cs="Calibri Light"/>
          <w:color w:val="000000" w:themeColor="text1"/>
          <w:sz w:val="20"/>
          <w:szCs w:val="20"/>
        </w:rPr>
        <w:t>a</w:t>
      </w:r>
      <w:r w:rsidR="00D73D14" w:rsidRPr="008768A5">
        <w:rPr>
          <w:rFonts w:ascii="Cambria" w:hAnsi="Cambria" w:cs="Calibri Light"/>
          <w:color w:val="000000" w:themeColor="text1"/>
          <w:sz w:val="20"/>
          <w:szCs w:val="20"/>
        </w:rPr>
        <w:t>ny</w:t>
      </w:r>
      <w:r w:rsidR="005B7E79" w:rsidRPr="008768A5">
        <w:rPr>
          <w:rFonts w:ascii="Cambria" w:hAnsi="Cambria" w:cs="Calibri Light"/>
          <w:color w:val="000000" w:themeColor="text1"/>
          <w:sz w:val="20"/>
          <w:szCs w:val="20"/>
        </w:rPr>
        <w:t xml:space="preserve"> pending appeal</w:t>
      </w:r>
      <w:r w:rsidR="003A129D" w:rsidRPr="008768A5">
        <w:rPr>
          <w:rFonts w:ascii="Cambria" w:hAnsi="Cambria" w:cs="Calibri Light"/>
          <w:color w:val="000000" w:themeColor="text1"/>
          <w:sz w:val="20"/>
          <w:szCs w:val="20"/>
        </w:rPr>
        <w:t xml:space="preserve"> since the last</w:t>
      </w:r>
      <w:r w:rsidR="00D73D14" w:rsidRPr="008768A5">
        <w:rPr>
          <w:rFonts w:ascii="Cambria" w:hAnsi="Cambria" w:cs="Calibri Light"/>
          <w:color w:val="000000" w:themeColor="text1"/>
          <w:sz w:val="20"/>
          <w:szCs w:val="20"/>
        </w:rPr>
        <w:t xml:space="preserve"> </w:t>
      </w:r>
      <w:r w:rsidR="00BD7468" w:rsidRPr="008768A5">
        <w:rPr>
          <w:rFonts w:ascii="Cambria" w:hAnsi="Cambria" w:cs="Calibri Light"/>
          <w:color w:val="000000" w:themeColor="text1"/>
          <w:sz w:val="20"/>
          <w:szCs w:val="20"/>
        </w:rPr>
        <w:t>available seat for appeal</w:t>
      </w:r>
      <w:r w:rsidR="00D73D14" w:rsidRPr="008768A5">
        <w:rPr>
          <w:rFonts w:ascii="Cambria" w:hAnsi="Cambria" w:cs="Calibri Light"/>
          <w:color w:val="000000" w:themeColor="text1"/>
          <w:sz w:val="20"/>
          <w:szCs w:val="20"/>
        </w:rPr>
        <w:t xml:space="preserve"> </w:t>
      </w:r>
      <w:r w:rsidR="00BD7468" w:rsidRPr="008768A5">
        <w:rPr>
          <w:rFonts w:ascii="Cambria" w:hAnsi="Cambria" w:cs="Calibri Light"/>
          <w:color w:val="000000" w:themeColor="text1"/>
          <w:sz w:val="20"/>
          <w:szCs w:val="20"/>
        </w:rPr>
        <w:t>was the Privy Council</w:t>
      </w:r>
      <w:r w:rsidR="00E778D7" w:rsidRPr="008768A5">
        <w:rPr>
          <w:rFonts w:ascii="Cambria" w:hAnsi="Cambria" w:cs="Calibri Light"/>
          <w:color w:val="000000" w:themeColor="text1"/>
          <w:sz w:val="20"/>
          <w:szCs w:val="20"/>
        </w:rPr>
        <w:t>. They manifested that the decisions of this organ were</w:t>
      </w:r>
      <w:r w:rsidR="00C82BA3" w:rsidRPr="008768A5">
        <w:rPr>
          <w:rFonts w:ascii="Cambria" w:hAnsi="Cambria" w:cs="Calibri Light"/>
          <w:color w:val="000000" w:themeColor="text1"/>
          <w:sz w:val="20"/>
          <w:szCs w:val="20"/>
        </w:rPr>
        <w:t xml:space="preserve"> final, in the absence of fresh evidence and exceptional circumstances</w:t>
      </w:r>
      <w:r w:rsidR="005D1BB1" w:rsidRPr="008768A5">
        <w:rPr>
          <w:rFonts w:ascii="Cambria" w:hAnsi="Cambria" w:cs="Calibri Light"/>
          <w:color w:val="000000" w:themeColor="text1"/>
          <w:sz w:val="20"/>
          <w:szCs w:val="20"/>
        </w:rPr>
        <w:t xml:space="preserve"> justifying reconsideration</w:t>
      </w:r>
      <w:r w:rsidR="00C82BA3" w:rsidRPr="008768A5">
        <w:rPr>
          <w:rFonts w:ascii="Cambria" w:hAnsi="Cambria" w:cs="Calibri Light"/>
          <w:color w:val="000000" w:themeColor="text1"/>
          <w:sz w:val="20"/>
          <w:szCs w:val="20"/>
        </w:rPr>
        <w:t>.</w:t>
      </w:r>
      <w:r w:rsidR="00540B3D" w:rsidRPr="008768A5">
        <w:rPr>
          <w:rFonts w:ascii="Cambria" w:hAnsi="Cambria" w:cs="Calibri Light"/>
          <w:color w:val="000000" w:themeColor="text1"/>
          <w:sz w:val="20"/>
          <w:szCs w:val="20"/>
        </w:rPr>
        <w:t xml:space="preserve"> </w:t>
      </w:r>
      <w:r w:rsidR="00E778D7" w:rsidRPr="008768A5">
        <w:rPr>
          <w:rFonts w:ascii="Cambria" w:hAnsi="Cambria" w:cs="Calibri Light"/>
          <w:color w:val="000000" w:themeColor="text1"/>
          <w:sz w:val="20"/>
          <w:szCs w:val="20"/>
        </w:rPr>
        <w:t>Regarding the binding nature of the IACHR recommendations</w:t>
      </w:r>
      <w:r w:rsidR="006D2116" w:rsidRPr="008768A5">
        <w:rPr>
          <w:rFonts w:ascii="Cambria" w:hAnsi="Cambria" w:cs="Calibri Light"/>
          <w:color w:val="000000" w:themeColor="text1"/>
          <w:sz w:val="20"/>
          <w:szCs w:val="20"/>
        </w:rPr>
        <w:t xml:space="preserve">, the petitioners </w:t>
      </w:r>
      <w:r w:rsidR="00540B3D" w:rsidRPr="008768A5">
        <w:rPr>
          <w:rFonts w:ascii="Cambria" w:hAnsi="Cambria" w:cs="Calibri Light"/>
          <w:color w:val="000000" w:themeColor="text1"/>
          <w:sz w:val="20"/>
          <w:szCs w:val="20"/>
        </w:rPr>
        <w:t>manifested that the S</w:t>
      </w:r>
      <w:r w:rsidR="006D2116" w:rsidRPr="008768A5">
        <w:rPr>
          <w:rFonts w:ascii="Cambria" w:hAnsi="Cambria" w:cs="Calibri Light"/>
          <w:color w:val="000000" w:themeColor="text1"/>
          <w:sz w:val="20"/>
          <w:szCs w:val="20"/>
        </w:rPr>
        <w:t xml:space="preserve">tate was still party to the American Convention at </w:t>
      </w:r>
      <w:r w:rsidR="00616A24" w:rsidRPr="008768A5">
        <w:rPr>
          <w:rFonts w:ascii="Cambria" w:hAnsi="Cambria" w:cs="Calibri Light"/>
          <w:color w:val="000000" w:themeColor="text1"/>
          <w:sz w:val="20"/>
          <w:szCs w:val="20"/>
        </w:rPr>
        <w:t xml:space="preserve">the time of the victim’s trial and the </w:t>
      </w:r>
      <w:r w:rsidR="006D2116" w:rsidRPr="008768A5">
        <w:rPr>
          <w:rFonts w:ascii="Cambria" w:hAnsi="Cambria" w:cs="Calibri Light"/>
          <w:color w:val="000000" w:themeColor="text1"/>
          <w:sz w:val="20"/>
          <w:szCs w:val="20"/>
        </w:rPr>
        <w:t>sentencing and resentencing</w:t>
      </w:r>
      <w:r w:rsidR="00616A24" w:rsidRPr="008768A5">
        <w:rPr>
          <w:rFonts w:ascii="Cambria" w:hAnsi="Cambria" w:cs="Calibri Light"/>
          <w:color w:val="000000" w:themeColor="text1"/>
          <w:sz w:val="20"/>
          <w:szCs w:val="20"/>
        </w:rPr>
        <w:t xml:space="preserve"> procedure</w:t>
      </w:r>
      <w:r w:rsidR="00E778D7" w:rsidRPr="008768A5">
        <w:rPr>
          <w:rFonts w:ascii="Cambria" w:hAnsi="Cambria" w:cs="Calibri Light"/>
          <w:color w:val="000000" w:themeColor="text1"/>
          <w:sz w:val="20"/>
          <w:szCs w:val="20"/>
        </w:rPr>
        <w:t>, being the State obliged to comply with the measures established by the Commission</w:t>
      </w:r>
      <w:r w:rsidR="006D2116" w:rsidRPr="008768A5">
        <w:rPr>
          <w:rFonts w:ascii="Cambria" w:hAnsi="Cambria" w:cs="Calibri Light"/>
          <w:color w:val="000000" w:themeColor="text1"/>
          <w:sz w:val="20"/>
          <w:szCs w:val="20"/>
        </w:rPr>
        <w:t>.</w:t>
      </w:r>
    </w:p>
    <w:p w14:paraId="649F4362" w14:textId="77777777" w:rsidR="00431CF8" w:rsidRPr="008768A5" w:rsidRDefault="00431CF8" w:rsidP="00431CF8">
      <w:pPr>
        <w:pStyle w:val="ListParagraph"/>
        <w:rPr>
          <w:rFonts w:ascii="Cambria" w:hAnsi="Cambria" w:cs="Calibri Light"/>
          <w:sz w:val="20"/>
          <w:szCs w:val="20"/>
        </w:rPr>
      </w:pPr>
    </w:p>
    <w:p w14:paraId="4734FB9D" w14:textId="42EC019D" w:rsidR="00431CF8" w:rsidRPr="008768A5" w:rsidRDefault="00E778D7" w:rsidP="00431CF8">
      <w:pPr>
        <w:pStyle w:val="ListParagraph"/>
        <w:numPr>
          <w:ilvl w:val="0"/>
          <w:numId w:val="28"/>
        </w:numPr>
        <w:shd w:val="clear" w:color="auto" w:fill="FFFFFF" w:themeFill="background1"/>
        <w:spacing w:after="0" w:line="240" w:lineRule="auto"/>
        <w:ind w:left="0" w:firstLine="709"/>
        <w:jc w:val="both"/>
        <w:rPr>
          <w:rFonts w:ascii="Cambria" w:hAnsi="Cambria" w:cs="Calibri Light"/>
          <w:color w:val="000000" w:themeColor="text1"/>
          <w:sz w:val="20"/>
          <w:szCs w:val="20"/>
        </w:rPr>
      </w:pPr>
      <w:r w:rsidRPr="008768A5">
        <w:rPr>
          <w:rFonts w:ascii="Cambria" w:hAnsi="Cambria" w:cs="Calibri Light"/>
          <w:color w:val="000000" w:themeColor="text1"/>
          <w:sz w:val="20"/>
          <w:szCs w:val="20"/>
        </w:rPr>
        <w:t>In addition</w:t>
      </w:r>
      <w:r w:rsidR="00431CF8" w:rsidRPr="008768A5">
        <w:rPr>
          <w:rFonts w:ascii="Cambria" w:hAnsi="Cambria" w:cs="Calibri Light"/>
          <w:color w:val="000000" w:themeColor="text1"/>
          <w:sz w:val="20"/>
          <w:szCs w:val="20"/>
        </w:rPr>
        <w:t xml:space="preserve">, the petitioners expressed that the information provided by the State in its diplomatic note was misleading, particularly with respect to the characterization of Mr. Lendore’s appeal to the Privy Council. The petitioners noted that while the Privy Council declined to present the matter to the High Court, it also upheld </w:t>
      </w:r>
      <w:r w:rsidR="005B7E79" w:rsidRPr="008768A5">
        <w:rPr>
          <w:rFonts w:ascii="Cambria" w:hAnsi="Cambria" w:cs="Calibri Light"/>
          <w:color w:val="000000" w:themeColor="text1"/>
          <w:sz w:val="20"/>
          <w:szCs w:val="20"/>
        </w:rPr>
        <w:t xml:space="preserve">the </w:t>
      </w:r>
      <w:r w:rsidR="00431CF8" w:rsidRPr="008768A5">
        <w:rPr>
          <w:rFonts w:ascii="Cambria" w:hAnsi="Cambria" w:cs="Calibri Light"/>
          <w:color w:val="000000" w:themeColor="text1"/>
          <w:sz w:val="20"/>
          <w:szCs w:val="20"/>
        </w:rPr>
        <w:t>Court of Appeal</w:t>
      </w:r>
      <w:r w:rsidR="005B7E79" w:rsidRPr="008768A5">
        <w:rPr>
          <w:rFonts w:ascii="Cambria" w:hAnsi="Cambria" w:cs="Calibri Light"/>
          <w:color w:val="000000" w:themeColor="text1"/>
          <w:sz w:val="20"/>
          <w:szCs w:val="20"/>
        </w:rPr>
        <w:t>’s findings</w:t>
      </w:r>
      <w:r w:rsidR="00431CF8" w:rsidRPr="008768A5">
        <w:rPr>
          <w:rFonts w:ascii="Cambria" w:hAnsi="Cambria" w:cs="Calibri Light"/>
          <w:color w:val="000000" w:themeColor="text1"/>
          <w:sz w:val="20"/>
          <w:szCs w:val="20"/>
        </w:rPr>
        <w:t xml:space="preserve"> on the unconstitutionality of the resentencing procedure, </w:t>
      </w:r>
      <w:r w:rsidRPr="008768A5">
        <w:rPr>
          <w:rFonts w:ascii="Cambria" w:hAnsi="Cambria" w:cs="Calibri Light"/>
          <w:color w:val="000000" w:themeColor="text1"/>
          <w:sz w:val="20"/>
          <w:szCs w:val="20"/>
        </w:rPr>
        <w:t xml:space="preserve">as well as the </w:t>
      </w:r>
      <w:r w:rsidR="00431CF8" w:rsidRPr="008768A5">
        <w:rPr>
          <w:rFonts w:ascii="Cambria" w:hAnsi="Cambria" w:cs="Calibri Light"/>
          <w:color w:val="000000" w:themeColor="text1"/>
          <w:sz w:val="20"/>
          <w:szCs w:val="20"/>
        </w:rPr>
        <w:t xml:space="preserve">lack of observance </w:t>
      </w:r>
      <w:r w:rsidR="005B7E79" w:rsidRPr="008768A5">
        <w:rPr>
          <w:rFonts w:ascii="Cambria" w:hAnsi="Cambria" w:cs="Calibri Light"/>
          <w:color w:val="000000" w:themeColor="text1"/>
          <w:sz w:val="20"/>
          <w:szCs w:val="20"/>
        </w:rPr>
        <w:t>of</w:t>
      </w:r>
      <w:r w:rsidR="00431CF8" w:rsidRPr="008768A5">
        <w:rPr>
          <w:rFonts w:ascii="Cambria" w:hAnsi="Cambria" w:cs="Calibri Light"/>
          <w:color w:val="000000" w:themeColor="text1"/>
          <w:sz w:val="20"/>
          <w:szCs w:val="20"/>
        </w:rPr>
        <w:t xml:space="preserve"> the principles of natural justice. </w:t>
      </w:r>
      <w:r w:rsidRPr="008768A5">
        <w:rPr>
          <w:rFonts w:ascii="Cambria" w:hAnsi="Cambria" w:cs="Calibri Light"/>
          <w:color w:val="000000" w:themeColor="text1"/>
          <w:sz w:val="20"/>
          <w:szCs w:val="20"/>
        </w:rPr>
        <w:t xml:space="preserve">Moreover, the petitioners </w:t>
      </w:r>
      <w:r w:rsidRPr="008768A5">
        <w:rPr>
          <w:rFonts w:ascii="Cambria" w:hAnsi="Cambria" w:cs="Calibri Light"/>
          <w:color w:val="000000" w:themeColor="text1"/>
          <w:sz w:val="20"/>
          <w:szCs w:val="20"/>
        </w:rPr>
        <w:lastRenderedPageBreak/>
        <w:t>highlight that the</w:t>
      </w:r>
      <w:r w:rsidR="00431CF8" w:rsidRPr="008768A5">
        <w:rPr>
          <w:rFonts w:ascii="Cambria" w:hAnsi="Cambria" w:cs="Calibri Light"/>
          <w:color w:val="000000" w:themeColor="text1"/>
          <w:sz w:val="20"/>
          <w:szCs w:val="20"/>
        </w:rPr>
        <w:t xml:space="preserve"> Privy Council also endorsed the decision to remit the case to the Advisory Committee for reconsideration. In this regard, the petitioners informed that none of the applicants had their cases reconsidered by </w:t>
      </w:r>
      <w:r w:rsidR="00B63313" w:rsidRPr="008768A5">
        <w:rPr>
          <w:rFonts w:ascii="Cambria" w:hAnsi="Cambria" w:cs="Calibri Light"/>
          <w:color w:val="000000" w:themeColor="text1"/>
          <w:sz w:val="20"/>
          <w:szCs w:val="20"/>
        </w:rPr>
        <w:t>the Advisory Committee</w:t>
      </w:r>
      <w:r w:rsidR="00431CF8" w:rsidRPr="008768A5">
        <w:rPr>
          <w:rFonts w:ascii="Cambria" w:hAnsi="Cambria" w:cs="Calibri Light"/>
          <w:color w:val="000000" w:themeColor="text1"/>
          <w:sz w:val="20"/>
          <w:szCs w:val="20"/>
        </w:rPr>
        <w:t>, following the Court of Appeal’s decision in 2014, regardless of their numerous requests.</w:t>
      </w:r>
    </w:p>
    <w:p w14:paraId="54FB7681" w14:textId="77777777" w:rsidR="006D2116" w:rsidRPr="008768A5" w:rsidRDefault="006D2116" w:rsidP="006D2116">
      <w:pPr>
        <w:pStyle w:val="ListParagraph"/>
        <w:rPr>
          <w:rFonts w:ascii="Cambria" w:hAnsi="Cambria" w:cs="Calibri Light"/>
          <w:color w:val="000000" w:themeColor="text1"/>
          <w:sz w:val="20"/>
          <w:szCs w:val="20"/>
        </w:rPr>
      </w:pPr>
    </w:p>
    <w:p w14:paraId="121A1623" w14:textId="4E0000A0" w:rsidR="00C4409A" w:rsidRPr="008768A5" w:rsidRDefault="008E232B" w:rsidP="00752CE5">
      <w:pPr>
        <w:pStyle w:val="ListParagraph"/>
        <w:numPr>
          <w:ilvl w:val="0"/>
          <w:numId w:val="28"/>
        </w:numPr>
        <w:shd w:val="clear" w:color="auto" w:fill="FFFFFF"/>
        <w:spacing w:after="0" w:line="240" w:lineRule="auto"/>
        <w:ind w:left="0" w:firstLine="709"/>
        <w:jc w:val="both"/>
        <w:rPr>
          <w:rFonts w:ascii="Cambria" w:hAnsi="Cambria" w:cs="Calibri Light"/>
          <w:color w:val="000000" w:themeColor="text1"/>
          <w:sz w:val="20"/>
          <w:szCs w:val="20"/>
        </w:rPr>
      </w:pPr>
      <w:r w:rsidRPr="008768A5">
        <w:rPr>
          <w:rFonts w:ascii="Cambria" w:hAnsi="Cambria" w:cs="Calibri Light"/>
          <w:color w:val="000000" w:themeColor="text1"/>
          <w:sz w:val="20"/>
          <w:szCs w:val="20"/>
        </w:rPr>
        <w:t xml:space="preserve">The Commission </w:t>
      </w:r>
      <w:r w:rsidR="005E17DF" w:rsidRPr="008768A5">
        <w:rPr>
          <w:rFonts w:ascii="Cambria" w:hAnsi="Cambria" w:cs="Calibri Light"/>
          <w:color w:val="000000" w:themeColor="text1"/>
          <w:sz w:val="20"/>
          <w:szCs w:val="20"/>
        </w:rPr>
        <w:t>values</w:t>
      </w:r>
      <w:r w:rsidRPr="008768A5">
        <w:rPr>
          <w:rFonts w:ascii="Cambria" w:hAnsi="Cambria" w:cs="Calibri Light"/>
          <w:color w:val="000000" w:themeColor="text1"/>
          <w:sz w:val="20"/>
          <w:szCs w:val="20"/>
        </w:rPr>
        <w:t xml:space="preserve"> the information </w:t>
      </w:r>
      <w:r w:rsidR="00090155" w:rsidRPr="008768A5">
        <w:rPr>
          <w:rFonts w:ascii="Cambria" w:hAnsi="Cambria" w:cs="Calibri Light"/>
          <w:color w:val="000000" w:themeColor="text1"/>
          <w:sz w:val="20"/>
          <w:szCs w:val="20"/>
        </w:rPr>
        <w:t>submitted by the petitioners and the State</w:t>
      </w:r>
      <w:r w:rsidR="00E778D7" w:rsidRPr="008768A5">
        <w:rPr>
          <w:rFonts w:ascii="Cambria" w:hAnsi="Cambria" w:cs="Calibri Light"/>
          <w:color w:val="000000" w:themeColor="text1"/>
          <w:sz w:val="20"/>
          <w:szCs w:val="20"/>
        </w:rPr>
        <w:t>, particularly regarding the commutation of Mr. Lendore’s death penalty conviction to an alternative one</w:t>
      </w:r>
      <w:r w:rsidR="00090155" w:rsidRPr="008768A5">
        <w:rPr>
          <w:rFonts w:ascii="Cambria" w:hAnsi="Cambria" w:cs="Calibri Light"/>
          <w:color w:val="000000" w:themeColor="text1"/>
          <w:sz w:val="20"/>
          <w:szCs w:val="20"/>
        </w:rPr>
        <w:t xml:space="preserve">. </w:t>
      </w:r>
      <w:r w:rsidR="008663B4" w:rsidRPr="008768A5">
        <w:rPr>
          <w:rFonts w:ascii="Cambria" w:hAnsi="Cambria" w:cs="Calibri Light"/>
          <w:color w:val="000000" w:themeColor="text1"/>
          <w:sz w:val="20"/>
          <w:szCs w:val="20"/>
        </w:rPr>
        <w:t xml:space="preserve">However, it notes that even though the State has processed and settled several legal proceedings, none of them </w:t>
      </w:r>
      <w:r w:rsidR="00B63313" w:rsidRPr="008768A5">
        <w:rPr>
          <w:rFonts w:ascii="Cambria" w:hAnsi="Cambria" w:cs="Calibri Light"/>
          <w:color w:val="000000" w:themeColor="text1"/>
          <w:sz w:val="20"/>
          <w:szCs w:val="20"/>
        </w:rPr>
        <w:t>has</w:t>
      </w:r>
      <w:r w:rsidR="008663B4" w:rsidRPr="008768A5">
        <w:rPr>
          <w:rFonts w:ascii="Cambria" w:hAnsi="Cambria" w:cs="Calibri Light"/>
          <w:color w:val="000000" w:themeColor="text1"/>
          <w:sz w:val="20"/>
          <w:szCs w:val="20"/>
        </w:rPr>
        <w:t xml:space="preserve"> ensured Mr. Lendore </w:t>
      </w:r>
      <w:r w:rsidR="00E96D4F" w:rsidRPr="008768A5">
        <w:rPr>
          <w:rFonts w:ascii="Cambria" w:hAnsi="Cambria" w:cs="Calibri Light"/>
          <w:color w:val="000000" w:themeColor="text1"/>
          <w:sz w:val="20"/>
          <w:szCs w:val="20"/>
        </w:rPr>
        <w:t xml:space="preserve">the opportunity for </w:t>
      </w:r>
      <w:r w:rsidR="008663B4" w:rsidRPr="008768A5">
        <w:rPr>
          <w:rFonts w:ascii="Cambria" w:hAnsi="Cambria" w:cs="Calibri Light"/>
          <w:color w:val="000000" w:themeColor="text1"/>
          <w:sz w:val="20"/>
          <w:szCs w:val="20"/>
        </w:rPr>
        <w:t xml:space="preserve">access to </w:t>
      </w:r>
      <w:r w:rsidR="00280D74" w:rsidRPr="008768A5">
        <w:rPr>
          <w:rFonts w:ascii="Cambria" w:hAnsi="Cambria" w:cs="Calibri Light"/>
          <w:color w:val="000000" w:themeColor="text1"/>
          <w:sz w:val="20"/>
          <w:szCs w:val="20"/>
        </w:rPr>
        <w:t>re-</w:t>
      </w:r>
      <w:r w:rsidR="008663B4" w:rsidRPr="008768A5">
        <w:rPr>
          <w:rFonts w:ascii="Cambria" w:hAnsi="Cambria" w:cs="Calibri Light"/>
          <w:color w:val="000000" w:themeColor="text1"/>
          <w:sz w:val="20"/>
          <w:szCs w:val="20"/>
        </w:rPr>
        <w:t xml:space="preserve">trial or, should this not be possible, </w:t>
      </w:r>
      <w:r w:rsidR="00E500CC" w:rsidRPr="008768A5">
        <w:rPr>
          <w:rFonts w:ascii="Cambria" w:hAnsi="Cambria" w:cs="Calibri Light"/>
          <w:color w:val="000000" w:themeColor="text1"/>
          <w:sz w:val="20"/>
          <w:szCs w:val="20"/>
        </w:rPr>
        <w:t xml:space="preserve">for him to be released from prison and be </w:t>
      </w:r>
      <w:r w:rsidR="00C06A8E" w:rsidRPr="008768A5">
        <w:rPr>
          <w:rFonts w:ascii="Cambria" w:hAnsi="Cambria" w:cs="Calibri Light"/>
          <w:color w:val="000000" w:themeColor="text1"/>
          <w:sz w:val="20"/>
          <w:szCs w:val="20"/>
        </w:rPr>
        <w:t xml:space="preserve">awarded </w:t>
      </w:r>
      <w:r w:rsidR="00E500CC" w:rsidRPr="008768A5">
        <w:rPr>
          <w:rFonts w:ascii="Cambria" w:hAnsi="Cambria" w:cs="Calibri Light"/>
          <w:color w:val="000000" w:themeColor="text1"/>
          <w:sz w:val="20"/>
          <w:szCs w:val="20"/>
        </w:rPr>
        <w:t xml:space="preserve">compensation. </w:t>
      </w:r>
      <w:r w:rsidR="00B63313" w:rsidRPr="008768A5">
        <w:rPr>
          <w:rFonts w:ascii="Cambria" w:hAnsi="Cambria" w:cs="Calibri Light"/>
          <w:color w:val="000000" w:themeColor="text1"/>
          <w:sz w:val="20"/>
          <w:szCs w:val="20"/>
        </w:rPr>
        <w:t>The IACHR is expectant to any update on the</w:t>
      </w:r>
      <w:r w:rsidR="00E778D7" w:rsidRPr="008768A5">
        <w:rPr>
          <w:rFonts w:ascii="Cambria" w:hAnsi="Cambria" w:cs="Calibri Light"/>
          <w:color w:val="000000" w:themeColor="text1"/>
          <w:sz w:val="20"/>
          <w:szCs w:val="20"/>
        </w:rPr>
        <w:t xml:space="preserve"> treatment of Mr. Lendore case before the Advisory Committee or</w:t>
      </w:r>
      <w:r w:rsidR="00D4542B" w:rsidRPr="008768A5">
        <w:rPr>
          <w:rFonts w:ascii="Cambria" w:hAnsi="Cambria" w:cs="Calibri Light"/>
          <w:color w:val="000000" w:themeColor="text1"/>
          <w:sz w:val="20"/>
          <w:szCs w:val="20"/>
        </w:rPr>
        <w:t xml:space="preserve"> the provision of</w:t>
      </w:r>
      <w:r w:rsidR="00E778D7" w:rsidRPr="008768A5">
        <w:rPr>
          <w:rFonts w:ascii="Cambria" w:hAnsi="Cambria" w:cs="Calibri Light"/>
          <w:color w:val="000000" w:themeColor="text1"/>
          <w:sz w:val="20"/>
          <w:szCs w:val="20"/>
        </w:rPr>
        <w:t xml:space="preserve"> any other</w:t>
      </w:r>
      <w:r w:rsidR="00D4542B" w:rsidRPr="008768A5">
        <w:rPr>
          <w:rFonts w:ascii="Cambria" w:hAnsi="Cambria" w:cs="Calibri Light"/>
          <w:color w:val="000000" w:themeColor="text1"/>
          <w:sz w:val="20"/>
          <w:szCs w:val="20"/>
        </w:rPr>
        <w:t xml:space="preserve"> available remedy to </w:t>
      </w:r>
      <w:r w:rsidR="00E778D7" w:rsidRPr="008768A5">
        <w:rPr>
          <w:rFonts w:ascii="Cambria" w:hAnsi="Cambria" w:cs="Calibri Light"/>
          <w:color w:val="000000" w:themeColor="text1"/>
          <w:sz w:val="20"/>
          <w:szCs w:val="20"/>
        </w:rPr>
        <w:t>review his conviction</w:t>
      </w:r>
      <w:r w:rsidR="00D4542B" w:rsidRPr="008768A5">
        <w:rPr>
          <w:rFonts w:ascii="Cambria" w:hAnsi="Cambria" w:cs="Calibri Light"/>
          <w:color w:val="000000" w:themeColor="text1"/>
          <w:sz w:val="20"/>
          <w:szCs w:val="20"/>
        </w:rPr>
        <w:t>, in compliance with the right to a fair trial and due process of law</w:t>
      </w:r>
      <w:r w:rsidR="00E778D7" w:rsidRPr="008768A5">
        <w:rPr>
          <w:rFonts w:ascii="Cambria" w:hAnsi="Cambria" w:cs="Calibri Light"/>
          <w:color w:val="000000" w:themeColor="text1"/>
          <w:sz w:val="20"/>
          <w:szCs w:val="20"/>
        </w:rPr>
        <w:t xml:space="preserve">. </w:t>
      </w:r>
      <w:r w:rsidR="006C4711" w:rsidRPr="008768A5">
        <w:rPr>
          <w:rFonts w:ascii="Cambria" w:hAnsi="Cambria" w:cs="Calibri Light"/>
          <w:color w:val="000000" w:themeColor="text1"/>
          <w:sz w:val="20"/>
          <w:szCs w:val="20"/>
        </w:rPr>
        <w:t xml:space="preserve">Regarding the </w:t>
      </w:r>
      <w:r w:rsidR="000C40C2" w:rsidRPr="008768A5">
        <w:rPr>
          <w:rFonts w:ascii="Cambria" w:hAnsi="Cambria" w:cs="Calibri Light"/>
          <w:color w:val="000000" w:themeColor="text1"/>
          <w:sz w:val="20"/>
          <w:szCs w:val="20"/>
        </w:rPr>
        <w:t>statements</w:t>
      </w:r>
      <w:r w:rsidR="006C4711" w:rsidRPr="008768A5">
        <w:rPr>
          <w:rFonts w:ascii="Cambria" w:hAnsi="Cambria" w:cs="Calibri Light"/>
          <w:color w:val="000000" w:themeColor="text1"/>
          <w:sz w:val="20"/>
          <w:szCs w:val="20"/>
        </w:rPr>
        <w:t xml:space="preserve"> on the non-binding nature of the</w:t>
      </w:r>
      <w:r w:rsidR="002B044A" w:rsidRPr="008768A5">
        <w:rPr>
          <w:rFonts w:ascii="Cambria" w:hAnsi="Cambria" w:cs="Calibri Light"/>
          <w:color w:val="000000" w:themeColor="text1"/>
          <w:sz w:val="20"/>
          <w:szCs w:val="20"/>
        </w:rPr>
        <w:t xml:space="preserve"> IACHR</w:t>
      </w:r>
      <w:r w:rsidR="006C4711" w:rsidRPr="008768A5">
        <w:rPr>
          <w:rFonts w:ascii="Cambria" w:hAnsi="Cambria" w:cs="Calibri Light"/>
          <w:color w:val="000000" w:themeColor="text1"/>
          <w:sz w:val="20"/>
          <w:szCs w:val="20"/>
        </w:rPr>
        <w:t xml:space="preserve"> recommendations, the Commission </w:t>
      </w:r>
      <w:r w:rsidR="00C62C02" w:rsidRPr="008768A5">
        <w:rPr>
          <w:rFonts w:ascii="Cambria" w:hAnsi="Cambria" w:cs="Calibri Light"/>
          <w:color w:val="000000" w:themeColor="text1"/>
          <w:sz w:val="20"/>
          <w:szCs w:val="20"/>
        </w:rPr>
        <w:t>recalls</w:t>
      </w:r>
      <w:r w:rsidR="00307E82" w:rsidRPr="008768A5">
        <w:rPr>
          <w:color w:val="000000" w:themeColor="text1"/>
        </w:rPr>
        <w:t xml:space="preserve"> </w:t>
      </w:r>
      <w:r w:rsidR="00307E82" w:rsidRPr="008768A5">
        <w:rPr>
          <w:rFonts w:ascii="Cambria" w:hAnsi="Cambria" w:cs="Calibri Light"/>
          <w:color w:val="000000" w:themeColor="text1"/>
          <w:sz w:val="20"/>
          <w:szCs w:val="20"/>
        </w:rPr>
        <w:t xml:space="preserve">that the American Declaration is recognized as constituting a source of legal obligation for </w:t>
      </w:r>
      <w:r w:rsidR="009D2547" w:rsidRPr="008768A5">
        <w:rPr>
          <w:rFonts w:ascii="Cambria" w:hAnsi="Cambria" w:cs="Calibri Light"/>
          <w:color w:val="000000" w:themeColor="text1"/>
          <w:sz w:val="20"/>
          <w:szCs w:val="20"/>
        </w:rPr>
        <w:t xml:space="preserve">the </w:t>
      </w:r>
      <w:r w:rsidR="00307E82" w:rsidRPr="008768A5">
        <w:rPr>
          <w:rFonts w:ascii="Cambria" w:hAnsi="Cambria" w:cs="Calibri Light"/>
          <w:color w:val="000000" w:themeColor="text1"/>
          <w:sz w:val="20"/>
          <w:szCs w:val="20"/>
        </w:rPr>
        <w:t>OAS Member States, including in particular those States that are not parties to the American Convention on Human Rights.</w:t>
      </w:r>
      <w:r w:rsidR="009B7D0A" w:rsidRPr="008768A5">
        <w:rPr>
          <w:rStyle w:val="FootnoteReference"/>
          <w:rFonts w:ascii="Cambria" w:hAnsi="Cambria" w:cs="Calibri Light"/>
          <w:color w:val="000000" w:themeColor="text1"/>
          <w:sz w:val="20"/>
          <w:szCs w:val="20"/>
        </w:rPr>
        <w:footnoteReference w:id="2"/>
      </w:r>
      <w:r w:rsidR="00307E82" w:rsidRPr="008768A5">
        <w:rPr>
          <w:rFonts w:ascii="Cambria" w:hAnsi="Cambria" w:cs="Calibri Light"/>
          <w:color w:val="000000" w:themeColor="text1"/>
          <w:sz w:val="20"/>
          <w:szCs w:val="20"/>
        </w:rPr>
        <w:t xml:space="preserve"> </w:t>
      </w:r>
      <w:r w:rsidR="009B7D0A" w:rsidRPr="008768A5">
        <w:rPr>
          <w:rFonts w:ascii="Cambria" w:hAnsi="Cambria" w:cs="Calibri Light"/>
          <w:color w:val="000000" w:themeColor="text1"/>
          <w:sz w:val="20"/>
          <w:szCs w:val="20"/>
        </w:rPr>
        <w:t>Furthermore,</w:t>
      </w:r>
      <w:r w:rsidR="00307E82" w:rsidRPr="008768A5">
        <w:rPr>
          <w:rFonts w:ascii="Cambria" w:hAnsi="Cambria" w:cs="Calibri Light"/>
          <w:color w:val="000000" w:themeColor="text1"/>
          <w:sz w:val="20"/>
          <w:szCs w:val="20"/>
        </w:rPr>
        <w:t xml:space="preserve"> </w:t>
      </w:r>
      <w:r w:rsidR="009B7D0A" w:rsidRPr="008768A5">
        <w:rPr>
          <w:rFonts w:ascii="Cambria" w:hAnsi="Cambria" w:cs="Calibri Light"/>
          <w:color w:val="000000" w:themeColor="text1"/>
          <w:sz w:val="20"/>
          <w:szCs w:val="20"/>
        </w:rPr>
        <w:t>p</w:t>
      </w:r>
      <w:r w:rsidR="00307E82" w:rsidRPr="008768A5">
        <w:rPr>
          <w:rFonts w:ascii="Cambria" w:hAnsi="Cambria" w:cs="Calibri Light"/>
          <w:color w:val="000000" w:themeColor="text1"/>
          <w:sz w:val="20"/>
          <w:szCs w:val="20"/>
        </w:rPr>
        <w:t>ursuant to article 31(1) of the Vienna Convention on the Law of Treaties, Member States are required to apply good faith efforts comply with the recommendations of supervisory bodies such as the Inter-American Commission.</w:t>
      </w:r>
      <w:r w:rsidR="00C44F50" w:rsidRPr="008768A5">
        <w:rPr>
          <w:rStyle w:val="FootnoteReference"/>
          <w:rFonts w:ascii="Cambria" w:hAnsi="Cambria" w:cs="Calibri Light"/>
          <w:color w:val="000000" w:themeColor="text1"/>
          <w:sz w:val="20"/>
          <w:szCs w:val="20"/>
        </w:rPr>
        <w:footnoteReference w:id="3"/>
      </w:r>
      <w:r w:rsidR="001E0384" w:rsidRPr="008768A5">
        <w:rPr>
          <w:rFonts w:ascii="Cambria" w:hAnsi="Cambria" w:cs="Calibri Light"/>
          <w:color w:val="000000" w:themeColor="text1"/>
          <w:sz w:val="20"/>
          <w:szCs w:val="20"/>
        </w:rPr>
        <w:t xml:space="preserve"> </w:t>
      </w:r>
      <w:r w:rsidR="00D36E01" w:rsidRPr="008768A5">
        <w:rPr>
          <w:rFonts w:ascii="Cambria" w:hAnsi="Cambria" w:cs="Calibri Light"/>
          <w:color w:val="000000" w:themeColor="text1"/>
          <w:sz w:val="20"/>
          <w:szCs w:val="20"/>
        </w:rPr>
        <w:t xml:space="preserve">Based on the foregoing, the Commission considers recommendation 1 </w:t>
      </w:r>
      <w:r w:rsidR="001672BA" w:rsidRPr="008768A5">
        <w:rPr>
          <w:rFonts w:ascii="Cambria" w:hAnsi="Cambria" w:cs="Calibri Light"/>
          <w:color w:val="000000" w:themeColor="text1"/>
          <w:sz w:val="20"/>
          <w:szCs w:val="20"/>
        </w:rPr>
        <w:t>to be</w:t>
      </w:r>
      <w:r w:rsidR="00D36E01" w:rsidRPr="008768A5">
        <w:rPr>
          <w:rFonts w:ascii="Cambria" w:hAnsi="Cambria" w:cs="Calibri Light"/>
          <w:color w:val="000000" w:themeColor="text1"/>
          <w:sz w:val="20"/>
          <w:szCs w:val="20"/>
        </w:rPr>
        <w:t xml:space="preserve"> pending compliance. </w:t>
      </w:r>
      <w:r w:rsidR="00B0326D" w:rsidRPr="008768A5">
        <w:rPr>
          <w:rFonts w:ascii="Cambria" w:hAnsi="Cambria" w:cs="Calibri Light"/>
          <w:color w:val="000000" w:themeColor="text1"/>
          <w:sz w:val="20"/>
          <w:szCs w:val="20"/>
        </w:rPr>
        <w:t xml:space="preserve"> </w:t>
      </w:r>
      <w:r w:rsidR="00050D5B" w:rsidRPr="008768A5">
        <w:rPr>
          <w:rFonts w:ascii="Cambria" w:hAnsi="Cambria" w:cs="Calibri Light"/>
          <w:color w:val="000000" w:themeColor="text1"/>
          <w:sz w:val="20"/>
          <w:szCs w:val="20"/>
        </w:rPr>
        <w:t xml:space="preserve"> </w:t>
      </w:r>
    </w:p>
    <w:p w14:paraId="2AC7D5F7" w14:textId="77777777" w:rsidR="00C4409A" w:rsidRPr="008768A5" w:rsidRDefault="00C4409A" w:rsidP="00F77079">
      <w:pPr>
        <w:pStyle w:val="ListParagraph"/>
        <w:ind w:left="0" w:firstLine="709"/>
        <w:rPr>
          <w:rFonts w:ascii="Cambria" w:hAnsi="Cambria" w:cs="Calibri Light"/>
          <w:sz w:val="20"/>
          <w:szCs w:val="20"/>
        </w:rPr>
      </w:pPr>
    </w:p>
    <w:p w14:paraId="7C47BA17" w14:textId="5A434206" w:rsidR="00F77079" w:rsidRPr="008768A5" w:rsidRDefault="00C4409A" w:rsidP="007A375C">
      <w:pPr>
        <w:pStyle w:val="ListParagraph"/>
        <w:numPr>
          <w:ilvl w:val="0"/>
          <w:numId w:val="28"/>
        </w:numPr>
        <w:shd w:val="clear" w:color="auto" w:fill="FFFFFF"/>
        <w:spacing w:after="0" w:line="240" w:lineRule="auto"/>
        <w:ind w:left="0" w:firstLine="709"/>
        <w:jc w:val="both"/>
        <w:rPr>
          <w:rFonts w:ascii="Cambria" w:hAnsi="Cambria" w:cs="Calibri Light"/>
          <w:sz w:val="20"/>
          <w:szCs w:val="20"/>
        </w:rPr>
      </w:pPr>
      <w:r w:rsidRPr="008768A5">
        <w:rPr>
          <w:rFonts w:ascii="Cambria" w:hAnsi="Cambria" w:cs="Calibri Light"/>
          <w:b/>
          <w:sz w:val="20"/>
          <w:szCs w:val="20"/>
        </w:rPr>
        <w:t>Regarding the second and third recommendation</w:t>
      </w:r>
      <w:r w:rsidRPr="008768A5">
        <w:rPr>
          <w:rFonts w:ascii="Cambria" w:hAnsi="Cambria" w:cs="Calibri Light"/>
          <w:sz w:val="20"/>
          <w:szCs w:val="20"/>
        </w:rPr>
        <w:t xml:space="preserve">, </w:t>
      </w:r>
      <w:r w:rsidR="007C6748" w:rsidRPr="008768A5">
        <w:rPr>
          <w:rFonts w:ascii="Cambria" w:hAnsi="Cambria" w:cs="Calibri Light"/>
          <w:sz w:val="20"/>
          <w:szCs w:val="20"/>
        </w:rPr>
        <w:t xml:space="preserve">the State reported that there are provisions of the law aimed at </w:t>
      </w:r>
      <w:r w:rsidR="00EE7C34" w:rsidRPr="008768A5">
        <w:rPr>
          <w:rFonts w:ascii="Cambria" w:hAnsi="Cambria" w:cs="Calibri Light"/>
          <w:sz w:val="20"/>
          <w:szCs w:val="20"/>
        </w:rPr>
        <w:t>bringing the legislation of Trinidad and Tobago</w:t>
      </w:r>
      <w:r w:rsidR="00033941" w:rsidRPr="008768A5">
        <w:rPr>
          <w:rFonts w:ascii="Cambria" w:hAnsi="Cambria" w:cs="Calibri Light"/>
          <w:sz w:val="20"/>
          <w:szCs w:val="20"/>
        </w:rPr>
        <w:t xml:space="preserve"> into line with international standards.</w:t>
      </w:r>
      <w:r w:rsidR="002C4F0C" w:rsidRPr="008768A5">
        <w:rPr>
          <w:rFonts w:ascii="Cambria" w:hAnsi="Cambria" w:cs="Calibri Light"/>
          <w:sz w:val="20"/>
          <w:szCs w:val="20"/>
        </w:rPr>
        <w:t xml:space="preserve"> </w:t>
      </w:r>
      <w:r w:rsidR="00243179" w:rsidRPr="008768A5">
        <w:rPr>
          <w:rFonts w:ascii="Cambria" w:hAnsi="Cambria" w:cs="Calibri Light"/>
          <w:color w:val="000000" w:themeColor="text1"/>
          <w:sz w:val="20"/>
          <w:szCs w:val="20"/>
        </w:rPr>
        <w:t>Contrary to its earlier position</w:t>
      </w:r>
      <w:r w:rsidR="002C4F0C" w:rsidRPr="008768A5">
        <w:rPr>
          <w:rFonts w:ascii="Cambria" w:hAnsi="Cambria" w:cs="Calibri Light"/>
          <w:color w:val="000000" w:themeColor="text1"/>
          <w:sz w:val="20"/>
          <w:szCs w:val="20"/>
        </w:rPr>
        <w:t>, the</w:t>
      </w:r>
      <w:r w:rsidR="007A375C" w:rsidRPr="008768A5">
        <w:rPr>
          <w:rFonts w:ascii="Cambria" w:hAnsi="Cambria" w:cs="Calibri Light"/>
          <w:color w:val="000000" w:themeColor="text1"/>
          <w:sz w:val="20"/>
          <w:szCs w:val="20"/>
        </w:rPr>
        <w:t xml:space="preserve"> State informed in 2020 that </w:t>
      </w:r>
      <w:r w:rsidR="002C4F0C" w:rsidRPr="008768A5">
        <w:rPr>
          <w:rFonts w:ascii="Cambria" w:hAnsi="Cambria" w:cs="Calibri Light"/>
          <w:color w:val="000000" w:themeColor="text1"/>
          <w:sz w:val="20"/>
          <w:szCs w:val="20"/>
        </w:rPr>
        <w:t xml:space="preserve">there were no legislative provisions to bring the </w:t>
      </w:r>
      <w:r w:rsidR="009D1C27" w:rsidRPr="008768A5">
        <w:rPr>
          <w:rFonts w:ascii="Cambria" w:hAnsi="Cambria" w:cs="Calibri Light"/>
          <w:color w:val="000000" w:themeColor="text1"/>
          <w:sz w:val="20"/>
          <w:szCs w:val="20"/>
        </w:rPr>
        <w:t xml:space="preserve">State’s </w:t>
      </w:r>
      <w:r w:rsidR="00160674" w:rsidRPr="008768A5">
        <w:rPr>
          <w:rFonts w:ascii="Cambria" w:hAnsi="Cambria" w:cs="Calibri Light"/>
          <w:color w:val="000000" w:themeColor="text1"/>
          <w:sz w:val="20"/>
          <w:szCs w:val="20"/>
        </w:rPr>
        <w:t xml:space="preserve">standards of </w:t>
      </w:r>
      <w:r w:rsidR="005E2AE9" w:rsidRPr="008768A5">
        <w:rPr>
          <w:rFonts w:ascii="Cambria" w:hAnsi="Cambria" w:cs="Calibri Light"/>
          <w:color w:val="000000" w:themeColor="text1"/>
          <w:sz w:val="20"/>
          <w:szCs w:val="20"/>
        </w:rPr>
        <w:t>imprisonment</w:t>
      </w:r>
      <w:r w:rsidR="00875308" w:rsidRPr="008768A5">
        <w:rPr>
          <w:rFonts w:ascii="Cambria" w:hAnsi="Cambria" w:cs="Calibri Light"/>
          <w:color w:val="000000" w:themeColor="text1"/>
          <w:sz w:val="20"/>
          <w:szCs w:val="20"/>
        </w:rPr>
        <w:t xml:space="preserve"> </w:t>
      </w:r>
      <w:r w:rsidR="002C4F0C" w:rsidRPr="008768A5">
        <w:rPr>
          <w:rFonts w:ascii="Cambria" w:hAnsi="Cambria" w:cs="Calibri Light"/>
          <w:color w:val="000000" w:themeColor="text1"/>
          <w:sz w:val="20"/>
          <w:szCs w:val="20"/>
        </w:rPr>
        <w:t>into line with international standards.</w:t>
      </w:r>
      <w:r w:rsidR="00033941" w:rsidRPr="008768A5">
        <w:rPr>
          <w:rFonts w:ascii="Cambria" w:hAnsi="Cambria" w:cs="Calibri Light"/>
          <w:sz w:val="20"/>
          <w:szCs w:val="20"/>
        </w:rPr>
        <w:t xml:space="preserve"> </w:t>
      </w:r>
      <w:r w:rsidR="0076353F" w:rsidRPr="008768A5">
        <w:rPr>
          <w:rFonts w:ascii="Cambria" w:hAnsi="Cambria" w:cs="Calibri Light"/>
          <w:sz w:val="20"/>
          <w:szCs w:val="20"/>
        </w:rPr>
        <w:t xml:space="preserve">It further noted that </w:t>
      </w:r>
      <w:r w:rsidR="003B1B46" w:rsidRPr="008768A5">
        <w:rPr>
          <w:rFonts w:ascii="Cambria" w:hAnsi="Cambria" w:cs="Calibri Light"/>
          <w:sz w:val="20"/>
          <w:szCs w:val="20"/>
        </w:rPr>
        <w:t>there are domestic remedies available that provide for constitutional review</w:t>
      </w:r>
      <w:r w:rsidR="008D506B" w:rsidRPr="008768A5">
        <w:rPr>
          <w:rFonts w:ascii="Cambria" w:hAnsi="Cambria" w:cs="Calibri Light"/>
          <w:sz w:val="20"/>
          <w:szCs w:val="20"/>
        </w:rPr>
        <w:t xml:space="preserve"> and </w:t>
      </w:r>
      <w:r w:rsidR="0016023E" w:rsidRPr="008768A5">
        <w:rPr>
          <w:rFonts w:ascii="Cambria" w:hAnsi="Cambria" w:cs="Calibri Light"/>
          <w:sz w:val="20"/>
          <w:szCs w:val="20"/>
        </w:rPr>
        <w:t xml:space="preserve">that Mr. Lendore had exercised </w:t>
      </w:r>
      <w:r w:rsidR="00C73962" w:rsidRPr="008768A5">
        <w:rPr>
          <w:rFonts w:ascii="Cambria" w:hAnsi="Cambria" w:cs="Calibri Light"/>
          <w:sz w:val="20"/>
          <w:szCs w:val="20"/>
        </w:rPr>
        <w:t>said right to appeal in 2017 before the Privy Council</w:t>
      </w:r>
      <w:r w:rsidR="002D347F" w:rsidRPr="008768A5">
        <w:rPr>
          <w:rFonts w:ascii="Cambria" w:hAnsi="Cambria" w:cs="Calibri Light"/>
          <w:sz w:val="20"/>
          <w:szCs w:val="20"/>
        </w:rPr>
        <w:t xml:space="preserve"> </w:t>
      </w:r>
      <w:r w:rsidR="002D347F" w:rsidRPr="008768A5">
        <w:rPr>
          <w:rFonts w:ascii="Cambria" w:hAnsi="Cambria" w:cs="Calibri Light"/>
          <w:color w:val="000000" w:themeColor="text1"/>
          <w:sz w:val="20"/>
          <w:szCs w:val="20"/>
        </w:rPr>
        <w:t xml:space="preserve">and </w:t>
      </w:r>
      <w:r w:rsidR="00B978D6" w:rsidRPr="008768A5">
        <w:rPr>
          <w:rFonts w:ascii="Cambria" w:hAnsi="Cambria" w:cs="Calibri Light"/>
          <w:color w:val="000000" w:themeColor="text1"/>
          <w:sz w:val="20"/>
          <w:szCs w:val="20"/>
        </w:rPr>
        <w:t>“</w:t>
      </w:r>
      <w:r w:rsidR="002D347F" w:rsidRPr="008768A5">
        <w:rPr>
          <w:rFonts w:ascii="Cambria" w:hAnsi="Cambria" w:cs="Calibri Light"/>
          <w:color w:val="000000" w:themeColor="text1"/>
          <w:sz w:val="20"/>
          <w:szCs w:val="20"/>
        </w:rPr>
        <w:t>failed</w:t>
      </w:r>
      <w:r w:rsidR="00B978D6" w:rsidRPr="008768A5">
        <w:rPr>
          <w:rFonts w:ascii="Cambria" w:hAnsi="Cambria" w:cs="Calibri Light"/>
          <w:color w:val="000000" w:themeColor="text1"/>
          <w:sz w:val="20"/>
          <w:szCs w:val="20"/>
        </w:rPr>
        <w:t>”</w:t>
      </w:r>
      <w:r w:rsidR="00C73962" w:rsidRPr="008768A5">
        <w:rPr>
          <w:rFonts w:ascii="Cambria" w:hAnsi="Cambria" w:cs="Calibri Light"/>
          <w:color w:val="000000" w:themeColor="text1"/>
          <w:sz w:val="20"/>
          <w:szCs w:val="20"/>
        </w:rPr>
        <w:t xml:space="preserve">. </w:t>
      </w:r>
      <w:r w:rsidR="003B1B46" w:rsidRPr="008768A5">
        <w:rPr>
          <w:rFonts w:ascii="Cambria" w:hAnsi="Cambria" w:cs="Calibri Light"/>
          <w:color w:val="000000" w:themeColor="text1"/>
          <w:sz w:val="20"/>
          <w:szCs w:val="20"/>
        </w:rPr>
        <w:t xml:space="preserve"> </w:t>
      </w:r>
    </w:p>
    <w:p w14:paraId="2E96C37B" w14:textId="77777777" w:rsidR="00046CE3" w:rsidRPr="008768A5" w:rsidRDefault="00046CE3" w:rsidP="00046CE3">
      <w:pPr>
        <w:pStyle w:val="ListParagraph"/>
        <w:rPr>
          <w:rFonts w:ascii="Cambria" w:hAnsi="Cambria" w:cs="Calibri Light"/>
          <w:sz w:val="20"/>
          <w:szCs w:val="20"/>
        </w:rPr>
      </w:pPr>
    </w:p>
    <w:p w14:paraId="66BB0C0C" w14:textId="1A65DCAD" w:rsidR="00F77079" w:rsidRPr="008768A5" w:rsidRDefault="007801DB" w:rsidP="00F77079">
      <w:pPr>
        <w:pStyle w:val="ListParagraph"/>
        <w:numPr>
          <w:ilvl w:val="0"/>
          <w:numId w:val="28"/>
        </w:numPr>
        <w:shd w:val="clear" w:color="auto" w:fill="FFFFFF"/>
        <w:spacing w:after="0" w:line="240" w:lineRule="auto"/>
        <w:ind w:left="0" w:firstLine="709"/>
        <w:jc w:val="both"/>
        <w:rPr>
          <w:rFonts w:ascii="Cambria" w:hAnsi="Cambria" w:cs="Calibri Light"/>
          <w:color w:val="000000" w:themeColor="text1"/>
          <w:sz w:val="20"/>
          <w:szCs w:val="20"/>
        </w:rPr>
      </w:pPr>
      <w:r w:rsidRPr="008768A5">
        <w:rPr>
          <w:rFonts w:ascii="Cambria" w:hAnsi="Cambria" w:cs="Calibri Light"/>
          <w:color w:val="000000" w:themeColor="text1"/>
          <w:sz w:val="20"/>
          <w:szCs w:val="20"/>
        </w:rPr>
        <w:t>In</w:t>
      </w:r>
      <w:r w:rsidR="00046CE3" w:rsidRPr="008768A5">
        <w:rPr>
          <w:rFonts w:ascii="Cambria" w:hAnsi="Cambria" w:cs="Calibri Light"/>
          <w:color w:val="000000" w:themeColor="text1"/>
          <w:sz w:val="20"/>
          <w:szCs w:val="20"/>
        </w:rPr>
        <w:t xml:space="preserve"> </w:t>
      </w:r>
      <w:r w:rsidR="000A36D7" w:rsidRPr="008768A5">
        <w:rPr>
          <w:rFonts w:ascii="Cambria" w:hAnsi="Cambria" w:cs="Calibri Light"/>
          <w:color w:val="000000" w:themeColor="text1"/>
          <w:sz w:val="20"/>
          <w:szCs w:val="20"/>
        </w:rPr>
        <w:t>2020</w:t>
      </w:r>
      <w:r w:rsidR="00046CE3" w:rsidRPr="008768A5">
        <w:rPr>
          <w:rFonts w:ascii="Cambria" w:hAnsi="Cambria" w:cs="Calibri Light"/>
          <w:color w:val="000000" w:themeColor="text1"/>
          <w:sz w:val="20"/>
          <w:szCs w:val="20"/>
        </w:rPr>
        <w:t xml:space="preserve">, the petitioners did not provide information on compliance with this recommendation. </w:t>
      </w:r>
    </w:p>
    <w:p w14:paraId="30CA26C4" w14:textId="77777777" w:rsidR="00F77079" w:rsidRPr="008768A5" w:rsidRDefault="00F77079" w:rsidP="00F77079">
      <w:pPr>
        <w:pStyle w:val="ListParagraph"/>
        <w:ind w:left="0" w:firstLine="709"/>
        <w:rPr>
          <w:rFonts w:ascii="Cambria" w:hAnsi="Cambria" w:cs="Calibri Light"/>
          <w:sz w:val="20"/>
          <w:szCs w:val="20"/>
        </w:rPr>
      </w:pPr>
    </w:p>
    <w:p w14:paraId="563DF116" w14:textId="3FCDCD59" w:rsidR="00F77079" w:rsidRPr="008768A5" w:rsidRDefault="00996403" w:rsidP="001E0761">
      <w:pPr>
        <w:pStyle w:val="ListParagraph"/>
        <w:numPr>
          <w:ilvl w:val="0"/>
          <w:numId w:val="28"/>
        </w:numPr>
        <w:shd w:val="clear" w:color="auto" w:fill="FFFFFF"/>
        <w:spacing w:after="0" w:line="240" w:lineRule="auto"/>
        <w:ind w:left="0" w:firstLine="709"/>
        <w:jc w:val="both"/>
        <w:rPr>
          <w:rFonts w:ascii="Cambria" w:hAnsi="Cambria" w:cs="Calibri Light"/>
          <w:color w:val="000000" w:themeColor="text1"/>
          <w:sz w:val="20"/>
          <w:szCs w:val="20"/>
        </w:rPr>
      </w:pPr>
      <w:r w:rsidRPr="008768A5">
        <w:rPr>
          <w:rFonts w:ascii="Cambria" w:hAnsi="Cambria" w:cs="Calibri Light"/>
          <w:color w:val="000000" w:themeColor="text1"/>
          <w:sz w:val="20"/>
          <w:szCs w:val="20"/>
        </w:rPr>
        <w:t xml:space="preserve">The Commission </w:t>
      </w:r>
      <w:r w:rsidR="00D42547" w:rsidRPr="008768A5">
        <w:rPr>
          <w:rFonts w:ascii="Cambria" w:hAnsi="Cambria" w:cs="Calibri Light"/>
          <w:color w:val="000000" w:themeColor="text1"/>
          <w:sz w:val="20"/>
          <w:szCs w:val="20"/>
        </w:rPr>
        <w:t xml:space="preserve">welcomes the information provided by the State with respect to the current status of the case, as well as the measures adopted </w:t>
      </w:r>
      <w:r w:rsidR="008B6A30" w:rsidRPr="008768A5">
        <w:rPr>
          <w:rFonts w:ascii="Cambria" w:hAnsi="Cambria" w:cs="Calibri Light"/>
          <w:color w:val="000000" w:themeColor="text1"/>
          <w:sz w:val="20"/>
          <w:szCs w:val="20"/>
        </w:rPr>
        <w:t xml:space="preserve">by it </w:t>
      </w:r>
      <w:r w:rsidR="00D42547" w:rsidRPr="008768A5">
        <w:rPr>
          <w:rFonts w:ascii="Cambria" w:hAnsi="Cambria" w:cs="Calibri Light"/>
          <w:color w:val="000000" w:themeColor="text1"/>
          <w:sz w:val="20"/>
          <w:szCs w:val="20"/>
        </w:rPr>
        <w:t xml:space="preserve">to ensure </w:t>
      </w:r>
      <w:r w:rsidR="00865C81" w:rsidRPr="008768A5">
        <w:rPr>
          <w:rFonts w:ascii="Cambria" w:hAnsi="Cambria" w:cs="Calibri Light"/>
          <w:color w:val="000000" w:themeColor="text1"/>
          <w:sz w:val="20"/>
          <w:szCs w:val="20"/>
        </w:rPr>
        <w:t xml:space="preserve">compliance </w:t>
      </w:r>
      <w:r w:rsidR="001E0761" w:rsidRPr="008768A5">
        <w:rPr>
          <w:rFonts w:ascii="Cambria" w:hAnsi="Cambria" w:cs="Calibri Light"/>
          <w:color w:val="000000" w:themeColor="text1"/>
          <w:sz w:val="20"/>
          <w:szCs w:val="20"/>
        </w:rPr>
        <w:t>with the Merits Report 28/09</w:t>
      </w:r>
      <w:r w:rsidR="00865C81" w:rsidRPr="008768A5">
        <w:rPr>
          <w:rFonts w:ascii="Cambria" w:hAnsi="Cambria" w:cs="Calibri Light"/>
          <w:color w:val="000000" w:themeColor="text1"/>
          <w:sz w:val="20"/>
          <w:szCs w:val="20"/>
        </w:rPr>
        <w:t xml:space="preserve">. </w:t>
      </w:r>
      <w:r w:rsidR="00521E82" w:rsidRPr="008768A5">
        <w:rPr>
          <w:rFonts w:ascii="Cambria" w:hAnsi="Cambria" w:cs="Calibri Light"/>
          <w:color w:val="000000" w:themeColor="text1"/>
          <w:sz w:val="20"/>
          <w:szCs w:val="20"/>
        </w:rPr>
        <w:t xml:space="preserve">However, it </w:t>
      </w:r>
      <w:r w:rsidR="001E0761" w:rsidRPr="008768A5">
        <w:rPr>
          <w:rFonts w:ascii="Cambria" w:hAnsi="Cambria" w:cs="Calibri Light"/>
          <w:color w:val="000000" w:themeColor="text1"/>
          <w:sz w:val="20"/>
          <w:szCs w:val="20"/>
        </w:rPr>
        <w:t xml:space="preserve">notes with concern </w:t>
      </w:r>
      <w:r w:rsidR="008E2D85" w:rsidRPr="008768A5">
        <w:rPr>
          <w:rFonts w:ascii="Cambria" w:hAnsi="Cambria" w:cs="Calibri Light"/>
          <w:color w:val="000000" w:themeColor="text1"/>
          <w:sz w:val="20"/>
          <w:szCs w:val="20"/>
        </w:rPr>
        <w:t>a setback in the position of the State regarding</w:t>
      </w:r>
      <w:r w:rsidR="001E0761" w:rsidRPr="008768A5">
        <w:rPr>
          <w:rFonts w:ascii="Cambria" w:hAnsi="Cambria" w:cs="Calibri Light"/>
          <w:color w:val="000000" w:themeColor="text1"/>
          <w:sz w:val="20"/>
          <w:szCs w:val="20"/>
        </w:rPr>
        <w:t xml:space="preserve"> the adoption of measures to bring in line </w:t>
      </w:r>
      <w:r w:rsidR="00EE223E" w:rsidRPr="008768A5">
        <w:rPr>
          <w:rFonts w:ascii="Cambria" w:hAnsi="Cambria" w:cs="Calibri Light"/>
          <w:color w:val="000000" w:themeColor="text1"/>
          <w:sz w:val="20"/>
          <w:szCs w:val="20"/>
        </w:rPr>
        <w:t xml:space="preserve">domestic law with the obligations undertaken by the State in the sphere of international law. </w:t>
      </w:r>
      <w:r w:rsidR="00D9428C" w:rsidRPr="008768A5">
        <w:rPr>
          <w:rFonts w:ascii="Cambria" w:hAnsi="Cambria" w:cs="Calibri Light"/>
          <w:color w:val="000000" w:themeColor="text1"/>
          <w:sz w:val="20"/>
          <w:szCs w:val="20"/>
        </w:rPr>
        <w:t>In this regard</w:t>
      </w:r>
      <w:r w:rsidR="00CB1340" w:rsidRPr="008768A5">
        <w:rPr>
          <w:rFonts w:ascii="Cambria" w:hAnsi="Cambria" w:cs="Calibri Light"/>
          <w:color w:val="000000" w:themeColor="text1"/>
          <w:sz w:val="20"/>
          <w:szCs w:val="20"/>
        </w:rPr>
        <w:t xml:space="preserve">, </w:t>
      </w:r>
      <w:r w:rsidR="009B3FAE" w:rsidRPr="008768A5">
        <w:rPr>
          <w:rFonts w:ascii="Cambria" w:hAnsi="Cambria" w:cs="Calibri Light"/>
          <w:color w:val="000000" w:themeColor="text1"/>
          <w:sz w:val="20"/>
          <w:szCs w:val="20"/>
        </w:rPr>
        <w:t xml:space="preserve">the IACHR urges the parties to provide </w:t>
      </w:r>
      <w:r w:rsidR="00B538A7" w:rsidRPr="008768A5">
        <w:rPr>
          <w:rFonts w:ascii="Cambria" w:hAnsi="Cambria" w:cs="Calibri Light"/>
          <w:color w:val="000000" w:themeColor="text1"/>
          <w:sz w:val="20"/>
          <w:szCs w:val="20"/>
        </w:rPr>
        <w:t>comprehensive</w:t>
      </w:r>
      <w:r w:rsidR="009B3FAE" w:rsidRPr="008768A5">
        <w:rPr>
          <w:rFonts w:ascii="Cambria" w:hAnsi="Cambria" w:cs="Calibri Light"/>
          <w:color w:val="000000" w:themeColor="text1"/>
          <w:sz w:val="20"/>
          <w:szCs w:val="20"/>
        </w:rPr>
        <w:t xml:space="preserve"> and up-to-date inform</w:t>
      </w:r>
      <w:r w:rsidR="00E45040" w:rsidRPr="008768A5">
        <w:rPr>
          <w:rFonts w:ascii="Cambria" w:hAnsi="Cambria" w:cs="Calibri Light"/>
          <w:color w:val="000000" w:themeColor="text1"/>
          <w:sz w:val="20"/>
          <w:szCs w:val="20"/>
        </w:rPr>
        <w:t>ation on</w:t>
      </w:r>
      <w:r w:rsidR="009B3FAE" w:rsidRPr="008768A5">
        <w:rPr>
          <w:rFonts w:ascii="Cambria" w:hAnsi="Cambria" w:cs="Calibri Light"/>
          <w:color w:val="000000" w:themeColor="text1"/>
          <w:sz w:val="20"/>
          <w:szCs w:val="20"/>
        </w:rPr>
        <w:t xml:space="preserve"> existing </w:t>
      </w:r>
      <w:r w:rsidR="00206950" w:rsidRPr="008768A5">
        <w:rPr>
          <w:rFonts w:ascii="Cambria" w:hAnsi="Cambria" w:cs="Calibri Light"/>
          <w:color w:val="000000" w:themeColor="text1"/>
          <w:sz w:val="20"/>
          <w:szCs w:val="20"/>
        </w:rPr>
        <w:t>laws</w:t>
      </w:r>
      <w:r w:rsidR="00E45040" w:rsidRPr="008768A5">
        <w:rPr>
          <w:rFonts w:ascii="Cambria" w:hAnsi="Cambria" w:cs="Calibri Light"/>
          <w:color w:val="000000" w:themeColor="text1"/>
          <w:sz w:val="20"/>
          <w:szCs w:val="20"/>
        </w:rPr>
        <w:t xml:space="preserve"> or policies</w:t>
      </w:r>
      <w:r w:rsidR="009B3FAE" w:rsidRPr="008768A5">
        <w:rPr>
          <w:rFonts w:ascii="Cambria" w:hAnsi="Cambria" w:cs="Calibri Light"/>
          <w:color w:val="000000" w:themeColor="text1"/>
          <w:sz w:val="20"/>
          <w:szCs w:val="20"/>
        </w:rPr>
        <w:t xml:space="preserve">, the content thereof, as well as any other </w:t>
      </w:r>
      <w:r w:rsidR="00E45040" w:rsidRPr="008768A5">
        <w:rPr>
          <w:rFonts w:ascii="Cambria" w:hAnsi="Cambria" w:cs="Calibri Light"/>
          <w:color w:val="000000" w:themeColor="text1"/>
          <w:sz w:val="20"/>
          <w:szCs w:val="20"/>
        </w:rPr>
        <w:t>regulatory initiative to bring the standards of imprisonment of the State in line with international standards</w:t>
      </w:r>
      <w:r w:rsidR="00826303" w:rsidRPr="008768A5">
        <w:rPr>
          <w:rFonts w:ascii="Cambria" w:hAnsi="Cambria" w:cs="Calibri Light"/>
          <w:color w:val="000000" w:themeColor="text1"/>
          <w:sz w:val="20"/>
          <w:szCs w:val="20"/>
        </w:rPr>
        <w:t xml:space="preserve">. Based on the foregoing, the IACHR considers this recommendation </w:t>
      </w:r>
      <w:r w:rsidR="00051122" w:rsidRPr="008768A5">
        <w:rPr>
          <w:rFonts w:ascii="Cambria" w:hAnsi="Cambria" w:cs="Calibri Light"/>
          <w:color w:val="000000" w:themeColor="text1"/>
          <w:sz w:val="20"/>
          <w:szCs w:val="20"/>
        </w:rPr>
        <w:t>to be</w:t>
      </w:r>
      <w:r w:rsidR="00AD41E6" w:rsidRPr="008768A5">
        <w:rPr>
          <w:rFonts w:ascii="Cambria" w:hAnsi="Cambria" w:cs="Calibri Light"/>
          <w:color w:val="000000" w:themeColor="text1"/>
          <w:sz w:val="20"/>
          <w:szCs w:val="20"/>
        </w:rPr>
        <w:t xml:space="preserve"> pending </w:t>
      </w:r>
      <w:r w:rsidR="003A621E" w:rsidRPr="008768A5">
        <w:rPr>
          <w:rFonts w:ascii="Cambria" w:hAnsi="Cambria" w:cs="Calibri Light"/>
          <w:color w:val="000000" w:themeColor="text1"/>
          <w:sz w:val="20"/>
          <w:szCs w:val="20"/>
        </w:rPr>
        <w:t>compliance</w:t>
      </w:r>
      <w:r w:rsidR="00F77079" w:rsidRPr="008768A5">
        <w:rPr>
          <w:rFonts w:ascii="Cambria" w:hAnsi="Cambria" w:cs="Calibri Light"/>
          <w:color w:val="000000" w:themeColor="text1"/>
          <w:sz w:val="20"/>
          <w:szCs w:val="20"/>
        </w:rPr>
        <w:t xml:space="preserve">. </w:t>
      </w:r>
    </w:p>
    <w:p w14:paraId="3E531D4C" w14:textId="44F9E83E" w:rsidR="0071717C" w:rsidRPr="008768A5" w:rsidRDefault="0071717C" w:rsidP="00F77079">
      <w:pPr>
        <w:shd w:val="clear" w:color="auto" w:fill="FFFFFF" w:themeFill="background1"/>
        <w:spacing w:after="0" w:line="240" w:lineRule="auto"/>
        <w:jc w:val="both"/>
        <w:rPr>
          <w:rFonts w:ascii="Cambria" w:hAnsi="Cambria"/>
          <w:sz w:val="20"/>
          <w:szCs w:val="20"/>
        </w:rPr>
      </w:pPr>
    </w:p>
    <w:p w14:paraId="1597B07F" w14:textId="195976B6" w:rsidR="0071717C" w:rsidRPr="008768A5" w:rsidRDefault="00564144" w:rsidP="00564144">
      <w:pPr>
        <w:pStyle w:val="ListParagraph"/>
        <w:numPr>
          <w:ilvl w:val="0"/>
          <w:numId w:val="6"/>
        </w:numPr>
        <w:spacing w:after="0" w:line="240" w:lineRule="auto"/>
        <w:ind w:left="1440"/>
        <w:jc w:val="both"/>
        <w:rPr>
          <w:rFonts w:ascii="Cambria" w:hAnsi="Cambria" w:cs="Calibri Light"/>
          <w:b/>
          <w:sz w:val="20"/>
          <w:szCs w:val="20"/>
        </w:rPr>
      </w:pPr>
      <w:r w:rsidRPr="008768A5">
        <w:rPr>
          <w:rFonts w:ascii="Cambria" w:hAnsi="Cambria" w:cs="Calibri Light"/>
          <w:b/>
          <w:sz w:val="20"/>
          <w:szCs w:val="20"/>
        </w:rPr>
        <w:t>Level</w:t>
      </w:r>
      <w:r w:rsidR="0071717C" w:rsidRPr="008768A5">
        <w:rPr>
          <w:rFonts w:ascii="Cambria" w:hAnsi="Cambria" w:cs="Calibri Light"/>
          <w:b/>
          <w:sz w:val="20"/>
          <w:szCs w:val="20"/>
        </w:rPr>
        <w:t xml:space="preserve"> of compliance of the case  </w:t>
      </w:r>
    </w:p>
    <w:p w14:paraId="775AC157" w14:textId="77777777" w:rsidR="0071717C" w:rsidRPr="008768A5" w:rsidRDefault="0071717C" w:rsidP="0071717C">
      <w:pPr>
        <w:spacing w:after="0" w:line="240" w:lineRule="auto"/>
        <w:jc w:val="both"/>
        <w:rPr>
          <w:rFonts w:ascii="Cambria" w:hAnsi="Cambria" w:cs="Calibri Light"/>
          <w:sz w:val="20"/>
          <w:szCs w:val="20"/>
        </w:rPr>
      </w:pPr>
    </w:p>
    <w:p w14:paraId="19C75AD0" w14:textId="77777777" w:rsidR="002968FB" w:rsidRPr="008768A5" w:rsidRDefault="00385239" w:rsidP="00F77079">
      <w:pPr>
        <w:pStyle w:val="ListParagraph"/>
        <w:numPr>
          <w:ilvl w:val="0"/>
          <w:numId w:val="28"/>
        </w:numPr>
        <w:shd w:val="clear" w:color="auto" w:fill="FFFFFF" w:themeFill="background1"/>
        <w:spacing w:after="0" w:line="240" w:lineRule="auto"/>
        <w:ind w:left="0" w:firstLine="709"/>
        <w:jc w:val="both"/>
        <w:rPr>
          <w:rFonts w:ascii="Cambria" w:hAnsi="Cambria" w:cs="Calibri Light"/>
          <w:sz w:val="20"/>
          <w:szCs w:val="20"/>
        </w:rPr>
      </w:pPr>
      <w:r w:rsidRPr="008768A5">
        <w:rPr>
          <w:rFonts w:ascii="Cambria" w:hAnsi="Cambria" w:cs="Calibri Light"/>
          <w:sz w:val="20"/>
          <w:szCs w:val="20"/>
        </w:rPr>
        <w:t xml:space="preserve">Based on the foregoing, the IACHR concludes that the level of compliance of the case is </w:t>
      </w:r>
      <w:r w:rsidR="00564144" w:rsidRPr="008768A5">
        <w:rPr>
          <w:rFonts w:ascii="Cambria" w:hAnsi="Cambria" w:cs="Calibri Light"/>
          <w:sz w:val="20"/>
          <w:szCs w:val="20"/>
        </w:rPr>
        <w:t>pending</w:t>
      </w:r>
      <w:r w:rsidRPr="008768A5">
        <w:rPr>
          <w:rFonts w:ascii="Cambria" w:hAnsi="Cambria" w:cs="Calibri Light"/>
          <w:sz w:val="20"/>
          <w:szCs w:val="20"/>
        </w:rPr>
        <w:t>. Consequently, the Commission will continue t</w:t>
      </w:r>
      <w:r w:rsidR="00E06EC0" w:rsidRPr="008768A5">
        <w:rPr>
          <w:rFonts w:ascii="Cambria" w:hAnsi="Cambria" w:cs="Calibri Light"/>
          <w:sz w:val="20"/>
          <w:szCs w:val="20"/>
        </w:rPr>
        <w:t xml:space="preserve">o monitor Recommendations 1, </w:t>
      </w:r>
      <w:r w:rsidRPr="008768A5">
        <w:rPr>
          <w:rFonts w:ascii="Cambria" w:hAnsi="Cambria" w:cs="Calibri Light"/>
          <w:sz w:val="20"/>
          <w:szCs w:val="20"/>
        </w:rPr>
        <w:t>2</w:t>
      </w:r>
      <w:r w:rsidR="00E06EC0" w:rsidRPr="008768A5">
        <w:rPr>
          <w:rFonts w:ascii="Cambria" w:hAnsi="Cambria" w:cs="Calibri Light"/>
          <w:sz w:val="20"/>
          <w:szCs w:val="20"/>
        </w:rPr>
        <w:t xml:space="preserve"> and 3</w:t>
      </w:r>
      <w:r w:rsidRPr="008768A5">
        <w:rPr>
          <w:rFonts w:ascii="Cambria" w:hAnsi="Cambria" w:cs="Calibri Light"/>
          <w:sz w:val="20"/>
          <w:szCs w:val="20"/>
        </w:rPr>
        <w:t>.</w:t>
      </w:r>
    </w:p>
    <w:p w14:paraId="12852AF7" w14:textId="77777777" w:rsidR="002968FB" w:rsidRPr="008768A5" w:rsidRDefault="002968FB" w:rsidP="002968FB">
      <w:pPr>
        <w:pStyle w:val="ListParagraph"/>
        <w:shd w:val="clear" w:color="auto" w:fill="FFFFFF" w:themeFill="background1"/>
        <w:spacing w:after="0" w:line="240" w:lineRule="auto"/>
        <w:ind w:left="709"/>
        <w:jc w:val="both"/>
        <w:rPr>
          <w:rFonts w:ascii="Cambria" w:hAnsi="Cambria" w:cs="Calibri Light"/>
          <w:sz w:val="20"/>
          <w:szCs w:val="20"/>
        </w:rPr>
      </w:pPr>
    </w:p>
    <w:p w14:paraId="5D7EAC1C" w14:textId="7728647B" w:rsidR="00530811" w:rsidRPr="008768A5" w:rsidRDefault="00530811" w:rsidP="00F77079">
      <w:pPr>
        <w:pStyle w:val="ListParagraph"/>
        <w:numPr>
          <w:ilvl w:val="0"/>
          <w:numId w:val="28"/>
        </w:numPr>
        <w:shd w:val="clear" w:color="auto" w:fill="FFFFFF" w:themeFill="background1"/>
        <w:spacing w:after="0" w:line="240" w:lineRule="auto"/>
        <w:ind w:left="0" w:firstLine="709"/>
        <w:jc w:val="both"/>
        <w:rPr>
          <w:rFonts w:ascii="Cambria" w:hAnsi="Cambria" w:cs="Calibri Light"/>
          <w:sz w:val="20"/>
          <w:szCs w:val="20"/>
        </w:rPr>
      </w:pPr>
      <w:r w:rsidRPr="008768A5">
        <w:rPr>
          <w:rFonts w:ascii="Cambria" w:hAnsi="Cambria"/>
          <w:sz w:val="20"/>
          <w:szCs w:val="20"/>
        </w:rPr>
        <w:t xml:space="preserve">The IACHR </w:t>
      </w:r>
      <w:r w:rsidR="007A0596" w:rsidRPr="008768A5">
        <w:rPr>
          <w:rFonts w:ascii="Cambria" w:hAnsi="Cambria"/>
          <w:sz w:val="20"/>
          <w:szCs w:val="20"/>
        </w:rPr>
        <w:t>invites</w:t>
      </w:r>
      <w:r w:rsidRPr="008768A5">
        <w:rPr>
          <w:rFonts w:ascii="Cambria" w:hAnsi="Cambria"/>
          <w:sz w:val="20"/>
          <w:szCs w:val="20"/>
        </w:rPr>
        <w:t xml:space="preserve"> the State to adopt the necessary measures to fully comply with the recommendations issued in Merits Report 28/09, and to provide up-to-date and detailed information on these measures to the Commission. </w:t>
      </w:r>
    </w:p>
    <w:p w14:paraId="08BD6DC2" w14:textId="7F6D91E3" w:rsidR="0071717C" w:rsidRPr="008768A5" w:rsidRDefault="0071717C" w:rsidP="0071717C">
      <w:pPr>
        <w:spacing w:after="0" w:line="240" w:lineRule="auto"/>
        <w:jc w:val="both"/>
        <w:rPr>
          <w:rFonts w:ascii="Cambria" w:hAnsi="Cambria"/>
          <w:sz w:val="20"/>
          <w:szCs w:val="20"/>
        </w:rPr>
      </w:pPr>
    </w:p>
    <w:p w14:paraId="2982B09F" w14:textId="77777777" w:rsidR="005E17DF" w:rsidRPr="008768A5" w:rsidRDefault="005E17DF" w:rsidP="0071717C">
      <w:pPr>
        <w:spacing w:after="0" w:line="240" w:lineRule="auto"/>
        <w:jc w:val="both"/>
        <w:rPr>
          <w:rFonts w:ascii="Cambria" w:hAnsi="Cambria"/>
          <w:sz w:val="20"/>
          <w:szCs w:val="20"/>
        </w:rPr>
      </w:pPr>
    </w:p>
    <w:p w14:paraId="6628561C" w14:textId="77777777" w:rsidR="0071717C" w:rsidRPr="008768A5" w:rsidRDefault="0071717C" w:rsidP="00385239">
      <w:pPr>
        <w:pStyle w:val="ListParagraph"/>
        <w:numPr>
          <w:ilvl w:val="0"/>
          <w:numId w:val="6"/>
        </w:numPr>
        <w:spacing w:after="0" w:line="240" w:lineRule="auto"/>
        <w:jc w:val="both"/>
        <w:rPr>
          <w:rFonts w:ascii="Cambria" w:hAnsi="Cambria"/>
          <w:b/>
          <w:sz w:val="20"/>
          <w:szCs w:val="20"/>
        </w:rPr>
      </w:pPr>
      <w:r w:rsidRPr="008768A5">
        <w:rPr>
          <w:rFonts w:ascii="Cambria" w:hAnsi="Cambria"/>
          <w:b/>
          <w:sz w:val="20"/>
          <w:szCs w:val="20"/>
        </w:rPr>
        <w:lastRenderedPageBreak/>
        <w:t xml:space="preserve">Individual and structural </w:t>
      </w:r>
      <w:r w:rsidR="00385239" w:rsidRPr="008768A5">
        <w:rPr>
          <w:rFonts w:ascii="Cambria" w:hAnsi="Cambria"/>
          <w:b/>
          <w:sz w:val="20"/>
          <w:szCs w:val="20"/>
        </w:rPr>
        <w:t>results</w:t>
      </w:r>
      <w:r w:rsidRPr="008768A5">
        <w:rPr>
          <w:rFonts w:ascii="Cambria" w:hAnsi="Cambria"/>
          <w:b/>
          <w:sz w:val="20"/>
          <w:szCs w:val="20"/>
        </w:rPr>
        <w:t xml:space="preserve"> of the case </w:t>
      </w:r>
    </w:p>
    <w:p w14:paraId="347C5793" w14:textId="77777777" w:rsidR="0071717C" w:rsidRPr="008768A5" w:rsidRDefault="0071717C" w:rsidP="0071717C">
      <w:pPr>
        <w:spacing w:after="0" w:line="240" w:lineRule="auto"/>
        <w:jc w:val="both"/>
        <w:rPr>
          <w:rFonts w:ascii="Cambria" w:hAnsi="Cambria"/>
          <w:b/>
          <w:sz w:val="20"/>
          <w:szCs w:val="20"/>
        </w:rPr>
      </w:pPr>
    </w:p>
    <w:p w14:paraId="6A1979F1" w14:textId="669E4937" w:rsidR="00F36DFA" w:rsidRPr="008768A5" w:rsidRDefault="006D4D59" w:rsidP="00F77079">
      <w:pPr>
        <w:pStyle w:val="ListParagraph"/>
        <w:numPr>
          <w:ilvl w:val="0"/>
          <w:numId w:val="28"/>
        </w:numPr>
        <w:autoSpaceDE w:val="0"/>
        <w:autoSpaceDN w:val="0"/>
        <w:adjustRightInd w:val="0"/>
        <w:spacing w:after="0" w:line="240" w:lineRule="auto"/>
        <w:ind w:left="0" w:firstLine="709"/>
        <w:jc w:val="both"/>
        <w:rPr>
          <w:rFonts w:ascii="Cambria" w:hAnsi="Cambria"/>
          <w:b/>
          <w:sz w:val="20"/>
          <w:szCs w:val="20"/>
        </w:rPr>
      </w:pPr>
      <w:r w:rsidRPr="008768A5">
        <w:rPr>
          <w:rFonts w:ascii="Cambria" w:hAnsi="Cambria"/>
          <w:sz w:val="20"/>
          <w:szCs w:val="20"/>
        </w:rPr>
        <w:t xml:space="preserve">Given that this case is pending compliance, there are no individual or structural </w:t>
      </w:r>
      <w:r w:rsidR="00F77079" w:rsidRPr="008768A5">
        <w:rPr>
          <w:rFonts w:ascii="Cambria" w:hAnsi="Cambria"/>
          <w:sz w:val="20"/>
          <w:szCs w:val="20"/>
        </w:rPr>
        <w:t>results, which</w:t>
      </w:r>
      <w:r w:rsidRPr="008768A5">
        <w:rPr>
          <w:rFonts w:ascii="Cambria" w:hAnsi="Cambria"/>
          <w:sz w:val="20"/>
          <w:szCs w:val="20"/>
        </w:rPr>
        <w:t xml:space="preserve"> have been informed by the parties. </w:t>
      </w:r>
    </w:p>
    <w:sectPr w:rsidR="00F36DFA" w:rsidRPr="008768A5" w:rsidSect="00DD79D0">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BA28" w14:textId="77777777" w:rsidR="007B6E78" w:rsidRDefault="007B6E78" w:rsidP="000A534D">
      <w:pPr>
        <w:spacing w:after="0" w:line="240" w:lineRule="auto"/>
      </w:pPr>
      <w:r>
        <w:separator/>
      </w:r>
    </w:p>
  </w:endnote>
  <w:endnote w:type="continuationSeparator" w:id="0">
    <w:p w14:paraId="18A366B0" w14:textId="77777777" w:rsidR="007B6E78" w:rsidRDefault="007B6E78" w:rsidP="000A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6795" w14:textId="1A7BC799" w:rsidR="00AF27F7" w:rsidRPr="00AF27F7" w:rsidRDefault="00AF27F7" w:rsidP="00AF27F7">
    <w:pPr>
      <w:pStyle w:val="Footer"/>
      <w:jc w:val="center"/>
      <w:rPr>
        <w:rFonts w:ascii="Cambria" w:hAnsi="Cambria"/>
        <w:sz w:val="16"/>
        <w:szCs w:val="16"/>
      </w:rPr>
    </w:pPr>
    <w:r w:rsidRPr="00AF27F7">
      <w:rPr>
        <w:rStyle w:val="PageNumber"/>
        <w:rFonts w:ascii="Cambria" w:hAnsi="Cambria"/>
        <w:sz w:val="16"/>
        <w:szCs w:val="16"/>
      </w:rPr>
      <w:fldChar w:fldCharType="begin"/>
    </w:r>
    <w:r w:rsidRPr="00AF27F7">
      <w:rPr>
        <w:rStyle w:val="PageNumber"/>
        <w:rFonts w:ascii="Cambria" w:hAnsi="Cambria"/>
        <w:sz w:val="16"/>
        <w:szCs w:val="16"/>
      </w:rPr>
      <w:instrText xml:space="preserve"> PAGE </w:instrText>
    </w:r>
    <w:r w:rsidRPr="00AF27F7">
      <w:rPr>
        <w:rStyle w:val="PageNumber"/>
        <w:rFonts w:ascii="Cambria" w:hAnsi="Cambria"/>
        <w:sz w:val="16"/>
        <w:szCs w:val="16"/>
      </w:rPr>
      <w:fldChar w:fldCharType="separate"/>
    </w:r>
    <w:r w:rsidR="008768A5">
      <w:rPr>
        <w:rStyle w:val="PageNumber"/>
        <w:rFonts w:ascii="Cambria" w:hAnsi="Cambria"/>
        <w:noProof/>
        <w:sz w:val="16"/>
        <w:szCs w:val="16"/>
      </w:rPr>
      <w:t>4</w:t>
    </w:r>
    <w:r w:rsidRPr="00AF27F7">
      <w:rPr>
        <w:rStyle w:val="PageNumber"/>
        <w:rFonts w:ascii="Cambria" w:hAnsi="Cambr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528A4" w14:textId="77777777" w:rsidR="007B6E78" w:rsidRDefault="007B6E78" w:rsidP="000A534D">
      <w:pPr>
        <w:spacing w:after="0" w:line="240" w:lineRule="auto"/>
      </w:pPr>
      <w:r>
        <w:separator/>
      </w:r>
    </w:p>
  </w:footnote>
  <w:footnote w:type="continuationSeparator" w:id="0">
    <w:p w14:paraId="393C4741" w14:textId="77777777" w:rsidR="007B6E78" w:rsidRDefault="007B6E78" w:rsidP="000A534D">
      <w:pPr>
        <w:spacing w:after="0" w:line="240" w:lineRule="auto"/>
      </w:pPr>
      <w:r>
        <w:continuationSeparator/>
      </w:r>
    </w:p>
  </w:footnote>
  <w:footnote w:id="1">
    <w:p w14:paraId="1475E9AC" w14:textId="1A630CA8" w:rsidR="00365BD5" w:rsidRPr="008768A5" w:rsidRDefault="00365BD5" w:rsidP="00365BD5">
      <w:pPr>
        <w:pStyle w:val="FootnoteText"/>
        <w:spacing w:after="120"/>
        <w:ind w:firstLine="720"/>
        <w:jc w:val="both"/>
        <w:rPr>
          <w:rFonts w:ascii="Cambria" w:hAnsi="Cambria"/>
          <w:sz w:val="16"/>
          <w:szCs w:val="16"/>
        </w:rPr>
      </w:pPr>
      <w:r w:rsidRPr="008768A5">
        <w:rPr>
          <w:rStyle w:val="FootnoteReference"/>
          <w:rFonts w:ascii="Cambria" w:hAnsi="Cambria"/>
          <w:sz w:val="16"/>
          <w:szCs w:val="16"/>
        </w:rPr>
        <w:footnoteRef/>
      </w:r>
      <w:r w:rsidRPr="008768A5">
        <w:rPr>
          <w:rFonts w:ascii="Cambria" w:hAnsi="Cambria"/>
          <w:sz w:val="16"/>
          <w:szCs w:val="16"/>
        </w:rPr>
        <w:t xml:space="preserve"> </w:t>
      </w:r>
      <w:r w:rsidRPr="008768A5">
        <w:rPr>
          <w:rFonts w:ascii="Cambria" w:hAnsi="Cambria" w:cs="Calibri Light"/>
          <w:sz w:val="16"/>
          <w:szCs w:val="16"/>
        </w:rPr>
        <w:t xml:space="preserve">Judicial Committee of the Privy Council, </w:t>
      </w:r>
      <w:hyperlink r:id="rId1" w:history="1">
        <w:r w:rsidRPr="008768A5">
          <w:rPr>
            <w:rStyle w:val="Hyperlink"/>
            <w:rFonts w:ascii="Cambria" w:hAnsi="Cambria"/>
            <w:color w:val="auto"/>
            <w:sz w:val="16"/>
            <w:szCs w:val="16"/>
          </w:rPr>
          <w:t>Lendore and others v. The Attorney General of Trinidad and Tobago (Trinidad and Tobago)</w:t>
        </w:r>
      </w:hyperlink>
      <w:r w:rsidRPr="008768A5">
        <w:rPr>
          <w:rFonts w:ascii="Cambria" w:hAnsi="Cambria"/>
          <w:sz w:val="16"/>
          <w:szCs w:val="16"/>
        </w:rPr>
        <w:t xml:space="preserve"> [</w:t>
      </w:r>
      <w:r w:rsidR="001E0761" w:rsidRPr="008768A5">
        <w:rPr>
          <w:rFonts w:ascii="Cambria" w:hAnsi="Cambria"/>
          <w:sz w:val="16"/>
          <w:szCs w:val="16"/>
        </w:rPr>
        <w:t>2017] UKPC 25 (United Kingdom).</w:t>
      </w:r>
    </w:p>
  </w:footnote>
  <w:footnote w:id="2">
    <w:p w14:paraId="074B740D" w14:textId="77777777" w:rsidR="009B7D0A" w:rsidRPr="008768A5" w:rsidRDefault="009B7D0A" w:rsidP="009B7D0A">
      <w:pPr>
        <w:pStyle w:val="FootnoteText"/>
        <w:spacing w:after="120"/>
        <w:ind w:firstLine="720"/>
        <w:jc w:val="both"/>
        <w:rPr>
          <w:rFonts w:ascii="Cambria" w:hAnsi="Cambria"/>
          <w:color w:val="000000" w:themeColor="text1"/>
          <w:sz w:val="16"/>
          <w:szCs w:val="16"/>
        </w:rPr>
      </w:pPr>
      <w:r w:rsidRPr="008768A5">
        <w:rPr>
          <w:rStyle w:val="FootnoteReference"/>
          <w:rFonts w:ascii="Cambria" w:hAnsi="Cambria"/>
          <w:color w:val="000000" w:themeColor="text1"/>
          <w:sz w:val="16"/>
          <w:szCs w:val="16"/>
        </w:rPr>
        <w:footnoteRef/>
      </w:r>
      <w:r w:rsidRPr="008768A5">
        <w:rPr>
          <w:rFonts w:ascii="Cambria" w:hAnsi="Cambria"/>
          <w:color w:val="000000" w:themeColor="text1"/>
          <w:sz w:val="16"/>
          <w:szCs w:val="16"/>
        </w:rPr>
        <w:t xml:space="preserve"> IACtHR, </w:t>
      </w:r>
      <w:hyperlink r:id="rId2" w:history="1">
        <w:r w:rsidRPr="008768A5">
          <w:rPr>
            <w:rStyle w:val="Hyperlink"/>
            <w:rFonts w:ascii="Cambria" w:hAnsi="Cambria"/>
            <w:color w:val="000000" w:themeColor="text1"/>
            <w:sz w:val="16"/>
            <w:szCs w:val="16"/>
          </w:rPr>
          <w:t>Advisory Opinion OC-10/89 Interpretation of the Declaration of the Rights and Duties of Man within the Framework of Article 64 of the American Convention on Human Rights</w:t>
        </w:r>
      </w:hyperlink>
      <w:r w:rsidRPr="008768A5">
        <w:rPr>
          <w:rFonts w:ascii="Cambria" w:hAnsi="Cambria"/>
          <w:color w:val="000000" w:themeColor="text1"/>
          <w:sz w:val="16"/>
          <w:szCs w:val="16"/>
        </w:rPr>
        <w:t>, July 14, 1989, Ser. A No. 10 (1989), paras. 35-45.</w:t>
      </w:r>
    </w:p>
  </w:footnote>
  <w:footnote w:id="3">
    <w:p w14:paraId="5673FB3C" w14:textId="17A951E9" w:rsidR="00C44F50" w:rsidRDefault="00C44F50" w:rsidP="00C44F50">
      <w:pPr>
        <w:pStyle w:val="FootnoteText"/>
        <w:spacing w:after="120"/>
        <w:ind w:firstLine="720"/>
        <w:jc w:val="both"/>
      </w:pPr>
      <w:r w:rsidRPr="008768A5">
        <w:rPr>
          <w:rStyle w:val="FootnoteReference"/>
          <w:rFonts w:ascii="Cambria" w:hAnsi="Cambria"/>
          <w:color w:val="000000" w:themeColor="text1"/>
          <w:sz w:val="16"/>
          <w:szCs w:val="16"/>
        </w:rPr>
        <w:footnoteRef/>
      </w:r>
      <w:r w:rsidRPr="008768A5">
        <w:rPr>
          <w:rFonts w:ascii="Cambria" w:hAnsi="Cambria"/>
          <w:color w:val="000000" w:themeColor="text1"/>
          <w:sz w:val="16"/>
          <w:szCs w:val="16"/>
        </w:rPr>
        <w:t xml:space="preserve"> IACHR, </w:t>
      </w:r>
      <w:hyperlink r:id="rId3" w:history="1">
        <w:r w:rsidRPr="008768A5">
          <w:rPr>
            <w:rStyle w:val="Hyperlink"/>
            <w:rFonts w:ascii="Cambria" w:hAnsi="Cambria"/>
            <w:color w:val="000000" w:themeColor="text1"/>
            <w:sz w:val="16"/>
            <w:szCs w:val="16"/>
          </w:rPr>
          <w:t>Case 12.873, Merits Report No. 44/14, Edgar Tamayo Arias</w:t>
        </w:r>
      </w:hyperlink>
      <w:r w:rsidRPr="008768A5">
        <w:rPr>
          <w:rStyle w:val="Hyperlink"/>
          <w:rFonts w:ascii="Cambria" w:hAnsi="Cambria"/>
          <w:color w:val="000000" w:themeColor="text1"/>
          <w:sz w:val="16"/>
          <w:szCs w:val="16"/>
        </w:rPr>
        <w:t xml:space="preserve"> (United States)</w:t>
      </w:r>
      <w:r w:rsidRPr="008768A5">
        <w:rPr>
          <w:rFonts w:ascii="Cambria" w:hAnsi="Cambria"/>
          <w:color w:val="000000" w:themeColor="text1"/>
          <w:sz w:val="16"/>
          <w:szCs w:val="16"/>
        </w:rPr>
        <w:t xml:space="preserve">, para. 214; IACHR, </w:t>
      </w:r>
      <w:hyperlink r:id="rId4" w:history="1">
        <w:r w:rsidRPr="008768A5">
          <w:rPr>
            <w:rStyle w:val="Hyperlink"/>
            <w:rFonts w:ascii="Cambria" w:hAnsi="Cambria"/>
            <w:color w:val="000000" w:themeColor="text1"/>
            <w:sz w:val="16"/>
            <w:szCs w:val="16"/>
          </w:rPr>
          <w:t>Towards the Closure of Guantanamo</w:t>
        </w:r>
      </w:hyperlink>
      <w:r w:rsidR="007316F0" w:rsidRPr="008768A5">
        <w:rPr>
          <w:rFonts w:ascii="Cambria" w:hAnsi="Cambria"/>
          <w:color w:val="000000" w:themeColor="text1"/>
          <w:sz w:val="16"/>
          <w:szCs w:val="16"/>
        </w:rPr>
        <w:t>, 2015, paras. 17</w:t>
      </w:r>
      <w:r w:rsidRPr="008768A5">
        <w:rPr>
          <w:rFonts w:ascii="Cambria" w:hAnsi="Cambria"/>
          <w:color w:val="000000" w:themeColor="text1"/>
          <w:sz w:val="16"/>
          <w:szCs w:val="16"/>
        </w:rPr>
        <w:t>-2</w:t>
      </w:r>
      <w:r w:rsidR="003669F6" w:rsidRPr="008768A5">
        <w:rPr>
          <w:rFonts w:ascii="Cambria" w:hAnsi="Cambria"/>
          <w:color w:val="000000" w:themeColor="text1"/>
          <w:sz w:val="16"/>
          <w:szCs w:val="16"/>
        </w:rPr>
        <w:t>1</w:t>
      </w:r>
      <w:r w:rsidRPr="008768A5">
        <w:rPr>
          <w:rFonts w:ascii="Cambria" w:hAnsi="Cambria"/>
          <w:color w:val="000000" w:themeColor="text1"/>
          <w:sz w:val="16"/>
          <w:szCs w:val="16"/>
        </w:rPr>
        <w:t xml:space="preserve">; IACHR, </w:t>
      </w:r>
      <w:hyperlink r:id="rId5" w:history="1">
        <w:r w:rsidRPr="008768A5">
          <w:rPr>
            <w:rStyle w:val="Hyperlink"/>
            <w:rFonts w:ascii="Cambria" w:hAnsi="Cambria"/>
            <w:color w:val="000000" w:themeColor="text1"/>
            <w:sz w:val="16"/>
            <w:szCs w:val="16"/>
          </w:rPr>
          <w:t>Case 12.586, Report No. 78/11, John Doe et al. (Canada)</w:t>
        </w:r>
      </w:hyperlink>
      <w:r w:rsidRPr="008768A5">
        <w:rPr>
          <w:rFonts w:ascii="Cambria" w:hAnsi="Cambria"/>
          <w:color w:val="000000" w:themeColor="text1"/>
          <w:sz w:val="16"/>
          <w:szCs w:val="16"/>
        </w:rPr>
        <w:t>, para. 129.</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5B40" w14:textId="7CB8DF2B" w:rsidR="00960451" w:rsidRDefault="00960451" w:rsidP="00960451">
    <w:pPr>
      <w:pStyle w:val="Header"/>
      <w:ind w:firstLine="3600"/>
      <w:rPr>
        <w:rFonts w:ascii="Arial" w:hAnsi="Arial" w:cs="Arial"/>
        <w:noProof/>
        <w:color w:val="3B3838" w:themeColor="background2" w:themeShade="40"/>
        <w:szCs w:val="28"/>
      </w:rPr>
    </w:pPr>
    <w:r>
      <w:rPr>
        <w:rFonts w:asciiTheme="minorHAnsi" w:hAnsiTheme="minorHAnsi" w:cstheme="minorBidi"/>
        <w:noProof/>
        <w:sz w:val="20"/>
        <w:szCs w:val="24"/>
      </w:rPr>
      <w:drawing>
        <wp:anchor distT="0" distB="0" distL="114300" distR="114300" simplePos="0" relativeHeight="251681280" behindDoc="0" locked="0" layoutInCell="1" allowOverlap="1" wp14:anchorId="7B1722EA" wp14:editId="37214F1B">
          <wp:simplePos x="0" y="0"/>
          <wp:positionH relativeFrom="column">
            <wp:posOffset>1223199</wp:posOffset>
          </wp:positionH>
          <wp:positionV relativeFrom="paragraph">
            <wp:posOffset>-135367</wp:posOffset>
          </wp:positionV>
          <wp:extent cx="923925" cy="353695"/>
          <wp:effectExtent l="0" t="0" r="9525" b="8255"/>
          <wp:wrapSquare wrapText="bothSides"/>
          <wp:docPr id="8" name="Picture 8"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sidRPr="00ED1EBA">
      <w:rPr>
        <w:rFonts w:ascii="Arial" w:hAnsi="Arial" w:cs="Arial"/>
        <w:noProof/>
        <w:color w:val="3B3838" w:themeColor="background2" w:themeShade="40"/>
        <w:szCs w:val="28"/>
      </w:rPr>
      <w:t>Inter-American Commission on Human Rights</w:t>
    </w:r>
  </w:p>
  <w:p w14:paraId="708365D6" w14:textId="289E7232" w:rsidR="00DD79D0" w:rsidRPr="00960451" w:rsidRDefault="00960451" w:rsidP="00960451">
    <w:pPr>
      <w:pStyle w:val="Header"/>
      <w:rPr>
        <w:rFonts w:ascii="Arial" w:hAnsi="Arial" w:cs="Arial"/>
        <w:b/>
        <w:bCs/>
        <w:color w:val="404040" w:themeColor="text1" w:themeTint="BF"/>
        <w:sz w:val="44"/>
        <w:szCs w:val="44"/>
      </w:rPr>
    </w:pPr>
    <w:r>
      <w:rPr>
        <w:rFonts w:ascii="Arial" w:hAnsi="Arial" w:cs="Arial"/>
        <w:b/>
        <w:bCs/>
        <w:noProof/>
        <w:color w:val="000000" w:themeColor="text1"/>
        <w:sz w:val="44"/>
        <w:szCs w:val="44"/>
      </w:rPr>
      <mc:AlternateContent>
        <mc:Choice Requires="wps">
          <w:drawing>
            <wp:anchor distT="0" distB="0" distL="114300" distR="114300" simplePos="0" relativeHeight="251658752" behindDoc="0" locked="0" layoutInCell="1" allowOverlap="1" wp14:anchorId="50043D4D" wp14:editId="4DB09C3F">
              <wp:simplePos x="0" y="0"/>
              <wp:positionH relativeFrom="column">
                <wp:posOffset>-5610</wp:posOffset>
              </wp:positionH>
              <wp:positionV relativeFrom="paragraph">
                <wp:posOffset>167882</wp:posOffset>
              </wp:positionV>
              <wp:extent cx="6148358"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E4606"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DE41" w14:textId="7392D490" w:rsidR="00757F9D" w:rsidRPr="006B1F24" w:rsidRDefault="00757F9D" w:rsidP="00757F9D">
    <w:pPr>
      <w:pStyle w:val="Header"/>
      <w:spacing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34176" behindDoc="1" locked="0" layoutInCell="1" allowOverlap="1" wp14:anchorId="20BD23D1" wp14:editId="1313D355">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5338CFC5" w14:textId="77777777" w:rsidR="00757F9D" w:rsidRPr="00EA0262" w:rsidRDefault="00757F9D" w:rsidP="00757F9D">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D23D1" id="_x0000_t202" coordsize="21600,21600" o:spt="202" path="m,l,21600r21600,l21600,xe">
              <v:stroke joinstyle="miter"/>
              <v:path gradientshapeok="t" o:connecttype="rect"/>
            </v:shapetype>
            <v:shape id="Text Box 4" o:spid="_x0000_s1026" type="#_x0000_t202" style="position:absolute;margin-left:84.4pt;margin-top:-5pt;width:113.95pt;height:4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" fillcolor="white [3201]" stroked="f" strokeweight=".5pt">
              <v:textbox>
                <w:txbxContent>
                  <w:p w14:paraId="5338CFC5" w14:textId="77777777" w:rsidR="00757F9D" w:rsidRPr="00EA0262" w:rsidRDefault="00757F9D" w:rsidP="00757F9D">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2020</w:t>
                    </w:r>
                  </w:p>
                </w:txbxContent>
              </v:textbox>
            </v:shape>
          </w:pict>
        </mc:Fallback>
      </mc:AlternateContent>
    </w:r>
    <w:r>
      <w:rPr>
        <w:rFonts w:asciiTheme="minorHAnsi" w:hAnsiTheme="minorHAnsi" w:cstheme="minorBidi"/>
        <w:noProof/>
        <w:sz w:val="24"/>
        <w:szCs w:val="24"/>
      </w:rPr>
      <w:drawing>
        <wp:anchor distT="0" distB="0" distL="114300" distR="114300" simplePos="0" relativeHeight="251661312" behindDoc="0" locked="0" layoutInCell="1" allowOverlap="1" wp14:anchorId="65323C1B" wp14:editId="29711DD9">
          <wp:simplePos x="0" y="0"/>
          <wp:positionH relativeFrom="column">
            <wp:posOffset>3752850</wp:posOffset>
          </wp:positionH>
          <wp:positionV relativeFrom="paragraph">
            <wp:posOffset>29210</wp:posOffset>
          </wp:positionV>
          <wp:extent cx="2381250" cy="561975"/>
          <wp:effectExtent l="0" t="0" r="0" b="0"/>
          <wp:wrapSquare wrapText="bothSides"/>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ED1EBA">
      <w:rPr>
        <w:noProof/>
        <w:sz w:val="44"/>
        <w:szCs w:val="28"/>
      </w:rPr>
      <w:t>ANNUAL</w:t>
    </w:r>
    <w:r>
      <w:rPr>
        <w:noProof/>
        <w:sz w:val="44"/>
        <w:szCs w:val="28"/>
      </w:rPr>
      <w:t xml:space="preserve"> </w:t>
    </w:r>
  </w:p>
  <w:p w14:paraId="22BA555B" w14:textId="77777777" w:rsidR="00757F9D" w:rsidRPr="006B1F24" w:rsidRDefault="00757F9D" w:rsidP="00757F9D">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616953B5" w14:textId="77777777" w:rsidR="00757F9D" w:rsidRPr="00566CD0" w:rsidRDefault="00757F9D" w:rsidP="00757F9D">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36224" behindDoc="0" locked="0" layoutInCell="1" allowOverlap="1" wp14:anchorId="7A9F2583" wp14:editId="466F174A">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F53CD" id="Straight Connector 2"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191"/>
    <w:multiLevelType w:val="hybridMultilevel"/>
    <w:tmpl w:val="1E76F166"/>
    <w:lvl w:ilvl="0" w:tplc="40CC2976">
      <w:start w:val="1111"/>
      <w:numFmt w:val="decimal"/>
      <w:lvlText w:val="%1-"/>
      <w:lvlJc w:val="left"/>
      <w:pPr>
        <w:ind w:left="1200" w:hanging="480"/>
      </w:pPr>
      <w:rPr>
        <w:rFonts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619D"/>
    <w:multiLevelType w:val="hybridMultilevel"/>
    <w:tmpl w:val="9252DE8A"/>
    <w:lvl w:ilvl="0" w:tplc="B08C88B8">
      <w:start w:val="832"/>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A25FCF"/>
    <w:multiLevelType w:val="hybridMultilevel"/>
    <w:tmpl w:val="900CA938"/>
    <w:lvl w:ilvl="0" w:tplc="497A34D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C70E0"/>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 w15:restartNumberingAfterBreak="0">
    <w:nsid w:val="12DC4625"/>
    <w:multiLevelType w:val="hybridMultilevel"/>
    <w:tmpl w:val="0614984E"/>
    <w:lvl w:ilvl="0" w:tplc="936C2D26">
      <w:start w:val="4"/>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23AF1FCC"/>
    <w:multiLevelType w:val="hybridMultilevel"/>
    <w:tmpl w:val="DEB21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3815CD"/>
    <w:multiLevelType w:val="hybridMultilevel"/>
    <w:tmpl w:val="26BA08F0"/>
    <w:lvl w:ilvl="0" w:tplc="9F84156C">
      <w:start w:val="906"/>
      <w:numFmt w:val="decimal"/>
      <w:lvlText w:val="%1-"/>
      <w:lvlJc w:val="left"/>
      <w:pPr>
        <w:ind w:left="1095" w:hanging="375"/>
      </w:pPr>
      <w:rPr>
        <w:rFonts w:cs="Times New Roman"/>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E4D0BC7"/>
    <w:multiLevelType w:val="hybridMultilevel"/>
    <w:tmpl w:val="E706555C"/>
    <w:lvl w:ilvl="0" w:tplc="2AA6915E">
      <w:start w:val="3"/>
      <w:numFmt w:val="decimal"/>
      <w:lvlText w:val="%1."/>
      <w:lvlJc w:val="left"/>
      <w:pPr>
        <w:ind w:left="2792" w:hanging="360"/>
      </w:pPr>
      <w:rPr>
        <w:rFonts w:hint="default"/>
        <w:b w:val="0"/>
      </w:rPr>
    </w:lvl>
    <w:lvl w:ilvl="1" w:tplc="04090019" w:tentative="1">
      <w:start w:val="1"/>
      <w:numFmt w:val="lowerLetter"/>
      <w:lvlText w:val="%2."/>
      <w:lvlJc w:val="left"/>
      <w:pPr>
        <w:ind w:left="3512" w:hanging="360"/>
      </w:pPr>
    </w:lvl>
    <w:lvl w:ilvl="2" w:tplc="0409001B" w:tentative="1">
      <w:start w:val="1"/>
      <w:numFmt w:val="lowerRoman"/>
      <w:lvlText w:val="%3."/>
      <w:lvlJc w:val="right"/>
      <w:pPr>
        <w:ind w:left="4232" w:hanging="180"/>
      </w:pPr>
    </w:lvl>
    <w:lvl w:ilvl="3" w:tplc="0409000F" w:tentative="1">
      <w:start w:val="1"/>
      <w:numFmt w:val="decimal"/>
      <w:lvlText w:val="%4."/>
      <w:lvlJc w:val="left"/>
      <w:pPr>
        <w:ind w:left="4952" w:hanging="360"/>
      </w:pPr>
    </w:lvl>
    <w:lvl w:ilvl="4" w:tplc="04090019" w:tentative="1">
      <w:start w:val="1"/>
      <w:numFmt w:val="lowerLetter"/>
      <w:lvlText w:val="%5."/>
      <w:lvlJc w:val="left"/>
      <w:pPr>
        <w:ind w:left="5672" w:hanging="360"/>
      </w:pPr>
    </w:lvl>
    <w:lvl w:ilvl="5" w:tplc="0409001B" w:tentative="1">
      <w:start w:val="1"/>
      <w:numFmt w:val="lowerRoman"/>
      <w:lvlText w:val="%6."/>
      <w:lvlJc w:val="right"/>
      <w:pPr>
        <w:ind w:left="6392" w:hanging="180"/>
      </w:pPr>
    </w:lvl>
    <w:lvl w:ilvl="6" w:tplc="0409000F" w:tentative="1">
      <w:start w:val="1"/>
      <w:numFmt w:val="decimal"/>
      <w:lvlText w:val="%7."/>
      <w:lvlJc w:val="left"/>
      <w:pPr>
        <w:ind w:left="7112" w:hanging="360"/>
      </w:pPr>
    </w:lvl>
    <w:lvl w:ilvl="7" w:tplc="04090019" w:tentative="1">
      <w:start w:val="1"/>
      <w:numFmt w:val="lowerLetter"/>
      <w:lvlText w:val="%8."/>
      <w:lvlJc w:val="left"/>
      <w:pPr>
        <w:ind w:left="7832" w:hanging="360"/>
      </w:pPr>
    </w:lvl>
    <w:lvl w:ilvl="8" w:tplc="0409001B" w:tentative="1">
      <w:start w:val="1"/>
      <w:numFmt w:val="lowerRoman"/>
      <w:lvlText w:val="%9."/>
      <w:lvlJc w:val="right"/>
      <w:pPr>
        <w:ind w:left="8552" w:hanging="180"/>
      </w:pPr>
    </w:lvl>
  </w:abstractNum>
  <w:abstractNum w:abstractNumId="13"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F1C83"/>
    <w:multiLevelType w:val="hybridMultilevel"/>
    <w:tmpl w:val="F9ACCCCA"/>
    <w:lvl w:ilvl="0" w:tplc="08BE9B3A">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177E2"/>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6" w15:restartNumberingAfterBreak="0">
    <w:nsid w:val="59654905"/>
    <w:multiLevelType w:val="hybridMultilevel"/>
    <w:tmpl w:val="62106212"/>
    <w:lvl w:ilvl="0" w:tplc="78002CA6">
      <w:start w:val="1"/>
      <w:numFmt w:val="decimal"/>
      <w:lvlText w:val="%1-"/>
      <w:lvlJc w:val="left"/>
      <w:pPr>
        <w:ind w:left="720" w:hanging="360"/>
      </w:pPr>
      <w:rPr>
        <w:rFonts w:asciiTheme="majorHAnsi" w:hAnsiTheme="maj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94624A"/>
    <w:multiLevelType w:val="hybridMultilevel"/>
    <w:tmpl w:val="82B0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75366"/>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1"/>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lvlOverride w:ilvl="0">
      <w:startOverride w:val="8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9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5"/>
  </w:num>
  <w:num w:numId="16">
    <w:abstractNumId w:val="15"/>
  </w:num>
  <w:num w:numId="17">
    <w:abstractNumId w:va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num>
  <w:num w:numId="21">
    <w:abstractNumId w:val="0"/>
  </w:num>
  <w:num w:numId="22">
    <w:abstractNumId w:val="19"/>
  </w:num>
  <w:num w:numId="23">
    <w:abstractNumId w:val="4"/>
  </w:num>
  <w:num w:numId="24">
    <w:abstractNumId w:val="14"/>
  </w:num>
  <w:num w:numId="25">
    <w:abstractNumId w:val="1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CD"/>
    <w:rsid w:val="000108FE"/>
    <w:rsid w:val="00033941"/>
    <w:rsid w:val="00046CE3"/>
    <w:rsid w:val="00050D5B"/>
    <w:rsid w:val="00051122"/>
    <w:rsid w:val="000525B8"/>
    <w:rsid w:val="00065E44"/>
    <w:rsid w:val="00082900"/>
    <w:rsid w:val="00086421"/>
    <w:rsid w:val="00090155"/>
    <w:rsid w:val="000941B5"/>
    <w:rsid w:val="0009628A"/>
    <w:rsid w:val="0009659C"/>
    <w:rsid w:val="000A36D7"/>
    <w:rsid w:val="000A534D"/>
    <w:rsid w:val="000B2B2A"/>
    <w:rsid w:val="000B382E"/>
    <w:rsid w:val="000C2DF8"/>
    <w:rsid w:val="000C40C2"/>
    <w:rsid w:val="000C5060"/>
    <w:rsid w:val="000C5985"/>
    <w:rsid w:val="000D242B"/>
    <w:rsid w:val="000F10D9"/>
    <w:rsid w:val="001274F4"/>
    <w:rsid w:val="00132178"/>
    <w:rsid w:val="0013282D"/>
    <w:rsid w:val="00134517"/>
    <w:rsid w:val="0016023E"/>
    <w:rsid w:val="00160674"/>
    <w:rsid w:val="0016718D"/>
    <w:rsid w:val="001672BA"/>
    <w:rsid w:val="00172180"/>
    <w:rsid w:val="001753E7"/>
    <w:rsid w:val="00175C70"/>
    <w:rsid w:val="00184040"/>
    <w:rsid w:val="00191E83"/>
    <w:rsid w:val="001A3DE6"/>
    <w:rsid w:val="001D0D9E"/>
    <w:rsid w:val="001D7402"/>
    <w:rsid w:val="001E0384"/>
    <w:rsid w:val="001E0761"/>
    <w:rsid w:val="001E5322"/>
    <w:rsid w:val="001E5C90"/>
    <w:rsid w:val="001E6BA9"/>
    <w:rsid w:val="001F2C21"/>
    <w:rsid w:val="00202EAC"/>
    <w:rsid w:val="00206950"/>
    <w:rsid w:val="002337BD"/>
    <w:rsid w:val="00240C37"/>
    <w:rsid w:val="00243179"/>
    <w:rsid w:val="00246967"/>
    <w:rsid w:val="00280D74"/>
    <w:rsid w:val="00280E5E"/>
    <w:rsid w:val="0028443F"/>
    <w:rsid w:val="002868FC"/>
    <w:rsid w:val="002968FB"/>
    <w:rsid w:val="002B044A"/>
    <w:rsid w:val="002C2FA4"/>
    <w:rsid w:val="002C4F0C"/>
    <w:rsid w:val="002D347F"/>
    <w:rsid w:val="002D56F8"/>
    <w:rsid w:val="002E195E"/>
    <w:rsid w:val="002E1FF6"/>
    <w:rsid w:val="002E30F3"/>
    <w:rsid w:val="002E6A07"/>
    <w:rsid w:val="00300AE2"/>
    <w:rsid w:val="00307E82"/>
    <w:rsid w:val="0031322D"/>
    <w:rsid w:val="00336E6F"/>
    <w:rsid w:val="00336FDE"/>
    <w:rsid w:val="00345918"/>
    <w:rsid w:val="00355E92"/>
    <w:rsid w:val="0036090B"/>
    <w:rsid w:val="003625E2"/>
    <w:rsid w:val="00365BD5"/>
    <w:rsid w:val="003669F6"/>
    <w:rsid w:val="00382477"/>
    <w:rsid w:val="00385239"/>
    <w:rsid w:val="00386342"/>
    <w:rsid w:val="003863AE"/>
    <w:rsid w:val="003877E7"/>
    <w:rsid w:val="00396B62"/>
    <w:rsid w:val="003A129D"/>
    <w:rsid w:val="003A299B"/>
    <w:rsid w:val="003A5CE3"/>
    <w:rsid w:val="003A621E"/>
    <w:rsid w:val="003A6751"/>
    <w:rsid w:val="003B16B2"/>
    <w:rsid w:val="003B1B46"/>
    <w:rsid w:val="003B287C"/>
    <w:rsid w:val="004100DF"/>
    <w:rsid w:val="00413E50"/>
    <w:rsid w:val="004148A3"/>
    <w:rsid w:val="0041761D"/>
    <w:rsid w:val="00431C5C"/>
    <w:rsid w:val="00431CF8"/>
    <w:rsid w:val="00436AA3"/>
    <w:rsid w:val="004711EE"/>
    <w:rsid w:val="004723AE"/>
    <w:rsid w:val="00487071"/>
    <w:rsid w:val="004B707D"/>
    <w:rsid w:val="004C473A"/>
    <w:rsid w:val="004D30EB"/>
    <w:rsid w:val="004E6378"/>
    <w:rsid w:val="004F47B4"/>
    <w:rsid w:val="00500623"/>
    <w:rsid w:val="00503A62"/>
    <w:rsid w:val="00516526"/>
    <w:rsid w:val="00521E82"/>
    <w:rsid w:val="00530811"/>
    <w:rsid w:val="00534C38"/>
    <w:rsid w:val="00540B3D"/>
    <w:rsid w:val="00543988"/>
    <w:rsid w:val="00564144"/>
    <w:rsid w:val="00566934"/>
    <w:rsid w:val="00570757"/>
    <w:rsid w:val="00574F9E"/>
    <w:rsid w:val="00590023"/>
    <w:rsid w:val="005B0F5C"/>
    <w:rsid w:val="005B1BCF"/>
    <w:rsid w:val="005B7E79"/>
    <w:rsid w:val="005D1BB1"/>
    <w:rsid w:val="005D490A"/>
    <w:rsid w:val="005D654E"/>
    <w:rsid w:val="005E17DF"/>
    <w:rsid w:val="005E2AE9"/>
    <w:rsid w:val="005E66FB"/>
    <w:rsid w:val="005F1DF8"/>
    <w:rsid w:val="006030D6"/>
    <w:rsid w:val="00612AB0"/>
    <w:rsid w:val="00616A24"/>
    <w:rsid w:val="00631616"/>
    <w:rsid w:val="00652DC2"/>
    <w:rsid w:val="0065419E"/>
    <w:rsid w:val="0065780B"/>
    <w:rsid w:val="006679E6"/>
    <w:rsid w:val="006769AD"/>
    <w:rsid w:val="00684670"/>
    <w:rsid w:val="00691A89"/>
    <w:rsid w:val="006A5C47"/>
    <w:rsid w:val="006B5176"/>
    <w:rsid w:val="006B5EA0"/>
    <w:rsid w:val="006C4711"/>
    <w:rsid w:val="006C7295"/>
    <w:rsid w:val="006C7C38"/>
    <w:rsid w:val="006D16E6"/>
    <w:rsid w:val="006D2116"/>
    <w:rsid w:val="006D3EA9"/>
    <w:rsid w:val="006D4D59"/>
    <w:rsid w:val="00700FCB"/>
    <w:rsid w:val="0071033A"/>
    <w:rsid w:val="007156B8"/>
    <w:rsid w:val="0071717C"/>
    <w:rsid w:val="007313F6"/>
    <w:rsid w:val="007316F0"/>
    <w:rsid w:val="007517FE"/>
    <w:rsid w:val="007525F4"/>
    <w:rsid w:val="007574F2"/>
    <w:rsid w:val="00757F9D"/>
    <w:rsid w:val="0076353F"/>
    <w:rsid w:val="007801DB"/>
    <w:rsid w:val="0078054A"/>
    <w:rsid w:val="00791FDD"/>
    <w:rsid w:val="007955F4"/>
    <w:rsid w:val="007A0596"/>
    <w:rsid w:val="007A375C"/>
    <w:rsid w:val="007B6E78"/>
    <w:rsid w:val="007C409C"/>
    <w:rsid w:val="007C6748"/>
    <w:rsid w:val="007C69D9"/>
    <w:rsid w:val="007F179A"/>
    <w:rsid w:val="007F4805"/>
    <w:rsid w:val="00801F6C"/>
    <w:rsid w:val="00806756"/>
    <w:rsid w:val="00806D19"/>
    <w:rsid w:val="00826178"/>
    <w:rsid w:val="00826303"/>
    <w:rsid w:val="00830FB7"/>
    <w:rsid w:val="008317B9"/>
    <w:rsid w:val="008335BC"/>
    <w:rsid w:val="00835DBB"/>
    <w:rsid w:val="00860C62"/>
    <w:rsid w:val="008623A8"/>
    <w:rsid w:val="00865C81"/>
    <w:rsid w:val="008663B4"/>
    <w:rsid w:val="00866D37"/>
    <w:rsid w:val="00871839"/>
    <w:rsid w:val="008727B5"/>
    <w:rsid w:val="00875308"/>
    <w:rsid w:val="00875784"/>
    <w:rsid w:val="008768A5"/>
    <w:rsid w:val="00892478"/>
    <w:rsid w:val="008A18E5"/>
    <w:rsid w:val="008A4B60"/>
    <w:rsid w:val="008B3F71"/>
    <w:rsid w:val="008B6A30"/>
    <w:rsid w:val="008C70DC"/>
    <w:rsid w:val="008C74F8"/>
    <w:rsid w:val="008D506B"/>
    <w:rsid w:val="008E232B"/>
    <w:rsid w:val="008E2D85"/>
    <w:rsid w:val="009028B2"/>
    <w:rsid w:val="00910BE0"/>
    <w:rsid w:val="00927B77"/>
    <w:rsid w:val="00935E02"/>
    <w:rsid w:val="009411FD"/>
    <w:rsid w:val="0094641A"/>
    <w:rsid w:val="00960451"/>
    <w:rsid w:val="00987006"/>
    <w:rsid w:val="00996403"/>
    <w:rsid w:val="009964D0"/>
    <w:rsid w:val="009A0F29"/>
    <w:rsid w:val="009A6661"/>
    <w:rsid w:val="009B3FAE"/>
    <w:rsid w:val="009B7D0A"/>
    <w:rsid w:val="009C1EFC"/>
    <w:rsid w:val="009D1C27"/>
    <w:rsid w:val="009D2547"/>
    <w:rsid w:val="00A14F81"/>
    <w:rsid w:val="00A17A4B"/>
    <w:rsid w:val="00A33BFC"/>
    <w:rsid w:val="00A52273"/>
    <w:rsid w:val="00A6625D"/>
    <w:rsid w:val="00AA69B5"/>
    <w:rsid w:val="00AB4CA2"/>
    <w:rsid w:val="00AD41E6"/>
    <w:rsid w:val="00AE4CF8"/>
    <w:rsid w:val="00AE7F1A"/>
    <w:rsid w:val="00AF267B"/>
    <w:rsid w:val="00AF27F7"/>
    <w:rsid w:val="00AF418C"/>
    <w:rsid w:val="00AF4E5B"/>
    <w:rsid w:val="00B0326D"/>
    <w:rsid w:val="00B0347D"/>
    <w:rsid w:val="00B05A8B"/>
    <w:rsid w:val="00B05EF8"/>
    <w:rsid w:val="00B111AB"/>
    <w:rsid w:val="00B229BA"/>
    <w:rsid w:val="00B334C3"/>
    <w:rsid w:val="00B45489"/>
    <w:rsid w:val="00B538A7"/>
    <w:rsid w:val="00B60255"/>
    <w:rsid w:val="00B63313"/>
    <w:rsid w:val="00B727F6"/>
    <w:rsid w:val="00B814E7"/>
    <w:rsid w:val="00B86FD5"/>
    <w:rsid w:val="00B95DC3"/>
    <w:rsid w:val="00B97724"/>
    <w:rsid w:val="00B978D6"/>
    <w:rsid w:val="00BA523D"/>
    <w:rsid w:val="00BB0CAA"/>
    <w:rsid w:val="00BB68B7"/>
    <w:rsid w:val="00BC5ACA"/>
    <w:rsid w:val="00BC62FA"/>
    <w:rsid w:val="00BD7468"/>
    <w:rsid w:val="00BE21D6"/>
    <w:rsid w:val="00BE2627"/>
    <w:rsid w:val="00BF27D0"/>
    <w:rsid w:val="00C04DB2"/>
    <w:rsid w:val="00C05045"/>
    <w:rsid w:val="00C06A8E"/>
    <w:rsid w:val="00C12ACB"/>
    <w:rsid w:val="00C13E73"/>
    <w:rsid w:val="00C14144"/>
    <w:rsid w:val="00C379A1"/>
    <w:rsid w:val="00C4409A"/>
    <w:rsid w:val="00C445C7"/>
    <w:rsid w:val="00C44F50"/>
    <w:rsid w:val="00C52F98"/>
    <w:rsid w:val="00C54511"/>
    <w:rsid w:val="00C62C02"/>
    <w:rsid w:val="00C63E1D"/>
    <w:rsid w:val="00C719CA"/>
    <w:rsid w:val="00C71E57"/>
    <w:rsid w:val="00C73962"/>
    <w:rsid w:val="00C82BA3"/>
    <w:rsid w:val="00CA4D6A"/>
    <w:rsid w:val="00CB1340"/>
    <w:rsid w:val="00CB509E"/>
    <w:rsid w:val="00CC200B"/>
    <w:rsid w:val="00CD6E93"/>
    <w:rsid w:val="00CE16FA"/>
    <w:rsid w:val="00D0113C"/>
    <w:rsid w:val="00D118DC"/>
    <w:rsid w:val="00D12336"/>
    <w:rsid w:val="00D16874"/>
    <w:rsid w:val="00D168C0"/>
    <w:rsid w:val="00D1790E"/>
    <w:rsid w:val="00D2293B"/>
    <w:rsid w:val="00D36E01"/>
    <w:rsid w:val="00D42547"/>
    <w:rsid w:val="00D4542B"/>
    <w:rsid w:val="00D46558"/>
    <w:rsid w:val="00D52D5F"/>
    <w:rsid w:val="00D621A1"/>
    <w:rsid w:val="00D70764"/>
    <w:rsid w:val="00D73D14"/>
    <w:rsid w:val="00D73F52"/>
    <w:rsid w:val="00D8395D"/>
    <w:rsid w:val="00D90A68"/>
    <w:rsid w:val="00D918D2"/>
    <w:rsid w:val="00D9428C"/>
    <w:rsid w:val="00D96D03"/>
    <w:rsid w:val="00DA620E"/>
    <w:rsid w:val="00DB0679"/>
    <w:rsid w:val="00DB3C93"/>
    <w:rsid w:val="00DC504B"/>
    <w:rsid w:val="00DD63EC"/>
    <w:rsid w:val="00DD79D0"/>
    <w:rsid w:val="00DE01FA"/>
    <w:rsid w:val="00DE087B"/>
    <w:rsid w:val="00DF409E"/>
    <w:rsid w:val="00E028F1"/>
    <w:rsid w:val="00E06EC0"/>
    <w:rsid w:val="00E306C6"/>
    <w:rsid w:val="00E42E67"/>
    <w:rsid w:val="00E45040"/>
    <w:rsid w:val="00E500CC"/>
    <w:rsid w:val="00E545A1"/>
    <w:rsid w:val="00E61AB5"/>
    <w:rsid w:val="00E70500"/>
    <w:rsid w:val="00E70D30"/>
    <w:rsid w:val="00E778D7"/>
    <w:rsid w:val="00E96D4F"/>
    <w:rsid w:val="00E973A4"/>
    <w:rsid w:val="00EB549C"/>
    <w:rsid w:val="00EC666B"/>
    <w:rsid w:val="00ED08CD"/>
    <w:rsid w:val="00EE223E"/>
    <w:rsid w:val="00EE7C34"/>
    <w:rsid w:val="00EF542E"/>
    <w:rsid w:val="00F14C7A"/>
    <w:rsid w:val="00F207D2"/>
    <w:rsid w:val="00F21DDA"/>
    <w:rsid w:val="00F36DFA"/>
    <w:rsid w:val="00F40072"/>
    <w:rsid w:val="00F422AB"/>
    <w:rsid w:val="00F43586"/>
    <w:rsid w:val="00F656F6"/>
    <w:rsid w:val="00F740DC"/>
    <w:rsid w:val="00F77079"/>
    <w:rsid w:val="00F95771"/>
    <w:rsid w:val="00FA2827"/>
    <w:rsid w:val="00FA406D"/>
    <w:rsid w:val="00FA47FA"/>
    <w:rsid w:val="00FB13D8"/>
    <w:rsid w:val="00FC70A9"/>
    <w:rsid w:val="00FE65B3"/>
    <w:rsid w:val="00FF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3678F90"/>
  <w15:docId w15:val="{578BE933-731B-481A-8E9A-AAF514D5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C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1717C"/>
    <w:pPr>
      <w:keepNext/>
      <w:spacing w:before="240" w:after="60" w:line="240" w:lineRule="auto"/>
      <w:outlineLvl w:val="0"/>
    </w:pPr>
    <w:rPr>
      <w:rFonts w:ascii="Arial" w:eastAsia="Times New Roman" w:hAnsi="Arial" w:cs="Arial"/>
      <w:b/>
      <w:bCs/>
      <w:kern w:val="32"/>
      <w:sz w:val="32"/>
      <w:szCs w:val="32"/>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8CD"/>
    <w:rPr>
      <w:rFonts w:ascii="Calibri" w:eastAsia="Calibri" w:hAnsi="Calibri" w:cs="Times New Roman"/>
    </w:rPr>
  </w:style>
  <w:style w:type="paragraph" w:styleId="ListParagraph">
    <w:name w:val="List Paragraph"/>
    <w:aliases w:val="Párrafo de lista1,List Paragraph1,Colorful List - Accent 11,List Paragraph11"/>
    <w:basedOn w:val="Normal"/>
    <w:link w:val="ListParagraphChar"/>
    <w:uiPriority w:val="34"/>
    <w:qFormat/>
    <w:rsid w:val="00ED08CD"/>
    <w:pPr>
      <w:ind w:left="720"/>
      <w:contextualSpacing/>
    </w:pPr>
  </w:style>
  <w:style w:type="character" w:styleId="Hyperlink">
    <w:name w:val="Hyperlink"/>
    <w:basedOn w:val="DefaultParagraphFont"/>
    <w:uiPriority w:val="99"/>
    <w:unhideWhenUsed/>
    <w:rsid w:val="00336FDE"/>
    <w:rPr>
      <w:color w:val="0563C1" w:themeColor="hyperlink"/>
      <w:u w:val="single"/>
    </w:rPr>
  </w:style>
  <w:style w:type="paragraph" w:styleId="Footer">
    <w:name w:val="footer"/>
    <w:basedOn w:val="Normal"/>
    <w:link w:val="FooterChar"/>
    <w:uiPriority w:val="99"/>
    <w:unhideWhenUsed/>
    <w:rsid w:val="000A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4D"/>
    <w:rPr>
      <w:rFonts w:ascii="Calibri" w:eastAsia="Calibri" w:hAnsi="Calibri" w:cs="Times New Roman"/>
    </w:rPr>
  </w:style>
  <w:style w:type="character" w:customStyle="1" w:styleId="Heading1Char">
    <w:name w:val="Heading 1 Char"/>
    <w:basedOn w:val="DefaultParagraphFont"/>
    <w:link w:val="Heading1"/>
    <w:rsid w:val="0071717C"/>
    <w:rPr>
      <w:rFonts w:ascii="Arial" w:eastAsia="Times New Roman" w:hAnsi="Arial" w:cs="Arial"/>
      <w:b/>
      <w:bCs/>
      <w:kern w:val="32"/>
      <w:sz w:val="32"/>
      <w:szCs w:val="32"/>
      <w:lang w:val="es-ES_tradnl" w:eastAsia="es-ES_tradnl"/>
    </w:rPr>
  </w:style>
  <w:style w:type="paragraph" w:styleId="BlockText">
    <w:name w:val="Block Text"/>
    <w:basedOn w:val="Normal"/>
    <w:semiHidden/>
    <w:unhideWhenUsed/>
    <w:rsid w:val="0071717C"/>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1717C"/>
    <w:rPr>
      <w:rFonts w:ascii="Calibri" w:eastAsia="Calibri" w:hAnsi="Calibri" w:cs="Times New Roman"/>
    </w:rPr>
  </w:style>
  <w:style w:type="character" w:styleId="FollowedHyperlink">
    <w:name w:val="FollowedHyperlink"/>
    <w:basedOn w:val="DefaultParagraphFont"/>
    <w:uiPriority w:val="99"/>
    <w:semiHidden/>
    <w:unhideWhenUsed/>
    <w:rsid w:val="00835DBB"/>
    <w:rPr>
      <w:color w:val="954F72" w:themeColor="followedHyperlink"/>
      <w:u w:val="single"/>
    </w:rPr>
  </w:style>
  <w:style w:type="paragraph" w:styleId="BalloonText">
    <w:name w:val="Balloon Text"/>
    <w:basedOn w:val="Normal"/>
    <w:link w:val="BalloonTextChar"/>
    <w:uiPriority w:val="99"/>
    <w:semiHidden/>
    <w:unhideWhenUsed/>
    <w:rsid w:val="0057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57"/>
    <w:rPr>
      <w:rFonts w:ascii="Tahoma" w:eastAsia="Calibri" w:hAnsi="Tahoma" w:cs="Tahoma"/>
      <w:sz w:val="16"/>
      <w:szCs w:val="16"/>
    </w:rPr>
  </w:style>
  <w:style w:type="character" w:styleId="PageNumber">
    <w:name w:val="page number"/>
    <w:basedOn w:val="DefaultParagraphFont"/>
    <w:uiPriority w:val="99"/>
    <w:semiHidden/>
    <w:unhideWhenUsed/>
    <w:rsid w:val="00AF27F7"/>
  </w:style>
  <w:style w:type="character" w:styleId="CommentReference">
    <w:name w:val="annotation reference"/>
    <w:basedOn w:val="DefaultParagraphFont"/>
    <w:uiPriority w:val="99"/>
    <w:semiHidden/>
    <w:unhideWhenUsed/>
    <w:rsid w:val="00FA47FA"/>
    <w:rPr>
      <w:sz w:val="16"/>
      <w:szCs w:val="16"/>
    </w:rPr>
  </w:style>
  <w:style w:type="paragraph" w:styleId="CommentText">
    <w:name w:val="annotation text"/>
    <w:basedOn w:val="Normal"/>
    <w:link w:val="CommentTextChar"/>
    <w:uiPriority w:val="99"/>
    <w:semiHidden/>
    <w:unhideWhenUsed/>
    <w:rsid w:val="00FA47FA"/>
    <w:pPr>
      <w:spacing w:line="240" w:lineRule="auto"/>
    </w:pPr>
    <w:rPr>
      <w:sz w:val="20"/>
      <w:szCs w:val="20"/>
    </w:rPr>
  </w:style>
  <w:style w:type="character" w:customStyle="1" w:styleId="CommentTextChar">
    <w:name w:val="Comment Text Char"/>
    <w:basedOn w:val="DefaultParagraphFont"/>
    <w:link w:val="CommentText"/>
    <w:uiPriority w:val="99"/>
    <w:semiHidden/>
    <w:rsid w:val="00FA47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47FA"/>
    <w:rPr>
      <w:b/>
      <w:bCs/>
    </w:rPr>
  </w:style>
  <w:style w:type="character" w:customStyle="1" w:styleId="CommentSubjectChar">
    <w:name w:val="Comment Subject Char"/>
    <w:basedOn w:val="CommentTextChar"/>
    <w:link w:val="CommentSubject"/>
    <w:uiPriority w:val="99"/>
    <w:semiHidden/>
    <w:rsid w:val="00FA47FA"/>
    <w:rPr>
      <w:rFonts w:ascii="Calibri" w:eastAsia="Calibri" w:hAnsi="Calibri" w:cs="Times New Roman"/>
      <w:b/>
      <w:bCs/>
      <w:sz w:val="20"/>
      <w:szCs w:val="20"/>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365BD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365BD5"/>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365BD5"/>
    <w:rPr>
      <w:vertAlign w:val="superscript"/>
    </w:rPr>
  </w:style>
  <w:style w:type="paragraph" w:customStyle="1" w:styleId="Appelnotedebasde">
    <w:name w:val="Appel note de bas de..."/>
    <w:basedOn w:val="Normal"/>
    <w:link w:val="FootnoteReference"/>
    <w:uiPriority w:val="99"/>
    <w:rsid w:val="009B7D0A"/>
    <w:pPr>
      <w:spacing w:after="160" w:line="240" w:lineRule="exact"/>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374">
      <w:bodyDiv w:val="1"/>
      <w:marLeft w:val="0"/>
      <w:marRight w:val="0"/>
      <w:marTop w:val="0"/>
      <w:marBottom w:val="0"/>
      <w:divBdr>
        <w:top w:val="none" w:sz="0" w:space="0" w:color="auto"/>
        <w:left w:val="none" w:sz="0" w:space="0" w:color="auto"/>
        <w:bottom w:val="none" w:sz="0" w:space="0" w:color="auto"/>
        <w:right w:val="none" w:sz="0" w:space="0" w:color="auto"/>
      </w:divBdr>
    </w:div>
    <w:div w:id="385640249">
      <w:bodyDiv w:val="1"/>
      <w:marLeft w:val="0"/>
      <w:marRight w:val="0"/>
      <w:marTop w:val="0"/>
      <w:marBottom w:val="0"/>
      <w:divBdr>
        <w:top w:val="none" w:sz="0" w:space="0" w:color="auto"/>
        <w:left w:val="none" w:sz="0" w:space="0" w:color="auto"/>
        <w:bottom w:val="none" w:sz="0" w:space="0" w:color="auto"/>
        <w:right w:val="none" w:sz="0" w:space="0" w:color="auto"/>
      </w:divBdr>
    </w:div>
    <w:div w:id="436101602">
      <w:bodyDiv w:val="1"/>
      <w:marLeft w:val="0"/>
      <w:marRight w:val="0"/>
      <w:marTop w:val="0"/>
      <w:marBottom w:val="0"/>
      <w:divBdr>
        <w:top w:val="none" w:sz="0" w:space="0" w:color="auto"/>
        <w:left w:val="none" w:sz="0" w:space="0" w:color="auto"/>
        <w:bottom w:val="none" w:sz="0" w:space="0" w:color="auto"/>
        <w:right w:val="none" w:sz="0" w:space="0" w:color="auto"/>
      </w:divBdr>
    </w:div>
    <w:div w:id="970208808">
      <w:bodyDiv w:val="1"/>
      <w:marLeft w:val="0"/>
      <w:marRight w:val="0"/>
      <w:marTop w:val="0"/>
      <w:marBottom w:val="0"/>
      <w:divBdr>
        <w:top w:val="none" w:sz="0" w:space="0" w:color="auto"/>
        <w:left w:val="none" w:sz="0" w:space="0" w:color="auto"/>
        <w:bottom w:val="none" w:sz="0" w:space="0" w:color="auto"/>
        <w:right w:val="none" w:sz="0" w:space="0" w:color="auto"/>
      </w:divBdr>
    </w:div>
    <w:div w:id="1178738633">
      <w:bodyDiv w:val="1"/>
      <w:marLeft w:val="0"/>
      <w:marRight w:val="0"/>
      <w:marTop w:val="0"/>
      <w:marBottom w:val="0"/>
      <w:divBdr>
        <w:top w:val="none" w:sz="0" w:space="0" w:color="auto"/>
        <w:left w:val="none" w:sz="0" w:space="0" w:color="auto"/>
        <w:bottom w:val="none" w:sz="0" w:space="0" w:color="auto"/>
        <w:right w:val="none" w:sz="0" w:space="0" w:color="auto"/>
      </w:divBdr>
    </w:div>
    <w:div w:id="1215965087">
      <w:bodyDiv w:val="1"/>
      <w:marLeft w:val="0"/>
      <w:marRight w:val="0"/>
      <w:marTop w:val="0"/>
      <w:marBottom w:val="0"/>
      <w:divBdr>
        <w:top w:val="none" w:sz="0" w:space="0" w:color="auto"/>
        <w:left w:val="none" w:sz="0" w:space="0" w:color="auto"/>
        <w:bottom w:val="none" w:sz="0" w:space="0" w:color="auto"/>
        <w:right w:val="none" w:sz="0" w:space="0" w:color="auto"/>
      </w:divBdr>
    </w:div>
    <w:div w:id="1370378432">
      <w:bodyDiv w:val="1"/>
      <w:marLeft w:val="0"/>
      <w:marRight w:val="0"/>
      <w:marTop w:val="0"/>
      <w:marBottom w:val="0"/>
      <w:divBdr>
        <w:top w:val="none" w:sz="0" w:space="0" w:color="auto"/>
        <w:left w:val="none" w:sz="0" w:space="0" w:color="auto"/>
        <w:bottom w:val="none" w:sz="0" w:space="0" w:color="auto"/>
        <w:right w:val="none" w:sz="0" w:space="0" w:color="auto"/>
      </w:divBdr>
    </w:div>
    <w:div w:id="1598362540">
      <w:bodyDiv w:val="1"/>
      <w:marLeft w:val="0"/>
      <w:marRight w:val="0"/>
      <w:marTop w:val="0"/>
      <w:marBottom w:val="0"/>
      <w:divBdr>
        <w:top w:val="none" w:sz="0" w:space="0" w:color="auto"/>
        <w:left w:val="none" w:sz="0" w:space="0" w:color="auto"/>
        <w:bottom w:val="none" w:sz="0" w:space="0" w:color="auto"/>
        <w:right w:val="none" w:sz="0" w:space="0" w:color="auto"/>
      </w:divBdr>
    </w:div>
    <w:div w:id="1739398836">
      <w:bodyDiv w:val="1"/>
      <w:marLeft w:val="0"/>
      <w:marRight w:val="0"/>
      <w:marTop w:val="0"/>
      <w:marBottom w:val="0"/>
      <w:divBdr>
        <w:top w:val="none" w:sz="0" w:space="0" w:color="auto"/>
        <w:left w:val="none" w:sz="0" w:space="0" w:color="auto"/>
        <w:bottom w:val="none" w:sz="0" w:space="0" w:color="auto"/>
        <w:right w:val="none" w:sz="0" w:space="0" w:color="auto"/>
      </w:divBdr>
    </w:div>
    <w:div w:id="1960991407">
      <w:bodyDiv w:val="1"/>
      <w:marLeft w:val="0"/>
      <w:marRight w:val="0"/>
      <w:marTop w:val="0"/>
      <w:marBottom w:val="0"/>
      <w:divBdr>
        <w:top w:val="none" w:sz="0" w:space="0" w:color="auto"/>
        <w:left w:val="none" w:sz="0" w:space="0" w:color="auto"/>
        <w:bottom w:val="none" w:sz="0" w:space="0" w:color="auto"/>
        <w:right w:val="none" w:sz="0" w:space="0" w:color="auto"/>
      </w:divBdr>
    </w:div>
    <w:div w:id="1993289303">
      <w:bodyDiv w:val="1"/>
      <w:marLeft w:val="0"/>
      <w:marRight w:val="0"/>
      <w:marTop w:val="0"/>
      <w:marBottom w:val="0"/>
      <w:divBdr>
        <w:top w:val="none" w:sz="0" w:space="0" w:color="auto"/>
        <w:left w:val="none" w:sz="0" w:space="0" w:color="auto"/>
        <w:bottom w:val="none" w:sz="0" w:space="0" w:color="auto"/>
        <w:right w:val="none" w:sz="0" w:space="0" w:color="auto"/>
      </w:divBdr>
    </w:div>
    <w:div w:id="21367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rg/annualrep/2009eng/TT12269eng.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dh.org/annualrep/2005eng/TT.12269eng.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decisions/2014/USPU12873EN.pdf" TargetMode="External"/><Relationship Id="rId2" Type="http://schemas.openxmlformats.org/officeDocument/2006/relationships/hyperlink" Target="http://www.corteidh.or.cr/docs/opiniones/seriea_10_ing1.pdf" TargetMode="External"/><Relationship Id="rId1" Type="http://schemas.openxmlformats.org/officeDocument/2006/relationships/hyperlink" Target="https://www.jcpc.uk/cases/docs/jcpc-2015-0055-judgment.pdf" TargetMode="External"/><Relationship Id="rId5" Type="http://schemas.openxmlformats.org/officeDocument/2006/relationships/hyperlink" Target="http://www.oas.org/en/iachr/decisions/2011/CAPU12586EN.doc" TargetMode="External"/><Relationship Id="rId4" Type="http://schemas.openxmlformats.org/officeDocument/2006/relationships/hyperlink" Target="http://www.oas.org/en/iachr/reports/pdfs/Towards-Closure-Guantanam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CE0B-8605-447A-8E22-A35B8D27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Paez, Suzdal</cp:lastModifiedBy>
  <cp:revision>124</cp:revision>
  <dcterms:created xsi:type="dcterms:W3CDTF">2019-12-19T00:09:00Z</dcterms:created>
  <dcterms:modified xsi:type="dcterms:W3CDTF">2021-03-25T22:11:00Z</dcterms:modified>
</cp:coreProperties>
</file>