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88D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F563DB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20B7">
                              <w:rPr>
                                <w:rFonts w:asciiTheme="majorHAnsi" w:hAnsiTheme="majorHAnsi" w:cs="Arial"/>
                                <w:b/>
                                <w:bCs/>
                                <w:color w:val="0D0D0D" w:themeColor="text1" w:themeTint="F2"/>
                                <w:sz w:val="36"/>
                                <w:szCs w:val="22"/>
                                <w:lang w:val="es-ES_tradnl"/>
                              </w:rPr>
                              <w:t>340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66B5BAC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F9F">
                              <w:rPr>
                                <w:rFonts w:asciiTheme="majorHAnsi" w:hAnsiTheme="majorHAnsi" w:cs="Arial"/>
                                <w:b/>
                                <w:color w:val="0D0D0D" w:themeColor="text1" w:themeTint="F2"/>
                                <w:sz w:val="36"/>
                                <w:szCs w:val="22"/>
                                <w:lang w:val="es-ES_tradnl"/>
                              </w:rPr>
                              <w:t>1947</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133C611" w:rsidR="005B52B0" w:rsidRPr="0010736F" w:rsidRDefault="00971F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YURDEN CARVAJAL CARDONA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F563DB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120B7">
                        <w:rPr>
                          <w:rFonts w:asciiTheme="majorHAnsi" w:hAnsiTheme="majorHAnsi" w:cs="Arial"/>
                          <w:b/>
                          <w:bCs/>
                          <w:color w:val="0D0D0D" w:themeColor="text1" w:themeTint="F2"/>
                          <w:sz w:val="36"/>
                          <w:szCs w:val="22"/>
                          <w:lang w:val="es-ES_tradnl"/>
                        </w:rPr>
                        <w:t>340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66B5BAC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F9F">
                        <w:rPr>
                          <w:rFonts w:asciiTheme="majorHAnsi" w:hAnsiTheme="majorHAnsi" w:cs="Arial"/>
                          <w:b/>
                          <w:color w:val="0D0D0D" w:themeColor="text1" w:themeTint="F2"/>
                          <w:sz w:val="36"/>
                          <w:szCs w:val="22"/>
                          <w:lang w:val="es-ES_tradnl"/>
                        </w:rPr>
                        <w:t>1947</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133C611" w:rsidR="005B52B0" w:rsidRPr="0010736F" w:rsidRDefault="00971F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YURDEN CARVAJAL CARDONA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0F82D0D" w:rsidR="00627C9F" w:rsidRPr="00091DCA" w:rsidRDefault="00834D49" w:rsidP="007A5817">
                            <w:pPr>
                              <w:spacing w:line="276" w:lineRule="auto"/>
                              <w:jc w:val="right"/>
                              <w:rPr>
                                <w:rFonts w:asciiTheme="minorHAnsi" w:hAnsiTheme="minorHAnsi"/>
                                <w:color w:val="FFFFFF" w:themeColor="background1"/>
                                <w:sz w:val="22"/>
                                <w:lang w:val="es-AR"/>
                              </w:rPr>
                            </w:pPr>
                            <w:r w:rsidRPr="00091DCA">
                              <w:rPr>
                                <w:rFonts w:asciiTheme="minorHAnsi" w:hAnsiTheme="minorHAnsi"/>
                                <w:color w:val="FFFFFF" w:themeColor="background1"/>
                                <w:sz w:val="22"/>
                                <w:lang w:val="es-AR"/>
                              </w:rPr>
                              <w:t>OEA/Ser.L/V/II</w:t>
                            </w:r>
                          </w:p>
                          <w:p w14:paraId="71D2D5D2" w14:textId="1154DAA3" w:rsidR="00627C9F" w:rsidRPr="00091DCA" w:rsidRDefault="00627C9F" w:rsidP="007A5817">
                            <w:pPr>
                              <w:spacing w:line="276" w:lineRule="auto"/>
                              <w:jc w:val="right"/>
                              <w:rPr>
                                <w:rFonts w:asciiTheme="minorHAnsi" w:hAnsiTheme="minorHAnsi"/>
                                <w:color w:val="FFFFFF" w:themeColor="background1"/>
                                <w:sz w:val="22"/>
                                <w:lang w:val="es-AR"/>
                              </w:rPr>
                            </w:pPr>
                            <w:r w:rsidRPr="00091DCA">
                              <w:rPr>
                                <w:rFonts w:asciiTheme="minorHAnsi" w:hAnsiTheme="minorHAnsi"/>
                                <w:color w:val="FFFFFF" w:themeColor="background1"/>
                                <w:sz w:val="22"/>
                                <w:lang w:val="es-AR"/>
                              </w:rPr>
                              <w:t xml:space="preserve">Doc. </w:t>
                            </w:r>
                            <w:r w:rsidR="008D6A2E" w:rsidRPr="00091DCA">
                              <w:rPr>
                                <w:rFonts w:asciiTheme="minorHAnsi" w:hAnsiTheme="minorHAnsi"/>
                                <w:color w:val="FFFFFF" w:themeColor="background1"/>
                                <w:sz w:val="22"/>
                                <w:lang w:val="es-AR"/>
                              </w:rPr>
                              <w:t>366</w:t>
                            </w:r>
                          </w:p>
                          <w:p w14:paraId="4061DBBD" w14:textId="0EE15A75" w:rsidR="00627C9F" w:rsidRPr="00C25ADB" w:rsidRDefault="008D6A2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0F82D0D" w:rsidR="00627C9F" w:rsidRPr="00091DCA" w:rsidRDefault="00834D49" w:rsidP="007A5817">
                      <w:pPr>
                        <w:spacing w:line="276" w:lineRule="auto"/>
                        <w:jc w:val="right"/>
                        <w:rPr>
                          <w:rFonts w:asciiTheme="minorHAnsi" w:hAnsiTheme="minorHAnsi"/>
                          <w:color w:val="FFFFFF" w:themeColor="background1"/>
                          <w:sz w:val="22"/>
                          <w:lang w:val="es-AR"/>
                        </w:rPr>
                      </w:pPr>
                      <w:r w:rsidRPr="00091DCA">
                        <w:rPr>
                          <w:rFonts w:asciiTheme="minorHAnsi" w:hAnsiTheme="minorHAnsi"/>
                          <w:color w:val="FFFFFF" w:themeColor="background1"/>
                          <w:sz w:val="22"/>
                          <w:lang w:val="es-AR"/>
                        </w:rPr>
                        <w:t>OEA/Ser.L/V/II</w:t>
                      </w:r>
                    </w:p>
                    <w:p w14:paraId="71D2D5D2" w14:textId="1154DAA3" w:rsidR="00627C9F" w:rsidRPr="00091DCA" w:rsidRDefault="00627C9F" w:rsidP="007A5817">
                      <w:pPr>
                        <w:spacing w:line="276" w:lineRule="auto"/>
                        <w:jc w:val="right"/>
                        <w:rPr>
                          <w:rFonts w:asciiTheme="minorHAnsi" w:hAnsiTheme="minorHAnsi"/>
                          <w:color w:val="FFFFFF" w:themeColor="background1"/>
                          <w:sz w:val="22"/>
                          <w:lang w:val="es-AR"/>
                        </w:rPr>
                      </w:pPr>
                      <w:r w:rsidRPr="00091DCA">
                        <w:rPr>
                          <w:rFonts w:asciiTheme="minorHAnsi" w:hAnsiTheme="minorHAnsi"/>
                          <w:color w:val="FFFFFF" w:themeColor="background1"/>
                          <w:sz w:val="22"/>
                          <w:lang w:val="es-AR"/>
                        </w:rPr>
                        <w:t xml:space="preserve">Doc. </w:t>
                      </w:r>
                      <w:r w:rsidR="008D6A2E" w:rsidRPr="00091DCA">
                        <w:rPr>
                          <w:rFonts w:asciiTheme="minorHAnsi" w:hAnsiTheme="minorHAnsi"/>
                          <w:color w:val="FFFFFF" w:themeColor="background1"/>
                          <w:sz w:val="22"/>
                          <w:lang w:val="es-AR"/>
                        </w:rPr>
                        <w:t>366</w:t>
                      </w:r>
                    </w:p>
                    <w:p w14:paraId="4061DBBD" w14:textId="0EE15A75" w:rsidR="00627C9F" w:rsidRPr="00C25ADB" w:rsidRDefault="008D6A2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BB5F9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F16D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1F16D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120B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BB5F99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F16D4">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1F16D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120B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44585" w14:textId="77777777" w:rsidR="006D5F6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5F6C" w:rsidRPr="006D5F6C">
                              <w:rPr>
                                <w:rFonts w:asciiTheme="majorHAnsi" w:hAnsiTheme="majorHAnsi"/>
                                <w:color w:val="595959" w:themeColor="text1" w:themeTint="A6"/>
                                <w:sz w:val="18"/>
                                <w:szCs w:val="18"/>
                                <w:lang w:val="pt-BR"/>
                              </w:rPr>
                              <w:t>340</w:t>
                            </w:r>
                            <w:r w:rsidR="007B05C4" w:rsidRPr="006D5F6C">
                              <w:rPr>
                                <w:rFonts w:asciiTheme="majorHAnsi" w:hAnsiTheme="majorHAnsi"/>
                                <w:color w:val="595959" w:themeColor="text1" w:themeTint="A6"/>
                                <w:sz w:val="18"/>
                                <w:szCs w:val="18"/>
                                <w:lang w:val="pt-BR"/>
                              </w:rPr>
                              <w:t>/</w:t>
                            </w:r>
                            <w:r w:rsidR="006D5F6C" w:rsidRPr="006D5F6C">
                              <w:rPr>
                                <w:rFonts w:asciiTheme="majorHAnsi" w:hAnsiTheme="majorHAnsi"/>
                                <w:color w:val="595959" w:themeColor="text1" w:themeTint="A6"/>
                                <w:sz w:val="18"/>
                                <w:szCs w:val="18"/>
                                <w:lang w:val="pt-BR"/>
                              </w:rPr>
                              <w:t>23</w:t>
                            </w:r>
                            <w:r w:rsidRPr="006D5F6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71F9F">
                              <w:rPr>
                                <w:rFonts w:asciiTheme="majorHAnsi" w:hAnsiTheme="majorHAnsi"/>
                                <w:color w:val="595959" w:themeColor="text1" w:themeTint="A6"/>
                                <w:sz w:val="18"/>
                                <w:szCs w:val="18"/>
                                <w:lang w:val="es-ES"/>
                              </w:rPr>
                              <w:t>1947</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04B40579" w:rsidR="00113F73" w:rsidRPr="007B05C4" w:rsidRDefault="00971F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Yurden Carvajal Cardona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D5F6C">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A044585" w14:textId="77777777" w:rsidR="006D5F6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5F6C" w:rsidRPr="006D5F6C">
                        <w:rPr>
                          <w:rFonts w:asciiTheme="majorHAnsi" w:hAnsiTheme="majorHAnsi"/>
                          <w:color w:val="595959" w:themeColor="text1" w:themeTint="A6"/>
                          <w:sz w:val="18"/>
                          <w:szCs w:val="18"/>
                          <w:lang w:val="pt-BR"/>
                        </w:rPr>
                        <w:t>340</w:t>
                      </w:r>
                      <w:r w:rsidR="007B05C4" w:rsidRPr="006D5F6C">
                        <w:rPr>
                          <w:rFonts w:asciiTheme="majorHAnsi" w:hAnsiTheme="majorHAnsi"/>
                          <w:color w:val="595959" w:themeColor="text1" w:themeTint="A6"/>
                          <w:sz w:val="18"/>
                          <w:szCs w:val="18"/>
                          <w:lang w:val="pt-BR"/>
                        </w:rPr>
                        <w:t>/</w:t>
                      </w:r>
                      <w:r w:rsidR="006D5F6C" w:rsidRPr="006D5F6C">
                        <w:rPr>
                          <w:rFonts w:asciiTheme="majorHAnsi" w:hAnsiTheme="majorHAnsi"/>
                          <w:color w:val="595959" w:themeColor="text1" w:themeTint="A6"/>
                          <w:sz w:val="18"/>
                          <w:szCs w:val="18"/>
                          <w:lang w:val="pt-BR"/>
                        </w:rPr>
                        <w:t>23</w:t>
                      </w:r>
                      <w:r w:rsidRPr="006D5F6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71F9F">
                        <w:rPr>
                          <w:rFonts w:asciiTheme="majorHAnsi" w:hAnsiTheme="majorHAnsi"/>
                          <w:color w:val="595959" w:themeColor="text1" w:themeTint="A6"/>
                          <w:sz w:val="18"/>
                          <w:szCs w:val="18"/>
                          <w:lang w:val="es-ES"/>
                        </w:rPr>
                        <w:t>1947</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04B40579" w:rsidR="00113F73" w:rsidRPr="007B05C4" w:rsidRDefault="00971F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Yurden Carvajal Cardona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D5F6C">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CD159F8" w:rsidR="00D72DC6" w:rsidRPr="00D72DC6" w:rsidRDefault="007D7126" w:rsidP="00F02AD1">
                            <w:pPr>
                              <w:rPr>
                                <w:color w:val="FFFFFF" w:themeColor="background1"/>
                                <w14:textFill>
                                  <w14:noFill/>
                                </w14:textFill>
                              </w:rPr>
                            </w:pPr>
                            <w:r>
                              <w:rPr>
                                <w:noProof/>
                                <w:color w:val="FFFFFF" w:themeColor="background1"/>
                              </w:rPr>
                              <w:drawing>
                                <wp:inline distT="0" distB="0" distL="0" distR="0" wp14:anchorId="06756B5E" wp14:editId="61A4BA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CD159F8" w:rsidR="00D72DC6" w:rsidRPr="00D72DC6" w:rsidRDefault="007D7126" w:rsidP="00F02AD1">
                      <w:pPr>
                        <w:rPr>
                          <w:color w:val="FFFFFF" w:themeColor="background1"/>
                          <w14:textFill>
                            <w14:noFill/>
                          </w14:textFill>
                        </w:rPr>
                      </w:pPr>
                      <w:r>
                        <w:rPr>
                          <w:noProof/>
                          <w:color w:val="FFFFFF" w:themeColor="background1"/>
                        </w:rPr>
                        <w:drawing>
                          <wp:inline distT="0" distB="0" distL="0" distR="0" wp14:anchorId="06756B5E" wp14:editId="61A4BA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44D6F0D2" w:rsidR="003239B8" w:rsidRPr="005403A2" w:rsidRDefault="000A78E8" w:rsidP="008D2290">
            <w:pPr>
              <w:jc w:val="both"/>
              <w:rPr>
                <w:rFonts w:ascii="Cambria" w:hAnsi="Cambria"/>
                <w:bCs/>
                <w:sz w:val="20"/>
                <w:szCs w:val="20"/>
                <w:lang w:val="es-419"/>
              </w:rPr>
            </w:pPr>
            <w:r w:rsidRPr="000A78E8">
              <w:rPr>
                <w:rFonts w:ascii="Cambria" w:hAnsi="Cambria"/>
                <w:bCs/>
                <w:sz w:val="20"/>
                <w:szCs w:val="20"/>
              </w:rPr>
              <w:t>Ricardo Andrés Jaramillo Lozano</w:t>
            </w:r>
          </w:p>
        </w:tc>
      </w:tr>
      <w:tr w:rsidR="003239B8" w:rsidRPr="00091DCA"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40406B"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47DB5582" w:rsidR="001D21C7" w:rsidRPr="0011075B" w:rsidRDefault="00971F9F" w:rsidP="00FC6219">
            <w:pPr>
              <w:jc w:val="both"/>
              <w:rPr>
                <w:rFonts w:ascii="Cambria" w:hAnsi="Cambria"/>
                <w:bCs/>
                <w:sz w:val="20"/>
                <w:szCs w:val="20"/>
                <w:lang w:val="es-419"/>
              </w:rPr>
            </w:pPr>
            <w:r>
              <w:rPr>
                <w:rFonts w:ascii="Cambria" w:hAnsi="Cambria"/>
                <w:bCs/>
                <w:sz w:val="20"/>
                <w:szCs w:val="20"/>
                <w:lang w:val="es-ES" w:bidi="es-ES"/>
              </w:rPr>
              <w:t>Yurden Carvajal Cardona</w:t>
            </w:r>
            <w:r w:rsidR="001A1BF2" w:rsidRPr="001A1BF2">
              <w:rPr>
                <w:rFonts w:ascii="Cambria" w:hAnsi="Cambria"/>
                <w:bCs/>
                <w:sz w:val="20"/>
                <w:szCs w:val="20"/>
                <w:lang w:val="es-419" w:bidi="es-ES"/>
              </w:rPr>
              <w:t xml:space="preserve"> </w:t>
            </w:r>
            <w:r w:rsidR="001D21C7" w:rsidRPr="0011075B">
              <w:rPr>
                <w:rFonts w:ascii="Cambria" w:hAnsi="Cambria"/>
                <w:bCs/>
                <w:sz w:val="20"/>
                <w:szCs w:val="20"/>
                <w:lang w:val="es-419"/>
              </w:rPr>
              <w:t>y familiares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091DCA"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79ACC621" w:rsidR="005F3F88" w:rsidRPr="000A78E8" w:rsidRDefault="00A34797" w:rsidP="005F3F88">
            <w:pPr>
              <w:jc w:val="both"/>
              <w:rPr>
                <w:rFonts w:ascii="Cambria" w:hAnsi="Cambria"/>
                <w:bCs/>
                <w:sz w:val="20"/>
                <w:szCs w:val="20"/>
                <w:lang w:val="es-419"/>
              </w:rPr>
            </w:pPr>
            <w:r w:rsidRPr="000A78E8">
              <w:rPr>
                <w:rFonts w:ascii="Cambria" w:hAnsi="Cambria"/>
                <w:bCs/>
                <w:sz w:val="20"/>
                <w:szCs w:val="20"/>
                <w:lang w:val="es-419" w:bidi="es-ES"/>
              </w:rPr>
              <w:t>Artículos 4 (vida),</w:t>
            </w:r>
            <w:r w:rsidR="00FD6EC9" w:rsidRPr="000A78E8">
              <w:rPr>
                <w:rFonts w:ascii="Cambria" w:hAnsi="Cambria"/>
                <w:bCs/>
                <w:sz w:val="20"/>
                <w:szCs w:val="20"/>
                <w:lang w:val="es-419" w:bidi="es-ES"/>
              </w:rPr>
              <w:t xml:space="preserve"> 5 (integridad personal) y 7 (libertad personal)</w:t>
            </w:r>
            <w:r w:rsidRPr="000A78E8">
              <w:rPr>
                <w:rFonts w:ascii="Cambria" w:hAnsi="Cambria"/>
                <w:bCs/>
                <w:sz w:val="20"/>
                <w:szCs w:val="20"/>
                <w:lang w:val="es-419" w:bidi="es-ES"/>
              </w:rPr>
              <w:t xml:space="preserve"> de la Convención Americana sobre Derechos Humanos</w:t>
            </w:r>
            <w:r w:rsidR="00785B6C" w:rsidRPr="000A78E8">
              <w:rPr>
                <w:rFonts w:ascii="Cambria" w:hAnsi="Cambria"/>
                <w:bCs/>
                <w:sz w:val="20"/>
                <w:szCs w:val="20"/>
                <w:vertAlign w:val="superscript"/>
                <w:lang w:val="es-419" w:bidi="es-ES"/>
              </w:rPr>
              <w:footnoteReference w:id="4"/>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A78E8"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0A78E8" w:rsidRPr="0011075B" w:rsidRDefault="000A78E8" w:rsidP="000A78E8">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47C50D9A" w:rsidR="000A78E8" w:rsidRPr="0011075B" w:rsidRDefault="001A02AD" w:rsidP="000A78E8">
            <w:pPr>
              <w:jc w:val="both"/>
              <w:rPr>
                <w:rFonts w:ascii="Cambria" w:hAnsi="Cambria"/>
                <w:bCs/>
                <w:sz w:val="20"/>
                <w:szCs w:val="20"/>
                <w:lang w:val="es-419"/>
              </w:rPr>
            </w:pPr>
            <w:r>
              <w:rPr>
                <w:rFonts w:ascii="Cambria" w:hAnsi="Cambria"/>
                <w:bCs/>
                <w:sz w:val="20"/>
                <w:szCs w:val="20"/>
                <w:lang w:val="es-419"/>
              </w:rPr>
              <w:t>27 de noviembre de 2013</w:t>
            </w:r>
          </w:p>
        </w:tc>
      </w:tr>
      <w:tr w:rsidR="000A78E8" w:rsidRPr="00064179" w14:paraId="41FCC586" w14:textId="77777777" w:rsidTr="004A6A54">
        <w:tc>
          <w:tcPr>
            <w:tcW w:w="3600" w:type="dxa"/>
            <w:tcBorders>
              <w:top w:val="single" w:sz="6" w:space="0" w:color="auto"/>
              <w:bottom w:val="single" w:sz="6" w:space="0" w:color="auto"/>
            </w:tcBorders>
            <w:shd w:val="clear" w:color="auto" w:fill="386294"/>
            <w:vAlign w:val="center"/>
          </w:tcPr>
          <w:p w14:paraId="1F5DDE80" w14:textId="64005BC5" w:rsidR="000A78E8" w:rsidRPr="0011075B" w:rsidRDefault="000A78E8" w:rsidP="000A78E8">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Información adicional recibida durante la etapa de estudio inicial:</w:t>
            </w:r>
          </w:p>
        </w:tc>
        <w:tc>
          <w:tcPr>
            <w:tcW w:w="5760" w:type="dxa"/>
            <w:vAlign w:val="center"/>
          </w:tcPr>
          <w:p w14:paraId="6F2D9011" w14:textId="10085760" w:rsidR="000A78E8" w:rsidRDefault="003728C2" w:rsidP="000A78E8">
            <w:pPr>
              <w:jc w:val="both"/>
              <w:rPr>
                <w:rFonts w:ascii="Cambria" w:hAnsi="Cambria"/>
                <w:bCs/>
                <w:sz w:val="20"/>
                <w:szCs w:val="20"/>
                <w:lang w:val="es-419"/>
              </w:rPr>
            </w:pPr>
            <w:r>
              <w:rPr>
                <w:rFonts w:ascii="Cambria" w:hAnsi="Cambria"/>
                <w:bCs/>
                <w:sz w:val="20"/>
                <w:szCs w:val="20"/>
                <w:lang w:val="es-419"/>
              </w:rPr>
              <w:t xml:space="preserve">31 de octubre de 2019 </w:t>
            </w:r>
          </w:p>
        </w:tc>
      </w:tr>
      <w:tr w:rsidR="000A78E8" w:rsidRPr="00064179"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0A78E8" w:rsidRPr="0011075B" w:rsidRDefault="000A78E8" w:rsidP="000A78E8">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77190479" w:rsidR="000A78E8" w:rsidRPr="0011075B" w:rsidRDefault="003728C2" w:rsidP="000A78E8">
            <w:pPr>
              <w:jc w:val="both"/>
              <w:rPr>
                <w:rFonts w:ascii="Cambria" w:hAnsi="Cambria"/>
                <w:bCs/>
                <w:sz w:val="20"/>
                <w:szCs w:val="20"/>
                <w:lang w:val="es-419"/>
              </w:rPr>
            </w:pPr>
            <w:r>
              <w:rPr>
                <w:rFonts w:ascii="Cambria" w:hAnsi="Cambria"/>
                <w:bCs/>
                <w:sz w:val="20"/>
                <w:szCs w:val="20"/>
                <w:lang w:val="es-419"/>
              </w:rPr>
              <w:t>11 de febrero de 2020</w:t>
            </w:r>
          </w:p>
        </w:tc>
      </w:tr>
      <w:tr w:rsidR="000A78E8"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0A78E8" w:rsidRPr="0011075B" w:rsidRDefault="000A78E8" w:rsidP="000A78E8">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0C5DD13D" w:rsidR="000A78E8" w:rsidRPr="0011075B" w:rsidRDefault="003728C2" w:rsidP="000A78E8">
            <w:pPr>
              <w:jc w:val="both"/>
              <w:rPr>
                <w:rFonts w:ascii="Cambria" w:hAnsi="Cambria"/>
                <w:bCs/>
                <w:sz w:val="20"/>
                <w:szCs w:val="20"/>
                <w:lang w:val="es-419"/>
              </w:rPr>
            </w:pPr>
            <w:r>
              <w:rPr>
                <w:rFonts w:ascii="Cambria" w:hAnsi="Cambria"/>
                <w:bCs/>
                <w:sz w:val="20"/>
                <w:szCs w:val="20"/>
                <w:lang w:val="es-419"/>
              </w:rPr>
              <w:t>8 de marzo de 2021</w:t>
            </w:r>
          </w:p>
        </w:tc>
      </w:tr>
      <w:tr w:rsidR="003728C2" w:rsidRPr="003728C2" w14:paraId="7F6669C4" w14:textId="77777777" w:rsidTr="004A6A54">
        <w:tc>
          <w:tcPr>
            <w:tcW w:w="3600" w:type="dxa"/>
            <w:tcBorders>
              <w:top w:val="single" w:sz="6" w:space="0" w:color="auto"/>
              <w:bottom w:val="single" w:sz="6" w:space="0" w:color="auto"/>
            </w:tcBorders>
            <w:shd w:val="clear" w:color="auto" w:fill="386294"/>
            <w:vAlign w:val="center"/>
          </w:tcPr>
          <w:p w14:paraId="54726039" w14:textId="6F8D3C71" w:rsidR="003728C2" w:rsidRPr="0011075B" w:rsidRDefault="003728C2" w:rsidP="000A78E8">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 la parte peticionaria:</w:t>
            </w:r>
          </w:p>
        </w:tc>
        <w:tc>
          <w:tcPr>
            <w:tcW w:w="5760" w:type="dxa"/>
            <w:vAlign w:val="center"/>
          </w:tcPr>
          <w:p w14:paraId="42E251BC" w14:textId="504AA620" w:rsidR="003728C2" w:rsidRDefault="003728C2" w:rsidP="000A78E8">
            <w:pPr>
              <w:jc w:val="both"/>
              <w:rPr>
                <w:rFonts w:ascii="Cambria" w:hAnsi="Cambria"/>
                <w:bCs/>
                <w:sz w:val="20"/>
                <w:szCs w:val="20"/>
                <w:lang w:val="es-419"/>
              </w:rPr>
            </w:pPr>
            <w:r>
              <w:rPr>
                <w:rFonts w:ascii="Cambria" w:hAnsi="Cambria"/>
                <w:bCs/>
                <w:sz w:val="20"/>
                <w:szCs w:val="20"/>
                <w:lang w:val="es-419"/>
              </w:rPr>
              <w:t xml:space="preserve">16 de diciembre de 2021 </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091DCA"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2AC13AD0"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091DCA"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5B2F18CA" w:rsidR="0026174C" w:rsidRPr="009457A6" w:rsidRDefault="009457A6" w:rsidP="008D2290">
            <w:pPr>
              <w:jc w:val="both"/>
              <w:rPr>
                <w:rFonts w:ascii="Cambria" w:hAnsi="Cambria"/>
                <w:bCs/>
                <w:sz w:val="20"/>
                <w:szCs w:val="20"/>
                <w:lang w:val="es-ES"/>
              </w:rPr>
            </w:pPr>
            <w:r w:rsidRPr="00F26F8C">
              <w:rPr>
                <w:rFonts w:ascii="Cambria" w:hAnsi="Cambria"/>
                <w:bCs/>
                <w:sz w:val="20"/>
                <w:szCs w:val="20"/>
                <w:lang w:val="es-ES" w:bidi="es-ES"/>
              </w:rPr>
              <w:t>Artículos</w:t>
            </w:r>
            <w:r w:rsidR="007F2A55" w:rsidRPr="00F26F8C">
              <w:rPr>
                <w:rFonts w:ascii="Cambria" w:hAnsi="Cambria"/>
                <w:bCs/>
                <w:sz w:val="20"/>
                <w:szCs w:val="20"/>
                <w:lang w:val="es-ES" w:bidi="es-ES"/>
              </w:rPr>
              <w:t xml:space="preserve"> 4 (vida),</w:t>
            </w:r>
            <w:r w:rsidRPr="00F26F8C">
              <w:rPr>
                <w:rFonts w:ascii="Cambria" w:hAnsi="Cambria"/>
                <w:bCs/>
                <w:sz w:val="20"/>
                <w:szCs w:val="20"/>
                <w:lang w:val="es-ES" w:bidi="es-ES"/>
              </w:rPr>
              <w:t xml:space="preserve"> 5 (integridad personal), </w:t>
            </w:r>
            <w:r w:rsidR="007F2A55" w:rsidRPr="00F26F8C">
              <w:rPr>
                <w:rFonts w:ascii="Cambria" w:hAnsi="Cambria"/>
                <w:bCs/>
                <w:sz w:val="20"/>
                <w:szCs w:val="20"/>
                <w:lang w:val="es-ES" w:bidi="es-ES"/>
              </w:rPr>
              <w:t>7</w:t>
            </w:r>
            <w:r w:rsidRPr="00F26F8C">
              <w:rPr>
                <w:rFonts w:ascii="Cambria" w:hAnsi="Cambria"/>
                <w:bCs/>
                <w:sz w:val="20"/>
                <w:szCs w:val="20"/>
                <w:lang w:val="es-ES" w:bidi="es-ES"/>
              </w:rPr>
              <w:t xml:space="preserve"> (</w:t>
            </w:r>
            <w:r w:rsidR="007F2A55" w:rsidRPr="00F26F8C">
              <w:rPr>
                <w:rFonts w:ascii="Cambria" w:hAnsi="Cambria"/>
                <w:bCs/>
                <w:sz w:val="20"/>
                <w:szCs w:val="20"/>
                <w:lang w:val="es-ES" w:bidi="es-ES"/>
              </w:rPr>
              <w:t>libertad personal</w:t>
            </w:r>
            <w:r w:rsidRPr="00F26F8C">
              <w:rPr>
                <w:rFonts w:ascii="Cambria" w:hAnsi="Cambria"/>
                <w:bCs/>
                <w:sz w:val="20"/>
                <w:szCs w:val="20"/>
                <w:lang w:val="es-ES" w:bidi="es-ES"/>
              </w:rPr>
              <w:t>)</w:t>
            </w:r>
            <w:r w:rsidR="008A1721" w:rsidRPr="00F26F8C">
              <w:rPr>
                <w:rFonts w:ascii="Cambria" w:hAnsi="Cambria"/>
                <w:bCs/>
                <w:sz w:val="20"/>
                <w:szCs w:val="20"/>
                <w:lang w:val="es-ES" w:bidi="es-ES"/>
              </w:rPr>
              <w:t>,</w:t>
            </w:r>
            <w:r w:rsidR="00F26F8C" w:rsidRPr="00F26F8C">
              <w:rPr>
                <w:rFonts w:ascii="Cambria" w:hAnsi="Cambria"/>
                <w:bCs/>
                <w:sz w:val="20"/>
                <w:szCs w:val="20"/>
                <w:lang w:val="es-ES" w:bidi="es-ES"/>
              </w:rPr>
              <w:t xml:space="preserve"> 8 (garantías judiciales)</w:t>
            </w:r>
            <w:r w:rsidR="008A1721" w:rsidRPr="00F26F8C">
              <w:rPr>
                <w:rFonts w:ascii="Cambria" w:hAnsi="Cambria"/>
                <w:bCs/>
                <w:sz w:val="20"/>
                <w:szCs w:val="20"/>
                <w:lang w:val="es-ES" w:bidi="es-ES"/>
              </w:rPr>
              <w:t xml:space="preserve"> </w:t>
            </w:r>
            <w:r w:rsidRPr="00F26F8C">
              <w:rPr>
                <w:rFonts w:ascii="Cambria" w:hAnsi="Cambria"/>
                <w:bCs/>
                <w:sz w:val="20"/>
                <w:szCs w:val="20"/>
                <w:lang w:val="es-ES" w:bidi="es-ES"/>
              </w:rPr>
              <w:t>y 25 (protección judicial) de la Convención Americana, en relación con sus artículo 1.1 (obligación de respetar los derechos)</w:t>
            </w:r>
          </w:p>
        </w:tc>
      </w:tr>
      <w:tr w:rsidR="003239B8" w:rsidRPr="00091DCA"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35EE728F" w:rsidR="003239B8" w:rsidRPr="00F26F8C" w:rsidRDefault="009457A6" w:rsidP="00E038D4">
            <w:pPr>
              <w:jc w:val="both"/>
              <w:rPr>
                <w:rFonts w:ascii="Cambria" w:hAnsi="Cambria"/>
                <w:bCs/>
                <w:sz w:val="20"/>
                <w:szCs w:val="20"/>
                <w:lang w:val="es-ES"/>
              </w:rPr>
            </w:pPr>
            <w:r w:rsidRPr="00F26F8C">
              <w:rPr>
                <w:rFonts w:ascii="Cambria" w:hAnsi="Cambria"/>
                <w:bCs/>
                <w:sz w:val="20"/>
                <w:szCs w:val="20"/>
                <w:lang w:val="es-ES" w:bidi="es-ES"/>
              </w:rPr>
              <w:t xml:space="preserve">Sí, </w:t>
            </w:r>
            <w:r w:rsidR="004E6945" w:rsidRPr="00B7013F">
              <w:rPr>
                <w:rFonts w:ascii="Cambria" w:hAnsi="Cambria"/>
                <w:bCs/>
                <w:sz w:val="20"/>
                <w:szCs w:val="20"/>
                <w:lang w:val="es-ES" w:bidi="es-ES"/>
              </w:rPr>
              <w:t>la excepción del artículo 46.2.c</w:t>
            </w:r>
            <w:r w:rsidR="00B7013F" w:rsidRPr="00B7013F">
              <w:rPr>
                <w:rFonts w:ascii="Cambria" w:hAnsi="Cambria"/>
                <w:bCs/>
                <w:sz w:val="20"/>
                <w:szCs w:val="20"/>
                <w:lang w:val="es-ES" w:bidi="es-ES"/>
              </w:rPr>
              <w:t>)</w:t>
            </w:r>
            <w:r w:rsidRPr="00B7013F">
              <w:rPr>
                <w:rFonts w:ascii="Cambria" w:hAnsi="Cambria"/>
                <w:bCs/>
                <w:sz w:val="20"/>
                <w:szCs w:val="20"/>
                <w:lang w:val="es-ES" w:bidi="es-ES"/>
              </w:rPr>
              <w:t xml:space="preserve"> en</w:t>
            </w:r>
            <w:r w:rsidRPr="00F26F8C">
              <w:rPr>
                <w:rFonts w:ascii="Cambria" w:hAnsi="Cambria"/>
                <w:bCs/>
                <w:sz w:val="20"/>
                <w:szCs w:val="20"/>
                <w:lang w:val="es-ES" w:bidi="es-ES"/>
              </w:rPr>
              <w:t xml:space="preserve"> los términos de la Sección VI</w:t>
            </w:r>
          </w:p>
        </w:tc>
      </w:tr>
      <w:tr w:rsidR="003239B8" w:rsidRPr="00091DCA"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3269F45" w:rsidR="003239B8" w:rsidRPr="00F26F8C" w:rsidRDefault="009457A6" w:rsidP="008D2290">
            <w:pPr>
              <w:rPr>
                <w:rFonts w:ascii="Cambria" w:hAnsi="Cambria"/>
                <w:bCs/>
                <w:sz w:val="20"/>
                <w:szCs w:val="20"/>
                <w:lang w:val="es-419"/>
              </w:rPr>
            </w:pPr>
            <w:r w:rsidRPr="00F26F8C">
              <w:rPr>
                <w:rFonts w:ascii="Cambria" w:hAnsi="Cambria"/>
                <w:bCs/>
                <w:sz w:val="20"/>
                <w:szCs w:val="20"/>
                <w:lang w:val="es-ES" w:bidi="es-ES"/>
              </w:rPr>
              <w:t xml:space="preserve">Sí, </w:t>
            </w:r>
            <w:r w:rsidR="00094203" w:rsidRPr="00F26F8C">
              <w:rPr>
                <w:rFonts w:ascii="Cambria" w:hAnsi="Cambria"/>
                <w:bCs/>
                <w:sz w:val="20"/>
                <w:szCs w:val="20"/>
                <w:lang w:val="es-419" w:bidi="es-ES"/>
              </w:rPr>
              <w:t>en los términos de la Sección VI</w:t>
            </w:r>
          </w:p>
        </w:tc>
      </w:tr>
    </w:tbl>
    <w:p w14:paraId="56FD5D57" w14:textId="16254ABC" w:rsidR="003239B8" w:rsidRPr="00B7013F" w:rsidRDefault="00223A29" w:rsidP="001443F7">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B7013F">
        <w:rPr>
          <w:rFonts w:asciiTheme="majorHAnsi" w:hAnsiTheme="majorHAnsi"/>
          <w:b/>
          <w:sz w:val="20"/>
          <w:szCs w:val="20"/>
          <w:lang w:val="es-ES_tradnl"/>
        </w:rPr>
        <w:t>POSICIÓN DE LAS PARTES</w:t>
      </w:r>
      <w:r w:rsidR="003239B8" w:rsidRPr="00B7013F">
        <w:rPr>
          <w:rFonts w:asciiTheme="majorHAnsi" w:hAnsiTheme="majorHAnsi"/>
          <w:b/>
          <w:sz w:val="20"/>
          <w:szCs w:val="20"/>
          <w:lang w:val="es-ES_tradnl"/>
        </w:rPr>
        <w:t xml:space="preserve"> </w:t>
      </w:r>
    </w:p>
    <w:p w14:paraId="4EA306E2" w14:textId="482E0137" w:rsidR="00785B6C" w:rsidRPr="00B7013F"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B7013F">
        <w:rPr>
          <w:rFonts w:asciiTheme="majorHAnsi" w:hAnsiTheme="majorHAnsi"/>
          <w:i/>
          <w:iCs/>
          <w:sz w:val="20"/>
          <w:szCs w:val="20"/>
          <w:lang w:val="es-ES_tradnl"/>
        </w:rPr>
        <w:t xml:space="preserve">Posición </w:t>
      </w:r>
      <w:r w:rsidR="00F26F8C" w:rsidRPr="00B7013F">
        <w:rPr>
          <w:rFonts w:asciiTheme="majorHAnsi" w:hAnsiTheme="majorHAnsi"/>
          <w:i/>
          <w:iCs/>
          <w:sz w:val="20"/>
          <w:szCs w:val="20"/>
          <w:lang w:val="es-ES_tradnl"/>
        </w:rPr>
        <w:t>del peticionario</w:t>
      </w:r>
    </w:p>
    <w:p w14:paraId="2BFE17B3" w14:textId="275480FF" w:rsidR="00606B5E" w:rsidRPr="00B7013F" w:rsidRDefault="00441827" w:rsidP="0064403C">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El peticionario</w:t>
      </w:r>
      <w:r w:rsidR="00606B5E" w:rsidRPr="00B7013F">
        <w:rPr>
          <w:rFonts w:asciiTheme="majorHAnsi" w:hAnsiTheme="majorHAnsi"/>
          <w:color w:val="auto"/>
          <w:sz w:val="20"/>
          <w:szCs w:val="20"/>
          <w:lang w:val="es-ES_tradnl"/>
        </w:rPr>
        <w:t xml:space="preserve"> denuncia </w:t>
      </w:r>
      <w:r w:rsidR="00941FC4" w:rsidRPr="00B7013F">
        <w:rPr>
          <w:rFonts w:asciiTheme="majorHAnsi" w:hAnsiTheme="majorHAnsi"/>
          <w:color w:val="auto"/>
          <w:sz w:val="20"/>
          <w:szCs w:val="20"/>
          <w:lang w:val="es-ES_tradnl"/>
        </w:rPr>
        <w:t>la</w:t>
      </w:r>
      <w:r w:rsidR="0064403C" w:rsidRPr="00B7013F">
        <w:rPr>
          <w:rFonts w:asciiTheme="majorHAnsi" w:hAnsiTheme="majorHAnsi"/>
          <w:color w:val="auto"/>
          <w:sz w:val="20"/>
          <w:szCs w:val="20"/>
          <w:lang w:val="es-ES_tradnl"/>
        </w:rPr>
        <w:t xml:space="preserve"> </w:t>
      </w:r>
      <w:r w:rsidR="00971F9F" w:rsidRPr="00B7013F">
        <w:rPr>
          <w:rFonts w:asciiTheme="majorHAnsi" w:hAnsiTheme="majorHAnsi"/>
          <w:color w:val="auto"/>
          <w:sz w:val="20"/>
          <w:szCs w:val="20"/>
          <w:lang w:val="es-ES_tradnl"/>
        </w:rPr>
        <w:t>detención arbitraria, tortura y ejecución extrajudicial de Yurden Carvajal Cardona</w:t>
      </w:r>
      <w:r w:rsidR="00CE0F8B" w:rsidRPr="00B7013F">
        <w:rPr>
          <w:rFonts w:asciiTheme="majorHAnsi" w:hAnsiTheme="majorHAnsi"/>
          <w:color w:val="auto"/>
          <w:sz w:val="20"/>
          <w:szCs w:val="20"/>
          <w:lang w:val="es-ES_tradnl"/>
        </w:rPr>
        <w:t xml:space="preserve"> y</w:t>
      </w:r>
      <w:r w:rsidR="00606B5E" w:rsidRPr="00B7013F">
        <w:rPr>
          <w:rFonts w:asciiTheme="majorHAnsi" w:hAnsiTheme="majorHAnsi"/>
          <w:color w:val="auto"/>
          <w:sz w:val="20"/>
          <w:szCs w:val="20"/>
          <w:lang w:val="es-ES_tradnl"/>
        </w:rPr>
        <w:t xml:space="preserve"> la falta de </w:t>
      </w:r>
      <w:r w:rsidR="00CE0F8B" w:rsidRPr="00B7013F">
        <w:rPr>
          <w:rFonts w:asciiTheme="majorHAnsi" w:hAnsiTheme="majorHAnsi"/>
          <w:color w:val="auto"/>
          <w:sz w:val="20"/>
          <w:szCs w:val="20"/>
          <w:lang w:val="es-ES_tradnl"/>
        </w:rPr>
        <w:t>reparación</w:t>
      </w:r>
      <w:r w:rsidR="00606B5E" w:rsidRPr="00B7013F">
        <w:rPr>
          <w:rFonts w:asciiTheme="majorHAnsi" w:hAnsiTheme="majorHAnsi"/>
          <w:color w:val="auto"/>
          <w:sz w:val="20"/>
          <w:szCs w:val="20"/>
          <w:lang w:val="es-ES_tradnl"/>
        </w:rPr>
        <w:t xml:space="preserve"> a sus familiares. </w:t>
      </w:r>
    </w:p>
    <w:p w14:paraId="3910A0F7" w14:textId="3362A8E4" w:rsidR="005408A2" w:rsidRPr="00B7013F" w:rsidRDefault="005408A2" w:rsidP="00D1213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
        </w:rPr>
      </w:pPr>
      <w:r w:rsidRPr="00B7013F">
        <w:rPr>
          <w:rFonts w:asciiTheme="majorHAnsi" w:hAnsiTheme="majorHAnsi"/>
          <w:sz w:val="20"/>
          <w:szCs w:val="20"/>
          <w:lang w:val="es-ES"/>
        </w:rPr>
        <w:lastRenderedPageBreak/>
        <w:t>El 25 de marzo de 2006, mientras se encontraba en la estación de Transmilenio en Bogotá, fue detenido por la Policía Nacional</w:t>
      </w:r>
      <w:r w:rsidR="001D79A1" w:rsidRPr="00B7013F">
        <w:rPr>
          <w:rFonts w:asciiTheme="majorHAnsi" w:hAnsiTheme="majorHAnsi"/>
          <w:sz w:val="20"/>
          <w:szCs w:val="20"/>
          <w:lang w:val="es-ES"/>
        </w:rPr>
        <w:t xml:space="preserve"> por </w:t>
      </w:r>
      <w:r w:rsidR="009F3F90" w:rsidRPr="00B7013F">
        <w:rPr>
          <w:rFonts w:asciiTheme="majorHAnsi" w:hAnsiTheme="majorHAnsi"/>
          <w:sz w:val="20"/>
          <w:szCs w:val="20"/>
          <w:lang w:val="es-ES"/>
        </w:rPr>
        <w:t>estar ebrio</w:t>
      </w:r>
      <w:r w:rsidR="001D79A1" w:rsidRPr="00B7013F">
        <w:rPr>
          <w:rFonts w:asciiTheme="majorHAnsi" w:hAnsiTheme="majorHAnsi"/>
          <w:sz w:val="20"/>
          <w:szCs w:val="20"/>
          <w:lang w:val="es-ES"/>
        </w:rPr>
        <w:t xml:space="preserve"> y fumando dentro de la estación de transporte. La Policía lo llevó</w:t>
      </w:r>
      <w:r w:rsidRPr="00B7013F">
        <w:rPr>
          <w:rFonts w:asciiTheme="majorHAnsi" w:hAnsiTheme="majorHAnsi"/>
          <w:sz w:val="20"/>
          <w:szCs w:val="20"/>
          <w:lang w:val="es-ES"/>
        </w:rPr>
        <w:t xml:space="preserve"> al </w:t>
      </w:r>
      <w:r w:rsidR="001D79A1" w:rsidRPr="00B7013F">
        <w:rPr>
          <w:rFonts w:asciiTheme="majorHAnsi" w:hAnsiTheme="majorHAnsi"/>
          <w:sz w:val="20"/>
          <w:szCs w:val="20"/>
          <w:lang w:val="es-ES"/>
        </w:rPr>
        <w:t>Centro de Atención Inmediata (</w:t>
      </w:r>
      <w:r w:rsidRPr="00B7013F">
        <w:rPr>
          <w:rFonts w:asciiTheme="majorHAnsi" w:hAnsiTheme="majorHAnsi"/>
          <w:sz w:val="20"/>
          <w:szCs w:val="20"/>
          <w:lang w:val="es-ES"/>
        </w:rPr>
        <w:t>CAI</w:t>
      </w:r>
      <w:r w:rsidR="001D79A1" w:rsidRPr="00B7013F">
        <w:rPr>
          <w:rFonts w:asciiTheme="majorHAnsi" w:hAnsiTheme="majorHAnsi"/>
          <w:sz w:val="20"/>
          <w:szCs w:val="20"/>
          <w:lang w:val="es-ES"/>
        </w:rPr>
        <w:t>)</w:t>
      </w:r>
      <w:r w:rsidRPr="00B7013F">
        <w:rPr>
          <w:rFonts w:asciiTheme="majorHAnsi" w:hAnsiTheme="majorHAnsi"/>
          <w:sz w:val="20"/>
          <w:szCs w:val="20"/>
          <w:lang w:val="es-ES"/>
        </w:rPr>
        <w:t xml:space="preserve"> San Victorino, donde falleció </w:t>
      </w:r>
      <w:r w:rsidR="00EE08DC" w:rsidRPr="00B7013F">
        <w:rPr>
          <w:rFonts w:asciiTheme="majorHAnsi" w:hAnsiTheme="majorHAnsi"/>
          <w:sz w:val="20"/>
          <w:szCs w:val="20"/>
          <w:lang w:val="es-ES"/>
        </w:rPr>
        <w:t>esa</w:t>
      </w:r>
      <w:r w:rsidRPr="00B7013F">
        <w:rPr>
          <w:rFonts w:asciiTheme="majorHAnsi" w:hAnsiTheme="majorHAnsi"/>
          <w:sz w:val="20"/>
          <w:szCs w:val="20"/>
          <w:lang w:val="es-ES"/>
        </w:rPr>
        <w:t xml:space="preserve"> misma noche. </w:t>
      </w:r>
    </w:p>
    <w:p w14:paraId="1668283F" w14:textId="0BB0CE21" w:rsidR="005408A2" w:rsidRPr="00B7013F" w:rsidRDefault="005408A2" w:rsidP="001D79A1">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
        </w:rPr>
      </w:pPr>
      <w:r w:rsidRPr="00B7013F">
        <w:rPr>
          <w:rFonts w:asciiTheme="majorHAnsi" w:hAnsiTheme="majorHAnsi"/>
          <w:sz w:val="20"/>
          <w:szCs w:val="20"/>
          <w:lang w:val="es-ES"/>
        </w:rPr>
        <w:t xml:space="preserve">El peticionario </w:t>
      </w:r>
      <w:r w:rsidR="001D79A1" w:rsidRPr="00B7013F">
        <w:rPr>
          <w:rFonts w:asciiTheme="majorHAnsi" w:hAnsiTheme="majorHAnsi"/>
          <w:sz w:val="20"/>
          <w:szCs w:val="20"/>
          <w:lang w:val="es-ES"/>
        </w:rPr>
        <w:t>considera que el fallecimiento se produjo como consecuencia de tortura y malos tratos provocados por los agentes del Estado. I</w:t>
      </w:r>
      <w:r w:rsidRPr="00B7013F">
        <w:rPr>
          <w:rFonts w:asciiTheme="majorHAnsi" w:hAnsiTheme="majorHAnsi"/>
          <w:sz w:val="20"/>
          <w:szCs w:val="20"/>
          <w:lang w:val="es-ES"/>
        </w:rPr>
        <w:t xml:space="preserve">ndica que la inspección de cadáver realizada por la Fiscalía 319 Seccional URI Paloquemao </w:t>
      </w:r>
      <w:r w:rsidR="00C9282A" w:rsidRPr="00B7013F">
        <w:rPr>
          <w:rFonts w:asciiTheme="majorHAnsi" w:hAnsiTheme="majorHAnsi"/>
          <w:sz w:val="20"/>
          <w:szCs w:val="20"/>
          <w:lang w:val="es-ES"/>
        </w:rPr>
        <w:t>(</w:t>
      </w:r>
      <w:r w:rsidRPr="00B7013F">
        <w:rPr>
          <w:rFonts w:asciiTheme="majorHAnsi" w:hAnsiTheme="majorHAnsi"/>
          <w:sz w:val="20"/>
          <w:szCs w:val="20"/>
          <w:lang w:val="es-ES"/>
        </w:rPr>
        <w:t>bajo el número 00580012</w:t>
      </w:r>
      <w:r w:rsidR="00C9282A" w:rsidRPr="00B7013F">
        <w:rPr>
          <w:rFonts w:asciiTheme="majorHAnsi" w:hAnsiTheme="majorHAnsi"/>
          <w:sz w:val="20"/>
          <w:szCs w:val="20"/>
          <w:lang w:val="es-ES"/>
        </w:rPr>
        <w:t>)</w:t>
      </w:r>
      <w:r w:rsidRPr="00B7013F">
        <w:rPr>
          <w:rFonts w:asciiTheme="majorHAnsi" w:hAnsiTheme="majorHAnsi"/>
          <w:sz w:val="20"/>
          <w:szCs w:val="20"/>
          <w:lang w:val="es-ES"/>
        </w:rPr>
        <w:t xml:space="preserve"> reveló múltiples lesiones y signos de violencia. La necropsia</w:t>
      </w:r>
      <w:r w:rsidR="00CF0A4B" w:rsidRPr="00B7013F">
        <w:rPr>
          <w:rFonts w:asciiTheme="majorHAnsi" w:hAnsiTheme="majorHAnsi"/>
          <w:sz w:val="20"/>
          <w:szCs w:val="20"/>
          <w:lang w:val="es-ES"/>
        </w:rPr>
        <w:t>,</w:t>
      </w:r>
      <w:r w:rsidRPr="00B7013F">
        <w:rPr>
          <w:rFonts w:asciiTheme="majorHAnsi" w:hAnsiTheme="majorHAnsi"/>
          <w:sz w:val="20"/>
          <w:szCs w:val="20"/>
          <w:lang w:val="es-ES"/>
        </w:rPr>
        <w:t xml:space="preserve"> </w:t>
      </w:r>
      <w:r w:rsidR="00C9282A" w:rsidRPr="00B7013F">
        <w:rPr>
          <w:rFonts w:asciiTheme="majorHAnsi" w:hAnsiTheme="majorHAnsi"/>
          <w:sz w:val="20"/>
          <w:szCs w:val="20"/>
          <w:lang w:val="es-ES"/>
        </w:rPr>
        <w:t>(</w:t>
      </w:r>
      <w:r w:rsidRPr="00B7013F">
        <w:rPr>
          <w:rFonts w:asciiTheme="majorHAnsi" w:hAnsiTheme="majorHAnsi"/>
          <w:sz w:val="20"/>
          <w:szCs w:val="20"/>
          <w:lang w:val="es-ES"/>
        </w:rPr>
        <w:t>informe número BOG – 2006 – 010512</w:t>
      </w:r>
      <w:r w:rsidR="00C9282A" w:rsidRPr="00B7013F">
        <w:rPr>
          <w:rFonts w:asciiTheme="majorHAnsi" w:hAnsiTheme="majorHAnsi"/>
          <w:sz w:val="20"/>
          <w:szCs w:val="20"/>
          <w:lang w:val="es-ES"/>
        </w:rPr>
        <w:t>)</w:t>
      </w:r>
      <w:r w:rsidRPr="00B7013F">
        <w:rPr>
          <w:rFonts w:asciiTheme="majorHAnsi" w:hAnsiTheme="majorHAnsi"/>
          <w:sz w:val="20"/>
          <w:szCs w:val="20"/>
          <w:lang w:val="es-ES"/>
        </w:rPr>
        <w:t xml:space="preserve"> del Instituto de Medicina Legal y Ciencias Forenses, detalla insuficiencia respiratoria, hipoxia severa, edema cerebral y lesiones en el cuello, lo que indica un trato inhumano y posiblemente tortura.</w:t>
      </w:r>
    </w:p>
    <w:p w14:paraId="61445E33" w14:textId="0B9BB768" w:rsidR="005408A2" w:rsidRPr="00B7013F" w:rsidRDefault="005408A2" w:rsidP="005E33E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
        </w:rPr>
        <w:t xml:space="preserve">En relación con la investigación penal, el peticionario informa </w:t>
      </w:r>
      <w:r w:rsidR="00CF0A4B" w:rsidRPr="00B7013F">
        <w:rPr>
          <w:rFonts w:asciiTheme="majorHAnsi" w:hAnsiTheme="majorHAnsi"/>
          <w:sz w:val="20"/>
          <w:szCs w:val="20"/>
          <w:lang w:val="es-ES"/>
        </w:rPr>
        <w:t xml:space="preserve">de manera sucinta </w:t>
      </w:r>
      <w:r w:rsidRPr="00B7013F">
        <w:rPr>
          <w:rFonts w:asciiTheme="majorHAnsi" w:hAnsiTheme="majorHAnsi"/>
          <w:sz w:val="20"/>
          <w:szCs w:val="20"/>
          <w:lang w:val="es-ES"/>
        </w:rPr>
        <w:t>que</w:t>
      </w:r>
      <w:r w:rsidRPr="00B7013F">
        <w:rPr>
          <w:rFonts w:asciiTheme="majorHAnsi" w:hAnsiTheme="majorHAnsi"/>
          <w:sz w:val="20"/>
          <w:szCs w:val="20"/>
          <w:lang w:val="es-ES_tradnl"/>
        </w:rPr>
        <w:t xml:space="preserve"> la Fiscalía General de la Nación inició una investigación de oficio para esclarecer las circunstancias de la muerte de Yurden</w:t>
      </w:r>
      <w:r w:rsidR="002F66D5" w:rsidRPr="00B7013F">
        <w:rPr>
          <w:rFonts w:asciiTheme="majorHAnsi" w:hAnsiTheme="majorHAnsi"/>
          <w:sz w:val="20"/>
          <w:szCs w:val="20"/>
          <w:lang w:val="es-ES_tradnl"/>
        </w:rPr>
        <w:t xml:space="preserve"> Carvajal</w:t>
      </w:r>
      <w:r w:rsidR="0015041C" w:rsidRPr="00B7013F">
        <w:rPr>
          <w:rFonts w:asciiTheme="majorHAnsi" w:hAnsiTheme="majorHAnsi"/>
          <w:sz w:val="20"/>
          <w:szCs w:val="20"/>
          <w:lang w:val="es-ES_tradnl"/>
        </w:rPr>
        <w:t xml:space="preserve"> (</w:t>
      </w:r>
      <w:r w:rsidRPr="00B7013F">
        <w:rPr>
          <w:rFonts w:asciiTheme="majorHAnsi" w:hAnsiTheme="majorHAnsi"/>
          <w:sz w:val="20"/>
          <w:szCs w:val="20"/>
          <w:lang w:val="es-ES_tradnl"/>
        </w:rPr>
        <w:t xml:space="preserve">investigación </w:t>
      </w:r>
      <w:r w:rsidR="0015041C" w:rsidRPr="00B7013F">
        <w:rPr>
          <w:rFonts w:asciiTheme="majorHAnsi" w:hAnsiTheme="majorHAnsi"/>
          <w:sz w:val="20"/>
          <w:szCs w:val="20"/>
          <w:lang w:val="es-ES_tradnl"/>
        </w:rPr>
        <w:t>No.</w:t>
      </w:r>
      <w:r w:rsidRPr="00B7013F">
        <w:rPr>
          <w:rFonts w:asciiTheme="majorHAnsi" w:hAnsiTheme="majorHAnsi"/>
          <w:sz w:val="20"/>
          <w:szCs w:val="20"/>
          <w:lang w:val="es-ES_tradnl"/>
        </w:rPr>
        <w:t xml:space="preserve"> 110016000028200600789</w:t>
      </w:r>
      <w:r w:rsidR="0015041C" w:rsidRPr="00B7013F">
        <w:rPr>
          <w:rFonts w:asciiTheme="majorHAnsi" w:hAnsiTheme="majorHAnsi"/>
          <w:sz w:val="20"/>
          <w:szCs w:val="20"/>
          <w:lang w:val="es-ES_tradnl"/>
        </w:rPr>
        <w:t>)</w:t>
      </w:r>
      <w:r w:rsidRPr="00B7013F">
        <w:rPr>
          <w:rFonts w:asciiTheme="majorHAnsi" w:hAnsiTheme="majorHAnsi"/>
          <w:sz w:val="20"/>
          <w:szCs w:val="20"/>
          <w:lang w:val="es-ES_tradnl"/>
        </w:rPr>
        <w:t>. Sin embargo, a pesar de la apertura formal de la investigación, indica que no se lograron avances significativos ni conclusiones concretas que llevaran a la identificación y sanción de los responsables</w:t>
      </w:r>
      <w:r w:rsidR="00292F0D" w:rsidRPr="00B7013F">
        <w:rPr>
          <w:rFonts w:asciiTheme="majorHAnsi" w:hAnsiTheme="majorHAnsi"/>
          <w:sz w:val="20"/>
          <w:szCs w:val="20"/>
          <w:lang w:val="es-ES_tradnl"/>
        </w:rPr>
        <w:t>. El 12 de enero de 2021, la madre de Yurden presentó una petición a la Fiscalía tendiente a obtener información sobre el estado de la investigación</w:t>
      </w:r>
      <w:r w:rsidR="005E33EE" w:rsidRPr="00B7013F">
        <w:rPr>
          <w:rFonts w:asciiTheme="majorHAnsi" w:hAnsiTheme="majorHAnsi"/>
          <w:sz w:val="20"/>
          <w:szCs w:val="20"/>
          <w:lang w:val="es-ES_tradnl"/>
        </w:rPr>
        <w:t xml:space="preserve">. El 14 de enero de 2021, la Fiscalía 112 Seccional contestó la solicitud e informó que las diligencias investigativas se encontraban, y que el 31 de julio de 2014 se emitió orden de archivo ante la imposibilidad de encontrar o establecer el sujeto activo del delito investigado. </w:t>
      </w:r>
      <w:r w:rsidR="00292F0D" w:rsidRPr="00B7013F">
        <w:rPr>
          <w:rFonts w:asciiTheme="majorHAnsi" w:hAnsiTheme="majorHAnsi"/>
          <w:sz w:val="20"/>
          <w:szCs w:val="20"/>
          <w:lang w:val="es-ES_tradnl"/>
        </w:rPr>
        <w:t>– La CIDH observa que</w:t>
      </w:r>
      <w:r w:rsidR="005E33EE" w:rsidRPr="00B7013F">
        <w:rPr>
          <w:rFonts w:asciiTheme="majorHAnsi" w:hAnsiTheme="majorHAnsi"/>
          <w:sz w:val="20"/>
          <w:szCs w:val="20"/>
          <w:lang w:val="es-ES_tradnl"/>
        </w:rPr>
        <w:t xml:space="preserve"> se desprende del contexto que el archivo de 2014 no fue notificado a los familiares de la presunta víctima. – </w:t>
      </w:r>
    </w:p>
    <w:p w14:paraId="3077FBF3" w14:textId="0CB708E8" w:rsidR="00291449" w:rsidRPr="00B7013F" w:rsidRDefault="005408A2" w:rsidP="00044B98">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Con respecto a la jurisdicción </w:t>
      </w:r>
      <w:r w:rsidR="00064179" w:rsidRPr="00B7013F">
        <w:rPr>
          <w:rFonts w:asciiTheme="majorHAnsi" w:hAnsiTheme="majorHAnsi"/>
          <w:sz w:val="20"/>
          <w:szCs w:val="20"/>
          <w:lang w:val="es-ES_tradnl"/>
        </w:rPr>
        <w:t>contencioso</w:t>
      </w:r>
      <w:r w:rsidR="004778B1"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administrativa, informa que </w:t>
      </w:r>
      <w:r w:rsidRPr="00B7013F">
        <w:rPr>
          <w:rFonts w:asciiTheme="majorHAnsi" w:eastAsia="Arial Unicode MS" w:hAnsiTheme="majorHAnsi" w:cs="Times New Roman"/>
          <w:color w:val="auto"/>
          <w:sz w:val="20"/>
          <w:szCs w:val="20"/>
          <w:lang w:val="es-ES_tradnl" w:eastAsia="en-US"/>
        </w:rPr>
        <w:t>l</w:t>
      </w:r>
      <w:r w:rsidRPr="00B7013F">
        <w:rPr>
          <w:rFonts w:asciiTheme="majorHAnsi" w:hAnsiTheme="majorHAnsi"/>
          <w:sz w:val="20"/>
          <w:szCs w:val="20"/>
          <w:lang w:val="es-ES_tradnl"/>
        </w:rPr>
        <w:t>a familia de Carvajal Cardona interpuso una demanda de Reparación Directa contra la Nació</w:t>
      </w:r>
      <w:r w:rsidR="00243749" w:rsidRPr="00B7013F">
        <w:rPr>
          <w:rFonts w:asciiTheme="majorHAnsi" w:hAnsiTheme="majorHAnsi"/>
          <w:sz w:val="20"/>
          <w:szCs w:val="20"/>
          <w:lang w:val="es-ES_tradnl"/>
        </w:rPr>
        <w:t>n</w:t>
      </w:r>
      <w:r w:rsidRPr="00B7013F">
        <w:rPr>
          <w:rFonts w:asciiTheme="majorHAnsi" w:hAnsiTheme="majorHAnsi"/>
          <w:sz w:val="20"/>
          <w:szCs w:val="20"/>
          <w:lang w:val="es-ES_tradnl"/>
        </w:rPr>
        <w:t xml:space="preserve">–Ministerio de Defensa–Policía Nacional </w:t>
      </w:r>
      <w:r w:rsidR="009153C9" w:rsidRPr="00B7013F">
        <w:rPr>
          <w:rFonts w:asciiTheme="majorHAnsi" w:hAnsiTheme="majorHAnsi"/>
          <w:sz w:val="20"/>
          <w:szCs w:val="20"/>
          <w:lang w:val="es-ES_tradnl"/>
        </w:rPr>
        <w:t>(No.</w:t>
      </w:r>
      <w:r w:rsidRPr="00B7013F">
        <w:rPr>
          <w:rFonts w:asciiTheme="majorHAnsi" w:hAnsiTheme="majorHAnsi"/>
          <w:sz w:val="20"/>
          <w:szCs w:val="20"/>
          <w:lang w:val="es-ES_tradnl"/>
        </w:rPr>
        <w:t xml:space="preserve"> 11001333103320080014600</w:t>
      </w:r>
      <w:r w:rsidR="009153C9"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El 17 de </w:t>
      </w:r>
      <w:r w:rsidR="00E6641D" w:rsidRPr="00B7013F">
        <w:rPr>
          <w:rFonts w:asciiTheme="majorHAnsi" w:hAnsiTheme="majorHAnsi"/>
          <w:sz w:val="20"/>
          <w:szCs w:val="20"/>
          <w:lang w:val="es-ES_tradnl"/>
        </w:rPr>
        <w:t>mayo</w:t>
      </w:r>
      <w:r w:rsidRPr="00B7013F">
        <w:rPr>
          <w:rFonts w:asciiTheme="majorHAnsi" w:hAnsiTheme="majorHAnsi"/>
          <w:sz w:val="20"/>
          <w:szCs w:val="20"/>
          <w:lang w:val="es-ES_tradnl"/>
        </w:rPr>
        <w:t xml:space="preserve"> de 2011 el Juzgado </w:t>
      </w:r>
      <w:r w:rsidR="009153C9" w:rsidRPr="00B7013F">
        <w:rPr>
          <w:rFonts w:asciiTheme="majorHAnsi" w:hAnsiTheme="majorHAnsi"/>
          <w:sz w:val="20"/>
          <w:szCs w:val="20"/>
          <w:lang w:val="es-ES_tradnl"/>
        </w:rPr>
        <w:t>33º</w:t>
      </w:r>
      <w:r w:rsidRPr="00B7013F">
        <w:rPr>
          <w:rFonts w:asciiTheme="majorHAnsi" w:hAnsiTheme="majorHAnsi"/>
          <w:sz w:val="20"/>
          <w:szCs w:val="20"/>
          <w:lang w:val="es-ES_tradnl"/>
        </w:rPr>
        <w:t xml:space="preserve"> Administrativo del Circuito Judicial de Bogotá dictó sentencia en primera instancia</w:t>
      </w:r>
      <w:r w:rsidR="005330EE" w:rsidRPr="00B7013F">
        <w:rPr>
          <w:rFonts w:asciiTheme="majorHAnsi" w:hAnsiTheme="majorHAnsi"/>
          <w:sz w:val="20"/>
          <w:szCs w:val="20"/>
          <w:lang w:val="es-ES_tradnl"/>
        </w:rPr>
        <w:t xml:space="preserve"> declarando</w:t>
      </w:r>
      <w:r w:rsidRPr="00B7013F">
        <w:rPr>
          <w:rFonts w:asciiTheme="majorHAnsi" w:hAnsiTheme="majorHAnsi"/>
          <w:sz w:val="20"/>
          <w:szCs w:val="20"/>
          <w:lang w:val="es-ES_tradnl"/>
        </w:rPr>
        <w:t xml:space="preserve"> responsable a la Nación Colombiana por la muerte de Yurden Carvajal Cardona mientras se encontraba detenido.</w:t>
      </w:r>
      <w:r w:rsidR="005A7B49" w:rsidRPr="00B7013F">
        <w:rPr>
          <w:rFonts w:asciiTheme="majorHAnsi" w:hAnsiTheme="majorHAnsi"/>
          <w:sz w:val="20"/>
          <w:szCs w:val="20"/>
          <w:lang w:val="es-ES_tradnl"/>
        </w:rPr>
        <w:t xml:space="preserve"> Según la sentencia anexada por el peticionario,</w:t>
      </w:r>
      <w:r w:rsidR="00E6641D" w:rsidRPr="00B7013F">
        <w:rPr>
          <w:rFonts w:asciiTheme="majorHAnsi" w:hAnsiTheme="majorHAnsi"/>
          <w:sz w:val="20"/>
          <w:szCs w:val="20"/>
          <w:lang w:val="es-ES_tradnl"/>
        </w:rPr>
        <w:t xml:space="preserve"> en resumen,</w:t>
      </w:r>
      <w:r w:rsidR="005A7B49" w:rsidRPr="00B7013F">
        <w:rPr>
          <w:rFonts w:asciiTheme="majorHAnsi" w:hAnsiTheme="majorHAnsi"/>
          <w:sz w:val="20"/>
          <w:szCs w:val="20"/>
          <w:lang w:val="es-ES_tradnl"/>
        </w:rPr>
        <w:t xml:space="preserve"> </w:t>
      </w:r>
      <w:r w:rsidR="00E6641D" w:rsidRPr="00B7013F">
        <w:rPr>
          <w:rFonts w:asciiTheme="majorHAnsi" w:hAnsiTheme="majorHAnsi"/>
          <w:sz w:val="20"/>
          <w:szCs w:val="20"/>
          <w:lang w:val="es-ES_tradnl"/>
        </w:rPr>
        <w:t>la muerte de Yurden ocurrió dentro de las instalaciones del CAI, a donde había sido conducido por integrar ingresar bajo los efectos del alcohol a la Estación de Transmilenio; su muerte se produjo en momentos en que estaba bajo la protección de los agentes policiales, a quienes les correspondía velar por su integridad personal en virtud del deber de protección de las personas privadas de la libertad</w:t>
      </w:r>
      <w:r w:rsidR="005A7B49" w:rsidRPr="00B7013F">
        <w:rPr>
          <w:rFonts w:asciiTheme="majorHAnsi" w:hAnsiTheme="majorHAnsi"/>
          <w:sz w:val="20"/>
          <w:szCs w:val="20"/>
          <w:lang w:val="es-ES_tradnl"/>
        </w:rPr>
        <w:t>.</w:t>
      </w:r>
    </w:p>
    <w:p w14:paraId="10596948" w14:textId="0C8884F0" w:rsidR="00044B98" w:rsidRPr="00B7013F" w:rsidRDefault="005408A2" w:rsidP="00C8145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La decisión del Juzgado </w:t>
      </w:r>
      <w:r w:rsidR="0091225E" w:rsidRPr="00B7013F">
        <w:rPr>
          <w:rFonts w:asciiTheme="majorHAnsi" w:hAnsiTheme="majorHAnsi"/>
          <w:sz w:val="20"/>
          <w:szCs w:val="20"/>
          <w:lang w:val="es-ES_tradnl"/>
        </w:rPr>
        <w:t>33º</w:t>
      </w:r>
      <w:r w:rsidRPr="00B7013F">
        <w:rPr>
          <w:rFonts w:asciiTheme="majorHAnsi" w:hAnsiTheme="majorHAnsi"/>
          <w:sz w:val="20"/>
          <w:szCs w:val="20"/>
          <w:lang w:val="es-ES_tradnl"/>
        </w:rPr>
        <w:t xml:space="preserve"> fue apelada</w:t>
      </w:r>
      <w:r w:rsidR="0091225E"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y el caso se trasladó al Tribunal Administrativo de Cundinamarca, Sección Tercera, Subsección "A". </w:t>
      </w:r>
      <w:r w:rsidR="008018BD" w:rsidRPr="00B7013F">
        <w:rPr>
          <w:rFonts w:asciiTheme="majorHAnsi" w:hAnsiTheme="majorHAnsi"/>
          <w:sz w:val="20"/>
          <w:szCs w:val="20"/>
          <w:lang w:val="es-ES_tradnl"/>
        </w:rPr>
        <w:t>El 23 de febrero de 2012</w:t>
      </w:r>
      <w:r w:rsidRPr="00B7013F">
        <w:rPr>
          <w:rFonts w:asciiTheme="majorHAnsi" w:hAnsiTheme="majorHAnsi"/>
          <w:sz w:val="20"/>
          <w:szCs w:val="20"/>
          <w:lang w:val="es-ES_tradnl"/>
        </w:rPr>
        <w:t>, este tribunal negó las pretensiones de la demanda</w:t>
      </w:r>
      <w:r w:rsidR="008018BD" w:rsidRPr="00B7013F">
        <w:rPr>
          <w:rFonts w:asciiTheme="majorHAnsi" w:hAnsiTheme="majorHAnsi"/>
          <w:sz w:val="20"/>
          <w:szCs w:val="20"/>
          <w:lang w:val="es-ES_tradnl"/>
        </w:rPr>
        <w:t xml:space="preserve"> </w:t>
      </w:r>
      <w:r w:rsidR="00044B98" w:rsidRPr="00B7013F">
        <w:rPr>
          <w:rFonts w:asciiTheme="majorHAnsi" w:hAnsiTheme="majorHAnsi"/>
          <w:sz w:val="20"/>
          <w:szCs w:val="20"/>
          <w:lang w:val="es-ES_tradnl"/>
        </w:rPr>
        <w:t xml:space="preserve">tras considerar, en resumen, que i) el caso concierne la alegada falla en el servicio policial y, por lo tanto, es asunto de responsabilidad subjetiva, lo que impone la carga de la prueba a la parte demandante; ii) </w:t>
      </w:r>
      <w:r w:rsidR="00EB5EAD" w:rsidRPr="00B7013F">
        <w:rPr>
          <w:rFonts w:asciiTheme="majorHAnsi" w:hAnsiTheme="majorHAnsi"/>
          <w:sz w:val="20"/>
          <w:szCs w:val="20"/>
          <w:lang w:val="es-ES_tradnl"/>
        </w:rPr>
        <w:t xml:space="preserve">la necropsia no indica cuál fue la causa de la muerte, por lo cual, correspondía a la parte demandante probar que ésta estuvo relacionada con la agresión física propinada por la policía, y no con el abuso de sustancias psicoactivas, pero como no existe prueba de la causa de la muerte, el Tribunal concluyó que no le era imputable a la Policía Nacional. </w:t>
      </w:r>
      <w:r w:rsidR="008018BD" w:rsidRPr="00B7013F">
        <w:rPr>
          <w:rFonts w:asciiTheme="majorHAnsi" w:hAnsiTheme="majorHAnsi"/>
          <w:sz w:val="20"/>
          <w:szCs w:val="20"/>
          <w:lang w:val="es-ES_tradnl"/>
        </w:rPr>
        <w:t>(decisión notificada el 16 de marzo de 2012).</w:t>
      </w:r>
    </w:p>
    <w:p w14:paraId="5017B1D6" w14:textId="3D4F5504" w:rsidR="005330EE" w:rsidRPr="00B7013F" w:rsidRDefault="005408A2" w:rsidP="005B3DE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Ante esta decisión, la familia presentó una acción de tutela contra la sentencia del Tribunal Administrativo de Cundinamarca </w:t>
      </w:r>
      <w:r w:rsidR="00E10DC7" w:rsidRPr="00B7013F">
        <w:rPr>
          <w:rFonts w:asciiTheme="majorHAnsi" w:hAnsiTheme="majorHAnsi"/>
          <w:sz w:val="20"/>
          <w:szCs w:val="20"/>
          <w:lang w:val="es-ES_tradnl"/>
        </w:rPr>
        <w:t>(No.</w:t>
      </w:r>
      <w:r w:rsidRPr="00B7013F">
        <w:rPr>
          <w:rFonts w:asciiTheme="majorHAnsi" w:hAnsiTheme="majorHAnsi"/>
          <w:sz w:val="20"/>
          <w:szCs w:val="20"/>
          <w:lang w:val="es-ES_tradnl"/>
        </w:rPr>
        <w:t xml:space="preserve"> 11001031500020120120600</w:t>
      </w:r>
      <w:r w:rsidR="00E10DC7" w:rsidRPr="00B7013F">
        <w:rPr>
          <w:rFonts w:asciiTheme="majorHAnsi" w:hAnsiTheme="majorHAnsi"/>
          <w:sz w:val="20"/>
          <w:szCs w:val="20"/>
          <w:lang w:val="es-ES_tradnl"/>
        </w:rPr>
        <w:t>)</w:t>
      </w:r>
      <w:r w:rsidR="00044B98" w:rsidRPr="00B7013F">
        <w:rPr>
          <w:rFonts w:asciiTheme="majorHAnsi" w:hAnsiTheme="majorHAnsi"/>
          <w:sz w:val="20"/>
          <w:szCs w:val="20"/>
          <w:lang w:val="es-ES_tradnl"/>
        </w:rPr>
        <w:t xml:space="preserve"> bajo la justificación que le había sido vulnerado su derecho al debido proceso, ya que el Tribunal desconoció la jurisprudencia sobre el régimen de responsabilidad objetiva aplicable al caso</w:t>
      </w:r>
      <w:r w:rsidRPr="00B7013F">
        <w:rPr>
          <w:rFonts w:asciiTheme="majorHAnsi" w:hAnsiTheme="majorHAnsi"/>
          <w:sz w:val="20"/>
          <w:szCs w:val="20"/>
          <w:lang w:val="es-ES_tradnl"/>
        </w:rPr>
        <w:t xml:space="preserve">. </w:t>
      </w:r>
      <w:r w:rsidR="00044B98" w:rsidRPr="00B7013F">
        <w:rPr>
          <w:rFonts w:asciiTheme="majorHAnsi" w:hAnsiTheme="majorHAnsi"/>
          <w:sz w:val="20"/>
          <w:szCs w:val="20"/>
          <w:lang w:val="es-ES_tradnl"/>
        </w:rPr>
        <w:t>E</w:t>
      </w:r>
      <w:r w:rsidRPr="00B7013F">
        <w:rPr>
          <w:rFonts w:asciiTheme="majorHAnsi" w:hAnsiTheme="majorHAnsi"/>
          <w:sz w:val="20"/>
          <w:szCs w:val="20"/>
          <w:lang w:val="es-ES_tradnl"/>
        </w:rPr>
        <w:t>l 24 de septiembre de 2012 el Consejo de Estado, tras revisar la tutela, decidió negar el amparo solicitado</w:t>
      </w:r>
      <w:r w:rsidR="005B3DEB" w:rsidRPr="00B7013F">
        <w:rPr>
          <w:rFonts w:asciiTheme="majorHAnsi" w:hAnsiTheme="majorHAnsi"/>
          <w:sz w:val="20"/>
          <w:szCs w:val="20"/>
          <w:lang w:val="es-ES_tradnl"/>
        </w:rPr>
        <w:t xml:space="preserve"> porque el precedente citado por la demandante se refería a la obligación del Estado de abstenerse de vulnerar los derechos de los detenidos, lo que conlleva a que la responsabilidad deba estudiarse bajo un régimen subjetivo, y no objetivo como consideró la parte demandante. </w:t>
      </w:r>
      <w:r w:rsidR="005330EE" w:rsidRPr="00B7013F">
        <w:rPr>
          <w:rFonts w:asciiTheme="majorHAnsi" w:hAnsiTheme="majorHAnsi"/>
          <w:sz w:val="20"/>
          <w:szCs w:val="20"/>
          <w:lang w:val="es-ES_tradnl"/>
        </w:rPr>
        <w:t>Dicha decisión fue apelada ante la Sección Cuarta del Consejo de Estado, quien decidió confirmar la sentencia de primera instancia mediante decisión del 21 de noviembre de 2012.</w:t>
      </w:r>
    </w:p>
    <w:p w14:paraId="692A4CC9" w14:textId="73855F9A" w:rsidR="005408A2" w:rsidRPr="00B7013F" w:rsidRDefault="005408A2" w:rsidP="005408A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Finalmente</w:t>
      </w:r>
      <w:r w:rsidR="005330EE" w:rsidRPr="00B7013F">
        <w:rPr>
          <w:rFonts w:asciiTheme="majorHAnsi" w:hAnsiTheme="majorHAnsi"/>
          <w:sz w:val="20"/>
          <w:szCs w:val="20"/>
          <w:lang w:val="es-ES_tradnl"/>
        </w:rPr>
        <w:t xml:space="preserve">, </w:t>
      </w:r>
      <w:r w:rsidR="007C62A0" w:rsidRPr="00B7013F">
        <w:rPr>
          <w:rFonts w:asciiTheme="majorHAnsi" w:hAnsiTheme="majorHAnsi"/>
          <w:sz w:val="20"/>
          <w:szCs w:val="20"/>
          <w:lang w:val="es-ES_tradnl"/>
        </w:rPr>
        <w:t xml:space="preserve">el peticionario </w:t>
      </w:r>
      <w:r w:rsidR="005330EE" w:rsidRPr="00B7013F">
        <w:rPr>
          <w:rFonts w:asciiTheme="majorHAnsi" w:hAnsiTheme="majorHAnsi"/>
          <w:sz w:val="20"/>
          <w:szCs w:val="20"/>
          <w:lang w:val="es-ES_tradnl"/>
        </w:rPr>
        <w:t xml:space="preserve">interpuso </w:t>
      </w:r>
      <w:r w:rsidR="009B085B" w:rsidRPr="00B7013F">
        <w:rPr>
          <w:rFonts w:asciiTheme="majorHAnsi" w:hAnsiTheme="majorHAnsi"/>
          <w:sz w:val="20"/>
          <w:szCs w:val="20"/>
          <w:lang w:val="es-ES_tradnl"/>
        </w:rPr>
        <w:t xml:space="preserve">un </w:t>
      </w:r>
      <w:r w:rsidR="005330EE" w:rsidRPr="00B7013F">
        <w:rPr>
          <w:rFonts w:asciiTheme="majorHAnsi" w:hAnsiTheme="majorHAnsi"/>
          <w:sz w:val="20"/>
          <w:szCs w:val="20"/>
          <w:lang w:val="es-ES_tradnl"/>
        </w:rPr>
        <w:t>recurso de revisión</w:t>
      </w:r>
      <w:r w:rsidRPr="00B7013F">
        <w:rPr>
          <w:rFonts w:asciiTheme="majorHAnsi" w:hAnsiTheme="majorHAnsi"/>
          <w:sz w:val="20"/>
          <w:szCs w:val="20"/>
          <w:lang w:val="es-ES_tradnl"/>
        </w:rPr>
        <w:t xml:space="preserve"> a la Corte Constitucional de Colombia</w:t>
      </w:r>
      <w:r w:rsidR="00382EA8" w:rsidRPr="00B7013F">
        <w:rPr>
          <w:rFonts w:asciiTheme="majorHAnsi" w:hAnsiTheme="majorHAnsi"/>
          <w:sz w:val="20"/>
          <w:szCs w:val="20"/>
          <w:lang w:val="es-ES_tradnl"/>
        </w:rPr>
        <w:t xml:space="preserve"> (</w:t>
      </w:r>
      <w:r w:rsidRPr="00B7013F">
        <w:rPr>
          <w:rFonts w:asciiTheme="majorHAnsi" w:hAnsiTheme="majorHAnsi"/>
          <w:sz w:val="20"/>
          <w:szCs w:val="20"/>
          <w:lang w:val="es-ES_tradnl"/>
        </w:rPr>
        <w:t>radicado T3944961</w:t>
      </w:r>
      <w:r w:rsidR="00382EA8"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Sin embargo, el 16 de julio de 2013 la Corte Constitucional comunicó que el caso sería excluido de revisión. </w:t>
      </w:r>
      <w:r w:rsidR="00291449" w:rsidRPr="00B7013F">
        <w:rPr>
          <w:rFonts w:asciiTheme="majorHAnsi" w:hAnsiTheme="majorHAnsi"/>
          <w:sz w:val="20"/>
          <w:szCs w:val="20"/>
          <w:lang w:val="es-ES_tradnl"/>
        </w:rPr>
        <w:t>El peticionario considera que esta</w:t>
      </w:r>
      <w:r w:rsidRPr="00B7013F">
        <w:rPr>
          <w:rFonts w:asciiTheme="majorHAnsi" w:hAnsiTheme="majorHAnsi"/>
          <w:sz w:val="20"/>
          <w:szCs w:val="20"/>
          <w:lang w:val="es-ES_tradnl"/>
        </w:rPr>
        <w:t xml:space="preserve"> decisión marcó el agotamiento de todos los recursos judiciales internos disponibles, lo que llevó a la familia a buscar justicia a nivel internacional.</w:t>
      </w:r>
    </w:p>
    <w:p w14:paraId="6E87D7DD" w14:textId="239F2A8D" w:rsidR="0064403C" w:rsidRPr="00B7013F" w:rsidRDefault="00325B3D" w:rsidP="00325B3D">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rPr>
      </w:pPr>
      <w:r w:rsidRPr="00B7013F">
        <w:rPr>
          <w:rFonts w:asciiTheme="majorHAnsi" w:hAnsiTheme="majorHAnsi"/>
          <w:i/>
          <w:iCs/>
          <w:color w:val="auto"/>
          <w:sz w:val="20"/>
          <w:szCs w:val="20"/>
          <w:lang w:val="es-ES_tradnl"/>
        </w:rPr>
        <w:lastRenderedPageBreak/>
        <w:t xml:space="preserve">Posición </w:t>
      </w:r>
      <w:r w:rsidRPr="00B7013F">
        <w:rPr>
          <w:rFonts w:asciiTheme="majorHAnsi" w:hAnsiTheme="majorHAnsi"/>
          <w:i/>
          <w:iCs/>
          <w:sz w:val="20"/>
          <w:szCs w:val="20"/>
          <w:lang w:val="es-ES_tradnl"/>
        </w:rPr>
        <w:t xml:space="preserve">del Estado </w:t>
      </w:r>
      <w:r w:rsidR="00D921EC" w:rsidRPr="00B7013F">
        <w:rPr>
          <w:rFonts w:asciiTheme="majorHAnsi" w:hAnsiTheme="majorHAnsi"/>
          <w:i/>
          <w:iCs/>
          <w:sz w:val="20"/>
          <w:szCs w:val="20"/>
          <w:lang w:val="es-ES_tradnl"/>
        </w:rPr>
        <w:t>colombiano</w:t>
      </w:r>
    </w:p>
    <w:p w14:paraId="0FC6376E" w14:textId="57EFC3DC" w:rsidR="005330EE" w:rsidRPr="00B7013F" w:rsidRDefault="005330EE" w:rsidP="00325B3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El Estado informa que el 25 de mayo de 2006, </w:t>
      </w:r>
      <w:r w:rsidR="003E0699" w:rsidRPr="00B7013F">
        <w:rPr>
          <w:rFonts w:asciiTheme="majorHAnsi" w:hAnsiTheme="majorHAnsi"/>
          <w:sz w:val="20"/>
          <w:szCs w:val="20"/>
          <w:lang w:val="es-ES_tradnl"/>
        </w:rPr>
        <w:t>al</w:t>
      </w:r>
      <w:r w:rsidRPr="00B7013F">
        <w:rPr>
          <w:rFonts w:asciiTheme="majorHAnsi" w:hAnsiTheme="majorHAnsi"/>
          <w:sz w:val="20"/>
          <w:szCs w:val="20"/>
          <w:lang w:val="es-ES_tradnl"/>
        </w:rPr>
        <w:t xml:space="preserve"> momento de su detención, el Sr. </w:t>
      </w:r>
      <w:r w:rsidR="003E0699" w:rsidRPr="00B7013F">
        <w:rPr>
          <w:rFonts w:asciiTheme="majorHAnsi" w:hAnsiTheme="majorHAnsi"/>
          <w:sz w:val="20"/>
          <w:szCs w:val="20"/>
          <w:lang w:val="es-ES_tradnl"/>
        </w:rPr>
        <w:t>Carvajal</w:t>
      </w:r>
      <w:r w:rsidRPr="00B7013F">
        <w:rPr>
          <w:rFonts w:asciiTheme="majorHAnsi" w:hAnsiTheme="majorHAnsi"/>
          <w:sz w:val="20"/>
          <w:szCs w:val="20"/>
          <w:lang w:val="es-ES_tradnl"/>
        </w:rPr>
        <w:t xml:space="preserve"> se encontraba en alto estado de alicoramiento. Exámenes toxicológicos posteriores indicaron que en su cuerpo también se encontraron residuos de </w:t>
      </w:r>
      <w:r w:rsidR="008674BD" w:rsidRPr="00B7013F">
        <w:rPr>
          <w:rFonts w:asciiTheme="majorHAnsi" w:hAnsiTheme="majorHAnsi"/>
          <w:sz w:val="20"/>
          <w:szCs w:val="20"/>
          <w:lang w:val="es-ES_tradnl"/>
        </w:rPr>
        <w:t>“</w:t>
      </w:r>
      <w:r w:rsidRPr="00B7013F">
        <w:rPr>
          <w:rFonts w:asciiTheme="majorHAnsi" w:hAnsiTheme="majorHAnsi"/>
          <w:sz w:val="20"/>
          <w:szCs w:val="20"/>
          <w:lang w:val="es-ES_tradnl"/>
        </w:rPr>
        <w:t>pegante bóxer</w:t>
      </w:r>
      <w:r w:rsidR="008674BD"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El Estado afirma que la </w:t>
      </w:r>
      <w:r w:rsidRPr="00B7013F">
        <w:rPr>
          <w:rFonts w:asciiTheme="majorHAnsi" w:hAnsiTheme="majorHAnsi"/>
          <w:i/>
          <w:iCs/>
          <w:sz w:val="20"/>
          <w:szCs w:val="20"/>
          <w:lang w:val="es-ES_tradnl"/>
        </w:rPr>
        <w:t>causa mortis</w:t>
      </w:r>
      <w:r w:rsidRPr="00B7013F">
        <w:rPr>
          <w:rFonts w:asciiTheme="majorHAnsi" w:hAnsiTheme="majorHAnsi"/>
          <w:sz w:val="20"/>
          <w:szCs w:val="20"/>
          <w:lang w:val="es-ES_tradnl"/>
        </w:rPr>
        <w:t xml:space="preserve"> de la presunta víctima se deriva de una sobredosis por las substancias que consumió ese mismo día.</w:t>
      </w:r>
    </w:p>
    <w:p w14:paraId="68F82B2F" w14:textId="6F448663" w:rsidR="00BC4CEA" w:rsidRPr="00B7013F" w:rsidRDefault="001063FE" w:rsidP="0095735A">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En relación con la investigación penal, informa que la Fiscalía adelantó de oficio la investigación 1100160000028200600789, a cargo de la Dirección Seccional de Bogotá.</w:t>
      </w:r>
      <w:r w:rsidR="00BC4CEA" w:rsidRPr="00B7013F">
        <w:rPr>
          <w:rFonts w:asciiTheme="majorHAnsi" w:hAnsiTheme="majorHAnsi"/>
          <w:sz w:val="20"/>
          <w:szCs w:val="20"/>
          <w:lang w:val="es-ES_tradnl"/>
        </w:rPr>
        <w:t xml:space="preserve"> En el marco de la investigación, los agentes del Estado responsables realizaron varias diligencias investigativas tales como entrevistas a testigos</w:t>
      </w:r>
      <w:r w:rsidR="00D37B50" w:rsidRPr="00B7013F">
        <w:rPr>
          <w:rFonts w:asciiTheme="majorHAnsi" w:hAnsiTheme="majorHAnsi"/>
          <w:sz w:val="20"/>
          <w:szCs w:val="20"/>
          <w:lang w:val="es-ES_tradnl"/>
        </w:rPr>
        <w:t>;</w:t>
      </w:r>
      <w:r w:rsidR="00BC4CEA" w:rsidRPr="00B7013F">
        <w:rPr>
          <w:rFonts w:asciiTheme="majorHAnsi" w:hAnsiTheme="majorHAnsi"/>
          <w:sz w:val="20"/>
          <w:szCs w:val="20"/>
          <w:lang w:val="es-ES_tradnl"/>
        </w:rPr>
        <w:t xml:space="preserve"> labores de vecindario</w:t>
      </w:r>
      <w:r w:rsidR="00D37B50" w:rsidRPr="00B7013F">
        <w:rPr>
          <w:rFonts w:asciiTheme="majorHAnsi" w:hAnsiTheme="majorHAnsi"/>
          <w:sz w:val="20"/>
          <w:szCs w:val="20"/>
          <w:lang w:val="es-ES_tradnl"/>
        </w:rPr>
        <w:t>;</w:t>
      </w:r>
      <w:r w:rsidR="00BC4CEA" w:rsidRPr="00B7013F">
        <w:rPr>
          <w:rFonts w:asciiTheme="majorHAnsi" w:hAnsiTheme="majorHAnsi"/>
          <w:sz w:val="20"/>
          <w:szCs w:val="20"/>
          <w:lang w:val="es-ES_tradnl"/>
        </w:rPr>
        <w:t xml:space="preserve"> inspección técnica del cadáver</w:t>
      </w:r>
      <w:r w:rsidR="00D37B50" w:rsidRPr="00B7013F">
        <w:rPr>
          <w:rFonts w:asciiTheme="majorHAnsi" w:hAnsiTheme="majorHAnsi"/>
          <w:sz w:val="20"/>
          <w:szCs w:val="20"/>
          <w:lang w:val="es-ES_tradnl"/>
        </w:rPr>
        <w:t>;</w:t>
      </w:r>
      <w:r w:rsidR="00BC4CEA" w:rsidRPr="00B7013F">
        <w:rPr>
          <w:rFonts w:asciiTheme="majorHAnsi" w:hAnsiTheme="majorHAnsi"/>
          <w:sz w:val="20"/>
          <w:szCs w:val="20"/>
          <w:lang w:val="es-ES_tradnl"/>
        </w:rPr>
        <w:t xml:space="preserve"> e informes periciales. Los informes rendidos por los miembros de la Policía Nacional y los resultados de la inspección técnica del cadáver y de los protocolos de necropsia evidenciaron que </w:t>
      </w:r>
      <w:r w:rsidR="00B95AF8" w:rsidRPr="00B7013F">
        <w:rPr>
          <w:rFonts w:asciiTheme="majorHAnsi" w:hAnsiTheme="majorHAnsi"/>
          <w:sz w:val="20"/>
          <w:szCs w:val="20"/>
          <w:lang w:val="es-ES_tradnl"/>
        </w:rPr>
        <w:t>el Sr. Carvajal</w:t>
      </w:r>
      <w:r w:rsidR="00BC4CEA" w:rsidRPr="00B7013F">
        <w:rPr>
          <w:rFonts w:asciiTheme="majorHAnsi" w:hAnsiTheme="majorHAnsi"/>
          <w:sz w:val="20"/>
          <w:szCs w:val="20"/>
          <w:lang w:val="es-ES_tradnl"/>
        </w:rPr>
        <w:t xml:space="preserve"> fue encontrado con una botella de una sustancia espesa de color amarillo, ingerida antes de su muerte, correspondiente al </w:t>
      </w:r>
      <w:r w:rsidR="003F566A" w:rsidRPr="00B7013F">
        <w:rPr>
          <w:rFonts w:asciiTheme="majorHAnsi" w:hAnsiTheme="majorHAnsi"/>
          <w:sz w:val="20"/>
          <w:szCs w:val="20"/>
          <w:lang w:val="es-ES_tradnl"/>
        </w:rPr>
        <w:t>“</w:t>
      </w:r>
      <w:r w:rsidR="00BC4CEA" w:rsidRPr="00B7013F">
        <w:rPr>
          <w:rFonts w:asciiTheme="majorHAnsi" w:hAnsiTheme="majorHAnsi"/>
          <w:sz w:val="20"/>
          <w:szCs w:val="20"/>
          <w:lang w:val="es-ES_tradnl"/>
        </w:rPr>
        <w:t>pegante bóxer</w:t>
      </w:r>
      <w:r w:rsidR="003F566A" w:rsidRPr="00B7013F">
        <w:rPr>
          <w:rFonts w:asciiTheme="majorHAnsi" w:hAnsiTheme="majorHAnsi"/>
          <w:sz w:val="20"/>
          <w:szCs w:val="20"/>
          <w:lang w:val="es-ES_tradnl"/>
        </w:rPr>
        <w:t>”</w:t>
      </w:r>
      <w:r w:rsidR="00BC4CEA" w:rsidRPr="00B7013F">
        <w:rPr>
          <w:rFonts w:asciiTheme="majorHAnsi" w:hAnsiTheme="majorHAnsi"/>
          <w:sz w:val="20"/>
          <w:szCs w:val="20"/>
          <w:lang w:val="es-ES_tradnl"/>
        </w:rPr>
        <w:t xml:space="preserve">. La congestión visceral y el edema cerebral obedecen al consumo de dicha substancia, y no a una situación de malos tratos. Teniendo en cuenta el expuesto, la Fiscalía 112 Seccional de Bogotá tomó la decisión de proferir resolución de archivo mediante orden </w:t>
      </w:r>
      <w:r w:rsidR="003119F5" w:rsidRPr="00B7013F">
        <w:rPr>
          <w:rFonts w:asciiTheme="majorHAnsi" w:hAnsiTheme="majorHAnsi"/>
          <w:sz w:val="20"/>
          <w:szCs w:val="20"/>
          <w:lang w:val="es-ES_tradnl"/>
        </w:rPr>
        <w:t>del</w:t>
      </w:r>
      <w:r w:rsidR="00BC4CEA" w:rsidRPr="00B7013F">
        <w:rPr>
          <w:rFonts w:asciiTheme="majorHAnsi" w:hAnsiTheme="majorHAnsi"/>
          <w:sz w:val="20"/>
          <w:szCs w:val="20"/>
          <w:lang w:val="es-ES_tradnl"/>
        </w:rPr>
        <w:t xml:space="preserve"> 31 de septiembre de 2014, bajo la justificación de que no fue posible establecer el sujeto activo de la conducta delictiva.</w:t>
      </w:r>
    </w:p>
    <w:p w14:paraId="18DB0FA2" w14:textId="7B3D0686" w:rsidR="00064179" w:rsidRPr="00B7013F" w:rsidRDefault="00064179" w:rsidP="0006417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Con respecto a la jurisdicción </w:t>
      </w:r>
      <w:r w:rsidR="001A3A97" w:rsidRPr="00B7013F">
        <w:rPr>
          <w:rFonts w:asciiTheme="majorHAnsi" w:hAnsiTheme="majorHAnsi"/>
          <w:sz w:val="20"/>
          <w:szCs w:val="20"/>
          <w:lang w:val="es-ES_tradnl"/>
        </w:rPr>
        <w:t>contencioso-administrativa</w:t>
      </w:r>
      <w:r w:rsidRPr="00B7013F">
        <w:rPr>
          <w:rFonts w:asciiTheme="majorHAnsi" w:hAnsiTheme="majorHAnsi"/>
          <w:sz w:val="20"/>
          <w:szCs w:val="20"/>
          <w:lang w:val="es-ES_tradnl"/>
        </w:rPr>
        <w:t xml:space="preserve">, informa que </w:t>
      </w:r>
      <w:r w:rsidRPr="00B7013F">
        <w:rPr>
          <w:rFonts w:asciiTheme="majorHAnsi" w:eastAsia="Arial Unicode MS" w:hAnsiTheme="majorHAnsi" w:cs="Times New Roman"/>
          <w:color w:val="auto"/>
          <w:sz w:val="20"/>
          <w:szCs w:val="20"/>
          <w:lang w:val="es-ES_tradnl" w:eastAsia="en-US"/>
        </w:rPr>
        <w:t>l</w:t>
      </w:r>
      <w:r w:rsidRPr="00B7013F">
        <w:rPr>
          <w:rFonts w:asciiTheme="majorHAnsi" w:hAnsiTheme="majorHAnsi"/>
          <w:sz w:val="20"/>
          <w:szCs w:val="20"/>
          <w:lang w:val="es-ES_tradnl"/>
        </w:rPr>
        <w:t xml:space="preserve">a familia de Carvajal Cardona interpuso una demanda de Reparación Directa contra la Nación–Ministerio de Defensa Nacional–Policía Nacional, en la que solicitaron que se declarara la responsabilidad del Estado respecto de la totalidad de los daños y perjuicios causados a los demandantes por la muerte </w:t>
      </w:r>
      <w:r w:rsidR="001A3A97" w:rsidRPr="00B7013F">
        <w:rPr>
          <w:rFonts w:asciiTheme="majorHAnsi" w:hAnsiTheme="majorHAnsi"/>
          <w:sz w:val="20"/>
          <w:szCs w:val="20"/>
          <w:lang w:val="es-ES_tradnl"/>
        </w:rPr>
        <w:t>de la presunta víctima</w:t>
      </w:r>
      <w:r w:rsidRPr="00B7013F">
        <w:rPr>
          <w:rFonts w:asciiTheme="majorHAnsi" w:hAnsiTheme="majorHAnsi"/>
          <w:sz w:val="20"/>
          <w:szCs w:val="20"/>
          <w:lang w:val="es-ES_tradnl"/>
        </w:rPr>
        <w:t xml:space="preserve">. Dicho proceso fue conocido, en primera instancia, por el Juzgado 33 Administrativo–Circuito Judicial de Bogotá bajo el radicado 11001-33-31-033-2008-00146-00, y el mismo resolvió declarar responsable objetivamente a la Nación por medio de sentencia </w:t>
      </w:r>
      <w:r w:rsidR="00DE1C05" w:rsidRPr="00B7013F">
        <w:rPr>
          <w:rFonts w:asciiTheme="majorHAnsi" w:hAnsiTheme="majorHAnsi"/>
          <w:sz w:val="20"/>
          <w:szCs w:val="20"/>
          <w:lang w:val="es-ES_tradnl"/>
        </w:rPr>
        <w:t>del 17 de mayo de 20</w:t>
      </w:r>
      <w:r w:rsidR="00E6641D" w:rsidRPr="00B7013F">
        <w:rPr>
          <w:rFonts w:asciiTheme="majorHAnsi" w:hAnsiTheme="majorHAnsi"/>
          <w:sz w:val="20"/>
          <w:szCs w:val="20"/>
          <w:lang w:val="es-ES_tradnl"/>
        </w:rPr>
        <w:t>1</w:t>
      </w:r>
      <w:r w:rsidR="00DE1C05" w:rsidRPr="00B7013F">
        <w:rPr>
          <w:rFonts w:asciiTheme="majorHAnsi" w:hAnsiTheme="majorHAnsi"/>
          <w:sz w:val="20"/>
          <w:szCs w:val="20"/>
          <w:lang w:val="es-ES_tradnl"/>
        </w:rPr>
        <w:t>1.</w:t>
      </w:r>
    </w:p>
    <w:p w14:paraId="1E583DDF" w14:textId="54FB0BAA" w:rsidR="00DE1C05" w:rsidRPr="00B7013F" w:rsidRDefault="00DE1C05" w:rsidP="0006417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Sin embargo, dicha decisión fue apelada, por lo que el trámite continuó ante la Subsección A, Sección Tercera del Tribunal Administrativo de Cundinamarca. El 2</w:t>
      </w:r>
      <w:r w:rsidR="00D401F6" w:rsidRPr="00B7013F">
        <w:rPr>
          <w:rFonts w:asciiTheme="majorHAnsi" w:hAnsiTheme="majorHAnsi"/>
          <w:sz w:val="20"/>
          <w:szCs w:val="20"/>
          <w:lang w:val="es-ES_tradnl"/>
        </w:rPr>
        <w:t>3</w:t>
      </w:r>
      <w:r w:rsidRPr="00B7013F">
        <w:rPr>
          <w:rFonts w:asciiTheme="majorHAnsi" w:hAnsiTheme="majorHAnsi"/>
          <w:sz w:val="20"/>
          <w:szCs w:val="20"/>
          <w:lang w:val="es-ES_tradnl"/>
        </w:rPr>
        <w:t xml:space="preserve"> de </w:t>
      </w:r>
      <w:r w:rsidR="00D401F6" w:rsidRPr="00B7013F">
        <w:rPr>
          <w:rFonts w:asciiTheme="majorHAnsi" w:hAnsiTheme="majorHAnsi"/>
          <w:sz w:val="20"/>
          <w:szCs w:val="20"/>
          <w:lang w:val="es-ES_tradnl"/>
        </w:rPr>
        <w:t xml:space="preserve">febrero </w:t>
      </w:r>
      <w:r w:rsidRPr="00B7013F">
        <w:rPr>
          <w:rFonts w:asciiTheme="majorHAnsi" w:hAnsiTheme="majorHAnsi"/>
          <w:sz w:val="20"/>
          <w:szCs w:val="20"/>
          <w:lang w:val="es-ES_tradnl"/>
        </w:rPr>
        <w:t>de 2012 el Tribunal decidió revocar el fallo proferido en primera instancia y negar las pretensiones de la demanda como consecuencia de que las pruebas indicaban que no existió falla en el servicio de la Policía. Por el contrario, un análisis de la cavidad toráxica del Sr. Yurden evidenció un grupo de adherencias características de una persona consumidora de pegante, hallazgo que coincidió con los informes de la Policía sobre la captura del fallecido que señalaron que él se encontraba en un estado de excitación mientras inhalaba pegante bóxer. Así, el Tribunal consideró que la muerte del Sr. Yurden se podía atribuir al abuso de sustancias químicas, y no a la conducta de los agentes de la Policía Nacional.</w:t>
      </w:r>
    </w:p>
    <w:p w14:paraId="44908029" w14:textId="77777777" w:rsidR="00687C98" w:rsidRPr="00B7013F" w:rsidRDefault="005517F8" w:rsidP="00AA4A1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La familia de Yurden decidió interponer una acción de tutela en contra de dicha decisión de segunda instancia por considerar que le había sido vulnerado su derecho al debido proceso. El trámite de la tutela se surtió en primera instancia ante la Subsección B, Sección Segunda del Consejo del Estado, quien </w:t>
      </w:r>
      <w:r w:rsidR="00081F88" w:rsidRPr="00B7013F">
        <w:rPr>
          <w:rFonts w:asciiTheme="majorHAnsi" w:hAnsiTheme="majorHAnsi"/>
          <w:sz w:val="20"/>
          <w:szCs w:val="20"/>
          <w:lang w:val="es-ES_tradnl"/>
        </w:rPr>
        <w:t xml:space="preserve">negó la tutela mediante sentencia del 24 de septiembre de 2012. Dicha sentencia fue apelada ante la Sección Cuarta de la Sala de lo Contencioso Administrativo del Consejo del Estado, </w:t>
      </w:r>
      <w:r w:rsidR="00EB07DE" w:rsidRPr="00B7013F">
        <w:rPr>
          <w:rFonts w:asciiTheme="majorHAnsi" w:hAnsiTheme="majorHAnsi"/>
          <w:sz w:val="20"/>
          <w:szCs w:val="20"/>
          <w:lang w:val="es-ES_tradnl"/>
        </w:rPr>
        <w:t>que</w:t>
      </w:r>
      <w:r w:rsidR="00081F88" w:rsidRPr="00B7013F">
        <w:rPr>
          <w:rFonts w:asciiTheme="majorHAnsi" w:hAnsiTheme="majorHAnsi"/>
          <w:sz w:val="20"/>
          <w:szCs w:val="20"/>
          <w:lang w:val="es-ES_tradnl"/>
        </w:rPr>
        <w:t xml:space="preserve"> resolvió el recurso el 21 de noviembre de 2012, confirmando el fallo de primera instancia. </w:t>
      </w:r>
    </w:p>
    <w:p w14:paraId="3177424E" w14:textId="7DF53F76" w:rsidR="00064179" w:rsidRPr="00B7013F" w:rsidRDefault="00081F88" w:rsidP="00AA4A1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En esa decisión, la Sala afirmó, en resumen, que</w:t>
      </w:r>
      <w:r w:rsidR="00687C98"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i) el título de responsabilidad alegado, el de responsabilidad objetiva, no era aplicable al asunto, pues dicho régimen sólo está dispuesto para la privación injusta de la libertad en el marco de la actividad judicial, no de la actividad administrativa; ii) el alegato de falla en el servicio policial sería de responsabilidad subjetiva, lo que impone la carga de la prueba a la parte demandante; como dicha parte no probó la falla en la que incurrió la administración, se imponía denegar las pretensiones de la demanda de reparación directa. En conclusión, el Estado informa que el expediente de tutela fue excluido para revisión de la Corte Constitucional mediante auto del 20 de agosto de 2013.</w:t>
      </w:r>
    </w:p>
    <w:p w14:paraId="1EB25319" w14:textId="77777777" w:rsidR="00EB5EAD" w:rsidRDefault="00EB5EAD" w:rsidP="00B7013F">
      <w:pPr>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sz w:val="20"/>
          <w:szCs w:val="20"/>
          <w:lang w:val="es-ES_tradnl"/>
        </w:rPr>
      </w:pPr>
    </w:p>
    <w:p w14:paraId="633C3E9D" w14:textId="77777777" w:rsidR="00DC2568" w:rsidRPr="00B7013F" w:rsidRDefault="00DC2568" w:rsidP="00B7013F">
      <w:pPr>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sz w:val="20"/>
          <w:szCs w:val="20"/>
          <w:lang w:val="es-ES_tradnl"/>
        </w:rPr>
      </w:pPr>
    </w:p>
    <w:p w14:paraId="6B466593" w14:textId="57173F11" w:rsidR="00B83158" w:rsidRPr="00B7013F" w:rsidRDefault="00B83158" w:rsidP="001443F7">
      <w:pPr>
        <w:spacing w:before="240" w:after="240"/>
        <w:ind w:firstLine="720"/>
        <w:jc w:val="both"/>
        <w:rPr>
          <w:rFonts w:asciiTheme="majorHAnsi" w:hAnsiTheme="majorHAnsi"/>
          <w:sz w:val="20"/>
          <w:szCs w:val="20"/>
          <w:lang w:val="es-ES_tradnl"/>
        </w:rPr>
      </w:pPr>
      <w:r w:rsidRPr="00B7013F">
        <w:rPr>
          <w:rFonts w:asciiTheme="majorHAnsi" w:hAnsiTheme="majorHAnsi"/>
          <w:b/>
          <w:sz w:val="20"/>
          <w:szCs w:val="20"/>
          <w:lang w:val="es-ES_tradnl"/>
        </w:rPr>
        <w:lastRenderedPageBreak/>
        <w:t xml:space="preserve">VI. </w:t>
      </w:r>
      <w:r w:rsidRPr="00B7013F">
        <w:rPr>
          <w:rFonts w:asciiTheme="majorHAnsi" w:hAnsiTheme="majorHAnsi"/>
          <w:b/>
          <w:sz w:val="20"/>
          <w:szCs w:val="20"/>
          <w:lang w:val="es-ES_tradnl"/>
        </w:rPr>
        <w:tab/>
      </w:r>
      <w:r w:rsidRPr="00B7013F">
        <w:rPr>
          <w:rFonts w:asciiTheme="majorHAnsi" w:hAnsiTheme="majorHAnsi"/>
          <w:b/>
          <w:bCs/>
          <w:sz w:val="20"/>
          <w:szCs w:val="20"/>
          <w:lang w:val="es-ES_tradnl"/>
        </w:rPr>
        <w:t xml:space="preserve">ANÁLISIS DE </w:t>
      </w:r>
      <w:r w:rsidRPr="00B7013F">
        <w:rPr>
          <w:rFonts w:asciiTheme="majorHAnsi" w:hAnsiTheme="majorHAnsi"/>
          <w:b/>
          <w:sz w:val="20"/>
          <w:szCs w:val="20"/>
          <w:lang w:val="es-ES_tradnl"/>
        </w:rPr>
        <w:t>AGOTAMIENTO DE LOS RECURSOS INTERNOS Y PLAZO DE PRESENTACIÓN</w:t>
      </w:r>
      <w:r w:rsidRPr="00B7013F">
        <w:rPr>
          <w:rFonts w:asciiTheme="majorHAnsi" w:eastAsia="Cambria" w:hAnsiTheme="majorHAnsi" w:cs="Cambria"/>
          <w:b/>
          <w:bCs/>
          <w:color w:val="000000"/>
          <w:sz w:val="20"/>
          <w:szCs w:val="20"/>
          <w:u w:color="000000"/>
          <w:lang w:val="es-ES_tradnl" w:eastAsia="es-ES"/>
        </w:rPr>
        <w:t xml:space="preserve"> </w:t>
      </w:r>
    </w:p>
    <w:p w14:paraId="0CE47FAD" w14:textId="77777777" w:rsidR="00EB5EAD" w:rsidRPr="00B7013F" w:rsidRDefault="00EB5EAD" w:rsidP="00EB5EA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CO"/>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Pr="00B7013F">
        <w:rPr>
          <w:rStyle w:val="FootnoteReference"/>
          <w:rFonts w:asciiTheme="majorHAnsi" w:hAnsiTheme="majorHAnsi"/>
          <w:color w:val="auto"/>
          <w:sz w:val="20"/>
          <w:szCs w:val="20"/>
          <w:lang w:val="es-CO"/>
        </w:rPr>
        <w:footnoteReference w:id="6"/>
      </w:r>
      <w:r w:rsidRPr="00B7013F">
        <w:rPr>
          <w:rFonts w:asciiTheme="majorHAnsi" w:hAnsiTheme="majorHAnsi"/>
          <w:color w:val="auto"/>
          <w:sz w:val="20"/>
          <w:szCs w:val="20"/>
          <w:lang w:val="es-CO"/>
        </w:rPr>
        <w:t>.</w:t>
      </w:r>
    </w:p>
    <w:p w14:paraId="6471BB38" w14:textId="34B7C616" w:rsidR="00665C9C" w:rsidRPr="00B7013F" w:rsidRDefault="00665C9C" w:rsidP="00EB5EA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CO"/>
        </w:rPr>
        <w:t>De esta manera, la Comisión entiende que la parte peticionaria plantea dos reclamos: i) el primero relacionado con la alegada impunidad en la que se encontraría la muerte de Yurden Carvajal Cardona en una estación de policía, bajo custodia estatal; y, ii) el segundo relativo a la falta de reparación por parte del Estado por el mismo hecho. Así, la CIDH analizará el agotamiento de los recursos internos con respecto a cada reclamo en particular.</w:t>
      </w:r>
    </w:p>
    <w:p w14:paraId="69CF9001" w14:textId="3DFB6A93" w:rsidR="00FC6136" w:rsidRPr="00B7013F" w:rsidRDefault="00665C9C" w:rsidP="001631C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 xml:space="preserve">Con respecto a la alegada impunidad, la Comisión recuerda que, </w:t>
      </w:r>
      <w:r w:rsidR="006A2CE3" w:rsidRPr="00B7013F">
        <w:rPr>
          <w:rFonts w:asciiTheme="majorHAnsi" w:hAnsiTheme="majorHAnsi"/>
          <w:color w:val="auto"/>
          <w:sz w:val="20"/>
          <w:szCs w:val="20"/>
          <w:lang w:val="es-ES_tradnl"/>
        </w:rPr>
        <w:t xml:space="preserve">en los casos en que se reclama por la </w:t>
      </w:r>
      <w:r w:rsidR="0075283E" w:rsidRPr="00B7013F">
        <w:rPr>
          <w:rFonts w:asciiTheme="majorHAnsi" w:hAnsiTheme="majorHAnsi"/>
          <w:color w:val="auto"/>
          <w:sz w:val="20"/>
          <w:szCs w:val="20"/>
          <w:lang w:val="es-ES_tradnl"/>
        </w:rPr>
        <w:t>muerte</w:t>
      </w:r>
      <w:r w:rsidR="006A2CE3" w:rsidRPr="00B7013F">
        <w:rPr>
          <w:rFonts w:asciiTheme="majorHAnsi" w:hAnsiTheme="majorHAnsi"/>
          <w:color w:val="auto"/>
          <w:sz w:val="20"/>
          <w:szCs w:val="20"/>
          <w:lang w:val="es-ES_tradnl"/>
        </w:rPr>
        <w:t xml:space="preserve"> de personas,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6A2CE3" w:rsidRPr="00B7013F">
        <w:rPr>
          <w:rFonts w:asciiTheme="majorHAnsi" w:hAnsiTheme="majorHAnsi"/>
          <w:bCs/>
          <w:color w:val="auto"/>
          <w:sz w:val="20"/>
          <w:szCs w:val="20"/>
          <w:vertAlign w:val="superscript"/>
          <w:lang w:val="es-ES_tradnl"/>
        </w:rPr>
        <w:footnoteReference w:id="7"/>
      </w:r>
      <w:r w:rsidR="001631C5" w:rsidRPr="00B7013F">
        <w:rPr>
          <w:rFonts w:asciiTheme="majorHAnsi" w:hAnsiTheme="majorHAnsi"/>
          <w:color w:val="auto"/>
          <w:sz w:val="20"/>
          <w:szCs w:val="20"/>
          <w:lang w:val="es-ES_tradnl"/>
        </w:rPr>
        <w:t>.</w:t>
      </w:r>
      <w:r w:rsidR="00274B08" w:rsidRPr="00B7013F">
        <w:rPr>
          <w:rFonts w:asciiTheme="majorHAnsi" w:hAnsiTheme="majorHAnsi"/>
          <w:color w:val="auto"/>
          <w:sz w:val="20"/>
          <w:szCs w:val="20"/>
          <w:lang w:val="es-ES_tradnl"/>
        </w:rPr>
        <w:t xml:space="preserve"> </w:t>
      </w:r>
      <w:r w:rsidR="001631C5" w:rsidRPr="00B7013F">
        <w:rPr>
          <w:rFonts w:asciiTheme="majorHAnsi" w:hAnsiTheme="majorHAnsi"/>
          <w:color w:val="auto"/>
          <w:sz w:val="20"/>
          <w:szCs w:val="20"/>
          <w:lang w:val="es-ES_tradnl"/>
        </w:rPr>
        <w:t>E</w:t>
      </w:r>
      <w:r w:rsidR="00274B08" w:rsidRPr="00B7013F">
        <w:rPr>
          <w:rFonts w:asciiTheme="majorHAnsi" w:hAnsiTheme="majorHAnsi"/>
          <w:color w:val="auto"/>
          <w:sz w:val="20"/>
          <w:szCs w:val="20"/>
          <w:lang w:val="es-ES_tradnl"/>
        </w:rPr>
        <w:t>sta carga debe ser asumida por el Estado como un deber jurídico propio, y no como una gestión de intereses de particulares o que dependa de la iniciativa de éstos ni de la aportación de pruebas por parte de los mismos</w:t>
      </w:r>
      <w:r w:rsidR="00274B08" w:rsidRPr="00B7013F">
        <w:rPr>
          <w:rFonts w:asciiTheme="majorHAnsi" w:hAnsiTheme="majorHAnsi"/>
          <w:bCs/>
          <w:color w:val="auto"/>
          <w:sz w:val="20"/>
          <w:szCs w:val="20"/>
          <w:vertAlign w:val="superscript"/>
          <w:lang w:val="es-ES_tradnl"/>
        </w:rPr>
        <w:footnoteReference w:id="8"/>
      </w:r>
      <w:r w:rsidR="00274B08" w:rsidRPr="00B7013F">
        <w:rPr>
          <w:rFonts w:asciiTheme="majorHAnsi" w:hAnsiTheme="majorHAnsi"/>
          <w:color w:val="auto"/>
          <w:sz w:val="20"/>
          <w:szCs w:val="20"/>
          <w:lang w:val="es-ES_tradnl"/>
        </w:rPr>
        <w:t xml:space="preserve">. </w:t>
      </w:r>
    </w:p>
    <w:p w14:paraId="0C8CC493" w14:textId="77777777" w:rsidR="005E33EE" w:rsidRPr="00B7013F" w:rsidRDefault="00FC6136" w:rsidP="00CE0F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color w:val="auto"/>
          <w:sz w:val="20"/>
          <w:szCs w:val="20"/>
          <w:lang w:val="es-ES"/>
        </w:rPr>
        <w:t>En el presente caso, según la información que las partes proporcionaron, la Comisión observa que</w:t>
      </w:r>
      <w:r w:rsidR="00CE0F8B" w:rsidRPr="00B7013F">
        <w:rPr>
          <w:rFonts w:asciiTheme="majorHAnsi" w:hAnsiTheme="majorHAnsi"/>
          <w:color w:val="auto"/>
          <w:sz w:val="20"/>
          <w:szCs w:val="20"/>
          <w:lang w:val="es-ES"/>
        </w:rPr>
        <w:t xml:space="preserve">, tras la muerte de Yurden ocurrida en mayo de 2006, </w:t>
      </w:r>
      <w:r w:rsidR="00CE0F8B" w:rsidRPr="00B7013F">
        <w:rPr>
          <w:rFonts w:asciiTheme="majorHAnsi" w:hAnsiTheme="majorHAnsi"/>
          <w:sz w:val="20"/>
          <w:szCs w:val="20"/>
          <w:lang w:val="es-ES_tradnl"/>
        </w:rPr>
        <w:t xml:space="preserve">la Fiscalía adelantó de oficio la investigación penal. </w:t>
      </w:r>
      <w:r w:rsidR="005E33EE" w:rsidRPr="00B7013F">
        <w:rPr>
          <w:rFonts w:asciiTheme="majorHAnsi" w:hAnsiTheme="majorHAnsi"/>
          <w:sz w:val="20"/>
          <w:szCs w:val="20"/>
          <w:lang w:val="es-ES_tradnl"/>
        </w:rPr>
        <w:t>Según el Estado, l</w:t>
      </w:r>
      <w:r w:rsidR="00CE0F8B" w:rsidRPr="00B7013F">
        <w:rPr>
          <w:rFonts w:asciiTheme="majorHAnsi" w:hAnsiTheme="majorHAnsi"/>
          <w:sz w:val="20"/>
          <w:szCs w:val="20"/>
          <w:lang w:val="es-ES_tradnl"/>
        </w:rPr>
        <w:t>uego de realizar variadas diligencias investigativas que incluyeron a entrevistas a testigos, labores de vecindario, inspección técnica del cadáver, informes policiales e informes periciales, la Fiscalía resolvió, el 31 de septiembre de 2014, archivar la investigación bajo la justificación de que no fue posible establecer el sujeto activo de la conducta delictiva.</w:t>
      </w:r>
      <w:r w:rsidR="005E33EE" w:rsidRPr="00B7013F">
        <w:rPr>
          <w:rFonts w:asciiTheme="majorHAnsi" w:hAnsiTheme="majorHAnsi"/>
          <w:sz w:val="20"/>
          <w:szCs w:val="20"/>
          <w:lang w:val="es-ES_tradnl"/>
        </w:rPr>
        <w:t xml:space="preserve"> La CIDH observa que, sin embargo, el Estado no aclara si los familiares de la presunta víctima fueron notificados sobre la decisión del archivo de las investigaciones. </w:t>
      </w:r>
    </w:p>
    <w:p w14:paraId="1EF2D03A" w14:textId="71345FDE" w:rsidR="00CE0F8B" w:rsidRPr="00B7013F" w:rsidRDefault="00EB5EAD" w:rsidP="00CE0F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Por</w:t>
      </w:r>
      <w:r w:rsidR="005E33EE" w:rsidRPr="00B7013F">
        <w:rPr>
          <w:rFonts w:asciiTheme="majorHAnsi" w:hAnsiTheme="majorHAnsi"/>
          <w:sz w:val="20"/>
          <w:szCs w:val="20"/>
          <w:lang w:val="es-ES_tradnl"/>
        </w:rPr>
        <w:t xml:space="preserve"> su parte, el peticionario presenta copias de la solicitud de información, presentada por la madre de la presunta víctima a la Fiscalía, sobre el estado de la investigación, con fecha 12 de enero de 2021; así como la respuesta de la Fiscalía 112 Seccional de que las diligencias investigativas se encontraban inactivas, y que el 31 de julio de 2014 se emitió orden de archivo ante la imposibilidad de encontrar o establecer el sujeto activo del delito investigado, con fecha 14 de enero de 2021.</w:t>
      </w:r>
    </w:p>
    <w:p w14:paraId="2342CCA9" w14:textId="3CF790B1" w:rsidR="005E33EE" w:rsidRPr="00B7013F" w:rsidRDefault="00190233" w:rsidP="00CE0F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Considerando que la muerte de Yurden ocurrió en 2006; que las investigaciones, aunque abiertas, fueron archivadas en 2014; que no fue posible determinar si la decisión de archivo fue notificada a los familiares de la presunta víctima </w:t>
      </w:r>
      <w:r w:rsidR="00B7013F" w:rsidRPr="00B7013F">
        <w:rPr>
          <w:rFonts w:asciiTheme="majorHAnsi" w:hAnsiTheme="majorHAnsi"/>
          <w:sz w:val="20"/>
          <w:szCs w:val="20"/>
          <w:lang w:val="es-ES_tradnl"/>
        </w:rPr>
        <w:t>si</w:t>
      </w:r>
      <w:r w:rsidR="00665C9C" w:rsidRPr="00B7013F">
        <w:rPr>
          <w:rFonts w:asciiTheme="majorHAnsi" w:hAnsiTheme="majorHAnsi"/>
          <w:sz w:val="20"/>
          <w:szCs w:val="20"/>
          <w:lang w:val="es-ES_tradnl"/>
        </w:rPr>
        <w:t xml:space="preserve"> éstos tenían la posibilidad de impugnar dicha decisión</w:t>
      </w:r>
      <w:r w:rsidRPr="00B7013F">
        <w:rPr>
          <w:rFonts w:asciiTheme="majorHAnsi" w:hAnsiTheme="majorHAnsi"/>
          <w:sz w:val="20"/>
          <w:szCs w:val="20"/>
          <w:lang w:val="es-ES_tradnl"/>
        </w:rPr>
        <w:t>; y que recién en 2021, a más de 14 años de la muerte de Yurden, su madre fue informada que las investigaciones estaban inactivas por falta de pruebas sobre la autoría del crimen investigado, tras buscar de oficio información sobre el estado de las investigaciones, la Comisión Interamericana concluye que la excepción aplica para el caso de la regla del agotamiento previo prevista en el artículo 46.2.c de la Convención Americana.</w:t>
      </w:r>
    </w:p>
    <w:p w14:paraId="130CD69F" w14:textId="657ACAFE" w:rsidR="00665C9C" w:rsidRPr="00B7013F" w:rsidRDefault="00665C9C" w:rsidP="00CE0F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lastRenderedPageBreak/>
        <w:t>Ahora bien, en cuanto al reclamo por la falta de indemnización de los daños ocasionados con el fallecimiento de Yurden Carvajal Cardona en detención, la Comisión observa que los familiares de la presunta víctima interpusieron una demanda de reparación directa, que fue concedida en primera instancia, pero rechazada en segunda el 2</w:t>
      </w:r>
      <w:r w:rsidR="00D401F6" w:rsidRPr="00B7013F">
        <w:rPr>
          <w:rFonts w:asciiTheme="majorHAnsi" w:hAnsiTheme="majorHAnsi"/>
          <w:sz w:val="20"/>
          <w:szCs w:val="20"/>
          <w:lang w:val="es-ES_tradnl"/>
        </w:rPr>
        <w:t>3</w:t>
      </w:r>
      <w:r w:rsidRPr="00B7013F">
        <w:rPr>
          <w:rFonts w:asciiTheme="majorHAnsi" w:hAnsiTheme="majorHAnsi"/>
          <w:sz w:val="20"/>
          <w:szCs w:val="20"/>
          <w:lang w:val="es-ES_tradnl"/>
        </w:rPr>
        <w:t xml:space="preserve"> de </w:t>
      </w:r>
      <w:r w:rsidR="00D401F6" w:rsidRPr="00B7013F">
        <w:rPr>
          <w:rFonts w:asciiTheme="majorHAnsi" w:hAnsiTheme="majorHAnsi"/>
          <w:sz w:val="20"/>
          <w:szCs w:val="20"/>
          <w:lang w:val="es-ES_tradnl"/>
        </w:rPr>
        <w:t xml:space="preserve">febrero </w:t>
      </w:r>
      <w:r w:rsidRPr="00B7013F">
        <w:rPr>
          <w:rFonts w:asciiTheme="majorHAnsi" w:hAnsiTheme="majorHAnsi"/>
          <w:sz w:val="20"/>
          <w:szCs w:val="20"/>
          <w:lang w:val="es-ES_tradnl"/>
        </w:rPr>
        <w:t xml:space="preserve">de 2012. Ante ello, la parte peticionaria presentó una acción de tutela, que fue denegada </w:t>
      </w:r>
      <w:r w:rsidR="00D401F6" w:rsidRPr="00B7013F">
        <w:rPr>
          <w:rFonts w:asciiTheme="majorHAnsi" w:hAnsiTheme="majorHAnsi"/>
          <w:sz w:val="20"/>
          <w:szCs w:val="20"/>
          <w:lang w:val="es-ES_tradnl"/>
        </w:rPr>
        <w:t>en ambas instancias el 24 de septiembre de 2012 y el 21 de noviembre de 2012. Finalmente, la acción de tutela fue rechazada para revisión eventual de la Corte Constitucional el 20 de agosto de 2013.</w:t>
      </w:r>
    </w:p>
    <w:p w14:paraId="65F2EC49" w14:textId="25952ECF" w:rsidR="00D401F6" w:rsidRPr="00B7013F" w:rsidRDefault="00D401F6" w:rsidP="00CE0F8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En consecuencia, la Comisión estima que la decisión que agotó los recursos internos con respecto a este reclamo fue la proferida el 20 de agosto de 2013 por la Corte Constitucional. Dado que la petición fue presentada el 27 de noviembre de 2013, la CIDH concluye que cumple con los requisitos establecidos en el artículo 46.1 a) y b</w:t>
      </w:r>
      <w:r w:rsidR="00156B7B"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de la Convención Americana en este extremo.</w:t>
      </w:r>
    </w:p>
    <w:p w14:paraId="2C613E54" w14:textId="77777777" w:rsidR="00C9124E" w:rsidRPr="00B7013F" w:rsidRDefault="00C9124E" w:rsidP="001443F7">
      <w:pPr>
        <w:pStyle w:val="ListParagraph"/>
        <w:spacing w:before="240" w:after="240"/>
        <w:ind w:left="758"/>
        <w:jc w:val="both"/>
        <w:rPr>
          <w:rFonts w:asciiTheme="majorHAnsi" w:hAnsiTheme="majorHAnsi"/>
          <w:b/>
          <w:color w:val="auto"/>
          <w:sz w:val="20"/>
          <w:szCs w:val="20"/>
          <w:lang w:val="es-ES_tradnl"/>
        </w:rPr>
      </w:pPr>
      <w:r w:rsidRPr="00B7013F">
        <w:rPr>
          <w:rFonts w:asciiTheme="majorHAnsi" w:hAnsiTheme="majorHAnsi"/>
          <w:b/>
          <w:color w:val="auto"/>
          <w:sz w:val="20"/>
          <w:szCs w:val="20"/>
          <w:lang w:val="es-ES_tradnl"/>
        </w:rPr>
        <w:t xml:space="preserve">VII. </w:t>
      </w:r>
      <w:r w:rsidRPr="00B7013F">
        <w:rPr>
          <w:rFonts w:asciiTheme="majorHAnsi" w:hAnsiTheme="majorHAnsi"/>
          <w:b/>
          <w:color w:val="auto"/>
          <w:sz w:val="20"/>
          <w:szCs w:val="20"/>
          <w:lang w:val="es-ES_tradnl"/>
        </w:rPr>
        <w:tab/>
      </w:r>
      <w:r w:rsidRPr="00B7013F">
        <w:rPr>
          <w:rFonts w:asciiTheme="majorHAnsi" w:hAnsiTheme="majorHAnsi"/>
          <w:b/>
          <w:bCs/>
          <w:color w:val="auto"/>
          <w:sz w:val="20"/>
          <w:szCs w:val="20"/>
          <w:lang w:val="es-ES_tradnl"/>
        </w:rPr>
        <w:t>ANÁLISIS DE CARACTERIZACIÓN DE LOS HECHOS ALEGADOS</w:t>
      </w:r>
    </w:p>
    <w:p w14:paraId="67635ED2" w14:textId="7B6D5161" w:rsidR="005F3595" w:rsidRPr="00B7013F" w:rsidRDefault="00A654BB" w:rsidP="005F359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 xml:space="preserve">El Estado </w:t>
      </w:r>
      <w:r w:rsidR="00BB27F4" w:rsidRPr="00B7013F">
        <w:rPr>
          <w:rFonts w:asciiTheme="majorHAnsi" w:hAnsiTheme="majorHAnsi"/>
          <w:color w:val="auto"/>
          <w:sz w:val="20"/>
          <w:szCs w:val="20"/>
          <w:lang w:val="es-ES_tradnl"/>
        </w:rPr>
        <w:t xml:space="preserve">afirma </w:t>
      </w:r>
      <w:r w:rsidRPr="00B7013F">
        <w:rPr>
          <w:rFonts w:asciiTheme="majorHAnsi" w:hAnsiTheme="majorHAnsi"/>
          <w:color w:val="auto"/>
          <w:sz w:val="20"/>
          <w:szCs w:val="20"/>
          <w:lang w:val="es-ES_tradnl"/>
        </w:rPr>
        <w:t xml:space="preserve">que la petición es </w:t>
      </w:r>
      <w:r w:rsidR="001A02AD" w:rsidRPr="00B7013F">
        <w:rPr>
          <w:rFonts w:asciiTheme="majorHAnsi" w:hAnsiTheme="majorHAnsi"/>
          <w:color w:val="auto"/>
          <w:sz w:val="20"/>
          <w:szCs w:val="20"/>
          <w:lang w:val="es-ES_tradnl"/>
        </w:rPr>
        <w:t>inadmisible por cuanto se configura la fórmula de la cuarta instancia internacional en lo que concierne a la sentencia proferida por la Sala de lo Contencioso Administrativo en el marco de la acción de tutela, y en lo referente a la decisión de archivo de la investigación penal proferida por la Fiscalía. Asimismo, argumenta que las decisiones respetaron las normas y estándares interamericanos.</w:t>
      </w:r>
    </w:p>
    <w:p w14:paraId="2A2C677C" w14:textId="1D9F7299" w:rsidR="00AE3244" w:rsidRPr="00B7013F" w:rsidRDefault="00AE3244" w:rsidP="001A02A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B7013F">
        <w:rPr>
          <w:rFonts w:asciiTheme="majorHAnsi" w:hAnsiTheme="majorHAnsi"/>
          <w:i/>
          <w:iCs/>
          <w:color w:val="auto"/>
          <w:sz w:val="20"/>
          <w:szCs w:val="20"/>
          <w:lang w:val="es-ES_tradnl"/>
        </w:rPr>
        <w:t>prima facie</w:t>
      </w:r>
      <w:r w:rsidRPr="00B7013F">
        <w:rPr>
          <w:rFonts w:asciiTheme="majorHAnsi" w:hAnsiTheme="majorHAnsi"/>
          <w:color w:val="auto"/>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p>
    <w:p w14:paraId="28B564F6" w14:textId="2EF90CC5" w:rsidR="009457A6" w:rsidRPr="00B7013F" w:rsidRDefault="00EB0BBE" w:rsidP="001A02A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B7013F">
        <w:rPr>
          <w:rFonts w:asciiTheme="majorHAnsi" w:hAnsiTheme="majorHAnsi"/>
          <w:sz w:val="20"/>
          <w:szCs w:val="20"/>
          <w:lang w:val="es-ES_tradnl"/>
        </w:rPr>
        <w:t xml:space="preserve">En el presente asunto, la Comisión observa que el reclamo principal de la </w:t>
      </w:r>
      <w:r w:rsidR="001A02AD" w:rsidRPr="00B7013F">
        <w:rPr>
          <w:rFonts w:asciiTheme="majorHAnsi" w:hAnsiTheme="majorHAnsi"/>
          <w:sz w:val="20"/>
          <w:szCs w:val="20"/>
          <w:lang w:val="es-ES_tradnl"/>
        </w:rPr>
        <w:t>petición</w:t>
      </w:r>
      <w:r w:rsidRPr="00B7013F">
        <w:rPr>
          <w:rFonts w:asciiTheme="majorHAnsi" w:hAnsiTheme="majorHAnsi"/>
          <w:sz w:val="20"/>
          <w:szCs w:val="20"/>
          <w:lang w:val="es-ES_tradnl"/>
        </w:rPr>
        <w:t xml:space="preserve"> se centra </w:t>
      </w:r>
      <w:r w:rsidR="00664052" w:rsidRPr="00B7013F">
        <w:rPr>
          <w:rFonts w:asciiTheme="majorHAnsi" w:hAnsiTheme="majorHAnsi"/>
          <w:sz w:val="20"/>
          <w:szCs w:val="20"/>
          <w:lang w:val="es-ES_tradnl"/>
        </w:rPr>
        <w:t xml:space="preserve">en </w:t>
      </w:r>
      <w:r w:rsidR="009457A6" w:rsidRPr="00B7013F">
        <w:rPr>
          <w:rFonts w:asciiTheme="majorHAnsi" w:hAnsiTheme="majorHAnsi"/>
          <w:sz w:val="20"/>
          <w:szCs w:val="20"/>
          <w:lang w:val="es-ES_tradnl"/>
        </w:rPr>
        <w:t xml:space="preserve">la </w:t>
      </w:r>
      <w:r w:rsidR="001A1BF2" w:rsidRPr="00B7013F">
        <w:rPr>
          <w:rFonts w:asciiTheme="majorHAnsi" w:hAnsiTheme="majorHAnsi"/>
          <w:sz w:val="20"/>
          <w:szCs w:val="20"/>
          <w:lang w:val="es-ES_tradnl"/>
        </w:rPr>
        <w:t xml:space="preserve">muerte </w:t>
      </w:r>
      <w:r w:rsidR="001A02AD" w:rsidRPr="00B7013F">
        <w:rPr>
          <w:rFonts w:asciiTheme="majorHAnsi" w:hAnsiTheme="majorHAnsi"/>
          <w:sz w:val="20"/>
          <w:szCs w:val="20"/>
          <w:lang w:val="es-ES_tradnl"/>
        </w:rPr>
        <w:t xml:space="preserve">de Yurden </w:t>
      </w:r>
      <w:r w:rsidR="001A02AD" w:rsidRPr="00B7013F">
        <w:rPr>
          <w:rFonts w:asciiTheme="majorHAnsi" w:hAnsiTheme="majorHAnsi"/>
          <w:color w:val="auto"/>
          <w:sz w:val="20"/>
          <w:szCs w:val="20"/>
          <w:lang w:val="es-ES_tradnl"/>
        </w:rPr>
        <w:t>Carvajal Cardona bajo custodia policial,</w:t>
      </w:r>
      <w:r w:rsidRPr="00B7013F">
        <w:rPr>
          <w:rFonts w:asciiTheme="majorHAnsi" w:hAnsiTheme="majorHAnsi"/>
          <w:color w:val="auto"/>
          <w:sz w:val="20"/>
          <w:szCs w:val="20"/>
          <w:lang w:val="es-ES_tradnl"/>
        </w:rPr>
        <w:t xml:space="preserve"> </w:t>
      </w:r>
      <w:r w:rsidR="001A02AD" w:rsidRPr="00B7013F">
        <w:rPr>
          <w:rFonts w:asciiTheme="majorHAnsi" w:hAnsiTheme="majorHAnsi"/>
          <w:color w:val="auto"/>
          <w:sz w:val="20"/>
          <w:szCs w:val="20"/>
          <w:lang w:val="es-ES_tradnl"/>
        </w:rPr>
        <w:t xml:space="preserve">atribuida por </w:t>
      </w:r>
      <w:r w:rsidR="00F26F8C" w:rsidRPr="00B7013F">
        <w:rPr>
          <w:rFonts w:asciiTheme="majorHAnsi" w:hAnsiTheme="majorHAnsi"/>
          <w:color w:val="auto"/>
          <w:sz w:val="20"/>
          <w:szCs w:val="20"/>
          <w:lang w:val="es-ES_tradnl"/>
        </w:rPr>
        <w:t>el peticionario</w:t>
      </w:r>
      <w:r w:rsidR="001A02AD" w:rsidRPr="00B7013F">
        <w:rPr>
          <w:rFonts w:asciiTheme="majorHAnsi" w:hAnsiTheme="majorHAnsi"/>
          <w:color w:val="auto"/>
          <w:sz w:val="20"/>
          <w:szCs w:val="20"/>
          <w:lang w:val="es-ES_tradnl"/>
        </w:rPr>
        <w:t xml:space="preserve"> a agentes de la Policía Nacional de Colombia. Esta caracterización del objeto de la petición se deriva de los hechos narrados, así como de los derechos invocados, a saber, los derechos a la integridad personal, a la vida y a la libertad personal. El peticionario también exige una indemnización para compensar a la familia de Yurden, lo cual es una cuestión accesoria a la cuestión principal planteada.</w:t>
      </w:r>
    </w:p>
    <w:p w14:paraId="1A8994BD" w14:textId="56BD0BF2" w:rsidR="00AE3244" w:rsidRPr="00B7013F" w:rsidRDefault="007F2A55" w:rsidP="00AE324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
        </w:rPr>
        <w:t xml:space="preserve">El peticionario señala que el fallecimiento de Yurden es producto de tortura y malos tratos. Indica que la inspección de cadáver reveló múltiples lesiones y signos de violencia; sin embargo, no explica cuáles son estas lesiones y signos. Por otro lado, </w:t>
      </w:r>
      <w:r w:rsidR="00AE3244" w:rsidRPr="00B7013F">
        <w:rPr>
          <w:rFonts w:asciiTheme="majorHAnsi" w:hAnsiTheme="majorHAnsi"/>
          <w:sz w:val="20"/>
          <w:szCs w:val="20"/>
          <w:lang w:val="es-ES"/>
        </w:rPr>
        <w:t xml:space="preserve">el peticionario </w:t>
      </w:r>
      <w:r w:rsidRPr="00B7013F">
        <w:rPr>
          <w:rFonts w:asciiTheme="majorHAnsi" w:hAnsiTheme="majorHAnsi"/>
          <w:sz w:val="20"/>
          <w:szCs w:val="20"/>
          <w:lang w:val="es-ES"/>
        </w:rPr>
        <w:t xml:space="preserve">también menciona que la necropsia detalla insuficiencia respiratoria, hipoxia severa, edema cerebral y lesiones en el cuello. De su parte, el Estado argumenta que la muerte de Yurden se deriva del abuso de sustancias químicas del pegante bóxer, y que la congestión </w:t>
      </w:r>
      <w:r w:rsidRPr="00B7013F">
        <w:rPr>
          <w:rFonts w:asciiTheme="majorHAnsi" w:hAnsiTheme="majorHAnsi"/>
          <w:sz w:val="20"/>
          <w:szCs w:val="20"/>
          <w:lang w:val="es-ES_tradnl"/>
        </w:rPr>
        <w:t xml:space="preserve">visceral y el edema cerebral obedecen al consumo de dicha substancia, y no a una situación de malos tratos. Sin embargo, el Estado no se refiere a las lesiones en el cuello mencionadas por </w:t>
      </w:r>
      <w:r w:rsidR="00F26F8C" w:rsidRPr="00B7013F">
        <w:rPr>
          <w:rFonts w:asciiTheme="majorHAnsi" w:hAnsiTheme="majorHAnsi"/>
          <w:sz w:val="20"/>
          <w:szCs w:val="20"/>
          <w:lang w:val="es-ES_tradnl"/>
        </w:rPr>
        <w:t>el peticionario</w:t>
      </w:r>
      <w:r w:rsidRPr="00B7013F">
        <w:rPr>
          <w:rFonts w:asciiTheme="majorHAnsi" w:hAnsiTheme="majorHAnsi"/>
          <w:sz w:val="20"/>
          <w:szCs w:val="20"/>
          <w:lang w:val="es-ES_tradnl"/>
        </w:rPr>
        <w:t>.</w:t>
      </w:r>
      <w:r w:rsidR="00AE3244" w:rsidRPr="00B7013F">
        <w:rPr>
          <w:rFonts w:asciiTheme="majorHAnsi" w:hAnsiTheme="majorHAnsi"/>
          <w:sz w:val="20"/>
          <w:szCs w:val="20"/>
          <w:lang w:val="es-ES_tradnl"/>
        </w:rPr>
        <w:t xml:space="preserve"> </w:t>
      </w:r>
    </w:p>
    <w:p w14:paraId="2CB7EDB5" w14:textId="650AFE58" w:rsidR="004C3BF9" w:rsidRPr="00B7013F" w:rsidRDefault="00AE3244" w:rsidP="004C3BF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 xml:space="preserve">El presente análisis </w:t>
      </w:r>
      <w:r w:rsidRPr="00B7013F">
        <w:rPr>
          <w:rFonts w:asciiTheme="majorHAnsi" w:hAnsiTheme="majorHAnsi"/>
          <w:i/>
          <w:iCs/>
          <w:sz w:val="20"/>
          <w:szCs w:val="20"/>
          <w:lang w:val="es-ES_tradnl"/>
        </w:rPr>
        <w:t>prima facie</w:t>
      </w:r>
      <w:r w:rsidRPr="00B7013F">
        <w:rPr>
          <w:rFonts w:asciiTheme="majorHAnsi" w:hAnsiTheme="majorHAnsi"/>
          <w:sz w:val="20"/>
          <w:szCs w:val="20"/>
          <w:lang w:val="es-ES_tradnl"/>
        </w:rPr>
        <w:t xml:space="preserve"> tiene el único objetivo de determinar si los hechos expuestos caracterizan una posible violación a los derechos consagrados en la Convención Americana u otros instrumentos aplicables. </w:t>
      </w:r>
      <w:r w:rsidR="004C3BF9" w:rsidRPr="00B7013F">
        <w:rPr>
          <w:rFonts w:asciiTheme="majorHAnsi" w:hAnsiTheme="majorHAnsi"/>
          <w:sz w:val="20"/>
          <w:szCs w:val="20"/>
          <w:lang w:val="es-ES_tradnl"/>
        </w:rPr>
        <w:t xml:space="preserve">La Comisión observa que, la muerte de Yurden Carvajal Cardona se habría producido al interior de una celda en custodia estatal. Se advierte que la detención del joven se fundó en </w:t>
      </w:r>
      <w:r w:rsidR="0040500B" w:rsidRPr="00B7013F">
        <w:rPr>
          <w:rFonts w:asciiTheme="majorHAnsi" w:hAnsiTheme="majorHAnsi"/>
          <w:sz w:val="20"/>
          <w:szCs w:val="20"/>
          <w:lang w:val="es-ES_tradnl"/>
        </w:rPr>
        <w:t xml:space="preserve">la figura de la ‘retención administrativa’ entonces vigente en Colombia, que permitía la detención de personas sin que mediara una orden de captura en su contra, ni tampoco un delito en flagrancia. La CIDH ha </w:t>
      </w:r>
      <w:r w:rsidR="00375428" w:rsidRPr="00B7013F">
        <w:rPr>
          <w:rFonts w:asciiTheme="majorHAnsi" w:hAnsiTheme="majorHAnsi"/>
          <w:sz w:val="20"/>
          <w:szCs w:val="20"/>
          <w:lang w:val="es-ES_tradnl"/>
        </w:rPr>
        <w:t xml:space="preserve">analizado otros casos respecto de Colombia en los que se ha utilizado la figura de la ‘detención administrativa', </w:t>
      </w:r>
      <w:r w:rsidR="00064680" w:rsidRPr="00B7013F">
        <w:rPr>
          <w:rFonts w:asciiTheme="majorHAnsi" w:hAnsiTheme="majorHAnsi"/>
          <w:sz w:val="20"/>
          <w:szCs w:val="20"/>
          <w:lang w:val="es-ES_tradnl"/>
        </w:rPr>
        <w:t xml:space="preserve">que </w:t>
      </w:r>
      <w:r w:rsidR="00105CE6" w:rsidRPr="00B7013F">
        <w:rPr>
          <w:rFonts w:asciiTheme="majorHAnsi" w:hAnsiTheme="majorHAnsi"/>
          <w:sz w:val="20"/>
          <w:szCs w:val="20"/>
          <w:lang w:val="es-ES_tradnl"/>
        </w:rPr>
        <w:t xml:space="preserve">amerita un análisis de fondo respecto del principio de legalidad de la detención. Igualmente, </w:t>
      </w:r>
      <w:r w:rsidR="00B7013F" w:rsidRPr="00B7013F">
        <w:rPr>
          <w:rFonts w:asciiTheme="majorHAnsi" w:hAnsiTheme="majorHAnsi"/>
          <w:sz w:val="20"/>
          <w:szCs w:val="20"/>
          <w:lang w:val="es-ES_tradnl"/>
        </w:rPr>
        <w:t>aun</w:t>
      </w:r>
      <w:r w:rsidR="003D40ED" w:rsidRPr="00B7013F">
        <w:rPr>
          <w:rFonts w:asciiTheme="majorHAnsi" w:hAnsiTheme="majorHAnsi"/>
          <w:sz w:val="20"/>
          <w:szCs w:val="20"/>
          <w:lang w:val="es-ES_tradnl"/>
        </w:rPr>
        <w:t xml:space="preserve"> cuando la muerte de Yurden </w:t>
      </w:r>
      <w:r w:rsidR="00C43269" w:rsidRPr="00B7013F">
        <w:rPr>
          <w:rFonts w:asciiTheme="majorHAnsi" w:hAnsiTheme="majorHAnsi"/>
          <w:sz w:val="20"/>
          <w:szCs w:val="20"/>
          <w:lang w:val="es-ES_tradnl"/>
        </w:rPr>
        <w:t xml:space="preserve">hubiese sucedido debido a una sobredosis, el Estado tiene obligaciones de garante frente a la población </w:t>
      </w:r>
      <w:r w:rsidR="00C43269" w:rsidRPr="00B7013F">
        <w:rPr>
          <w:rFonts w:asciiTheme="majorHAnsi" w:hAnsiTheme="majorHAnsi"/>
          <w:sz w:val="20"/>
          <w:szCs w:val="20"/>
          <w:lang w:val="es-ES_tradnl"/>
        </w:rPr>
        <w:lastRenderedPageBreak/>
        <w:t xml:space="preserve">reclusa, entre las cuales se encuentra la de </w:t>
      </w:r>
      <w:r w:rsidR="00E611AD" w:rsidRPr="00B7013F">
        <w:rPr>
          <w:rFonts w:asciiTheme="majorHAnsi" w:hAnsiTheme="majorHAnsi"/>
          <w:sz w:val="20"/>
          <w:szCs w:val="20"/>
          <w:lang w:val="es-CO"/>
        </w:rPr>
        <w:t>garantizar el acceso a la atención médica adecuada y oportuna</w:t>
      </w:r>
      <w:r w:rsidR="00E611AD" w:rsidRPr="00B7013F">
        <w:rPr>
          <w:rFonts w:asciiTheme="majorHAnsi" w:hAnsiTheme="majorHAnsi"/>
          <w:sz w:val="20"/>
          <w:szCs w:val="20"/>
          <w:vertAlign w:val="superscript"/>
          <w:lang w:val="es-CO"/>
        </w:rPr>
        <w:footnoteReference w:id="9"/>
      </w:r>
      <w:r w:rsidR="00E611AD" w:rsidRPr="00B7013F">
        <w:rPr>
          <w:rFonts w:asciiTheme="majorHAnsi" w:hAnsiTheme="majorHAnsi"/>
          <w:sz w:val="20"/>
          <w:szCs w:val="20"/>
          <w:lang w:val="es-CO"/>
        </w:rPr>
        <w:t xml:space="preserve"> conforme al Principio X de los Principios y Buenas Prácticas sobre la Protección de las Personas Privadas de Libertad en las Américas</w:t>
      </w:r>
      <w:r w:rsidR="00855EA2" w:rsidRPr="00B7013F">
        <w:rPr>
          <w:rFonts w:asciiTheme="majorHAnsi" w:hAnsiTheme="majorHAnsi"/>
          <w:sz w:val="20"/>
          <w:szCs w:val="20"/>
          <w:lang w:val="es-CO"/>
        </w:rPr>
        <w:t xml:space="preserve"> y al artículo 26 de la Convención</w:t>
      </w:r>
      <w:r w:rsidR="00E611AD" w:rsidRPr="00B7013F">
        <w:rPr>
          <w:rFonts w:asciiTheme="majorHAnsi" w:hAnsiTheme="majorHAnsi"/>
          <w:sz w:val="20"/>
          <w:szCs w:val="20"/>
          <w:lang w:val="es-CO"/>
        </w:rPr>
        <w:t>.</w:t>
      </w:r>
      <w:r w:rsidR="00BE6048" w:rsidRPr="00B7013F">
        <w:rPr>
          <w:rFonts w:asciiTheme="majorHAnsi" w:hAnsiTheme="majorHAnsi"/>
          <w:sz w:val="20"/>
          <w:szCs w:val="20"/>
          <w:lang w:val="es-CO"/>
        </w:rPr>
        <w:t xml:space="preserve"> Ello también amerita un análisis de fondo sobre el cumplimiento de los deberes relativos a las personas privadas de la libertad.</w:t>
      </w:r>
    </w:p>
    <w:p w14:paraId="4D2A4101" w14:textId="196E6290" w:rsidR="00AE3244" w:rsidRPr="00B7013F" w:rsidRDefault="00E611AD" w:rsidP="00DF687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7013F">
        <w:rPr>
          <w:rFonts w:asciiTheme="majorHAnsi" w:hAnsiTheme="majorHAnsi"/>
          <w:sz w:val="20"/>
          <w:szCs w:val="20"/>
          <w:lang w:val="es-ES_tradnl"/>
        </w:rPr>
        <w:t>En todo caso</w:t>
      </w:r>
      <w:r w:rsidR="004C3BF9" w:rsidRPr="00B7013F">
        <w:rPr>
          <w:rFonts w:asciiTheme="majorHAnsi" w:hAnsiTheme="majorHAnsi"/>
          <w:sz w:val="20"/>
          <w:szCs w:val="20"/>
          <w:lang w:val="es-ES_tradnl"/>
        </w:rPr>
        <w:t>, l</w:t>
      </w:r>
      <w:r w:rsidR="00AE3244" w:rsidRPr="00B7013F">
        <w:rPr>
          <w:rFonts w:asciiTheme="majorHAnsi" w:hAnsiTheme="majorHAnsi"/>
          <w:sz w:val="20"/>
          <w:szCs w:val="20"/>
          <w:lang w:val="es-ES_tradnl"/>
        </w:rPr>
        <w:t xml:space="preserve">a Comisión Interamericana estima que los hechos narrados establecen, </w:t>
      </w:r>
      <w:r w:rsidR="00AE3244" w:rsidRPr="00B7013F">
        <w:rPr>
          <w:rFonts w:asciiTheme="majorHAnsi" w:hAnsiTheme="majorHAnsi"/>
          <w:i/>
          <w:iCs/>
          <w:sz w:val="20"/>
          <w:szCs w:val="20"/>
          <w:lang w:val="es-ES_tradnl"/>
        </w:rPr>
        <w:t>prima facie</w:t>
      </w:r>
      <w:r w:rsidR="00AE3244" w:rsidRPr="00B7013F">
        <w:rPr>
          <w:rFonts w:asciiTheme="majorHAnsi" w:hAnsiTheme="majorHAnsi"/>
          <w:sz w:val="20"/>
          <w:szCs w:val="20"/>
          <w:lang w:val="es-ES_tradnl"/>
        </w:rPr>
        <w:t xml:space="preserve">, la posibilidad de que la muerte de Yurden fue provocada, </w:t>
      </w:r>
      <w:r w:rsidR="00AE3244" w:rsidRPr="00B7013F">
        <w:rPr>
          <w:rFonts w:asciiTheme="majorHAnsi" w:hAnsiTheme="majorHAnsi"/>
          <w:i/>
          <w:iCs/>
          <w:sz w:val="20"/>
          <w:szCs w:val="20"/>
          <w:lang w:val="es-ES_tradnl"/>
        </w:rPr>
        <w:t>inter alia</w:t>
      </w:r>
      <w:r w:rsidR="00AE3244" w:rsidRPr="00B7013F">
        <w:rPr>
          <w:rFonts w:asciiTheme="majorHAnsi" w:hAnsiTheme="majorHAnsi"/>
          <w:sz w:val="20"/>
          <w:szCs w:val="20"/>
          <w:lang w:val="es-ES_tradnl"/>
        </w:rPr>
        <w:t>, por golpes presuntamente cometidos por agentes del Estado.</w:t>
      </w:r>
      <w:r w:rsidR="00AE3244" w:rsidRPr="00B7013F">
        <w:rPr>
          <w:lang w:val="es-ES"/>
        </w:rPr>
        <w:t xml:space="preserve"> </w:t>
      </w:r>
      <w:r w:rsidR="00AE3244" w:rsidRPr="00B7013F">
        <w:rPr>
          <w:rFonts w:asciiTheme="majorHAnsi" w:hAnsiTheme="majorHAnsi"/>
          <w:sz w:val="20"/>
          <w:szCs w:val="20"/>
          <w:lang w:val="es-ES_tradnl"/>
        </w:rPr>
        <w:t xml:space="preserve">Por lo tanto, justifican la continuación del proceso interamericano y un examen exhaustivo del tema. Al producirse la muerte, según los hechos narrados, en un contexto de </w:t>
      </w:r>
      <w:r w:rsidR="00620C38" w:rsidRPr="00B7013F">
        <w:rPr>
          <w:rFonts w:asciiTheme="majorHAnsi" w:hAnsiTheme="majorHAnsi"/>
          <w:sz w:val="20"/>
          <w:szCs w:val="20"/>
          <w:lang w:val="es-ES_tradnl"/>
        </w:rPr>
        <w:t>alegada</w:t>
      </w:r>
      <w:r w:rsidR="00AE3244" w:rsidRPr="00B7013F">
        <w:rPr>
          <w:rFonts w:asciiTheme="majorHAnsi" w:hAnsiTheme="majorHAnsi"/>
          <w:sz w:val="20"/>
          <w:szCs w:val="20"/>
          <w:lang w:val="es-ES_tradnl"/>
        </w:rPr>
        <w:t xml:space="preserve"> detención temporal, sin que los presuntos responsables hayan sido sancionados, y sin que los familiares hayan recibido </w:t>
      </w:r>
      <w:r w:rsidR="00620C38" w:rsidRPr="00B7013F">
        <w:rPr>
          <w:rFonts w:asciiTheme="majorHAnsi" w:hAnsiTheme="majorHAnsi"/>
          <w:sz w:val="20"/>
          <w:szCs w:val="20"/>
          <w:lang w:val="es-ES_tradnl"/>
        </w:rPr>
        <w:t>al</w:t>
      </w:r>
      <w:r w:rsidR="00AE3244" w:rsidRPr="00B7013F">
        <w:rPr>
          <w:rFonts w:asciiTheme="majorHAnsi" w:hAnsiTheme="majorHAnsi"/>
          <w:sz w:val="20"/>
          <w:szCs w:val="20"/>
          <w:lang w:val="es-ES_tradnl"/>
        </w:rPr>
        <w:t>gún tipo de reparación, el análisis jurídico debe incluir, además de</w:t>
      </w:r>
      <w:r w:rsidR="00620C38" w:rsidRPr="00B7013F">
        <w:rPr>
          <w:rFonts w:asciiTheme="majorHAnsi" w:hAnsiTheme="majorHAnsi"/>
          <w:sz w:val="20"/>
          <w:szCs w:val="20"/>
          <w:lang w:val="es-ES_tradnl"/>
        </w:rPr>
        <w:t>l</w:t>
      </w:r>
      <w:r w:rsidR="00AE3244" w:rsidRPr="00B7013F">
        <w:rPr>
          <w:rFonts w:asciiTheme="majorHAnsi" w:hAnsiTheme="majorHAnsi"/>
          <w:sz w:val="20"/>
          <w:szCs w:val="20"/>
          <w:lang w:val="es-ES_tradnl"/>
        </w:rPr>
        <w:t xml:space="preserve"> derecho a la vida, los derechos a la integridad personal, a la libertad personal y a las garantías y protección judiciales.</w:t>
      </w:r>
    </w:p>
    <w:p w14:paraId="68069FFB" w14:textId="77777777" w:rsidR="00511C22" w:rsidRPr="00B7013F" w:rsidRDefault="00511C22" w:rsidP="00511C22">
      <w:pPr>
        <w:pStyle w:val="ListParagraph"/>
        <w:widowControl w:val="0"/>
        <w:numPr>
          <w:ilvl w:val="0"/>
          <w:numId w:val="59"/>
        </w:numPr>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Finalmente, 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w:t>
      </w:r>
      <w:r w:rsidRPr="00B7013F">
        <w:rPr>
          <w:rStyle w:val="FootnoteReference"/>
          <w:sz w:val="20"/>
          <w:szCs w:val="20"/>
          <w:lang w:val="es-ES_tradnl"/>
        </w:rPr>
        <w:footnoteReference w:id="10"/>
      </w:r>
      <w:r w:rsidRPr="00B7013F">
        <w:rPr>
          <w:rFonts w:asciiTheme="majorHAnsi" w:hAnsiTheme="majorHAnsi"/>
          <w:color w:val="auto"/>
          <w:sz w:val="20"/>
          <w:szCs w:val="20"/>
          <w:lang w:val="es-ES_tradnl"/>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Pr="00B7013F">
        <w:rPr>
          <w:sz w:val="20"/>
          <w:szCs w:val="20"/>
          <w:vertAlign w:val="superscript"/>
          <w:lang w:val="es-ES"/>
        </w:rPr>
        <w:t xml:space="preserve"> </w:t>
      </w:r>
      <w:r w:rsidRPr="00B7013F">
        <w:rPr>
          <w:sz w:val="20"/>
          <w:szCs w:val="20"/>
          <w:vertAlign w:val="superscript"/>
        </w:rPr>
        <w:footnoteReference w:id="11"/>
      </w:r>
      <w:r w:rsidRPr="00B7013F">
        <w:rPr>
          <w:rFonts w:asciiTheme="majorHAnsi" w:hAnsiTheme="majorHAnsi"/>
          <w:color w:val="auto"/>
          <w:sz w:val="20"/>
          <w:szCs w:val="20"/>
          <w:lang w:val="es-ES_tradnl"/>
        </w:rPr>
        <w:t>.  Asimismo, le corresponde examinar “si las actuaciones de órganos judiciales constituyen o no una violación de las obligaciones internacionales del Estado, [lo cual]puede conducir a que […] deba ocuparse de examinar los respectivos procesos internos para establecer su compatibilidad con la Convención Americana”</w:t>
      </w:r>
      <w:r w:rsidRPr="00B7013F">
        <w:rPr>
          <w:sz w:val="20"/>
          <w:szCs w:val="20"/>
          <w:vertAlign w:val="superscript"/>
          <w:lang w:val="es-ES"/>
        </w:rPr>
        <w:t xml:space="preserve"> </w:t>
      </w:r>
      <w:r w:rsidRPr="00B7013F">
        <w:rPr>
          <w:sz w:val="20"/>
          <w:szCs w:val="20"/>
          <w:vertAlign w:val="superscript"/>
        </w:rPr>
        <w:footnoteReference w:id="12"/>
      </w:r>
      <w:r w:rsidRPr="00B7013F">
        <w:rPr>
          <w:rFonts w:asciiTheme="majorHAnsi" w:hAnsiTheme="majorHAnsi"/>
          <w:color w:val="auto"/>
          <w:sz w:val="20"/>
          <w:szCs w:val="20"/>
          <w:lang w:val="es-ES_tradnl"/>
        </w:rPr>
        <w:t xml:space="preserve">. El análisis sobre si el Estado incurrió en violaciones a la Convención Americana es una cuestión que corresponde ser decidida en el fondo del presente asunto. </w:t>
      </w:r>
    </w:p>
    <w:p w14:paraId="61343ED1" w14:textId="7FA70AD4" w:rsidR="00511C22" w:rsidRPr="00B7013F" w:rsidRDefault="00511C22" w:rsidP="00511C22">
      <w:pPr>
        <w:pStyle w:val="ListParagraph"/>
        <w:widowControl w:val="0"/>
        <w:numPr>
          <w:ilvl w:val="0"/>
          <w:numId w:val="59"/>
        </w:numPr>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 xml:space="preserve">Al admitir una petición, la CIDH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 Por lo tanto, el hecho que la presunta víctima alegue ser inocente o solicite a la CIDH que revise las pruebas presentadas en los procesos judiciales internos, no implica </w:t>
      </w:r>
      <w:r w:rsidRPr="00B7013F">
        <w:rPr>
          <w:rFonts w:asciiTheme="majorHAnsi" w:hAnsiTheme="majorHAnsi"/>
          <w:i/>
          <w:iCs/>
          <w:color w:val="auto"/>
          <w:sz w:val="20"/>
          <w:szCs w:val="20"/>
          <w:lang w:val="es-ES_tradnl"/>
        </w:rPr>
        <w:t xml:space="preserve">per </w:t>
      </w:r>
      <w:r w:rsidR="00B7013F" w:rsidRPr="00B7013F">
        <w:rPr>
          <w:rFonts w:asciiTheme="majorHAnsi" w:hAnsiTheme="majorHAnsi"/>
          <w:i/>
          <w:iCs/>
          <w:color w:val="auto"/>
          <w:sz w:val="20"/>
          <w:szCs w:val="20"/>
          <w:lang w:val="es-ES_tradnl"/>
        </w:rPr>
        <w:t>sé</w:t>
      </w:r>
      <w:r w:rsidRPr="00B7013F">
        <w:rPr>
          <w:rFonts w:asciiTheme="majorHAnsi" w:hAnsiTheme="majorHAnsi"/>
          <w:color w:val="auto"/>
          <w:sz w:val="20"/>
          <w:szCs w:val="20"/>
          <w:lang w:val="es-ES_tradnl"/>
        </w:rPr>
        <w:t xml:space="preserve"> que la petición sea inadmisible o que la Comisión no sea competente para pronunciarse respecto de la misma. Esto, dado que el análisis realizado por la Comisión se centra en </w:t>
      </w:r>
      <w:r w:rsidR="00B7013F" w:rsidRPr="00B7013F">
        <w:rPr>
          <w:rFonts w:asciiTheme="majorHAnsi" w:hAnsiTheme="majorHAnsi"/>
          <w:color w:val="auto"/>
          <w:sz w:val="20"/>
          <w:szCs w:val="20"/>
          <w:lang w:val="es-ES_tradnl"/>
        </w:rPr>
        <w:t>s</w:t>
      </w:r>
      <w:r w:rsidR="00B7013F">
        <w:rPr>
          <w:rFonts w:asciiTheme="majorHAnsi" w:hAnsiTheme="majorHAnsi"/>
          <w:color w:val="auto"/>
          <w:sz w:val="20"/>
          <w:szCs w:val="20"/>
          <w:lang w:val="es-ES_tradnl"/>
        </w:rPr>
        <w:t>i</w:t>
      </w:r>
      <w:r w:rsidRPr="00B7013F">
        <w:rPr>
          <w:rFonts w:asciiTheme="majorHAnsi" w:hAnsiTheme="majorHAnsi"/>
          <w:color w:val="auto"/>
          <w:sz w:val="20"/>
          <w:szCs w:val="20"/>
          <w:lang w:val="es-ES_tradnl"/>
        </w:rPr>
        <w:t xml:space="preserve"> en el marco del proceso penal se respetaron las garantías al debido proceso y a la protección judicial establecidas en la Convención Americana u otros instrumentos aplicables. Es decir, este análisis es objetivo, y se realiza a la luz de los estándares y normas pertinentes del derecho internacional de los derechos humanos, y como tal abarca la actuación de cualquier </w:t>
      </w:r>
      <w:r w:rsidR="00B7013F" w:rsidRPr="00B7013F">
        <w:rPr>
          <w:rFonts w:asciiTheme="majorHAnsi" w:hAnsiTheme="majorHAnsi"/>
          <w:color w:val="auto"/>
          <w:sz w:val="20"/>
          <w:szCs w:val="20"/>
          <w:lang w:val="es-ES_tradnl"/>
        </w:rPr>
        <w:t>autoridad</w:t>
      </w:r>
      <w:r w:rsidRPr="00B7013F">
        <w:rPr>
          <w:rFonts w:asciiTheme="majorHAnsi" w:hAnsiTheme="majorHAnsi"/>
          <w:color w:val="auto"/>
          <w:sz w:val="20"/>
          <w:szCs w:val="20"/>
          <w:lang w:val="es-ES_tradnl"/>
        </w:rPr>
        <w:t>, incluidos los operadores de justicia.</w:t>
      </w:r>
    </w:p>
    <w:p w14:paraId="2381BAD1" w14:textId="0648FFCA" w:rsidR="00A955F6" w:rsidRPr="00B7013F" w:rsidRDefault="00FF4C1E" w:rsidP="00DF6877">
      <w:pPr>
        <w:pStyle w:val="ListParagraph"/>
        <w:widowControl w:val="0"/>
        <w:numPr>
          <w:ilvl w:val="0"/>
          <w:numId w:val="59"/>
        </w:numPr>
        <w:spacing w:before="240" w:after="240"/>
        <w:ind w:left="0" w:firstLine="720"/>
        <w:jc w:val="both"/>
        <w:rPr>
          <w:rFonts w:asciiTheme="majorHAnsi" w:hAnsiTheme="majorHAnsi"/>
          <w:color w:val="auto"/>
          <w:sz w:val="20"/>
          <w:szCs w:val="20"/>
          <w:lang w:val="es-ES_tradnl"/>
        </w:rPr>
      </w:pPr>
      <w:r w:rsidRPr="00B7013F">
        <w:rPr>
          <w:rFonts w:asciiTheme="majorHAnsi" w:hAnsiTheme="majorHAnsi"/>
          <w:color w:val="auto"/>
          <w:sz w:val="20"/>
          <w:szCs w:val="20"/>
          <w:lang w:val="es-ES_tradnl"/>
        </w:rPr>
        <w:t xml:space="preserve">En atención a estas consideraciones y tras examinar los elementos de hecho y de derecho expuestos por las partes la Comisión estima que las alegaciones </w:t>
      </w:r>
      <w:r w:rsidR="00F26F8C" w:rsidRPr="00B7013F">
        <w:rPr>
          <w:rFonts w:asciiTheme="majorHAnsi" w:hAnsiTheme="majorHAnsi"/>
          <w:color w:val="auto"/>
          <w:sz w:val="20"/>
          <w:szCs w:val="20"/>
          <w:lang w:val="es-ES_tradnl"/>
        </w:rPr>
        <w:t>del peticionario</w:t>
      </w:r>
      <w:r w:rsidRPr="00B7013F">
        <w:rPr>
          <w:rFonts w:asciiTheme="majorHAnsi" w:hAnsiTheme="majorHAnsi"/>
          <w:color w:val="auto"/>
          <w:sz w:val="20"/>
          <w:szCs w:val="20"/>
          <w:lang w:val="es-ES_tradnl"/>
        </w:rPr>
        <w:t xml:space="preserve"> no resultan manifiestamente infundadas y requieren un estudio de fondo</w:t>
      </w:r>
      <w:r w:rsidR="00973F6A" w:rsidRPr="00B7013F">
        <w:rPr>
          <w:rFonts w:asciiTheme="majorHAnsi" w:hAnsiTheme="majorHAnsi"/>
          <w:color w:val="auto"/>
          <w:sz w:val="20"/>
          <w:szCs w:val="20"/>
          <w:lang w:val="es-ES_tradnl"/>
        </w:rPr>
        <w:t>,</w:t>
      </w:r>
      <w:r w:rsidRPr="00B7013F">
        <w:rPr>
          <w:rFonts w:asciiTheme="majorHAnsi" w:hAnsiTheme="majorHAnsi"/>
          <w:color w:val="auto"/>
          <w:sz w:val="20"/>
          <w:szCs w:val="20"/>
          <w:lang w:val="es-ES_tradnl"/>
        </w:rPr>
        <w:t xml:space="preserve"> pues los hechos alegados, de corroborarse como ciertos podrían caracterizar violaciones </w:t>
      </w:r>
      <w:r w:rsidR="00973F6A" w:rsidRPr="00B7013F">
        <w:rPr>
          <w:rFonts w:asciiTheme="majorHAnsi" w:hAnsiTheme="majorHAnsi"/>
          <w:color w:val="auto"/>
          <w:sz w:val="20"/>
          <w:szCs w:val="20"/>
          <w:lang w:val="es-ES_tradnl"/>
        </w:rPr>
        <w:t xml:space="preserve">fundamentalmente </w:t>
      </w:r>
      <w:r w:rsidRPr="00B7013F">
        <w:rPr>
          <w:rFonts w:asciiTheme="majorHAnsi" w:hAnsiTheme="majorHAnsi"/>
          <w:color w:val="auto"/>
          <w:sz w:val="20"/>
          <w:szCs w:val="20"/>
          <w:lang w:val="es-ES_tradnl"/>
        </w:rPr>
        <w:t>a los artículos</w:t>
      </w:r>
      <w:r w:rsidR="009457A6" w:rsidRPr="00B7013F">
        <w:rPr>
          <w:rFonts w:asciiTheme="majorHAnsi" w:hAnsiTheme="majorHAnsi"/>
          <w:color w:val="auto"/>
          <w:sz w:val="20"/>
          <w:szCs w:val="20"/>
          <w:lang w:val="es-ES_tradnl"/>
        </w:rPr>
        <w:t xml:space="preserve"> </w:t>
      </w:r>
      <w:r w:rsidR="00F26F8C" w:rsidRPr="00B7013F">
        <w:rPr>
          <w:rFonts w:asciiTheme="majorHAnsi" w:hAnsiTheme="majorHAnsi"/>
          <w:color w:val="auto"/>
          <w:sz w:val="20"/>
          <w:szCs w:val="20"/>
          <w:lang w:val="es-ES_tradnl"/>
        </w:rPr>
        <w:t xml:space="preserve">4 (vida), </w:t>
      </w:r>
      <w:r w:rsidRPr="00B7013F">
        <w:rPr>
          <w:rFonts w:asciiTheme="majorHAnsi" w:hAnsiTheme="majorHAnsi"/>
          <w:color w:val="auto"/>
          <w:sz w:val="20"/>
          <w:szCs w:val="20"/>
          <w:lang w:val="es-ES_tradnl"/>
        </w:rPr>
        <w:t>5 (integridad personal),</w:t>
      </w:r>
      <w:r w:rsidR="00F26F8C" w:rsidRPr="00B7013F">
        <w:rPr>
          <w:rFonts w:asciiTheme="majorHAnsi" w:hAnsiTheme="majorHAnsi"/>
          <w:color w:val="auto"/>
          <w:sz w:val="20"/>
          <w:szCs w:val="20"/>
          <w:lang w:val="es-ES_tradnl"/>
        </w:rPr>
        <w:t xml:space="preserve"> 7 (libertad personal),</w:t>
      </w:r>
      <w:r w:rsidRPr="00B7013F">
        <w:rPr>
          <w:rFonts w:asciiTheme="majorHAnsi" w:hAnsiTheme="majorHAnsi"/>
          <w:color w:val="auto"/>
          <w:sz w:val="20"/>
          <w:szCs w:val="20"/>
          <w:lang w:val="es-ES_tradnl"/>
        </w:rPr>
        <w:t xml:space="preserve"> 8 (garantías judiciales)</w:t>
      </w:r>
      <w:r w:rsidR="00855EA2" w:rsidRPr="00B7013F">
        <w:rPr>
          <w:rFonts w:asciiTheme="majorHAnsi" w:hAnsiTheme="majorHAnsi"/>
          <w:color w:val="auto"/>
          <w:sz w:val="20"/>
          <w:szCs w:val="20"/>
          <w:lang w:val="es-ES_tradnl"/>
        </w:rPr>
        <w:t>,</w:t>
      </w:r>
      <w:r w:rsidR="009457A6" w:rsidRPr="00B7013F">
        <w:rPr>
          <w:rFonts w:asciiTheme="majorHAnsi" w:hAnsiTheme="majorHAnsi"/>
          <w:color w:val="auto"/>
          <w:sz w:val="20"/>
          <w:szCs w:val="20"/>
          <w:lang w:val="es-ES_tradnl"/>
        </w:rPr>
        <w:t xml:space="preserve"> </w:t>
      </w:r>
      <w:r w:rsidRPr="00B7013F">
        <w:rPr>
          <w:rFonts w:asciiTheme="majorHAnsi" w:hAnsiTheme="majorHAnsi"/>
          <w:color w:val="auto"/>
          <w:sz w:val="20"/>
          <w:szCs w:val="20"/>
          <w:lang w:val="es-ES_tradnl"/>
        </w:rPr>
        <w:t xml:space="preserve">25 (protección judicial) </w:t>
      </w:r>
      <w:r w:rsidR="00855EA2" w:rsidRPr="00B7013F">
        <w:rPr>
          <w:rFonts w:asciiTheme="majorHAnsi" w:hAnsiTheme="majorHAnsi"/>
          <w:color w:val="auto"/>
          <w:sz w:val="20"/>
          <w:szCs w:val="20"/>
          <w:lang w:val="es-ES_tradnl"/>
        </w:rPr>
        <w:t xml:space="preserve">y 26 (derechos económicos, sociales y culturales) </w:t>
      </w:r>
      <w:r w:rsidRPr="00B7013F">
        <w:rPr>
          <w:rFonts w:asciiTheme="majorHAnsi" w:hAnsiTheme="majorHAnsi"/>
          <w:color w:val="auto"/>
          <w:sz w:val="20"/>
          <w:szCs w:val="20"/>
          <w:lang w:val="es-ES_tradnl"/>
        </w:rPr>
        <w:t>de la Convención Americana</w:t>
      </w:r>
      <w:r w:rsidR="0055521B" w:rsidRPr="00B7013F">
        <w:rPr>
          <w:rFonts w:asciiTheme="majorHAnsi" w:hAnsiTheme="majorHAnsi"/>
          <w:color w:val="auto"/>
          <w:sz w:val="20"/>
          <w:szCs w:val="20"/>
          <w:lang w:val="es-ES_tradnl"/>
        </w:rPr>
        <w:t>,</w:t>
      </w:r>
      <w:r w:rsidR="00CE4A5B" w:rsidRPr="00B7013F">
        <w:rPr>
          <w:rFonts w:asciiTheme="majorHAnsi" w:hAnsiTheme="majorHAnsi"/>
          <w:color w:val="auto"/>
          <w:sz w:val="20"/>
          <w:szCs w:val="20"/>
          <w:lang w:val="es-ES_tradnl"/>
        </w:rPr>
        <w:t xml:space="preserve"> en relación con su artículo 1.1</w:t>
      </w:r>
      <w:r w:rsidR="00A123CB" w:rsidRPr="00B7013F">
        <w:rPr>
          <w:rFonts w:asciiTheme="majorHAnsi" w:hAnsiTheme="majorHAnsi"/>
          <w:color w:val="auto"/>
          <w:sz w:val="20"/>
          <w:szCs w:val="20"/>
          <w:lang w:val="es-ES_tradnl"/>
        </w:rPr>
        <w:t xml:space="preserve">, </w:t>
      </w:r>
      <w:r w:rsidR="0055521B" w:rsidRPr="00B7013F">
        <w:rPr>
          <w:rFonts w:asciiTheme="majorHAnsi" w:hAnsiTheme="majorHAnsi"/>
          <w:color w:val="auto"/>
          <w:sz w:val="20"/>
          <w:szCs w:val="20"/>
          <w:lang w:val="es-ES_tradnl"/>
        </w:rPr>
        <w:t xml:space="preserve">en perjuicio de </w:t>
      </w:r>
      <w:r w:rsidR="00F26F8C" w:rsidRPr="00B7013F">
        <w:rPr>
          <w:rFonts w:asciiTheme="majorHAnsi" w:hAnsiTheme="majorHAnsi"/>
          <w:color w:val="auto"/>
          <w:sz w:val="20"/>
          <w:szCs w:val="20"/>
          <w:lang w:val="es-ES_tradnl"/>
        </w:rPr>
        <w:t>Yurden Carvajal Cardona</w:t>
      </w:r>
      <w:r w:rsidR="0055521B" w:rsidRPr="00B7013F">
        <w:rPr>
          <w:rFonts w:asciiTheme="majorHAnsi" w:hAnsiTheme="majorHAnsi"/>
          <w:color w:val="auto"/>
          <w:sz w:val="20"/>
          <w:szCs w:val="20"/>
          <w:lang w:val="es-ES_tradnl"/>
        </w:rPr>
        <w:t xml:space="preserve"> y sus </w:t>
      </w:r>
      <w:r w:rsidR="0055521B" w:rsidRPr="00B7013F">
        <w:rPr>
          <w:rFonts w:asciiTheme="majorHAnsi" w:hAnsiTheme="majorHAnsi"/>
          <w:color w:val="auto"/>
          <w:sz w:val="20"/>
          <w:szCs w:val="20"/>
          <w:lang w:val="es-ES_tradnl"/>
        </w:rPr>
        <w:lastRenderedPageBreak/>
        <w:t>familiares, en los términos del presente informe.</w:t>
      </w:r>
    </w:p>
    <w:p w14:paraId="40DABB4D" w14:textId="7F69AE0C" w:rsidR="006E3BAD" w:rsidRPr="00B7013F" w:rsidRDefault="006E3BAD" w:rsidP="001443F7">
      <w:pPr>
        <w:pStyle w:val="ListParagraph"/>
        <w:spacing w:before="240" w:after="240"/>
        <w:ind w:left="0" w:firstLine="709"/>
        <w:jc w:val="both"/>
        <w:rPr>
          <w:rFonts w:asciiTheme="majorHAnsi" w:hAnsiTheme="majorHAnsi"/>
          <w:b/>
          <w:color w:val="auto"/>
          <w:sz w:val="20"/>
          <w:szCs w:val="20"/>
          <w:lang w:val="es-ES_tradnl"/>
        </w:rPr>
      </w:pPr>
      <w:r w:rsidRPr="00B7013F">
        <w:rPr>
          <w:rFonts w:asciiTheme="majorHAnsi" w:hAnsiTheme="majorHAnsi"/>
          <w:b/>
          <w:color w:val="auto"/>
          <w:sz w:val="20"/>
          <w:szCs w:val="20"/>
          <w:lang w:val="es-ES_tradnl"/>
        </w:rPr>
        <w:t xml:space="preserve">VIII. </w:t>
      </w:r>
      <w:r w:rsidRPr="00B7013F">
        <w:rPr>
          <w:rFonts w:asciiTheme="majorHAnsi" w:hAnsiTheme="majorHAnsi"/>
          <w:b/>
          <w:color w:val="auto"/>
          <w:sz w:val="20"/>
          <w:szCs w:val="20"/>
          <w:lang w:val="es-ES_tradnl"/>
        </w:rPr>
        <w:tab/>
      </w:r>
      <w:r w:rsidRPr="00B7013F">
        <w:rPr>
          <w:rFonts w:asciiTheme="majorHAnsi" w:hAnsiTheme="majorHAnsi"/>
          <w:b/>
          <w:bCs/>
          <w:color w:val="auto"/>
          <w:sz w:val="20"/>
          <w:szCs w:val="20"/>
          <w:lang w:val="es-ES_tradnl"/>
        </w:rPr>
        <w:t>DECISIÓN</w:t>
      </w:r>
    </w:p>
    <w:p w14:paraId="15C58DEE" w14:textId="58BAD831" w:rsidR="00E9667E" w:rsidRPr="00B7013F"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B7013F">
        <w:rPr>
          <w:rFonts w:asciiTheme="majorHAnsi" w:hAnsiTheme="majorHAnsi"/>
          <w:sz w:val="20"/>
          <w:szCs w:val="20"/>
          <w:lang w:val="es-ES_tradnl"/>
        </w:rPr>
        <w:t xml:space="preserve">Declarar admisible la presente petición en relación con los artículos </w:t>
      </w:r>
      <w:r w:rsidR="00F26F8C" w:rsidRPr="00B7013F">
        <w:rPr>
          <w:rFonts w:asciiTheme="majorHAnsi" w:hAnsiTheme="majorHAnsi"/>
          <w:sz w:val="20"/>
          <w:szCs w:val="20"/>
          <w:lang w:val="es-ES_tradnl"/>
        </w:rPr>
        <w:t xml:space="preserve">4, </w:t>
      </w:r>
      <w:r w:rsidRPr="00B7013F">
        <w:rPr>
          <w:rFonts w:asciiTheme="majorHAnsi" w:hAnsiTheme="majorHAnsi"/>
          <w:sz w:val="20"/>
          <w:szCs w:val="20"/>
          <w:lang w:val="es-ES_tradnl"/>
        </w:rPr>
        <w:t>5,</w:t>
      </w:r>
      <w:r w:rsidR="00F26F8C" w:rsidRPr="00B7013F">
        <w:rPr>
          <w:rFonts w:asciiTheme="majorHAnsi" w:hAnsiTheme="majorHAnsi"/>
          <w:sz w:val="20"/>
          <w:szCs w:val="20"/>
          <w:lang w:val="es-ES_tradnl"/>
        </w:rPr>
        <w:t xml:space="preserve"> 7,</w:t>
      </w:r>
      <w:r w:rsidRPr="00B7013F">
        <w:rPr>
          <w:rFonts w:asciiTheme="majorHAnsi" w:hAnsiTheme="majorHAnsi"/>
          <w:sz w:val="20"/>
          <w:szCs w:val="20"/>
          <w:lang w:val="es-ES_tradnl"/>
        </w:rPr>
        <w:t xml:space="preserve"> 8</w:t>
      </w:r>
      <w:r w:rsidR="00855EA2" w:rsidRPr="00B7013F">
        <w:rPr>
          <w:rFonts w:asciiTheme="majorHAnsi" w:hAnsiTheme="majorHAnsi"/>
          <w:sz w:val="20"/>
          <w:szCs w:val="20"/>
          <w:lang w:val="es-ES_tradnl"/>
        </w:rPr>
        <w:t>,</w:t>
      </w:r>
      <w:r w:rsidRPr="00B7013F">
        <w:rPr>
          <w:rFonts w:asciiTheme="majorHAnsi" w:hAnsiTheme="majorHAnsi"/>
          <w:sz w:val="20"/>
          <w:szCs w:val="20"/>
          <w:lang w:val="es-ES_tradnl"/>
        </w:rPr>
        <w:t xml:space="preserve"> 25</w:t>
      </w:r>
      <w:r w:rsidR="00855EA2" w:rsidRPr="00B7013F">
        <w:rPr>
          <w:rFonts w:asciiTheme="majorHAnsi" w:hAnsiTheme="majorHAnsi"/>
          <w:sz w:val="20"/>
          <w:szCs w:val="20"/>
          <w:lang w:val="es-ES_tradnl"/>
        </w:rPr>
        <w:t xml:space="preserve"> y 26</w:t>
      </w:r>
      <w:r w:rsidRPr="00B7013F">
        <w:rPr>
          <w:rFonts w:asciiTheme="majorHAnsi" w:hAnsiTheme="majorHAnsi"/>
          <w:sz w:val="20"/>
          <w:szCs w:val="20"/>
          <w:lang w:val="es-ES_tradnl"/>
        </w:rPr>
        <w:t xml:space="preserve"> de la Convención Americana en conexión con su artículo 1.1;</w:t>
      </w:r>
      <w:r w:rsidR="00A123CB" w:rsidRPr="00B7013F">
        <w:rPr>
          <w:rFonts w:asciiTheme="majorHAnsi" w:hAnsiTheme="majorHAnsi"/>
          <w:sz w:val="20"/>
          <w:szCs w:val="20"/>
          <w:lang w:val="es-ES_tradnl"/>
        </w:rPr>
        <w:t xml:space="preserve"> </w:t>
      </w:r>
      <w:r w:rsidR="009C5126">
        <w:rPr>
          <w:rFonts w:asciiTheme="majorHAnsi" w:hAnsiTheme="majorHAnsi"/>
          <w:sz w:val="20"/>
          <w:szCs w:val="20"/>
          <w:lang w:val="es-ES_tradnl"/>
        </w:rPr>
        <w:t>y</w:t>
      </w:r>
    </w:p>
    <w:p w14:paraId="245C05A6" w14:textId="72BB47FC" w:rsidR="006E3BAD"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B7013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562B5D3" w14:textId="5FB83BE3" w:rsidR="00091DCA" w:rsidRPr="00091DCA" w:rsidRDefault="009C5126" w:rsidP="00091DC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A6A40">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Miembros de la Comisión.</w:t>
      </w:r>
    </w:p>
    <w:p w14:paraId="383FA3F8" w14:textId="720D5676" w:rsidR="009C5126" w:rsidRPr="00B7013F" w:rsidRDefault="009C5126" w:rsidP="009C5126">
      <w:pPr>
        <w:pStyle w:val="paragraph"/>
        <w:tabs>
          <w:tab w:val="left" w:pos="3655"/>
        </w:tabs>
        <w:spacing w:before="0" w:beforeAutospacing="0" w:after="0" w:afterAutospacing="0"/>
        <w:jc w:val="center"/>
        <w:textAlignment w:val="baseline"/>
        <w:rPr>
          <w:rFonts w:asciiTheme="majorHAnsi" w:hAnsiTheme="majorHAnsi"/>
          <w:sz w:val="20"/>
          <w:szCs w:val="20"/>
          <w:lang w:val="es-ES_tradnl"/>
        </w:rPr>
      </w:pPr>
    </w:p>
    <w:sectPr w:rsidR="009C5126" w:rsidRPr="00B7013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A704" w14:textId="77777777" w:rsidR="001C7216" w:rsidRDefault="001C7216">
      <w:r>
        <w:separator/>
      </w:r>
    </w:p>
  </w:endnote>
  <w:endnote w:type="continuationSeparator" w:id="0">
    <w:p w14:paraId="1156BDEB" w14:textId="77777777" w:rsidR="001C7216" w:rsidRDefault="001C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6FB9" w14:textId="77777777" w:rsidR="001C7216" w:rsidRPr="000F35ED" w:rsidRDefault="001C72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1F0078" w14:textId="77777777" w:rsidR="001C7216" w:rsidRPr="000F35ED" w:rsidRDefault="001C7216" w:rsidP="000F35ED">
      <w:pPr>
        <w:rPr>
          <w:rFonts w:asciiTheme="majorHAnsi" w:hAnsiTheme="majorHAnsi"/>
          <w:sz w:val="16"/>
          <w:szCs w:val="16"/>
        </w:rPr>
      </w:pPr>
      <w:r w:rsidRPr="000F35ED">
        <w:rPr>
          <w:rFonts w:asciiTheme="majorHAnsi" w:hAnsiTheme="majorHAnsi"/>
          <w:sz w:val="16"/>
          <w:szCs w:val="16"/>
        </w:rPr>
        <w:separator/>
      </w:r>
    </w:p>
    <w:p w14:paraId="2761AD93" w14:textId="77777777" w:rsidR="001C7216" w:rsidRPr="000F35ED" w:rsidRDefault="001C721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B50632" w14:textId="77777777" w:rsidR="001C7216" w:rsidRPr="000F35ED" w:rsidRDefault="001C72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3EEAF505" w:rsidR="00983760" w:rsidRPr="000A78E8" w:rsidRDefault="0026174C" w:rsidP="000A78E8">
      <w:pPr>
        <w:pStyle w:val="FootnoteText"/>
        <w:ind w:firstLine="720"/>
        <w:jc w:val="both"/>
        <w:rPr>
          <w:rFonts w:asciiTheme="majorHAnsi" w:hAnsiTheme="majorHAnsi"/>
          <w:bCs/>
          <w:sz w:val="16"/>
          <w:szCs w:val="16"/>
          <w:lang w:val="es-ES"/>
        </w:rPr>
      </w:pPr>
      <w:r w:rsidRPr="00982364">
        <w:rPr>
          <w:rStyle w:val="FootnoteReference"/>
          <w:rFonts w:asciiTheme="majorHAnsi" w:hAnsiTheme="majorHAnsi"/>
          <w:sz w:val="16"/>
          <w:szCs w:val="16"/>
        </w:rPr>
        <w:footnoteRef/>
      </w:r>
      <w:r w:rsidRPr="000A78E8">
        <w:rPr>
          <w:rFonts w:asciiTheme="majorHAnsi" w:hAnsiTheme="majorHAnsi"/>
          <w:sz w:val="16"/>
          <w:szCs w:val="16"/>
          <w:lang w:val="es-ES"/>
        </w:rPr>
        <w:t xml:space="preserve"> </w:t>
      </w:r>
      <w:r w:rsidR="000A78E8" w:rsidRPr="000A78E8">
        <w:rPr>
          <w:rFonts w:asciiTheme="majorHAnsi" w:hAnsiTheme="majorHAnsi"/>
          <w:sz w:val="16"/>
          <w:szCs w:val="16"/>
          <w:lang w:val="es-ES"/>
        </w:rPr>
        <w:t>Mérida Cardona Ortiz (</w:t>
      </w:r>
      <w:r w:rsidR="000A78E8">
        <w:rPr>
          <w:rFonts w:asciiTheme="majorHAnsi" w:hAnsiTheme="majorHAnsi"/>
          <w:sz w:val="16"/>
          <w:szCs w:val="16"/>
          <w:lang w:val="es-ES"/>
        </w:rPr>
        <w:t>madre</w:t>
      </w:r>
      <w:r w:rsidR="000A78E8" w:rsidRPr="000A78E8">
        <w:rPr>
          <w:rFonts w:asciiTheme="majorHAnsi" w:hAnsiTheme="majorHAnsi"/>
          <w:sz w:val="16"/>
          <w:szCs w:val="16"/>
          <w:lang w:val="es-ES"/>
        </w:rPr>
        <w:t>)</w:t>
      </w:r>
      <w:r w:rsidR="000A78E8">
        <w:rPr>
          <w:rFonts w:asciiTheme="majorHAnsi" w:hAnsiTheme="majorHAnsi"/>
          <w:sz w:val="16"/>
          <w:szCs w:val="16"/>
          <w:lang w:val="es-ES"/>
        </w:rPr>
        <w:t xml:space="preserve">, </w:t>
      </w:r>
      <w:r w:rsidR="000A78E8" w:rsidRPr="000A78E8">
        <w:rPr>
          <w:rFonts w:asciiTheme="majorHAnsi" w:hAnsiTheme="majorHAnsi"/>
          <w:sz w:val="16"/>
          <w:szCs w:val="16"/>
          <w:lang w:val="es-ES"/>
        </w:rPr>
        <w:t>Nancy Rocío Guerrero Castillo (</w:t>
      </w:r>
      <w:r w:rsidR="000A78E8">
        <w:rPr>
          <w:rFonts w:asciiTheme="majorHAnsi" w:hAnsiTheme="majorHAnsi"/>
          <w:sz w:val="16"/>
          <w:szCs w:val="16"/>
          <w:lang w:val="es-ES"/>
        </w:rPr>
        <w:t>c</w:t>
      </w:r>
      <w:r w:rsidR="000A78E8" w:rsidRPr="000A78E8">
        <w:rPr>
          <w:rFonts w:asciiTheme="majorHAnsi" w:hAnsiTheme="majorHAnsi"/>
          <w:sz w:val="16"/>
          <w:szCs w:val="16"/>
          <w:lang w:val="es-ES"/>
        </w:rPr>
        <w:t xml:space="preserve">ompañera </w:t>
      </w:r>
      <w:r w:rsidR="000A78E8">
        <w:rPr>
          <w:rFonts w:asciiTheme="majorHAnsi" w:hAnsiTheme="majorHAnsi"/>
          <w:sz w:val="16"/>
          <w:szCs w:val="16"/>
          <w:lang w:val="es-ES"/>
        </w:rPr>
        <w:t>p</w:t>
      </w:r>
      <w:r w:rsidR="000A78E8" w:rsidRPr="000A78E8">
        <w:rPr>
          <w:rFonts w:asciiTheme="majorHAnsi" w:hAnsiTheme="majorHAnsi"/>
          <w:sz w:val="16"/>
          <w:szCs w:val="16"/>
          <w:lang w:val="es-ES"/>
        </w:rPr>
        <w:t>ermanente)</w:t>
      </w:r>
      <w:r w:rsidR="000A78E8">
        <w:rPr>
          <w:rFonts w:asciiTheme="majorHAnsi" w:hAnsiTheme="majorHAnsi"/>
          <w:sz w:val="16"/>
          <w:szCs w:val="16"/>
          <w:lang w:val="es-ES"/>
        </w:rPr>
        <w:t xml:space="preserve">, </w:t>
      </w:r>
      <w:r w:rsidR="000A78E8" w:rsidRPr="000A78E8">
        <w:rPr>
          <w:rFonts w:asciiTheme="majorHAnsi" w:hAnsiTheme="majorHAnsi"/>
          <w:sz w:val="16"/>
          <w:szCs w:val="16"/>
          <w:lang w:val="es-ES"/>
        </w:rPr>
        <w:t>Darwin Stiven Guerrero Castillo (</w:t>
      </w:r>
      <w:r w:rsidR="000A78E8">
        <w:rPr>
          <w:rFonts w:asciiTheme="majorHAnsi" w:hAnsiTheme="majorHAnsi"/>
          <w:sz w:val="16"/>
          <w:szCs w:val="16"/>
          <w:lang w:val="es-ES"/>
        </w:rPr>
        <w:t>h</w:t>
      </w:r>
      <w:r w:rsidR="000A78E8" w:rsidRPr="000A78E8">
        <w:rPr>
          <w:rFonts w:asciiTheme="majorHAnsi" w:hAnsiTheme="majorHAnsi"/>
          <w:sz w:val="16"/>
          <w:szCs w:val="16"/>
          <w:lang w:val="es-ES"/>
        </w:rPr>
        <w:t>ijo)</w:t>
      </w:r>
      <w:r w:rsidR="000A78E8">
        <w:rPr>
          <w:rFonts w:asciiTheme="majorHAnsi" w:hAnsiTheme="majorHAnsi"/>
          <w:sz w:val="16"/>
          <w:szCs w:val="16"/>
          <w:lang w:val="es-ES"/>
        </w:rPr>
        <w:t xml:space="preserve">, </w:t>
      </w:r>
      <w:r w:rsidR="000A78E8" w:rsidRPr="000A78E8">
        <w:rPr>
          <w:rFonts w:asciiTheme="majorHAnsi" w:hAnsiTheme="majorHAnsi"/>
          <w:sz w:val="16"/>
          <w:szCs w:val="16"/>
          <w:lang w:val="es-ES"/>
        </w:rPr>
        <w:t>Yuri Vanesa Carvajal Olaya (</w:t>
      </w:r>
      <w:r w:rsidR="000A78E8">
        <w:rPr>
          <w:rFonts w:asciiTheme="majorHAnsi" w:hAnsiTheme="majorHAnsi"/>
          <w:sz w:val="16"/>
          <w:szCs w:val="16"/>
          <w:lang w:val="es-ES"/>
        </w:rPr>
        <w:t>hija</w:t>
      </w:r>
      <w:r w:rsidR="000A78E8" w:rsidRPr="000A78E8">
        <w:rPr>
          <w:rFonts w:asciiTheme="majorHAnsi" w:hAnsiTheme="majorHAnsi"/>
          <w:sz w:val="16"/>
          <w:szCs w:val="16"/>
          <w:lang w:val="es-ES"/>
        </w:rPr>
        <w:t>)</w:t>
      </w:r>
      <w:r w:rsidR="000A78E8">
        <w:rPr>
          <w:rFonts w:asciiTheme="majorHAnsi" w:hAnsiTheme="majorHAnsi"/>
          <w:sz w:val="16"/>
          <w:szCs w:val="16"/>
          <w:lang w:val="es-ES"/>
        </w:rPr>
        <w:t xml:space="preserve">, </w:t>
      </w:r>
      <w:r w:rsidR="000A78E8" w:rsidRPr="000A78E8">
        <w:rPr>
          <w:rFonts w:asciiTheme="majorHAnsi" w:hAnsiTheme="majorHAnsi"/>
          <w:sz w:val="16"/>
          <w:szCs w:val="16"/>
          <w:lang w:val="es-ES"/>
        </w:rPr>
        <w:t>Valentina Carvajal Olaya (</w:t>
      </w:r>
      <w:r w:rsidR="000A78E8">
        <w:rPr>
          <w:rFonts w:asciiTheme="majorHAnsi" w:hAnsiTheme="majorHAnsi"/>
          <w:sz w:val="16"/>
          <w:szCs w:val="16"/>
          <w:lang w:val="es-ES"/>
        </w:rPr>
        <w:t>h</w:t>
      </w:r>
      <w:r w:rsidR="000A78E8" w:rsidRPr="000A78E8">
        <w:rPr>
          <w:rFonts w:asciiTheme="majorHAnsi" w:hAnsiTheme="majorHAnsi"/>
          <w:sz w:val="16"/>
          <w:szCs w:val="16"/>
          <w:lang w:val="es-ES"/>
        </w:rPr>
        <w:t>ija)</w:t>
      </w:r>
      <w:r w:rsidR="000A78E8">
        <w:rPr>
          <w:rFonts w:asciiTheme="majorHAnsi" w:hAnsiTheme="majorHAnsi"/>
          <w:sz w:val="16"/>
          <w:szCs w:val="16"/>
          <w:lang w:val="es-ES"/>
        </w:rPr>
        <w:t xml:space="preserve">, </w:t>
      </w:r>
      <w:r w:rsidR="000A78E8" w:rsidRPr="000A78E8">
        <w:rPr>
          <w:rFonts w:asciiTheme="majorHAnsi" w:hAnsiTheme="majorHAnsi"/>
          <w:sz w:val="16"/>
          <w:szCs w:val="16"/>
          <w:lang w:val="es-ES"/>
        </w:rPr>
        <w:t>Pedro Antonio Carvajal Cardona (</w:t>
      </w:r>
      <w:r w:rsidR="000A78E8">
        <w:rPr>
          <w:rFonts w:asciiTheme="majorHAnsi" w:hAnsiTheme="majorHAnsi"/>
          <w:sz w:val="16"/>
          <w:szCs w:val="16"/>
          <w:lang w:val="es-ES"/>
        </w:rPr>
        <w:t>h</w:t>
      </w:r>
      <w:r w:rsidR="000A78E8" w:rsidRPr="000A78E8">
        <w:rPr>
          <w:rFonts w:asciiTheme="majorHAnsi" w:hAnsiTheme="majorHAnsi"/>
          <w:sz w:val="16"/>
          <w:szCs w:val="16"/>
          <w:lang w:val="es-ES"/>
        </w:rPr>
        <w:t>ermano).</w:t>
      </w:r>
    </w:p>
  </w:footnote>
  <w:footnote w:id="3">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4">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5">
    <w:p w14:paraId="1AFEF3B0" w14:textId="16ED7E70" w:rsidR="008E3BFE" w:rsidRPr="00FE6060"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r w:rsidR="007A0A93">
        <w:rPr>
          <w:rFonts w:asciiTheme="majorHAnsi" w:hAnsiTheme="majorHAnsi"/>
          <w:sz w:val="16"/>
          <w:szCs w:val="16"/>
          <w:lang w:val="es-ES"/>
        </w:rPr>
        <w:t xml:space="preserve"> </w:t>
      </w:r>
      <w:r w:rsidR="00FE6060" w:rsidRPr="00FE6060">
        <w:rPr>
          <w:rFonts w:asciiTheme="majorHAnsi" w:hAnsiTheme="majorHAnsi"/>
          <w:sz w:val="16"/>
          <w:szCs w:val="16"/>
          <w:lang w:val="es-ES"/>
        </w:rPr>
        <w:t>La parte peticionaria manifestó su interés en la continuidad de la demanda ante la CIDH, mediante sus escritos del 1 de julio de 2021, 5 de septiembre de 2023 y 25 de septiembre de 2023</w:t>
      </w:r>
      <w:r w:rsidR="00FE6060">
        <w:rPr>
          <w:rFonts w:asciiTheme="majorHAnsi" w:hAnsiTheme="majorHAnsi"/>
          <w:sz w:val="16"/>
          <w:szCs w:val="16"/>
          <w:lang w:val="es-ES"/>
        </w:rPr>
        <w:t>.</w:t>
      </w:r>
    </w:p>
  </w:footnote>
  <w:footnote w:id="6">
    <w:p w14:paraId="3502B9A9" w14:textId="77777777" w:rsidR="00EB5EAD" w:rsidRPr="0057791E" w:rsidRDefault="00EB5EAD" w:rsidP="00EB5EAD">
      <w:pPr>
        <w:pStyle w:val="FootnoteText"/>
        <w:ind w:firstLine="720"/>
        <w:jc w:val="both"/>
        <w:rPr>
          <w:rFonts w:asciiTheme="majorHAnsi" w:hAnsiTheme="majorHAnsi"/>
          <w:sz w:val="16"/>
          <w:szCs w:val="16"/>
          <w:lang w:val="es-CO"/>
        </w:rPr>
      </w:pPr>
      <w:r w:rsidRPr="0057791E">
        <w:rPr>
          <w:rStyle w:val="FootnoteReference"/>
          <w:rFonts w:asciiTheme="majorHAnsi" w:hAnsiTheme="majorHAnsi"/>
          <w:sz w:val="16"/>
          <w:szCs w:val="16"/>
        </w:rPr>
        <w:footnoteRef/>
      </w:r>
      <w:r w:rsidRPr="0057791E">
        <w:rPr>
          <w:rFonts w:asciiTheme="majorHAnsi" w:hAnsiTheme="majorHAnsi"/>
          <w:sz w:val="16"/>
          <w:szCs w:val="16"/>
          <w:lang w:val="es-CO"/>
        </w:rPr>
        <w:t xml:space="preserve"> CIDH, Informe No. 279/21. Petición 2106-12. Admisibilidad. Comunidades Huitosachi, Mogótavo y Bacajípare del pueblo indígena Rarámuri. </w:t>
      </w:r>
      <w:r w:rsidRPr="00B7013F">
        <w:rPr>
          <w:rFonts w:asciiTheme="majorHAnsi" w:hAnsiTheme="majorHAnsi"/>
          <w:sz w:val="16"/>
          <w:szCs w:val="16"/>
          <w:lang w:val="es-ES"/>
        </w:rPr>
        <w:t>México. 29 de octubre de 2021, párr. 29.</w:t>
      </w:r>
    </w:p>
  </w:footnote>
  <w:footnote w:id="7">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8">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9">
    <w:p w14:paraId="40E1B3E5" w14:textId="77777777" w:rsidR="00E611AD" w:rsidRPr="007D34BA" w:rsidRDefault="00E611AD" w:rsidP="00A64154">
      <w:pPr>
        <w:pStyle w:val="FootnoteText"/>
        <w:ind w:firstLine="720"/>
        <w:rPr>
          <w:lang w:val="es-CO"/>
        </w:rPr>
      </w:pPr>
      <w:r w:rsidRPr="007D34BA">
        <w:rPr>
          <w:rStyle w:val="FootnoteReference"/>
        </w:rPr>
        <w:footnoteRef/>
      </w:r>
      <w:r w:rsidRPr="007D34BA">
        <w:rPr>
          <w:lang w:val="es-CO"/>
        </w:rPr>
        <w:t xml:space="preserve"> </w:t>
      </w:r>
      <w:r w:rsidRPr="00972C2F">
        <w:rPr>
          <w:rFonts w:ascii="Cambria" w:hAnsi="Cambria"/>
          <w:sz w:val="16"/>
          <w:szCs w:val="16"/>
          <w:lang w:val="es-ES_tradnl"/>
        </w:rPr>
        <w:t>CIDH. Personas privadas de libertad en Nicaragua en el contexto de la crisis de derechos humanos iniciada el 18 de abril de 2018. 5 de octubre de 2020, párr. 137; CIDH. Informe sobre los derechos de las personas privadas de libertad en las Américas, 31 de diciembre de 2011, párr. 519.</w:t>
      </w:r>
    </w:p>
  </w:footnote>
  <w:footnote w:id="10">
    <w:p w14:paraId="2C5AC194" w14:textId="77777777" w:rsidR="00511C22" w:rsidRPr="00A11B3B" w:rsidRDefault="00511C22" w:rsidP="00511C22">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Cabrera García y Montiel Flores Vs. México. Excepción Preliminar, Fondo, Reparaciones y Costas. Sentencia de 26 de noviembre de 2010. Serie C No. 220, párr. 18.</w:t>
      </w:r>
    </w:p>
  </w:footnote>
  <w:footnote w:id="11">
    <w:p w14:paraId="30C10297" w14:textId="77777777" w:rsidR="00511C22" w:rsidRPr="00A11B3B" w:rsidRDefault="00511C22" w:rsidP="00511C22">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Cabrera García y Montiel Flores Vs. México. Excepción Preliminar, Fondo, Reparaciones y Costas. Sentencia de 26 de noviembre de 2010. Serie C No. 220, párr. 19.</w:t>
      </w:r>
    </w:p>
  </w:footnote>
  <w:footnote w:id="12">
    <w:p w14:paraId="778D1AB1" w14:textId="77777777" w:rsidR="00511C22" w:rsidRPr="00A11B3B" w:rsidRDefault="00511C22" w:rsidP="00511C22">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Palma Mendoza y otros Vs. Ecuador. Excepción Preliminar y Fondo. Sentencia de 3 de septiembre de 2012. </w:t>
      </w:r>
      <w:r w:rsidRPr="00091DCA">
        <w:rPr>
          <w:rFonts w:ascii="Cambria" w:hAnsi="Cambria"/>
          <w:sz w:val="16"/>
          <w:szCs w:val="16"/>
          <w:lang w:val="pt-BR"/>
        </w:rPr>
        <w:t xml:space="preserve">Serie C No. 247, párr. 18; Corte IDH. Caso Rosadio Villavicencio Vs. </w:t>
      </w:r>
      <w:r w:rsidRPr="00A11B3B">
        <w:rPr>
          <w:rFonts w:ascii="Cambria" w:hAnsi="Cambria"/>
          <w:sz w:val="16"/>
          <w:szCs w:val="16"/>
          <w:lang w:val="es-ES_tradnl"/>
        </w:rPr>
        <w:t xml:space="preserve">Perú. Excepciones Preliminares, Fondo, Reparaciones y Costas. </w:t>
      </w:r>
      <w:r w:rsidRPr="00A11B3B">
        <w:rPr>
          <w:rFonts w:ascii="Cambria" w:hAnsi="Cambria"/>
          <w:sz w:val="16"/>
          <w:szCs w:val="16"/>
          <w:lang w:val="es-US"/>
        </w:rPr>
        <w:t xml:space="preserve">Sentencia de 14 de octubre de 2019. Serie C No. 388., párr. 24; </w:t>
      </w:r>
      <w:r w:rsidRPr="00A11B3B">
        <w:rPr>
          <w:rFonts w:ascii="Cambria" w:hAnsi="Cambria"/>
          <w:sz w:val="16"/>
          <w:szCs w:val="16"/>
          <w:lang w:val="es-ES_tradnl"/>
        </w:rPr>
        <w:t xml:space="preserve">Corte IDH. Caso Cabrera García y Montiel Flores Vs. México. Excepción Preliminar, Fondo, Reparaciones y Costas. </w:t>
      </w:r>
      <w:r w:rsidRPr="00A11B3B">
        <w:rPr>
          <w:rFonts w:ascii="Cambria" w:hAnsi="Cambria"/>
          <w:sz w:val="16"/>
          <w:szCs w:val="16"/>
          <w:lang w:val="es-US"/>
        </w:rPr>
        <w:t>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0406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306921"/>
    <w:multiLevelType w:val="multilevel"/>
    <w:tmpl w:val="AED2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B9FA3F76"/>
    <w:lvl w:ilvl="0" w:tplc="F112DCE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9"/>
  </w:num>
  <w:num w:numId="4" w16cid:durableId="82342866">
    <w:abstractNumId w:val="22"/>
  </w:num>
  <w:num w:numId="5" w16cid:durableId="1599026591">
    <w:abstractNumId w:val="52"/>
  </w:num>
  <w:num w:numId="6" w16cid:durableId="1795514418">
    <w:abstractNumId w:val="30"/>
  </w:num>
  <w:num w:numId="7" w16cid:durableId="396254">
    <w:abstractNumId w:val="7"/>
  </w:num>
  <w:num w:numId="8" w16cid:durableId="1302268258">
    <w:abstractNumId w:val="17"/>
  </w:num>
  <w:num w:numId="9" w16cid:durableId="669480169">
    <w:abstractNumId w:val="46"/>
  </w:num>
  <w:num w:numId="10" w16cid:durableId="275260533">
    <w:abstractNumId w:val="0"/>
  </w:num>
  <w:num w:numId="11" w16cid:durableId="866258526">
    <w:abstractNumId w:val="41"/>
  </w:num>
  <w:num w:numId="12" w16cid:durableId="171335598">
    <w:abstractNumId w:val="42"/>
  </w:num>
  <w:num w:numId="13" w16cid:durableId="752550714">
    <w:abstractNumId w:val="49"/>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4"/>
  </w:num>
  <w:num w:numId="28" w16cid:durableId="1169757202">
    <w:abstractNumId w:val="25"/>
  </w:num>
  <w:num w:numId="29" w16cid:durableId="1713113596">
    <w:abstractNumId w:val="26"/>
  </w:num>
  <w:num w:numId="30" w16cid:durableId="217321478">
    <w:abstractNumId w:val="28"/>
  </w:num>
  <w:num w:numId="31" w16cid:durableId="2001157105">
    <w:abstractNumId w:val="31"/>
  </w:num>
  <w:num w:numId="32" w16cid:durableId="1680884154">
    <w:abstractNumId w:val="32"/>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9"/>
  </w:num>
  <w:num w:numId="57" w16cid:durableId="979261358">
    <w:abstractNumId w:val="27"/>
  </w:num>
  <w:num w:numId="58" w16cid:durableId="55784951">
    <w:abstractNumId w:val="40"/>
  </w:num>
  <w:num w:numId="59" w16cid:durableId="665792024">
    <w:abstractNumId w:val="63"/>
  </w:num>
  <w:num w:numId="60" w16cid:durableId="712732366">
    <w:abstractNumId w:val="36"/>
  </w:num>
  <w:num w:numId="61" w16cid:durableId="1097671741">
    <w:abstractNumId w:val="48"/>
  </w:num>
  <w:num w:numId="62" w16cid:durableId="1840730130">
    <w:abstractNumId w:val="54"/>
  </w:num>
  <w:num w:numId="63" w16cid:durableId="369187513">
    <w:abstractNumId w:val="3"/>
  </w:num>
  <w:num w:numId="64" w16cid:durableId="46417963">
    <w:abstractNumId w:val="4"/>
  </w:num>
  <w:num w:numId="65" w16cid:durableId="32190905">
    <w:abstractNumId w:val="18"/>
  </w:num>
  <w:num w:numId="66" w16cid:durableId="1375812556">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36E7"/>
    <w:rsid w:val="000337EF"/>
    <w:rsid w:val="0004086F"/>
    <w:rsid w:val="00040C3A"/>
    <w:rsid w:val="000419AD"/>
    <w:rsid w:val="000433C9"/>
    <w:rsid w:val="000444E7"/>
    <w:rsid w:val="00044B98"/>
    <w:rsid w:val="0004514E"/>
    <w:rsid w:val="000472C6"/>
    <w:rsid w:val="00052A0C"/>
    <w:rsid w:val="00054D01"/>
    <w:rsid w:val="00057379"/>
    <w:rsid w:val="00062E15"/>
    <w:rsid w:val="000630CE"/>
    <w:rsid w:val="00064179"/>
    <w:rsid w:val="00064680"/>
    <w:rsid w:val="00065AB4"/>
    <w:rsid w:val="00066C33"/>
    <w:rsid w:val="00071174"/>
    <w:rsid w:val="000716C0"/>
    <w:rsid w:val="000716C5"/>
    <w:rsid w:val="00075E23"/>
    <w:rsid w:val="000769B9"/>
    <w:rsid w:val="00081F88"/>
    <w:rsid w:val="00091A11"/>
    <w:rsid w:val="00091DCA"/>
    <w:rsid w:val="00092479"/>
    <w:rsid w:val="0009344A"/>
    <w:rsid w:val="00094203"/>
    <w:rsid w:val="000970F4"/>
    <w:rsid w:val="000A14D8"/>
    <w:rsid w:val="000A16D0"/>
    <w:rsid w:val="000A392E"/>
    <w:rsid w:val="000A575F"/>
    <w:rsid w:val="000A78E8"/>
    <w:rsid w:val="000B66F4"/>
    <w:rsid w:val="000B7730"/>
    <w:rsid w:val="000D05CB"/>
    <w:rsid w:val="000D10DB"/>
    <w:rsid w:val="000D2618"/>
    <w:rsid w:val="000D5CBC"/>
    <w:rsid w:val="000E361A"/>
    <w:rsid w:val="000E5EB5"/>
    <w:rsid w:val="000E73F0"/>
    <w:rsid w:val="000F35ED"/>
    <w:rsid w:val="00100CDB"/>
    <w:rsid w:val="0010550C"/>
    <w:rsid w:val="00105CE6"/>
    <w:rsid w:val="001063FE"/>
    <w:rsid w:val="00107131"/>
    <w:rsid w:val="0010736F"/>
    <w:rsid w:val="0011075B"/>
    <w:rsid w:val="0011085F"/>
    <w:rsid w:val="001112E6"/>
    <w:rsid w:val="00113F73"/>
    <w:rsid w:val="0011794D"/>
    <w:rsid w:val="00121583"/>
    <w:rsid w:val="00121CC2"/>
    <w:rsid w:val="00131425"/>
    <w:rsid w:val="001334BA"/>
    <w:rsid w:val="00133EE5"/>
    <w:rsid w:val="00136D09"/>
    <w:rsid w:val="001443F7"/>
    <w:rsid w:val="00147696"/>
    <w:rsid w:val="0015041C"/>
    <w:rsid w:val="00150855"/>
    <w:rsid w:val="00156B7B"/>
    <w:rsid w:val="001631C5"/>
    <w:rsid w:val="00164460"/>
    <w:rsid w:val="00165562"/>
    <w:rsid w:val="00165CC7"/>
    <w:rsid w:val="00167A34"/>
    <w:rsid w:val="00167C72"/>
    <w:rsid w:val="00172C07"/>
    <w:rsid w:val="001741BE"/>
    <w:rsid w:val="001757FF"/>
    <w:rsid w:val="00177297"/>
    <w:rsid w:val="0017734D"/>
    <w:rsid w:val="00190233"/>
    <w:rsid w:val="001912DA"/>
    <w:rsid w:val="00192BE2"/>
    <w:rsid w:val="00197AE7"/>
    <w:rsid w:val="001A02AD"/>
    <w:rsid w:val="001A1420"/>
    <w:rsid w:val="001A1BF2"/>
    <w:rsid w:val="001A3A97"/>
    <w:rsid w:val="001A493B"/>
    <w:rsid w:val="001A520D"/>
    <w:rsid w:val="001A56B4"/>
    <w:rsid w:val="001A576C"/>
    <w:rsid w:val="001A5FEE"/>
    <w:rsid w:val="001A71D6"/>
    <w:rsid w:val="001A7870"/>
    <w:rsid w:val="001A7CC7"/>
    <w:rsid w:val="001A7D7B"/>
    <w:rsid w:val="001B3A00"/>
    <w:rsid w:val="001B3E22"/>
    <w:rsid w:val="001C1B41"/>
    <w:rsid w:val="001C205F"/>
    <w:rsid w:val="001C7216"/>
    <w:rsid w:val="001D02A6"/>
    <w:rsid w:val="001D21C7"/>
    <w:rsid w:val="001D2F0F"/>
    <w:rsid w:val="001D65EF"/>
    <w:rsid w:val="001D79A1"/>
    <w:rsid w:val="001E15E7"/>
    <w:rsid w:val="001E49E7"/>
    <w:rsid w:val="001E6F56"/>
    <w:rsid w:val="001E7268"/>
    <w:rsid w:val="001F16D4"/>
    <w:rsid w:val="001F44BF"/>
    <w:rsid w:val="001F7201"/>
    <w:rsid w:val="00203028"/>
    <w:rsid w:val="00203769"/>
    <w:rsid w:val="00206C91"/>
    <w:rsid w:val="00210E6D"/>
    <w:rsid w:val="00221AD9"/>
    <w:rsid w:val="00223A29"/>
    <w:rsid w:val="002249E7"/>
    <w:rsid w:val="002250A3"/>
    <w:rsid w:val="0022545A"/>
    <w:rsid w:val="002261E0"/>
    <w:rsid w:val="002264B8"/>
    <w:rsid w:val="00233B26"/>
    <w:rsid w:val="00234F71"/>
    <w:rsid w:val="00235217"/>
    <w:rsid w:val="00237C68"/>
    <w:rsid w:val="002410E9"/>
    <w:rsid w:val="00241B96"/>
    <w:rsid w:val="00243749"/>
    <w:rsid w:val="00246D1F"/>
    <w:rsid w:val="002470A6"/>
    <w:rsid w:val="00247403"/>
    <w:rsid w:val="00247542"/>
    <w:rsid w:val="00253993"/>
    <w:rsid w:val="00253A4F"/>
    <w:rsid w:val="00261578"/>
    <w:rsid w:val="0026174C"/>
    <w:rsid w:val="00266B61"/>
    <w:rsid w:val="0026712A"/>
    <w:rsid w:val="002678E1"/>
    <w:rsid w:val="002704DB"/>
    <w:rsid w:val="002738A4"/>
    <w:rsid w:val="00274B08"/>
    <w:rsid w:val="002805FB"/>
    <w:rsid w:val="00280B37"/>
    <w:rsid w:val="00284E46"/>
    <w:rsid w:val="002878D8"/>
    <w:rsid w:val="00291449"/>
    <w:rsid w:val="00291B41"/>
    <w:rsid w:val="00292B66"/>
    <w:rsid w:val="00292F0D"/>
    <w:rsid w:val="002A0AAE"/>
    <w:rsid w:val="002A5820"/>
    <w:rsid w:val="002A6870"/>
    <w:rsid w:val="002B1533"/>
    <w:rsid w:val="002B15B4"/>
    <w:rsid w:val="002C533A"/>
    <w:rsid w:val="002D2B26"/>
    <w:rsid w:val="002D7EA2"/>
    <w:rsid w:val="002E187C"/>
    <w:rsid w:val="002E39F7"/>
    <w:rsid w:val="002E5103"/>
    <w:rsid w:val="002E516C"/>
    <w:rsid w:val="002E733F"/>
    <w:rsid w:val="002F3F8C"/>
    <w:rsid w:val="002F5D52"/>
    <w:rsid w:val="002F66D5"/>
    <w:rsid w:val="00302733"/>
    <w:rsid w:val="003040AB"/>
    <w:rsid w:val="00304171"/>
    <w:rsid w:val="0030516A"/>
    <w:rsid w:val="00305835"/>
    <w:rsid w:val="00306F33"/>
    <w:rsid w:val="003119F5"/>
    <w:rsid w:val="00314078"/>
    <w:rsid w:val="0031535D"/>
    <w:rsid w:val="003239B8"/>
    <w:rsid w:val="003248A6"/>
    <w:rsid w:val="00325B3D"/>
    <w:rsid w:val="0033169F"/>
    <w:rsid w:val="00332232"/>
    <w:rsid w:val="00334BF5"/>
    <w:rsid w:val="00337472"/>
    <w:rsid w:val="00344977"/>
    <w:rsid w:val="003459D0"/>
    <w:rsid w:val="00346C95"/>
    <w:rsid w:val="003523F5"/>
    <w:rsid w:val="00356185"/>
    <w:rsid w:val="003568AD"/>
    <w:rsid w:val="00357269"/>
    <w:rsid w:val="00360380"/>
    <w:rsid w:val="00363074"/>
    <w:rsid w:val="003728C2"/>
    <w:rsid w:val="003744E8"/>
    <w:rsid w:val="0037519E"/>
    <w:rsid w:val="00375428"/>
    <w:rsid w:val="0037725C"/>
    <w:rsid w:val="00380295"/>
    <w:rsid w:val="00382EA8"/>
    <w:rsid w:val="003856A9"/>
    <w:rsid w:val="00386CF0"/>
    <w:rsid w:val="0039052A"/>
    <w:rsid w:val="003A4D4D"/>
    <w:rsid w:val="003B15CE"/>
    <w:rsid w:val="003B70FB"/>
    <w:rsid w:val="003B7105"/>
    <w:rsid w:val="003C0D9B"/>
    <w:rsid w:val="003C676B"/>
    <w:rsid w:val="003D31E7"/>
    <w:rsid w:val="003D337C"/>
    <w:rsid w:val="003D3BC2"/>
    <w:rsid w:val="003D40ED"/>
    <w:rsid w:val="003D67A9"/>
    <w:rsid w:val="003E0699"/>
    <w:rsid w:val="003E51E9"/>
    <w:rsid w:val="003E549B"/>
    <w:rsid w:val="003E6CA1"/>
    <w:rsid w:val="003F333E"/>
    <w:rsid w:val="003F48E9"/>
    <w:rsid w:val="003F5154"/>
    <w:rsid w:val="003F566A"/>
    <w:rsid w:val="0040406B"/>
    <w:rsid w:val="0040500B"/>
    <w:rsid w:val="00405F9C"/>
    <w:rsid w:val="004065A8"/>
    <w:rsid w:val="00410B10"/>
    <w:rsid w:val="00412879"/>
    <w:rsid w:val="004156D7"/>
    <w:rsid w:val="004165C2"/>
    <w:rsid w:val="00416A6D"/>
    <w:rsid w:val="004205D0"/>
    <w:rsid w:val="0042101C"/>
    <w:rsid w:val="004241A0"/>
    <w:rsid w:val="00427B38"/>
    <w:rsid w:val="00441827"/>
    <w:rsid w:val="00441ECB"/>
    <w:rsid w:val="00445193"/>
    <w:rsid w:val="0045796E"/>
    <w:rsid w:val="00461C5E"/>
    <w:rsid w:val="00462C1B"/>
    <w:rsid w:val="004666EB"/>
    <w:rsid w:val="00467B7E"/>
    <w:rsid w:val="00473BB4"/>
    <w:rsid w:val="00477592"/>
    <w:rsid w:val="004778B1"/>
    <w:rsid w:val="004803DE"/>
    <w:rsid w:val="00480BD1"/>
    <w:rsid w:val="004821D4"/>
    <w:rsid w:val="00482E30"/>
    <w:rsid w:val="00483E44"/>
    <w:rsid w:val="00486F1C"/>
    <w:rsid w:val="0049419D"/>
    <w:rsid w:val="00494F22"/>
    <w:rsid w:val="004A057B"/>
    <w:rsid w:val="004A1A74"/>
    <w:rsid w:val="004A6A54"/>
    <w:rsid w:val="004B2C41"/>
    <w:rsid w:val="004B421C"/>
    <w:rsid w:val="004B5553"/>
    <w:rsid w:val="004C20D2"/>
    <w:rsid w:val="004C2312"/>
    <w:rsid w:val="004C3BF9"/>
    <w:rsid w:val="004C4B62"/>
    <w:rsid w:val="004C54C9"/>
    <w:rsid w:val="004D4ABA"/>
    <w:rsid w:val="004D6025"/>
    <w:rsid w:val="004E013A"/>
    <w:rsid w:val="004E1AB4"/>
    <w:rsid w:val="004E2649"/>
    <w:rsid w:val="004E5C96"/>
    <w:rsid w:val="004E6945"/>
    <w:rsid w:val="004F1840"/>
    <w:rsid w:val="004F1B17"/>
    <w:rsid w:val="004F626F"/>
    <w:rsid w:val="004F7A30"/>
    <w:rsid w:val="00501399"/>
    <w:rsid w:val="005040B1"/>
    <w:rsid w:val="005047ED"/>
    <w:rsid w:val="00505A3F"/>
    <w:rsid w:val="0050633D"/>
    <w:rsid w:val="00507BC4"/>
    <w:rsid w:val="00511C22"/>
    <w:rsid w:val="005120B7"/>
    <w:rsid w:val="005128E4"/>
    <w:rsid w:val="005133DB"/>
    <w:rsid w:val="00514504"/>
    <w:rsid w:val="00516EF3"/>
    <w:rsid w:val="00521E1F"/>
    <w:rsid w:val="00525560"/>
    <w:rsid w:val="005330EE"/>
    <w:rsid w:val="00535856"/>
    <w:rsid w:val="00535BE0"/>
    <w:rsid w:val="005403A2"/>
    <w:rsid w:val="005408A2"/>
    <w:rsid w:val="00544C49"/>
    <w:rsid w:val="005458E4"/>
    <w:rsid w:val="005511FD"/>
    <w:rsid w:val="005516A1"/>
    <w:rsid w:val="005517F8"/>
    <w:rsid w:val="0055373E"/>
    <w:rsid w:val="0055521B"/>
    <w:rsid w:val="005559EF"/>
    <w:rsid w:val="005621AD"/>
    <w:rsid w:val="005627DD"/>
    <w:rsid w:val="00563557"/>
    <w:rsid w:val="00564015"/>
    <w:rsid w:val="0057402A"/>
    <w:rsid w:val="005771D0"/>
    <w:rsid w:val="00585D5C"/>
    <w:rsid w:val="0059191A"/>
    <w:rsid w:val="005921FF"/>
    <w:rsid w:val="005A24ED"/>
    <w:rsid w:val="005A6D0E"/>
    <w:rsid w:val="005A7B49"/>
    <w:rsid w:val="005B039F"/>
    <w:rsid w:val="005B2E0D"/>
    <w:rsid w:val="005B3DEB"/>
    <w:rsid w:val="005B52B0"/>
    <w:rsid w:val="005B6806"/>
    <w:rsid w:val="005C31B9"/>
    <w:rsid w:val="005C4225"/>
    <w:rsid w:val="005D46EA"/>
    <w:rsid w:val="005D70AA"/>
    <w:rsid w:val="005E33EE"/>
    <w:rsid w:val="005E6361"/>
    <w:rsid w:val="005F0DAD"/>
    <w:rsid w:val="005F0F33"/>
    <w:rsid w:val="005F3595"/>
    <w:rsid w:val="005F3F88"/>
    <w:rsid w:val="00600DEB"/>
    <w:rsid w:val="00603BA0"/>
    <w:rsid w:val="006051A0"/>
    <w:rsid w:val="00606B5E"/>
    <w:rsid w:val="006101A2"/>
    <w:rsid w:val="006114A0"/>
    <w:rsid w:val="0061461E"/>
    <w:rsid w:val="00620C38"/>
    <w:rsid w:val="00627562"/>
    <w:rsid w:val="00627C9F"/>
    <w:rsid w:val="006311E9"/>
    <w:rsid w:val="00632354"/>
    <w:rsid w:val="00635421"/>
    <w:rsid w:val="00635B94"/>
    <w:rsid w:val="00637038"/>
    <w:rsid w:val="00637275"/>
    <w:rsid w:val="006404C3"/>
    <w:rsid w:val="00642810"/>
    <w:rsid w:val="0064403C"/>
    <w:rsid w:val="00652333"/>
    <w:rsid w:val="00652938"/>
    <w:rsid w:val="00660E83"/>
    <w:rsid w:val="00663023"/>
    <w:rsid w:val="00664052"/>
    <w:rsid w:val="00665C9C"/>
    <w:rsid w:val="00673C7E"/>
    <w:rsid w:val="00676794"/>
    <w:rsid w:val="00676B28"/>
    <w:rsid w:val="0068009E"/>
    <w:rsid w:val="00682474"/>
    <w:rsid w:val="00685450"/>
    <w:rsid w:val="00686178"/>
    <w:rsid w:val="00687C98"/>
    <w:rsid w:val="00692219"/>
    <w:rsid w:val="00693EB9"/>
    <w:rsid w:val="006A17D2"/>
    <w:rsid w:val="006A2CE3"/>
    <w:rsid w:val="006A73E6"/>
    <w:rsid w:val="006B2D5C"/>
    <w:rsid w:val="006C0ECF"/>
    <w:rsid w:val="006C1C8C"/>
    <w:rsid w:val="006C4EB1"/>
    <w:rsid w:val="006D5F6C"/>
    <w:rsid w:val="006D72EB"/>
    <w:rsid w:val="006E0166"/>
    <w:rsid w:val="006E2FFB"/>
    <w:rsid w:val="006E3BAD"/>
    <w:rsid w:val="006E7B34"/>
    <w:rsid w:val="00705CFF"/>
    <w:rsid w:val="00706596"/>
    <w:rsid w:val="0070697F"/>
    <w:rsid w:val="007103C4"/>
    <w:rsid w:val="00712D48"/>
    <w:rsid w:val="00715C19"/>
    <w:rsid w:val="0072199C"/>
    <w:rsid w:val="0072288A"/>
    <w:rsid w:val="00722C9F"/>
    <w:rsid w:val="00723817"/>
    <w:rsid w:val="0072436F"/>
    <w:rsid w:val="007253B8"/>
    <w:rsid w:val="0073487D"/>
    <w:rsid w:val="00737314"/>
    <w:rsid w:val="0073741F"/>
    <w:rsid w:val="00737ED2"/>
    <w:rsid w:val="00747819"/>
    <w:rsid w:val="00750BAB"/>
    <w:rsid w:val="0075283E"/>
    <w:rsid w:val="0075590E"/>
    <w:rsid w:val="0076643F"/>
    <w:rsid w:val="00766BBA"/>
    <w:rsid w:val="007720FF"/>
    <w:rsid w:val="007768D5"/>
    <w:rsid w:val="00777F63"/>
    <w:rsid w:val="00783EC3"/>
    <w:rsid w:val="00785B6C"/>
    <w:rsid w:val="00791DD3"/>
    <w:rsid w:val="00793F1C"/>
    <w:rsid w:val="007A0612"/>
    <w:rsid w:val="007A0A93"/>
    <w:rsid w:val="007A2194"/>
    <w:rsid w:val="007A5817"/>
    <w:rsid w:val="007A6A40"/>
    <w:rsid w:val="007B05C4"/>
    <w:rsid w:val="007B44CC"/>
    <w:rsid w:val="007B53DD"/>
    <w:rsid w:val="007B60E9"/>
    <w:rsid w:val="007B6595"/>
    <w:rsid w:val="007B6CC3"/>
    <w:rsid w:val="007B76D3"/>
    <w:rsid w:val="007B79D5"/>
    <w:rsid w:val="007C105C"/>
    <w:rsid w:val="007C3334"/>
    <w:rsid w:val="007C55DF"/>
    <w:rsid w:val="007C6179"/>
    <w:rsid w:val="007C62A0"/>
    <w:rsid w:val="007C6835"/>
    <w:rsid w:val="007D1789"/>
    <w:rsid w:val="007D2B98"/>
    <w:rsid w:val="007D7126"/>
    <w:rsid w:val="007E16F7"/>
    <w:rsid w:val="007E21BC"/>
    <w:rsid w:val="007E31E8"/>
    <w:rsid w:val="007E64CF"/>
    <w:rsid w:val="007E6888"/>
    <w:rsid w:val="007E7592"/>
    <w:rsid w:val="007E778E"/>
    <w:rsid w:val="007E7C82"/>
    <w:rsid w:val="007F01D7"/>
    <w:rsid w:val="007F2A55"/>
    <w:rsid w:val="007F2AA1"/>
    <w:rsid w:val="007F40EF"/>
    <w:rsid w:val="007F588D"/>
    <w:rsid w:val="008018BD"/>
    <w:rsid w:val="00803F1C"/>
    <w:rsid w:val="0080600E"/>
    <w:rsid w:val="00814688"/>
    <w:rsid w:val="00817612"/>
    <w:rsid w:val="00817A45"/>
    <w:rsid w:val="008314CE"/>
    <w:rsid w:val="008338A4"/>
    <w:rsid w:val="00834D49"/>
    <w:rsid w:val="00837C45"/>
    <w:rsid w:val="00841CD0"/>
    <w:rsid w:val="0084236E"/>
    <w:rsid w:val="008431BA"/>
    <w:rsid w:val="0084454F"/>
    <w:rsid w:val="00844730"/>
    <w:rsid w:val="008457C2"/>
    <w:rsid w:val="00847767"/>
    <w:rsid w:val="00855EA2"/>
    <w:rsid w:val="00857919"/>
    <w:rsid w:val="00857A82"/>
    <w:rsid w:val="00861490"/>
    <w:rsid w:val="00861563"/>
    <w:rsid w:val="008674BD"/>
    <w:rsid w:val="008710B7"/>
    <w:rsid w:val="00872CBE"/>
    <w:rsid w:val="00873836"/>
    <w:rsid w:val="008778B7"/>
    <w:rsid w:val="00882A97"/>
    <w:rsid w:val="00885737"/>
    <w:rsid w:val="00890650"/>
    <w:rsid w:val="00891115"/>
    <w:rsid w:val="008944DC"/>
    <w:rsid w:val="00895758"/>
    <w:rsid w:val="00895F48"/>
    <w:rsid w:val="00897E12"/>
    <w:rsid w:val="008A1721"/>
    <w:rsid w:val="008A5C6E"/>
    <w:rsid w:val="008A7E0F"/>
    <w:rsid w:val="008B089E"/>
    <w:rsid w:val="008B12F5"/>
    <w:rsid w:val="008C5E2D"/>
    <w:rsid w:val="008D6A2E"/>
    <w:rsid w:val="008D768D"/>
    <w:rsid w:val="008E2546"/>
    <w:rsid w:val="008E3759"/>
    <w:rsid w:val="008E3BFE"/>
    <w:rsid w:val="008E66C5"/>
    <w:rsid w:val="008F1912"/>
    <w:rsid w:val="0090270B"/>
    <w:rsid w:val="009041DC"/>
    <w:rsid w:val="00906AA1"/>
    <w:rsid w:val="0091225E"/>
    <w:rsid w:val="00913A84"/>
    <w:rsid w:val="009153C9"/>
    <w:rsid w:val="00917B5A"/>
    <w:rsid w:val="00920A58"/>
    <w:rsid w:val="00920A8C"/>
    <w:rsid w:val="00925A76"/>
    <w:rsid w:val="00934A2C"/>
    <w:rsid w:val="00941FC4"/>
    <w:rsid w:val="009457A6"/>
    <w:rsid w:val="00953A17"/>
    <w:rsid w:val="00955D72"/>
    <w:rsid w:val="00957C0E"/>
    <w:rsid w:val="00966320"/>
    <w:rsid w:val="0096706E"/>
    <w:rsid w:val="009674E4"/>
    <w:rsid w:val="00971F9F"/>
    <w:rsid w:val="00972C2F"/>
    <w:rsid w:val="00973A6E"/>
    <w:rsid w:val="00973F6A"/>
    <w:rsid w:val="00974312"/>
    <w:rsid w:val="00974491"/>
    <w:rsid w:val="00974931"/>
    <w:rsid w:val="009752A7"/>
    <w:rsid w:val="00975C4E"/>
    <w:rsid w:val="009773CC"/>
    <w:rsid w:val="009777F6"/>
    <w:rsid w:val="00981FBA"/>
    <w:rsid w:val="00982364"/>
    <w:rsid w:val="009835A5"/>
    <w:rsid w:val="00983760"/>
    <w:rsid w:val="009840C7"/>
    <w:rsid w:val="00997BC5"/>
    <w:rsid w:val="009A4F41"/>
    <w:rsid w:val="009B0226"/>
    <w:rsid w:val="009B085B"/>
    <w:rsid w:val="009B381B"/>
    <w:rsid w:val="009B7B09"/>
    <w:rsid w:val="009C009E"/>
    <w:rsid w:val="009C5126"/>
    <w:rsid w:val="009D1753"/>
    <w:rsid w:val="009D2D7C"/>
    <w:rsid w:val="009D30CA"/>
    <w:rsid w:val="009D7611"/>
    <w:rsid w:val="009E0B61"/>
    <w:rsid w:val="009E53DE"/>
    <w:rsid w:val="009E7F46"/>
    <w:rsid w:val="009F3F90"/>
    <w:rsid w:val="009F74EF"/>
    <w:rsid w:val="00A004BB"/>
    <w:rsid w:val="00A04DF9"/>
    <w:rsid w:val="00A11212"/>
    <w:rsid w:val="00A1150A"/>
    <w:rsid w:val="00A11E44"/>
    <w:rsid w:val="00A123CB"/>
    <w:rsid w:val="00A1740A"/>
    <w:rsid w:val="00A21438"/>
    <w:rsid w:val="00A2366E"/>
    <w:rsid w:val="00A2403D"/>
    <w:rsid w:val="00A2648A"/>
    <w:rsid w:val="00A30100"/>
    <w:rsid w:val="00A328B3"/>
    <w:rsid w:val="00A3329B"/>
    <w:rsid w:val="00A34797"/>
    <w:rsid w:val="00A42CE5"/>
    <w:rsid w:val="00A4527D"/>
    <w:rsid w:val="00A50FCF"/>
    <w:rsid w:val="00A528D1"/>
    <w:rsid w:val="00A53688"/>
    <w:rsid w:val="00A54CEE"/>
    <w:rsid w:val="00A610CD"/>
    <w:rsid w:val="00A63DCF"/>
    <w:rsid w:val="00A64154"/>
    <w:rsid w:val="00A64D2B"/>
    <w:rsid w:val="00A654BB"/>
    <w:rsid w:val="00A734DC"/>
    <w:rsid w:val="00A758AA"/>
    <w:rsid w:val="00A84CD7"/>
    <w:rsid w:val="00A9343F"/>
    <w:rsid w:val="00A955F6"/>
    <w:rsid w:val="00A95FC1"/>
    <w:rsid w:val="00A96DAD"/>
    <w:rsid w:val="00AA09A2"/>
    <w:rsid w:val="00AA7996"/>
    <w:rsid w:val="00AA7EAD"/>
    <w:rsid w:val="00AB3141"/>
    <w:rsid w:val="00AB3F6B"/>
    <w:rsid w:val="00AB75A2"/>
    <w:rsid w:val="00AC01A2"/>
    <w:rsid w:val="00AC19CB"/>
    <w:rsid w:val="00AC5AE7"/>
    <w:rsid w:val="00AE27F4"/>
    <w:rsid w:val="00AE3067"/>
    <w:rsid w:val="00AE3244"/>
    <w:rsid w:val="00AE5488"/>
    <w:rsid w:val="00AE62FC"/>
    <w:rsid w:val="00AE6F91"/>
    <w:rsid w:val="00AF1AF9"/>
    <w:rsid w:val="00AF5571"/>
    <w:rsid w:val="00AF7199"/>
    <w:rsid w:val="00B0247A"/>
    <w:rsid w:val="00B050D2"/>
    <w:rsid w:val="00B06FF5"/>
    <w:rsid w:val="00B07341"/>
    <w:rsid w:val="00B10793"/>
    <w:rsid w:val="00B12D92"/>
    <w:rsid w:val="00B30539"/>
    <w:rsid w:val="00B314DB"/>
    <w:rsid w:val="00B361F2"/>
    <w:rsid w:val="00B3718B"/>
    <w:rsid w:val="00B3745F"/>
    <w:rsid w:val="00B42C02"/>
    <w:rsid w:val="00B45AD2"/>
    <w:rsid w:val="00B4632A"/>
    <w:rsid w:val="00B530F1"/>
    <w:rsid w:val="00B7013F"/>
    <w:rsid w:val="00B83158"/>
    <w:rsid w:val="00B8367C"/>
    <w:rsid w:val="00B8394D"/>
    <w:rsid w:val="00B862F9"/>
    <w:rsid w:val="00B87101"/>
    <w:rsid w:val="00B909C7"/>
    <w:rsid w:val="00B93D7F"/>
    <w:rsid w:val="00B95AF8"/>
    <w:rsid w:val="00B9716F"/>
    <w:rsid w:val="00BA2401"/>
    <w:rsid w:val="00BA276C"/>
    <w:rsid w:val="00BA27E4"/>
    <w:rsid w:val="00BA383F"/>
    <w:rsid w:val="00BB019D"/>
    <w:rsid w:val="00BB27F4"/>
    <w:rsid w:val="00BB306F"/>
    <w:rsid w:val="00BB5551"/>
    <w:rsid w:val="00BB562C"/>
    <w:rsid w:val="00BB66C8"/>
    <w:rsid w:val="00BB6B26"/>
    <w:rsid w:val="00BC31F2"/>
    <w:rsid w:val="00BC3F49"/>
    <w:rsid w:val="00BC4CEA"/>
    <w:rsid w:val="00BD0FF5"/>
    <w:rsid w:val="00BD4655"/>
    <w:rsid w:val="00BD4B89"/>
    <w:rsid w:val="00BD5922"/>
    <w:rsid w:val="00BE2FF6"/>
    <w:rsid w:val="00BE6048"/>
    <w:rsid w:val="00BF02CB"/>
    <w:rsid w:val="00BF6FD8"/>
    <w:rsid w:val="00C03680"/>
    <w:rsid w:val="00C054DF"/>
    <w:rsid w:val="00C10E34"/>
    <w:rsid w:val="00C21762"/>
    <w:rsid w:val="00C21FEF"/>
    <w:rsid w:val="00C23BA4"/>
    <w:rsid w:val="00C24543"/>
    <w:rsid w:val="00C256A2"/>
    <w:rsid w:val="00C25ADB"/>
    <w:rsid w:val="00C318F3"/>
    <w:rsid w:val="00C3243D"/>
    <w:rsid w:val="00C338EC"/>
    <w:rsid w:val="00C43269"/>
    <w:rsid w:val="00C51515"/>
    <w:rsid w:val="00C51BE0"/>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82A"/>
    <w:rsid w:val="00C92925"/>
    <w:rsid w:val="00C9567A"/>
    <w:rsid w:val="00CA6E9E"/>
    <w:rsid w:val="00CB16C7"/>
    <w:rsid w:val="00CB1A41"/>
    <w:rsid w:val="00CB212D"/>
    <w:rsid w:val="00CB22B8"/>
    <w:rsid w:val="00CB2660"/>
    <w:rsid w:val="00CB31A7"/>
    <w:rsid w:val="00CB3F74"/>
    <w:rsid w:val="00CB7424"/>
    <w:rsid w:val="00CC5E90"/>
    <w:rsid w:val="00CD046C"/>
    <w:rsid w:val="00CD443B"/>
    <w:rsid w:val="00CE076C"/>
    <w:rsid w:val="00CE0C66"/>
    <w:rsid w:val="00CE0F8B"/>
    <w:rsid w:val="00CE4A5B"/>
    <w:rsid w:val="00CE5199"/>
    <w:rsid w:val="00CE66D5"/>
    <w:rsid w:val="00CF0A4B"/>
    <w:rsid w:val="00CF637A"/>
    <w:rsid w:val="00D02C81"/>
    <w:rsid w:val="00D04EC2"/>
    <w:rsid w:val="00D059DE"/>
    <w:rsid w:val="00D05ABD"/>
    <w:rsid w:val="00D13321"/>
    <w:rsid w:val="00D13873"/>
    <w:rsid w:val="00D13FCE"/>
    <w:rsid w:val="00D27519"/>
    <w:rsid w:val="00D306D1"/>
    <w:rsid w:val="00D30800"/>
    <w:rsid w:val="00D33ADC"/>
    <w:rsid w:val="00D34786"/>
    <w:rsid w:val="00D34D00"/>
    <w:rsid w:val="00D37B50"/>
    <w:rsid w:val="00D37BFC"/>
    <w:rsid w:val="00D401F6"/>
    <w:rsid w:val="00D471A2"/>
    <w:rsid w:val="00D47A8E"/>
    <w:rsid w:val="00D507D0"/>
    <w:rsid w:val="00D52D14"/>
    <w:rsid w:val="00D57C4B"/>
    <w:rsid w:val="00D6739A"/>
    <w:rsid w:val="00D712D3"/>
    <w:rsid w:val="00D71422"/>
    <w:rsid w:val="00D72DC6"/>
    <w:rsid w:val="00D7558D"/>
    <w:rsid w:val="00D77CAD"/>
    <w:rsid w:val="00D81D92"/>
    <w:rsid w:val="00D844B4"/>
    <w:rsid w:val="00D8769D"/>
    <w:rsid w:val="00D876F9"/>
    <w:rsid w:val="00D87AC2"/>
    <w:rsid w:val="00D921EC"/>
    <w:rsid w:val="00D92F63"/>
    <w:rsid w:val="00D9403D"/>
    <w:rsid w:val="00D958A8"/>
    <w:rsid w:val="00DA5B13"/>
    <w:rsid w:val="00DA647E"/>
    <w:rsid w:val="00DA7B5F"/>
    <w:rsid w:val="00DB2530"/>
    <w:rsid w:val="00DB27E3"/>
    <w:rsid w:val="00DC11E7"/>
    <w:rsid w:val="00DC24E3"/>
    <w:rsid w:val="00DC2568"/>
    <w:rsid w:val="00DC466A"/>
    <w:rsid w:val="00DC7023"/>
    <w:rsid w:val="00DC769A"/>
    <w:rsid w:val="00DC7950"/>
    <w:rsid w:val="00DD227E"/>
    <w:rsid w:val="00DD3D86"/>
    <w:rsid w:val="00DD4AD2"/>
    <w:rsid w:val="00DE0A58"/>
    <w:rsid w:val="00DE10D7"/>
    <w:rsid w:val="00DE1C05"/>
    <w:rsid w:val="00DE2862"/>
    <w:rsid w:val="00DE2B30"/>
    <w:rsid w:val="00DF1EC4"/>
    <w:rsid w:val="00DF2FFA"/>
    <w:rsid w:val="00DF4D42"/>
    <w:rsid w:val="00DF6877"/>
    <w:rsid w:val="00E017C5"/>
    <w:rsid w:val="00E01C97"/>
    <w:rsid w:val="00E0340B"/>
    <w:rsid w:val="00E0371E"/>
    <w:rsid w:val="00E038D4"/>
    <w:rsid w:val="00E04A29"/>
    <w:rsid w:val="00E04A90"/>
    <w:rsid w:val="00E0551F"/>
    <w:rsid w:val="00E10DC7"/>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29C4"/>
    <w:rsid w:val="00E43157"/>
    <w:rsid w:val="00E461CE"/>
    <w:rsid w:val="00E47F04"/>
    <w:rsid w:val="00E54FF5"/>
    <w:rsid w:val="00E56336"/>
    <w:rsid w:val="00E573E4"/>
    <w:rsid w:val="00E611AD"/>
    <w:rsid w:val="00E64C3D"/>
    <w:rsid w:val="00E64E86"/>
    <w:rsid w:val="00E6641D"/>
    <w:rsid w:val="00E720CA"/>
    <w:rsid w:val="00E811FD"/>
    <w:rsid w:val="00E84EB5"/>
    <w:rsid w:val="00E85662"/>
    <w:rsid w:val="00E8789F"/>
    <w:rsid w:val="00E91BCA"/>
    <w:rsid w:val="00E9667E"/>
    <w:rsid w:val="00E96DAD"/>
    <w:rsid w:val="00E97B71"/>
    <w:rsid w:val="00EA26F0"/>
    <w:rsid w:val="00EA3D34"/>
    <w:rsid w:val="00EA5E51"/>
    <w:rsid w:val="00EA641E"/>
    <w:rsid w:val="00EB07DE"/>
    <w:rsid w:val="00EB0BBE"/>
    <w:rsid w:val="00EB0D15"/>
    <w:rsid w:val="00EB454D"/>
    <w:rsid w:val="00EB5EAD"/>
    <w:rsid w:val="00EB77C7"/>
    <w:rsid w:val="00EC3C33"/>
    <w:rsid w:val="00ED0D11"/>
    <w:rsid w:val="00ED549D"/>
    <w:rsid w:val="00ED5E10"/>
    <w:rsid w:val="00ED76BE"/>
    <w:rsid w:val="00EE00E9"/>
    <w:rsid w:val="00EE08DC"/>
    <w:rsid w:val="00EE36C0"/>
    <w:rsid w:val="00EE4586"/>
    <w:rsid w:val="00EF0606"/>
    <w:rsid w:val="00EF1AAA"/>
    <w:rsid w:val="00EF4ED0"/>
    <w:rsid w:val="00EF619B"/>
    <w:rsid w:val="00EF7EB3"/>
    <w:rsid w:val="00F00B55"/>
    <w:rsid w:val="00F00BC5"/>
    <w:rsid w:val="00F02AD1"/>
    <w:rsid w:val="00F046D0"/>
    <w:rsid w:val="00F06B84"/>
    <w:rsid w:val="00F17870"/>
    <w:rsid w:val="00F253CC"/>
    <w:rsid w:val="00F26F8C"/>
    <w:rsid w:val="00F3182C"/>
    <w:rsid w:val="00F33C9E"/>
    <w:rsid w:val="00F35342"/>
    <w:rsid w:val="00F37106"/>
    <w:rsid w:val="00F40CA7"/>
    <w:rsid w:val="00F44E25"/>
    <w:rsid w:val="00F45B1C"/>
    <w:rsid w:val="00F465C4"/>
    <w:rsid w:val="00F519CF"/>
    <w:rsid w:val="00F51B08"/>
    <w:rsid w:val="00F54C18"/>
    <w:rsid w:val="00F56BA5"/>
    <w:rsid w:val="00F60C89"/>
    <w:rsid w:val="00F60E22"/>
    <w:rsid w:val="00F65504"/>
    <w:rsid w:val="00F711C3"/>
    <w:rsid w:val="00F71A7B"/>
    <w:rsid w:val="00F80D59"/>
    <w:rsid w:val="00F81395"/>
    <w:rsid w:val="00F81BB8"/>
    <w:rsid w:val="00F8227D"/>
    <w:rsid w:val="00F90926"/>
    <w:rsid w:val="00F90C64"/>
    <w:rsid w:val="00F917D1"/>
    <w:rsid w:val="00F94136"/>
    <w:rsid w:val="00F95C17"/>
    <w:rsid w:val="00F9653B"/>
    <w:rsid w:val="00FA6AEF"/>
    <w:rsid w:val="00FB507A"/>
    <w:rsid w:val="00FB50BC"/>
    <w:rsid w:val="00FB62CF"/>
    <w:rsid w:val="00FC2060"/>
    <w:rsid w:val="00FC6136"/>
    <w:rsid w:val="00FC6219"/>
    <w:rsid w:val="00FC66E2"/>
    <w:rsid w:val="00FD0F47"/>
    <w:rsid w:val="00FD3C3B"/>
    <w:rsid w:val="00FD4A99"/>
    <w:rsid w:val="00FD6EC9"/>
    <w:rsid w:val="00FE07DD"/>
    <w:rsid w:val="00FE0AF1"/>
    <w:rsid w:val="00FE6060"/>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C51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C5126"/>
  </w:style>
  <w:style w:type="character" w:customStyle="1" w:styleId="eop">
    <w:name w:val="eop"/>
    <w:basedOn w:val="DefaultParagraphFont"/>
    <w:rsid w:val="009C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316687188">
      <w:bodyDiv w:val="1"/>
      <w:marLeft w:val="0"/>
      <w:marRight w:val="0"/>
      <w:marTop w:val="0"/>
      <w:marBottom w:val="0"/>
      <w:divBdr>
        <w:top w:val="none" w:sz="0" w:space="0" w:color="auto"/>
        <w:left w:val="none" w:sz="0" w:space="0" w:color="auto"/>
        <w:bottom w:val="none" w:sz="0" w:space="0" w:color="auto"/>
        <w:right w:val="none" w:sz="0" w:space="0" w:color="auto"/>
      </w:divBdr>
    </w:div>
    <w:div w:id="336811393">
      <w:bodyDiv w:val="1"/>
      <w:marLeft w:val="0"/>
      <w:marRight w:val="0"/>
      <w:marTop w:val="0"/>
      <w:marBottom w:val="0"/>
      <w:divBdr>
        <w:top w:val="none" w:sz="0" w:space="0" w:color="auto"/>
        <w:left w:val="none" w:sz="0" w:space="0" w:color="auto"/>
        <w:bottom w:val="none" w:sz="0" w:space="0" w:color="auto"/>
        <w:right w:val="none" w:sz="0" w:space="0" w:color="auto"/>
      </w:divBdr>
    </w:div>
    <w:div w:id="378478270">
      <w:bodyDiv w:val="1"/>
      <w:marLeft w:val="0"/>
      <w:marRight w:val="0"/>
      <w:marTop w:val="0"/>
      <w:marBottom w:val="0"/>
      <w:divBdr>
        <w:top w:val="none" w:sz="0" w:space="0" w:color="auto"/>
        <w:left w:val="none" w:sz="0" w:space="0" w:color="auto"/>
        <w:bottom w:val="none" w:sz="0" w:space="0" w:color="auto"/>
        <w:right w:val="none" w:sz="0" w:space="0" w:color="auto"/>
      </w:divBdr>
    </w:div>
    <w:div w:id="513110012">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947782144">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30779849">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084472">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344699032">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24958977">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300DB"/>
    <w:rsid w:val="0025245B"/>
    <w:rsid w:val="00267B52"/>
    <w:rsid w:val="002A3923"/>
    <w:rsid w:val="00394049"/>
    <w:rsid w:val="003B0C71"/>
    <w:rsid w:val="003E4777"/>
    <w:rsid w:val="004B5BBB"/>
    <w:rsid w:val="004F2DF8"/>
    <w:rsid w:val="00517E2A"/>
    <w:rsid w:val="006D12AA"/>
    <w:rsid w:val="006F24A1"/>
    <w:rsid w:val="00775C63"/>
    <w:rsid w:val="00863B9A"/>
    <w:rsid w:val="00875B8A"/>
    <w:rsid w:val="0093734E"/>
    <w:rsid w:val="009A261B"/>
    <w:rsid w:val="00A30204"/>
    <w:rsid w:val="00A313FB"/>
    <w:rsid w:val="00A62A32"/>
    <w:rsid w:val="00A87396"/>
    <w:rsid w:val="00AA2E17"/>
    <w:rsid w:val="00AC15A4"/>
    <w:rsid w:val="00B0336C"/>
    <w:rsid w:val="00B15CB6"/>
    <w:rsid w:val="00BD73DB"/>
    <w:rsid w:val="00C2121D"/>
    <w:rsid w:val="00CE6EC1"/>
    <w:rsid w:val="00D241E9"/>
    <w:rsid w:val="00D6237B"/>
    <w:rsid w:val="00D7750D"/>
    <w:rsid w:val="00DD52F0"/>
    <w:rsid w:val="00E50D65"/>
    <w:rsid w:val="00E7787D"/>
    <w:rsid w:val="00EF404F"/>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3663</Words>
  <Characters>20882</Characters>
  <Application>Microsoft Office Word</Application>
  <DocSecurity>0</DocSecurity>
  <Lines>174</Lines>
  <Paragraphs>48</Paragraphs>
  <ScaleCrop>false</ScaleCrop>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