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91BB3" w14:textId="77777777"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lang w:val="es-419" w:eastAsia="es-419"/>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79F3BF"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" fillcolor="#4a7194" stroked="f" strokeweight="2pt"/>
            </w:pict>
          </mc:Fallback>
        </mc:AlternateContent>
      </w:r>
      <w:r w:rsidR="003E6CA1" w:rsidRPr="0090270B">
        <w:rPr>
          <w:rFonts w:asciiTheme="majorHAnsi" w:hAnsiTheme="majorHAnsi"/>
          <w:noProof/>
          <w:sz w:val="22"/>
          <w:szCs w:val="22"/>
          <w:lang w:val="es-419" w:eastAsia="es-419"/>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0208E50D" w:rsidR="00CB2660" w:rsidRDefault="00AE5488" w:rsidP="00AE5488">
                            <w:r>
                              <w:rPr>
                                <w:noProof/>
                                <w:lang w:val="es-419" w:eastAsia="es-419"/>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349218F2" w14:textId="0208E50D" w:rsidR="00CB2660" w:rsidRDefault="00AE5488" w:rsidP="00AE5488">
                      <w:r>
                        <w:rPr>
                          <w:noProof/>
                          <w:lang w:val="es-419" w:eastAsia="es-419"/>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p>
                  </w:txbxContent>
                </v:textbox>
              </v:shape>
            </w:pict>
          </mc:Fallback>
        </mc:AlternateContent>
      </w:r>
    </w:p>
    <w:p w14:paraId="47386BAF"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5A87E141"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29D95BCC" w14:textId="77777777" w:rsidR="005128E4" w:rsidRPr="0090270B" w:rsidRDefault="005128E4" w:rsidP="00040C3A">
      <w:pPr>
        <w:tabs>
          <w:tab w:val="center" w:pos="5400"/>
        </w:tabs>
        <w:suppressAutoHyphens/>
        <w:rPr>
          <w:rFonts w:asciiTheme="majorHAnsi" w:hAnsiTheme="majorHAnsi"/>
          <w:sz w:val="22"/>
          <w:szCs w:val="22"/>
          <w:lang w:val="es-ES_tradnl"/>
        </w:rPr>
      </w:pPr>
    </w:p>
    <w:p w14:paraId="12A36B24" w14:textId="77777777" w:rsidR="005128E4" w:rsidRPr="0090270B" w:rsidRDefault="005128E4" w:rsidP="00040C3A">
      <w:pPr>
        <w:tabs>
          <w:tab w:val="center" w:pos="5400"/>
        </w:tabs>
        <w:suppressAutoHyphens/>
        <w:rPr>
          <w:rFonts w:asciiTheme="majorHAnsi" w:hAnsiTheme="majorHAnsi"/>
          <w:sz w:val="22"/>
          <w:szCs w:val="22"/>
          <w:lang w:val="es-ES_tradnl"/>
        </w:rPr>
      </w:pPr>
    </w:p>
    <w:p w14:paraId="2252093D" w14:textId="77777777" w:rsidR="005128E4" w:rsidRPr="0090270B" w:rsidRDefault="005128E4" w:rsidP="00040C3A">
      <w:pPr>
        <w:tabs>
          <w:tab w:val="center" w:pos="5400"/>
        </w:tabs>
        <w:suppressAutoHyphens/>
        <w:rPr>
          <w:rFonts w:asciiTheme="majorHAnsi" w:hAnsiTheme="majorHAnsi"/>
          <w:sz w:val="22"/>
          <w:szCs w:val="22"/>
          <w:lang w:val="es-ES_tradnl"/>
        </w:rPr>
      </w:pPr>
    </w:p>
    <w:p w14:paraId="403935BD"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6DCF5F8F"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4791F13A"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44E016B6"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63D41962"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5ADEB990"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D81B7E8"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4791D04" w14:textId="77777777"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lang w:val="es-419" w:eastAsia="es-419"/>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652E1962"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5B548C">
                              <w:rPr>
                                <w:rFonts w:asciiTheme="majorHAnsi" w:hAnsiTheme="majorHAnsi" w:cs="Arial"/>
                                <w:b/>
                                <w:bCs/>
                                <w:color w:val="0D0D0D" w:themeColor="text1" w:themeTint="F2"/>
                                <w:sz w:val="36"/>
                                <w:szCs w:val="22"/>
                                <w:lang w:val="es-ES_tradnl"/>
                              </w:rPr>
                              <w:t>17</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w:t>
                            </w:r>
                            <w:r w:rsidR="00401D83">
                              <w:rPr>
                                <w:rFonts w:asciiTheme="majorHAnsi" w:hAnsiTheme="majorHAnsi" w:cs="Arial"/>
                                <w:b/>
                                <w:bCs/>
                                <w:color w:val="0D0D0D" w:themeColor="text1" w:themeTint="F2"/>
                                <w:sz w:val="36"/>
                                <w:szCs w:val="22"/>
                                <w:lang w:val="es-ES_tradnl"/>
                              </w:rPr>
                              <w:t>3</w:t>
                            </w:r>
                          </w:p>
                          <w:p w14:paraId="09C54AB3" w14:textId="1BCF44AA"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401D83">
                              <w:rPr>
                                <w:rFonts w:asciiTheme="majorHAnsi" w:hAnsiTheme="majorHAnsi" w:cs="Arial"/>
                                <w:b/>
                                <w:color w:val="0D0D0D" w:themeColor="text1" w:themeTint="F2"/>
                                <w:sz w:val="36"/>
                                <w:szCs w:val="22"/>
                                <w:lang w:val="es-ES_tradnl"/>
                              </w:rPr>
                              <w:t>593</w:t>
                            </w:r>
                            <w:r w:rsidR="00246D1F" w:rsidRPr="004E2649">
                              <w:rPr>
                                <w:rFonts w:asciiTheme="majorHAnsi" w:hAnsiTheme="majorHAnsi" w:cs="Arial"/>
                                <w:b/>
                                <w:color w:val="0D0D0D" w:themeColor="text1" w:themeTint="F2"/>
                                <w:sz w:val="36"/>
                                <w:szCs w:val="22"/>
                                <w:lang w:val="es-ES_tradnl"/>
                              </w:rPr>
                              <w:t>-</w:t>
                            </w:r>
                            <w:r w:rsidR="00401D83">
                              <w:rPr>
                                <w:rFonts w:asciiTheme="majorHAnsi" w:hAnsiTheme="majorHAnsi" w:cs="Arial"/>
                                <w:b/>
                                <w:color w:val="0D0D0D" w:themeColor="text1" w:themeTint="F2"/>
                                <w:sz w:val="36"/>
                                <w:szCs w:val="22"/>
                                <w:lang w:val="es-ES_tradnl"/>
                              </w:rPr>
                              <w:t>09</w:t>
                            </w:r>
                            <w:r w:rsidR="00246D1F" w:rsidRPr="004E2649">
                              <w:rPr>
                                <w:rFonts w:asciiTheme="majorHAnsi" w:hAnsiTheme="majorHAnsi" w:cs="Arial"/>
                                <w:b/>
                                <w:color w:val="0D0D0D" w:themeColor="text1" w:themeTint="F2"/>
                                <w:sz w:val="36"/>
                                <w:szCs w:val="22"/>
                                <w:lang w:val="es-ES_tradnl"/>
                              </w:rPr>
                              <w:t xml:space="preserve"> </w:t>
                            </w:r>
                          </w:p>
                          <w:p w14:paraId="5FDD6F0D" w14:textId="1E3E49C5" w:rsidR="008F1912"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w:t>
                            </w:r>
                            <w:r w:rsidR="00307DEA">
                              <w:rPr>
                                <w:rFonts w:asciiTheme="majorHAnsi" w:hAnsiTheme="majorHAnsi" w:cs="Arial"/>
                                <w:color w:val="0D0D0D" w:themeColor="text1" w:themeTint="F2"/>
                                <w:szCs w:val="22"/>
                                <w:lang w:val="es-ES_tradnl"/>
                              </w:rPr>
                              <w:t>IN</w:t>
                            </w:r>
                            <w:r w:rsidRPr="0010736F">
                              <w:rPr>
                                <w:rFonts w:asciiTheme="majorHAnsi" w:hAnsiTheme="majorHAnsi" w:cs="Arial"/>
                                <w:color w:val="0D0D0D" w:themeColor="text1" w:themeTint="F2"/>
                                <w:szCs w:val="22"/>
                                <w:lang w:val="es-ES_tradnl"/>
                              </w:rPr>
                              <w:t>ADMISIBILIDAD</w:t>
                            </w:r>
                            <w:r w:rsidR="00F519CF" w:rsidRPr="0010736F">
                              <w:rPr>
                                <w:rFonts w:asciiTheme="majorHAnsi" w:hAnsiTheme="majorHAnsi" w:cs="Arial"/>
                                <w:color w:val="0D0D0D" w:themeColor="text1" w:themeTint="F2"/>
                                <w:szCs w:val="22"/>
                                <w:lang w:val="es-ES_tradnl"/>
                              </w:rPr>
                              <w:t xml:space="preserve"> </w:t>
                            </w:r>
                            <w:bookmarkStart w:id="0" w:name="_ftnref1"/>
                          </w:p>
                          <w:p w14:paraId="70A71E50" w14:textId="77777777" w:rsidR="00304F0B" w:rsidRPr="0010736F" w:rsidRDefault="00304F0B" w:rsidP="00997BC5">
                            <w:pPr>
                              <w:spacing w:line="276" w:lineRule="auto"/>
                              <w:rPr>
                                <w:rFonts w:asciiTheme="majorHAnsi" w:hAnsiTheme="majorHAnsi" w:cs="Arial"/>
                                <w:color w:val="0D0D0D" w:themeColor="text1" w:themeTint="F2"/>
                                <w:szCs w:val="22"/>
                                <w:lang w:val="es-ES_tradnl"/>
                              </w:rPr>
                            </w:pPr>
                          </w:p>
                          <w:p w14:paraId="4CFA2FBF" w14:textId="718052BB" w:rsidR="005B52B0" w:rsidRPr="0010736F" w:rsidRDefault="00B17BFE"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FLORENTINO PAZ Y </w:t>
                            </w:r>
                            <w:r w:rsidR="00615879">
                              <w:rPr>
                                <w:rFonts w:asciiTheme="majorHAnsi" w:hAnsiTheme="majorHAnsi" w:cs="Arial"/>
                                <w:color w:val="0D0D0D" w:themeColor="text1" w:themeTint="F2"/>
                                <w:szCs w:val="22"/>
                                <w:lang w:val="es-ES_tradnl"/>
                              </w:rPr>
                              <w:t>LUIS BERNARDO MONTEN</w:t>
                            </w:r>
                            <w:r w:rsidR="006E6C3B">
                              <w:rPr>
                                <w:rFonts w:asciiTheme="majorHAnsi" w:hAnsiTheme="majorHAnsi" w:cs="Arial"/>
                                <w:color w:val="0D0D0D" w:themeColor="text1" w:themeTint="F2"/>
                                <w:szCs w:val="22"/>
                                <w:lang w:val="es-ES_tradnl"/>
                              </w:rPr>
                              <w:t>E</w:t>
                            </w:r>
                            <w:r w:rsidR="00615879">
                              <w:rPr>
                                <w:rFonts w:asciiTheme="majorHAnsi" w:hAnsiTheme="majorHAnsi" w:cs="Arial"/>
                                <w:color w:val="0D0D0D" w:themeColor="text1" w:themeTint="F2"/>
                                <w:szCs w:val="22"/>
                                <w:lang w:val="es-ES_tradnl"/>
                              </w:rPr>
                              <w:t>GRO SÁNCHEZ</w:t>
                            </w:r>
                          </w:p>
                          <w:bookmarkEnd w:id="0"/>
                          <w:p w14:paraId="35068D0D" w14:textId="6050CC39" w:rsidR="005B52B0" w:rsidRPr="0010736F" w:rsidRDefault="00B17BFE"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14:paraId="575DFD52" w14:textId="77777777"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0ED94"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" filled="f" stroked="f" strokeweight=".5pt">
                <v:textbox>
                  <w:txbxContent>
                    <w:p w14:paraId="4D9FE29C" w14:textId="652E1962"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5B548C">
                        <w:rPr>
                          <w:rFonts w:asciiTheme="majorHAnsi" w:hAnsiTheme="majorHAnsi" w:cs="Arial"/>
                          <w:b/>
                          <w:bCs/>
                          <w:color w:val="0D0D0D" w:themeColor="text1" w:themeTint="F2"/>
                          <w:sz w:val="36"/>
                          <w:szCs w:val="22"/>
                          <w:lang w:val="es-ES_tradnl"/>
                        </w:rPr>
                        <w:t>17</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w:t>
                      </w:r>
                      <w:r w:rsidR="00401D83">
                        <w:rPr>
                          <w:rFonts w:asciiTheme="majorHAnsi" w:hAnsiTheme="majorHAnsi" w:cs="Arial"/>
                          <w:b/>
                          <w:bCs/>
                          <w:color w:val="0D0D0D" w:themeColor="text1" w:themeTint="F2"/>
                          <w:sz w:val="36"/>
                          <w:szCs w:val="22"/>
                          <w:lang w:val="es-ES_tradnl"/>
                        </w:rPr>
                        <w:t>3</w:t>
                      </w:r>
                    </w:p>
                    <w:p w14:paraId="09C54AB3" w14:textId="1BCF44AA"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401D83">
                        <w:rPr>
                          <w:rFonts w:asciiTheme="majorHAnsi" w:hAnsiTheme="majorHAnsi" w:cs="Arial"/>
                          <w:b/>
                          <w:color w:val="0D0D0D" w:themeColor="text1" w:themeTint="F2"/>
                          <w:sz w:val="36"/>
                          <w:szCs w:val="22"/>
                          <w:lang w:val="es-ES_tradnl"/>
                        </w:rPr>
                        <w:t>593</w:t>
                      </w:r>
                      <w:r w:rsidR="00246D1F" w:rsidRPr="004E2649">
                        <w:rPr>
                          <w:rFonts w:asciiTheme="majorHAnsi" w:hAnsiTheme="majorHAnsi" w:cs="Arial"/>
                          <w:b/>
                          <w:color w:val="0D0D0D" w:themeColor="text1" w:themeTint="F2"/>
                          <w:sz w:val="36"/>
                          <w:szCs w:val="22"/>
                          <w:lang w:val="es-ES_tradnl"/>
                        </w:rPr>
                        <w:t>-</w:t>
                      </w:r>
                      <w:r w:rsidR="00401D83">
                        <w:rPr>
                          <w:rFonts w:asciiTheme="majorHAnsi" w:hAnsiTheme="majorHAnsi" w:cs="Arial"/>
                          <w:b/>
                          <w:color w:val="0D0D0D" w:themeColor="text1" w:themeTint="F2"/>
                          <w:sz w:val="36"/>
                          <w:szCs w:val="22"/>
                          <w:lang w:val="es-ES_tradnl"/>
                        </w:rPr>
                        <w:t>09</w:t>
                      </w:r>
                      <w:r w:rsidR="00246D1F" w:rsidRPr="004E2649">
                        <w:rPr>
                          <w:rFonts w:asciiTheme="majorHAnsi" w:hAnsiTheme="majorHAnsi" w:cs="Arial"/>
                          <w:b/>
                          <w:color w:val="0D0D0D" w:themeColor="text1" w:themeTint="F2"/>
                          <w:sz w:val="36"/>
                          <w:szCs w:val="22"/>
                          <w:lang w:val="es-ES_tradnl"/>
                        </w:rPr>
                        <w:t xml:space="preserve"> </w:t>
                      </w:r>
                    </w:p>
                    <w:p w14:paraId="5FDD6F0D" w14:textId="1E3E49C5" w:rsidR="008F1912"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w:t>
                      </w:r>
                      <w:r w:rsidR="00307DEA">
                        <w:rPr>
                          <w:rFonts w:asciiTheme="majorHAnsi" w:hAnsiTheme="majorHAnsi" w:cs="Arial"/>
                          <w:color w:val="0D0D0D" w:themeColor="text1" w:themeTint="F2"/>
                          <w:szCs w:val="22"/>
                          <w:lang w:val="es-ES_tradnl"/>
                        </w:rPr>
                        <w:t>IN</w:t>
                      </w:r>
                      <w:r w:rsidRPr="0010736F">
                        <w:rPr>
                          <w:rFonts w:asciiTheme="majorHAnsi" w:hAnsiTheme="majorHAnsi" w:cs="Arial"/>
                          <w:color w:val="0D0D0D" w:themeColor="text1" w:themeTint="F2"/>
                          <w:szCs w:val="22"/>
                          <w:lang w:val="es-ES_tradnl"/>
                        </w:rPr>
                        <w:t>ADMISIBILIDAD</w:t>
                      </w:r>
                      <w:r w:rsidR="00F519CF" w:rsidRPr="0010736F">
                        <w:rPr>
                          <w:rFonts w:asciiTheme="majorHAnsi" w:hAnsiTheme="majorHAnsi" w:cs="Arial"/>
                          <w:color w:val="0D0D0D" w:themeColor="text1" w:themeTint="F2"/>
                          <w:szCs w:val="22"/>
                          <w:lang w:val="es-ES_tradnl"/>
                        </w:rPr>
                        <w:t xml:space="preserve"> </w:t>
                      </w:r>
                      <w:bookmarkStart w:id="1" w:name="_ftnref1"/>
                    </w:p>
                    <w:p w14:paraId="70A71E50" w14:textId="77777777" w:rsidR="00304F0B" w:rsidRPr="0010736F" w:rsidRDefault="00304F0B" w:rsidP="00997BC5">
                      <w:pPr>
                        <w:spacing w:line="276" w:lineRule="auto"/>
                        <w:rPr>
                          <w:rFonts w:asciiTheme="majorHAnsi" w:hAnsiTheme="majorHAnsi" w:cs="Arial"/>
                          <w:color w:val="0D0D0D" w:themeColor="text1" w:themeTint="F2"/>
                          <w:szCs w:val="22"/>
                          <w:lang w:val="es-ES_tradnl"/>
                        </w:rPr>
                      </w:pPr>
                    </w:p>
                    <w:p w14:paraId="4CFA2FBF" w14:textId="718052BB" w:rsidR="005B52B0" w:rsidRPr="0010736F" w:rsidRDefault="00B17BFE"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FLORENTINO PAZ Y </w:t>
                      </w:r>
                      <w:r w:rsidR="00615879">
                        <w:rPr>
                          <w:rFonts w:asciiTheme="majorHAnsi" w:hAnsiTheme="majorHAnsi" w:cs="Arial"/>
                          <w:color w:val="0D0D0D" w:themeColor="text1" w:themeTint="F2"/>
                          <w:szCs w:val="22"/>
                          <w:lang w:val="es-ES_tradnl"/>
                        </w:rPr>
                        <w:t>LUIS BERNARDO MONTEN</w:t>
                      </w:r>
                      <w:r w:rsidR="006E6C3B">
                        <w:rPr>
                          <w:rFonts w:asciiTheme="majorHAnsi" w:hAnsiTheme="majorHAnsi" w:cs="Arial"/>
                          <w:color w:val="0D0D0D" w:themeColor="text1" w:themeTint="F2"/>
                          <w:szCs w:val="22"/>
                          <w:lang w:val="es-ES_tradnl"/>
                        </w:rPr>
                        <w:t>E</w:t>
                      </w:r>
                      <w:r w:rsidR="00615879">
                        <w:rPr>
                          <w:rFonts w:asciiTheme="majorHAnsi" w:hAnsiTheme="majorHAnsi" w:cs="Arial"/>
                          <w:color w:val="0D0D0D" w:themeColor="text1" w:themeTint="F2"/>
                          <w:szCs w:val="22"/>
                          <w:lang w:val="es-ES_tradnl"/>
                        </w:rPr>
                        <w:t>GRO SÁNCHEZ</w:t>
                      </w:r>
                    </w:p>
                    <w:bookmarkEnd w:id="1"/>
                    <w:p w14:paraId="35068D0D" w14:textId="6050CC39" w:rsidR="005B52B0" w:rsidRPr="0010736F" w:rsidRDefault="00B17BFE"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14:paraId="575DFD52" w14:textId="77777777" w:rsidR="005B52B0" w:rsidRPr="00AE5488" w:rsidRDefault="005B52B0" w:rsidP="007A5817">
                      <w:pPr>
                        <w:rPr>
                          <w:color w:val="0D0D0D" w:themeColor="text1" w:themeTint="F2"/>
                          <w:lang w:val="es-ES_tradnl"/>
                        </w:rPr>
                      </w:pPr>
                    </w:p>
                  </w:txbxContent>
                </v:textbox>
              </v:shape>
            </w:pict>
          </mc:Fallback>
        </mc:AlternateContent>
      </w:r>
      <w:r w:rsidR="004E2649" w:rsidRPr="0090270B">
        <w:rPr>
          <w:rFonts w:asciiTheme="majorHAnsi" w:hAnsiTheme="majorHAnsi"/>
          <w:noProof/>
          <w:sz w:val="22"/>
          <w:szCs w:val="22"/>
          <w:lang w:val="es-419" w:eastAsia="es-419"/>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3053CA96" w:rsidR="00627C9F" w:rsidRPr="002910BE" w:rsidRDefault="00834D49" w:rsidP="007A5817">
                            <w:pPr>
                              <w:spacing w:line="276" w:lineRule="auto"/>
                              <w:jc w:val="right"/>
                              <w:rPr>
                                <w:rFonts w:asciiTheme="minorHAnsi" w:hAnsiTheme="minorHAnsi"/>
                                <w:color w:val="FFFFFF" w:themeColor="background1"/>
                                <w:sz w:val="22"/>
                                <w:lang w:val="es-AR"/>
                              </w:rPr>
                            </w:pPr>
                            <w:r w:rsidRPr="002910BE">
                              <w:rPr>
                                <w:rFonts w:asciiTheme="minorHAnsi" w:hAnsiTheme="minorHAnsi"/>
                                <w:color w:val="FFFFFF" w:themeColor="background1"/>
                                <w:sz w:val="22"/>
                                <w:lang w:val="es-AR"/>
                              </w:rPr>
                              <w:t>OEA/Ser.L/V/II</w:t>
                            </w:r>
                          </w:p>
                          <w:p w14:paraId="6A41611B" w14:textId="1F27271D" w:rsidR="00627C9F" w:rsidRPr="002910BE" w:rsidRDefault="00627C9F" w:rsidP="007A5817">
                            <w:pPr>
                              <w:spacing w:line="276" w:lineRule="auto"/>
                              <w:jc w:val="right"/>
                              <w:rPr>
                                <w:rFonts w:asciiTheme="minorHAnsi" w:hAnsiTheme="minorHAnsi"/>
                                <w:color w:val="FFFFFF" w:themeColor="background1"/>
                                <w:sz w:val="22"/>
                                <w:lang w:val="es-AR"/>
                              </w:rPr>
                            </w:pPr>
                            <w:r w:rsidRPr="002910BE">
                              <w:rPr>
                                <w:rFonts w:asciiTheme="minorHAnsi" w:hAnsiTheme="minorHAnsi"/>
                                <w:color w:val="FFFFFF" w:themeColor="background1"/>
                                <w:sz w:val="22"/>
                                <w:lang w:val="es-AR"/>
                              </w:rPr>
                              <w:t xml:space="preserve">Doc. </w:t>
                            </w:r>
                            <w:r w:rsidR="005B548C" w:rsidRPr="002910BE">
                              <w:rPr>
                                <w:rFonts w:asciiTheme="minorHAnsi" w:hAnsiTheme="minorHAnsi"/>
                                <w:color w:val="FFFFFF" w:themeColor="background1"/>
                                <w:sz w:val="22"/>
                                <w:lang w:val="es-AR"/>
                              </w:rPr>
                              <w:t>19</w:t>
                            </w:r>
                          </w:p>
                          <w:p w14:paraId="69373ED2" w14:textId="2C30E5DD" w:rsidR="00627C9F" w:rsidRPr="00C25ADB" w:rsidRDefault="005B548C"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26 febrero</w:t>
                            </w:r>
                            <w:r w:rsidR="007B05C4" w:rsidRPr="00C25ADB">
                              <w:rPr>
                                <w:rFonts w:asciiTheme="minorHAnsi" w:hAnsiTheme="minorHAnsi"/>
                                <w:color w:val="FFFFFF" w:themeColor="background1"/>
                                <w:sz w:val="22"/>
                                <w:lang w:val="es-PA"/>
                              </w:rPr>
                              <w:t xml:space="preserve"> </w:t>
                            </w:r>
                            <w:r w:rsidR="00627C9F" w:rsidRPr="00C25ADB">
                              <w:rPr>
                                <w:rFonts w:asciiTheme="minorHAnsi" w:hAnsiTheme="minorHAnsi"/>
                                <w:color w:val="FFFFFF" w:themeColor="background1"/>
                                <w:sz w:val="22"/>
                                <w:lang w:val="es-PA"/>
                              </w:rPr>
                              <w:t>20</w:t>
                            </w:r>
                            <w:r w:rsidR="00C23BA4" w:rsidRPr="00C25ADB">
                              <w:rPr>
                                <w:rFonts w:asciiTheme="minorHAnsi" w:hAnsiTheme="minorHAnsi"/>
                                <w:color w:val="FFFFFF" w:themeColor="background1"/>
                                <w:sz w:val="22"/>
                                <w:lang w:val="es-PA"/>
                              </w:rPr>
                              <w:t>2</w:t>
                            </w:r>
                            <w:r w:rsidR="00401D83">
                              <w:rPr>
                                <w:rFonts w:asciiTheme="minorHAnsi" w:hAnsiTheme="minorHAnsi"/>
                                <w:color w:val="FFFFFF" w:themeColor="background1"/>
                                <w:sz w:val="22"/>
                                <w:lang w:val="es-PA"/>
                              </w:rPr>
                              <w:t>3</w:t>
                            </w:r>
                          </w:p>
                          <w:p w14:paraId="0771DB5B"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6CF0BAF6" w14:textId="3053CA96" w:rsidR="00627C9F" w:rsidRPr="002910BE" w:rsidRDefault="00834D49" w:rsidP="007A5817">
                      <w:pPr>
                        <w:spacing w:line="276" w:lineRule="auto"/>
                        <w:jc w:val="right"/>
                        <w:rPr>
                          <w:rFonts w:asciiTheme="minorHAnsi" w:hAnsiTheme="minorHAnsi"/>
                          <w:color w:val="FFFFFF" w:themeColor="background1"/>
                          <w:sz w:val="22"/>
                          <w:lang w:val="es-AR"/>
                        </w:rPr>
                      </w:pPr>
                      <w:r w:rsidRPr="002910BE">
                        <w:rPr>
                          <w:rFonts w:asciiTheme="minorHAnsi" w:hAnsiTheme="minorHAnsi"/>
                          <w:color w:val="FFFFFF" w:themeColor="background1"/>
                          <w:sz w:val="22"/>
                          <w:lang w:val="es-AR"/>
                        </w:rPr>
                        <w:t>OEA/Ser.L/V/II</w:t>
                      </w:r>
                    </w:p>
                    <w:p w14:paraId="6A41611B" w14:textId="1F27271D" w:rsidR="00627C9F" w:rsidRPr="002910BE" w:rsidRDefault="00627C9F" w:rsidP="007A5817">
                      <w:pPr>
                        <w:spacing w:line="276" w:lineRule="auto"/>
                        <w:jc w:val="right"/>
                        <w:rPr>
                          <w:rFonts w:asciiTheme="minorHAnsi" w:hAnsiTheme="minorHAnsi"/>
                          <w:color w:val="FFFFFF" w:themeColor="background1"/>
                          <w:sz w:val="22"/>
                          <w:lang w:val="es-AR"/>
                        </w:rPr>
                      </w:pPr>
                      <w:r w:rsidRPr="002910BE">
                        <w:rPr>
                          <w:rFonts w:asciiTheme="minorHAnsi" w:hAnsiTheme="minorHAnsi"/>
                          <w:color w:val="FFFFFF" w:themeColor="background1"/>
                          <w:sz w:val="22"/>
                          <w:lang w:val="es-AR"/>
                        </w:rPr>
                        <w:t xml:space="preserve">Doc. </w:t>
                      </w:r>
                      <w:r w:rsidR="005B548C" w:rsidRPr="002910BE">
                        <w:rPr>
                          <w:rFonts w:asciiTheme="minorHAnsi" w:hAnsiTheme="minorHAnsi"/>
                          <w:color w:val="FFFFFF" w:themeColor="background1"/>
                          <w:sz w:val="22"/>
                          <w:lang w:val="es-AR"/>
                        </w:rPr>
                        <w:t>19</w:t>
                      </w:r>
                    </w:p>
                    <w:p w14:paraId="69373ED2" w14:textId="2C30E5DD" w:rsidR="00627C9F" w:rsidRPr="00C25ADB" w:rsidRDefault="005B548C"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26 febrero</w:t>
                      </w:r>
                      <w:r w:rsidR="007B05C4" w:rsidRPr="00C25ADB">
                        <w:rPr>
                          <w:rFonts w:asciiTheme="minorHAnsi" w:hAnsiTheme="minorHAnsi"/>
                          <w:color w:val="FFFFFF" w:themeColor="background1"/>
                          <w:sz w:val="22"/>
                          <w:lang w:val="es-PA"/>
                        </w:rPr>
                        <w:t xml:space="preserve"> </w:t>
                      </w:r>
                      <w:r w:rsidR="00627C9F" w:rsidRPr="00C25ADB">
                        <w:rPr>
                          <w:rFonts w:asciiTheme="minorHAnsi" w:hAnsiTheme="minorHAnsi"/>
                          <w:color w:val="FFFFFF" w:themeColor="background1"/>
                          <w:sz w:val="22"/>
                          <w:lang w:val="es-PA"/>
                        </w:rPr>
                        <w:t>20</w:t>
                      </w:r>
                      <w:r w:rsidR="00C23BA4" w:rsidRPr="00C25ADB">
                        <w:rPr>
                          <w:rFonts w:asciiTheme="minorHAnsi" w:hAnsiTheme="minorHAnsi"/>
                          <w:color w:val="FFFFFF" w:themeColor="background1"/>
                          <w:sz w:val="22"/>
                          <w:lang w:val="es-PA"/>
                        </w:rPr>
                        <w:t>2</w:t>
                      </w:r>
                      <w:r w:rsidR="00401D83">
                        <w:rPr>
                          <w:rFonts w:asciiTheme="minorHAnsi" w:hAnsiTheme="minorHAnsi"/>
                          <w:color w:val="FFFFFF" w:themeColor="background1"/>
                          <w:sz w:val="22"/>
                          <w:lang w:val="es-PA"/>
                        </w:rPr>
                        <w:t>3</w:t>
                      </w:r>
                    </w:p>
                    <w:p w14:paraId="0771DB5B"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v:textbox>
              </v:shape>
            </w:pict>
          </mc:Fallback>
        </mc:AlternateContent>
      </w:r>
    </w:p>
    <w:p w14:paraId="155B053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FE3AB8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C383BC0" w14:textId="77777777" w:rsidR="00040C3A" w:rsidRPr="0090270B" w:rsidRDefault="00040C3A" w:rsidP="00040C3A">
      <w:pPr>
        <w:tabs>
          <w:tab w:val="center" w:pos="5400"/>
        </w:tabs>
        <w:suppressAutoHyphens/>
        <w:jc w:val="center"/>
        <w:rPr>
          <w:rFonts w:asciiTheme="majorHAnsi" w:hAnsiTheme="majorHAnsi" w:cs="Arial"/>
          <w:sz w:val="22"/>
          <w:szCs w:val="22"/>
          <w:lang w:val="es-ES_tradnl"/>
        </w:rPr>
      </w:pPr>
    </w:p>
    <w:p w14:paraId="54590931"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76C291D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161B44F"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C4EEE0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B0E4647"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DAAF36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2496A14"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5772DB3"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820FADA"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54445A55"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D4A4040"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48FBB2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90ABFB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C69004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33CA43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874DEE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698D0D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F90782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45D9AC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6068EE5"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4A4A43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B3B735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2C5C44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806A2B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19C392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14A0182"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lang w:val="es-419" w:eastAsia="es-419"/>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44B4F7" w14:textId="50AF78C3"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0234AA">
                              <w:rPr>
                                <w:rFonts w:asciiTheme="majorHAnsi" w:hAnsiTheme="majorHAnsi"/>
                                <w:color w:val="0D0D0D" w:themeColor="text1" w:themeTint="F2"/>
                                <w:sz w:val="18"/>
                                <w:szCs w:val="22"/>
                                <w:lang w:val="es-ES"/>
                              </w:rPr>
                              <w:t>26</w:t>
                            </w:r>
                            <w:r w:rsidRPr="00890650">
                              <w:rPr>
                                <w:rFonts w:asciiTheme="majorHAnsi" w:hAnsiTheme="majorHAnsi"/>
                                <w:color w:val="0D0D0D" w:themeColor="text1" w:themeTint="F2"/>
                                <w:sz w:val="18"/>
                                <w:szCs w:val="22"/>
                                <w:lang w:val="es-ES"/>
                              </w:rPr>
                              <w:t xml:space="preserve"> de </w:t>
                            </w:r>
                            <w:r w:rsidR="000234AA">
                              <w:rPr>
                                <w:rFonts w:asciiTheme="majorHAnsi" w:hAnsiTheme="majorHAnsi"/>
                                <w:color w:val="0D0D0D" w:themeColor="text1" w:themeTint="F2"/>
                                <w:sz w:val="18"/>
                                <w:szCs w:val="22"/>
                                <w:lang w:val="es-ES"/>
                              </w:rPr>
                              <w:t>febrero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401D83">
                              <w:rPr>
                                <w:rFonts w:asciiTheme="majorHAnsi" w:hAnsiTheme="majorHAnsi"/>
                                <w:color w:val="0D0D0D" w:themeColor="text1" w:themeTint="F2"/>
                                <w:sz w:val="18"/>
                                <w:szCs w:val="22"/>
                                <w:lang w:val="es-ES"/>
                              </w:rPr>
                              <w:t>3</w:t>
                            </w:r>
                            <w:r w:rsidR="000234AA">
                              <w:rPr>
                                <w:rFonts w:asciiTheme="majorHAnsi" w:hAnsiTheme="majorHAnsi"/>
                                <w:color w:val="0D0D0D" w:themeColor="text1" w:themeTint="F2"/>
                                <w:sz w:val="18"/>
                                <w:szCs w:val="22"/>
                                <w:lang w:val="es-ES"/>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0B44F"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2944B4F7" w14:textId="50AF78C3"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0234AA">
                        <w:rPr>
                          <w:rFonts w:asciiTheme="majorHAnsi" w:hAnsiTheme="majorHAnsi"/>
                          <w:color w:val="0D0D0D" w:themeColor="text1" w:themeTint="F2"/>
                          <w:sz w:val="18"/>
                          <w:szCs w:val="22"/>
                          <w:lang w:val="es-ES"/>
                        </w:rPr>
                        <w:t>26</w:t>
                      </w:r>
                      <w:r w:rsidRPr="00890650">
                        <w:rPr>
                          <w:rFonts w:asciiTheme="majorHAnsi" w:hAnsiTheme="majorHAnsi"/>
                          <w:color w:val="0D0D0D" w:themeColor="text1" w:themeTint="F2"/>
                          <w:sz w:val="18"/>
                          <w:szCs w:val="22"/>
                          <w:lang w:val="es-ES"/>
                        </w:rPr>
                        <w:t xml:space="preserve"> de </w:t>
                      </w:r>
                      <w:r w:rsidR="000234AA">
                        <w:rPr>
                          <w:rFonts w:asciiTheme="majorHAnsi" w:hAnsiTheme="majorHAnsi"/>
                          <w:color w:val="0D0D0D" w:themeColor="text1" w:themeTint="F2"/>
                          <w:sz w:val="18"/>
                          <w:szCs w:val="22"/>
                          <w:lang w:val="es-ES"/>
                        </w:rPr>
                        <w:t>febrero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401D83">
                        <w:rPr>
                          <w:rFonts w:asciiTheme="majorHAnsi" w:hAnsiTheme="majorHAnsi"/>
                          <w:color w:val="0D0D0D" w:themeColor="text1" w:themeTint="F2"/>
                          <w:sz w:val="18"/>
                          <w:szCs w:val="22"/>
                          <w:lang w:val="es-ES"/>
                        </w:rPr>
                        <w:t>3</w:t>
                      </w:r>
                      <w:r w:rsidR="000234AA">
                        <w:rPr>
                          <w:rFonts w:asciiTheme="majorHAnsi" w:hAnsiTheme="majorHAnsi"/>
                          <w:color w:val="0D0D0D" w:themeColor="text1" w:themeTint="F2"/>
                          <w:sz w:val="18"/>
                          <w:szCs w:val="22"/>
                          <w:lang w:val="es-ES"/>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1F28BEB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929D1FD"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469D0B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A79F059"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30672AE"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lang w:val="es-419" w:eastAsia="es-419"/>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B22CF" w14:textId="5245CD10"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0234AA" w:rsidRPr="000234AA">
                              <w:rPr>
                                <w:rFonts w:asciiTheme="majorHAnsi" w:hAnsiTheme="majorHAnsi"/>
                                <w:color w:val="595959" w:themeColor="text1" w:themeTint="A6"/>
                                <w:sz w:val="18"/>
                                <w:szCs w:val="18"/>
                                <w:lang w:val="pt-BR"/>
                              </w:rPr>
                              <w:t>17</w:t>
                            </w:r>
                            <w:r w:rsidR="007B05C4" w:rsidRPr="000234AA">
                              <w:rPr>
                                <w:rFonts w:asciiTheme="majorHAnsi" w:hAnsiTheme="majorHAnsi"/>
                                <w:color w:val="595959" w:themeColor="text1" w:themeTint="A6"/>
                                <w:sz w:val="18"/>
                                <w:szCs w:val="18"/>
                                <w:lang w:val="pt-BR"/>
                              </w:rPr>
                              <w:t>/</w:t>
                            </w:r>
                            <w:r w:rsidR="000234AA" w:rsidRPr="000234AA">
                              <w:rPr>
                                <w:rFonts w:asciiTheme="majorHAnsi" w:hAnsiTheme="majorHAnsi"/>
                                <w:color w:val="595959" w:themeColor="text1" w:themeTint="A6"/>
                                <w:sz w:val="18"/>
                                <w:szCs w:val="18"/>
                                <w:lang w:val="pt-BR"/>
                              </w:rPr>
                              <w:t>23</w:t>
                            </w:r>
                            <w:r w:rsidRPr="000234AA">
                              <w:rPr>
                                <w:rFonts w:asciiTheme="majorHAnsi" w:hAnsiTheme="majorHAnsi"/>
                                <w:color w:val="595959" w:themeColor="text1" w:themeTint="A6"/>
                                <w:sz w:val="18"/>
                                <w:szCs w:val="18"/>
                                <w:lang w:val="pt-BR"/>
                              </w:rPr>
                              <w:t xml:space="preserve">. </w:t>
                            </w:r>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 xml:space="preserve">ón </w:t>
                            </w:r>
                            <w:r w:rsidR="00401D83">
                              <w:rPr>
                                <w:rFonts w:asciiTheme="majorHAnsi" w:hAnsiTheme="majorHAnsi"/>
                                <w:color w:val="595959" w:themeColor="text1" w:themeTint="A6"/>
                                <w:sz w:val="18"/>
                                <w:szCs w:val="18"/>
                                <w:lang w:val="es-ES"/>
                              </w:rPr>
                              <w:t>593</w:t>
                            </w:r>
                            <w:r w:rsidR="000433C9">
                              <w:rPr>
                                <w:rFonts w:asciiTheme="majorHAnsi" w:hAnsiTheme="majorHAnsi"/>
                                <w:color w:val="595959" w:themeColor="text1" w:themeTint="A6"/>
                                <w:sz w:val="18"/>
                                <w:szCs w:val="18"/>
                                <w:lang w:val="es-ES"/>
                              </w:rPr>
                              <w:t>-</w:t>
                            </w:r>
                            <w:r w:rsidR="00401D83">
                              <w:rPr>
                                <w:rFonts w:asciiTheme="majorHAnsi" w:hAnsiTheme="majorHAnsi"/>
                                <w:color w:val="595959" w:themeColor="text1" w:themeTint="A6"/>
                                <w:sz w:val="18"/>
                                <w:szCs w:val="18"/>
                                <w:lang w:val="es-ES"/>
                              </w:rPr>
                              <w:t>09</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Inadmisibilidad. </w:t>
                            </w:r>
                            <w:r w:rsidR="00307DEA" w:rsidRPr="00307DEA">
                              <w:rPr>
                                <w:rFonts w:asciiTheme="majorHAnsi" w:hAnsiTheme="majorHAnsi"/>
                                <w:color w:val="595959" w:themeColor="text1" w:themeTint="A6"/>
                                <w:sz w:val="18"/>
                                <w:szCs w:val="18"/>
                                <w:lang w:val="es-ES_tradnl"/>
                              </w:rPr>
                              <w:t>Florentino Paz y Luis Bernardo Montenegro Sánchez</w:t>
                            </w:r>
                            <w:r w:rsidRPr="00890650">
                              <w:rPr>
                                <w:rFonts w:asciiTheme="majorHAnsi" w:hAnsiTheme="majorHAnsi"/>
                                <w:color w:val="595959" w:themeColor="text1" w:themeTint="A6"/>
                                <w:sz w:val="18"/>
                                <w:szCs w:val="18"/>
                                <w:lang w:val="es-ES_tradnl"/>
                              </w:rPr>
                              <w:t xml:space="preserve">. </w:t>
                            </w:r>
                            <w:r w:rsidR="00553EF7">
                              <w:rPr>
                                <w:rFonts w:asciiTheme="majorHAnsi" w:hAnsiTheme="majorHAnsi"/>
                                <w:color w:val="595959" w:themeColor="text1" w:themeTint="A6"/>
                                <w:sz w:val="18"/>
                                <w:szCs w:val="18"/>
                                <w:lang w:val="es-ES_tradnl"/>
                              </w:rPr>
                              <w:t>Colombia</w:t>
                            </w:r>
                            <w:r w:rsidRPr="00890650">
                              <w:rPr>
                                <w:rFonts w:asciiTheme="majorHAnsi" w:hAnsiTheme="majorHAnsi"/>
                                <w:color w:val="595959" w:themeColor="text1" w:themeTint="A6"/>
                                <w:sz w:val="18"/>
                                <w:szCs w:val="18"/>
                                <w:lang w:val="es-ES_tradnl"/>
                              </w:rPr>
                              <w:t xml:space="preserve">. </w:t>
                            </w:r>
                            <w:r w:rsidR="000234AA">
                              <w:rPr>
                                <w:rFonts w:asciiTheme="majorHAnsi" w:hAnsiTheme="majorHAnsi"/>
                                <w:color w:val="595959" w:themeColor="text1" w:themeTint="A6"/>
                                <w:sz w:val="18"/>
                                <w:szCs w:val="18"/>
                                <w:lang w:val="es-ES"/>
                              </w:rPr>
                              <w:t>26 de febrero de 2023</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0D1B22CF" w14:textId="5245CD10"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0234AA" w:rsidRPr="000234AA">
                        <w:rPr>
                          <w:rFonts w:asciiTheme="majorHAnsi" w:hAnsiTheme="majorHAnsi"/>
                          <w:color w:val="595959" w:themeColor="text1" w:themeTint="A6"/>
                          <w:sz w:val="18"/>
                          <w:szCs w:val="18"/>
                          <w:lang w:val="pt-BR"/>
                        </w:rPr>
                        <w:t>17</w:t>
                      </w:r>
                      <w:r w:rsidR="007B05C4" w:rsidRPr="000234AA">
                        <w:rPr>
                          <w:rFonts w:asciiTheme="majorHAnsi" w:hAnsiTheme="majorHAnsi"/>
                          <w:color w:val="595959" w:themeColor="text1" w:themeTint="A6"/>
                          <w:sz w:val="18"/>
                          <w:szCs w:val="18"/>
                          <w:lang w:val="pt-BR"/>
                        </w:rPr>
                        <w:t>/</w:t>
                      </w:r>
                      <w:r w:rsidR="000234AA" w:rsidRPr="000234AA">
                        <w:rPr>
                          <w:rFonts w:asciiTheme="majorHAnsi" w:hAnsiTheme="majorHAnsi"/>
                          <w:color w:val="595959" w:themeColor="text1" w:themeTint="A6"/>
                          <w:sz w:val="18"/>
                          <w:szCs w:val="18"/>
                          <w:lang w:val="pt-BR"/>
                        </w:rPr>
                        <w:t>23</w:t>
                      </w:r>
                      <w:r w:rsidRPr="000234AA">
                        <w:rPr>
                          <w:rFonts w:asciiTheme="majorHAnsi" w:hAnsiTheme="majorHAnsi"/>
                          <w:color w:val="595959" w:themeColor="text1" w:themeTint="A6"/>
                          <w:sz w:val="18"/>
                          <w:szCs w:val="18"/>
                          <w:lang w:val="pt-BR"/>
                        </w:rPr>
                        <w:t xml:space="preserve">. </w:t>
                      </w:r>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 xml:space="preserve">ón </w:t>
                      </w:r>
                      <w:r w:rsidR="00401D83">
                        <w:rPr>
                          <w:rFonts w:asciiTheme="majorHAnsi" w:hAnsiTheme="majorHAnsi"/>
                          <w:color w:val="595959" w:themeColor="text1" w:themeTint="A6"/>
                          <w:sz w:val="18"/>
                          <w:szCs w:val="18"/>
                          <w:lang w:val="es-ES"/>
                        </w:rPr>
                        <w:t>593</w:t>
                      </w:r>
                      <w:r w:rsidR="000433C9">
                        <w:rPr>
                          <w:rFonts w:asciiTheme="majorHAnsi" w:hAnsiTheme="majorHAnsi"/>
                          <w:color w:val="595959" w:themeColor="text1" w:themeTint="A6"/>
                          <w:sz w:val="18"/>
                          <w:szCs w:val="18"/>
                          <w:lang w:val="es-ES"/>
                        </w:rPr>
                        <w:t>-</w:t>
                      </w:r>
                      <w:r w:rsidR="00401D83">
                        <w:rPr>
                          <w:rFonts w:asciiTheme="majorHAnsi" w:hAnsiTheme="majorHAnsi"/>
                          <w:color w:val="595959" w:themeColor="text1" w:themeTint="A6"/>
                          <w:sz w:val="18"/>
                          <w:szCs w:val="18"/>
                          <w:lang w:val="es-ES"/>
                        </w:rPr>
                        <w:t>09</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Inadmisibilidad. </w:t>
                      </w:r>
                      <w:r w:rsidR="00307DEA" w:rsidRPr="00307DEA">
                        <w:rPr>
                          <w:rFonts w:asciiTheme="majorHAnsi" w:hAnsiTheme="majorHAnsi"/>
                          <w:color w:val="595959" w:themeColor="text1" w:themeTint="A6"/>
                          <w:sz w:val="18"/>
                          <w:szCs w:val="18"/>
                          <w:lang w:val="es-ES_tradnl"/>
                        </w:rPr>
                        <w:t>Florentino Paz y Luis Bernardo Montenegro Sánchez</w:t>
                      </w:r>
                      <w:r w:rsidRPr="00890650">
                        <w:rPr>
                          <w:rFonts w:asciiTheme="majorHAnsi" w:hAnsiTheme="majorHAnsi"/>
                          <w:color w:val="595959" w:themeColor="text1" w:themeTint="A6"/>
                          <w:sz w:val="18"/>
                          <w:szCs w:val="18"/>
                          <w:lang w:val="es-ES_tradnl"/>
                        </w:rPr>
                        <w:t xml:space="preserve">. </w:t>
                      </w:r>
                      <w:r w:rsidR="00553EF7">
                        <w:rPr>
                          <w:rFonts w:asciiTheme="majorHAnsi" w:hAnsiTheme="majorHAnsi"/>
                          <w:color w:val="595959" w:themeColor="text1" w:themeTint="A6"/>
                          <w:sz w:val="18"/>
                          <w:szCs w:val="18"/>
                          <w:lang w:val="es-ES_tradnl"/>
                        </w:rPr>
                        <w:t>Colombia</w:t>
                      </w:r>
                      <w:r w:rsidRPr="00890650">
                        <w:rPr>
                          <w:rFonts w:asciiTheme="majorHAnsi" w:hAnsiTheme="majorHAnsi"/>
                          <w:color w:val="595959" w:themeColor="text1" w:themeTint="A6"/>
                          <w:sz w:val="18"/>
                          <w:szCs w:val="18"/>
                          <w:lang w:val="es-ES_tradnl"/>
                        </w:rPr>
                        <w:t xml:space="preserve">. </w:t>
                      </w:r>
                      <w:r w:rsidR="000234AA">
                        <w:rPr>
                          <w:rFonts w:asciiTheme="majorHAnsi" w:hAnsiTheme="majorHAnsi"/>
                          <w:color w:val="595959" w:themeColor="text1" w:themeTint="A6"/>
                          <w:sz w:val="18"/>
                          <w:szCs w:val="18"/>
                          <w:lang w:val="es-ES"/>
                        </w:rPr>
                        <w:t>26 de febrero de 2023</w:t>
                      </w:r>
                      <w:r w:rsidRPr="007B05C4">
                        <w:rPr>
                          <w:rFonts w:asciiTheme="majorHAnsi" w:hAnsiTheme="majorHAnsi"/>
                          <w:color w:val="595959" w:themeColor="text1" w:themeTint="A6"/>
                          <w:sz w:val="18"/>
                          <w:szCs w:val="18"/>
                          <w:lang w:val="es-ES"/>
                        </w:rPr>
                        <w:t>.</w:t>
                      </w:r>
                    </w:p>
                  </w:txbxContent>
                </v:textbox>
              </v:shape>
            </w:pict>
          </mc:Fallback>
        </mc:AlternateContent>
      </w:r>
    </w:p>
    <w:p w14:paraId="196A49D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DA07629" w14:textId="7AB8EFBA" w:rsidR="0090270B" w:rsidRDefault="00D306D1" w:rsidP="005516A1">
      <w:pPr>
        <w:tabs>
          <w:tab w:val="center" w:pos="5400"/>
        </w:tabs>
        <w:suppressAutoHyphens/>
        <w:jc w:val="center"/>
        <w:rPr>
          <w:rFonts w:asciiTheme="majorHAnsi" w:hAnsiTheme="majorHAnsi"/>
          <w:b/>
          <w:sz w:val="20"/>
          <w:lang w:val="es-ES_tradnl"/>
        </w:rPr>
      </w:pPr>
      <w:r w:rsidRPr="00625030">
        <w:rPr>
          <w:rFonts w:asciiTheme="majorHAnsi" w:hAnsiTheme="majorHAnsi"/>
          <w:noProof/>
          <w:sz w:val="22"/>
          <w:szCs w:val="22"/>
          <w:lang w:val="es-419" w:eastAsia="es-419"/>
        </w:rPr>
        <mc:AlternateContent>
          <mc:Choice Requires="wps">
            <w:drawing>
              <wp:anchor distT="0" distB="0" distL="114300" distR="114300" simplePos="0" relativeHeight="251682816" behindDoc="0" locked="0" layoutInCell="1" allowOverlap="1" wp14:anchorId="02EDA5EE" wp14:editId="3F28C3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DA5EE" id="Text Box 4" o:spid="_x0000_s1031"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xUg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XvCzobFLKHfUbw/dKgQn7ypqyr0I+CQ8zT71kfYZH+mjDRD50EucrcH//tt9xNNIkpazhnap4OHX&#10;RnjFmflmaVg/56c0EgzT4fTsYkwHf6xZHmvspr4B6kpOL4eTSYx4NIOoPdQvtPbzGJVUwkqKXXAc&#10;xBvsNpyeDanm8wSidXMC7+3Cyeg6NimO3HP7Irzr5xJpoh9g2DoxfTOeHTZaWphvEHSVZjfy3LHa&#10;80+rmka6f1biW3B8TqjD4zd7BQ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BisxUgbAIAAEQFAAAOAAAAAAAAAAAA&#10;AAAAAC4CAABkcnMvZTJvRG9jLnhtbFBLAQItABQABgAIAAAAIQBdLTBP4gAAAAsBAAAPAAAAAAAA&#10;AAAAAAAAAMYEAABkcnMvZG93bnJldi54bWxQSwUGAAAAAAQABADzAAAA1QUAAAAA&#10;" filled="f" stroked="f" strokeweight=".5pt">
                <v:textbo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E1B253" w14:textId="23D1B566" w:rsidR="0070697F" w:rsidRDefault="00F020CC" w:rsidP="005516A1">
      <w:pPr>
        <w:tabs>
          <w:tab w:val="center" w:pos="5400"/>
        </w:tabs>
        <w:suppressAutoHyphens/>
        <w:jc w:val="center"/>
        <w:rPr>
          <w:rFonts w:asciiTheme="majorHAnsi" w:hAnsiTheme="majorHAnsi"/>
          <w:b/>
          <w:sz w:val="20"/>
          <w:lang w:val="es-ES_tradnl"/>
        </w:rPr>
        <w:sectPr w:rsidR="0070697F" w:rsidSect="00C054DF">
          <w:headerReference w:type="even" r:id="rId11"/>
          <w:headerReference w:type="default" r:id="rId12"/>
          <w:footerReference w:type="default" r:id="rId13"/>
          <w:footerReference w:type="first" r:id="rId14"/>
          <w:type w:val="oddPage"/>
          <w:pgSz w:w="12240" w:h="15840"/>
          <w:pgMar w:top="1440" w:right="1440" w:bottom="1440" w:left="1440" w:header="720" w:footer="720" w:gutter="0"/>
          <w:pgNumType w:start="0"/>
          <w:cols w:space="720"/>
          <w:titlePg/>
          <w:docGrid w:linePitch="326"/>
        </w:sectPr>
      </w:pPr>
      <w:r>
        <w:rPr>
          <w:rFonts w:asciiTheme="majorHAnsi" w:hAnsiTheme="majorHAnsi"/>
          <w:noProof/>
          <w:sz w:val="18"/>
          <w:szCs w:val="22"/>
          <w:lang w:val="es-419" w:eastAsia="es-419"/>
        </w:rPr>
        <mc:AlternateContent>
          <mc:Choice Requires="wps">
            <w:drawing>
              <wp:anchor distT="0" distB="0" distL="114300" distR="114300" simplePos="0" relativeHeight="251680768" behindDoc="0" locked="0" layoutInCell="1" allowOverlap="1" wp14:anchorId="50472543" wp14:editId="2002B46D">
                <wp:simplePos x="0" y="0"/>
                <wp:positionH relativeFrom="column">
                  <wp:posOffset>1323975</wp:posOffset>
                </wp:positionH>
                <wp:positionV relativeFrom="paragraph">
                  <wp:posOffset>504396</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5B58EAB9" w:rsidR="00D72DC6" w:rsidRPr="00D72DC6" w:rsidRDefault="00F020CC" w:rsidP="00F02AD1">
                            <w:pPr>
                              <w:rPr>
                                <w:color w:val="FFFFFF" w:themeColor="background1"/>
                                <w14:textFill>
                                  <w14:noFill/>
                                </w14:textFill>
                              </w:rPr>
                            </w:pPr>
                            <w:r>
                              <w:rPr>
                                <w:noProof/>
                                <w:color w:val="FFFFFF" w:themeColor="background1"/>
                              </w:rPr>
                              <w:drawing>
                                <wp:inline distT="0" distB="0" distL="0" distR="0" wp14:anchorId="7D319EB6" wp14:editId="73A299CF">
                                  <wp:extent cx="1824355" cy="469265"/>
                                  <wp:effectExtent l="0" t="0" r="4445" b="6985"/>
                                  <wp:docPr id="13" name="Picture 1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5"/>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2" type="#_x0000_t202" style="position:absolute;left:0;text-align:left;margin-left:104.25pt;margin-top:39.7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p7c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" fillcolor="white [3201]" stroked="f" strokeweight=".5pt">
                <v:textbox>
                  <w:txbxContent>
                    <w:p w14:paraId="2A1ECD3C" w14:textId="5B58EAB9" w:rsidR="00D72DC6" w:rsidRPr="00D72DC6" w:rsidRDefault="00F020CC" w:rsidP="00F02AD1">
                      <w:pPr>
                        <w:rPr>
                          <w:color w:val="FFFFFF" w:themeColor="background1"/>
                          <w14:textFill>
                            <w14:noFill/>
                          </w14:textFill>
                        </w:rPr>
                      </w:pPr>
                      <w:r>
                        <w:rPr>
                          <w:noProof/>
                          <w:color w:val="FFFFFF" w:themeColor="background1"/>
                        </w:rPr>
                        <w:drawing>
                          <wp:inline distT="0" distB="0" distL="0" distR="0" wp14:anchorId="7D319EB6" wp14:editId="73A299CF">
                            <wp:extent cx="1824355" cy="469265"/>
                            <wp:effectExtent l="0" t="0" r="4445" b="6985"/>
                            <wp:docPr id="13" name="Picture 1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5"/>
                                    <a:stretch>
                                      <a:fillRect/>
                                    </a:stretch>
                                  </pic:blipFill>
                                  <pic:spPr>
                                    <a:xfrm>
                                      <a:off x="0" y="0"/>
                                      <a:ext cx="1824355" cy="469265"/>
                                    </a:xfrm>
                                    <a:prstGeom prst="rect">
                                      <a:avLst/>
                                    </a:prstGeom>
                                  </pic:spPr>
                                </pic:pic>
                              </a:graphicData>
                            </a:graphic>
                          </wp:inline>
                        </w:drawing>
                      </w:r>
                    </w:p>
                  </w:txbxContent>
                </v:textbox>
              </v:shape>
            </w:pict>
          </mc:Fallback>
        </mc:AlternateContent>
      </w:r>
      <w:r w:rsidR="004A6A54">
        <w:rPr>
          <w:rFonts w:asciiTheme="majorHAnsi" w:hAnsiTheme="majorHAnsi"/>
          <w:b/>
          <w:sz w:val="20"/>
          <w:lang w:val="es-ES_tradnl"/>
        </w:rPr>
        <w:tab/>
      </w:r>
    </w:p>
    <w:p w14:paraId="376DDC8B" w14:textId="77777777" w:rsidR="003239B8" w:rsidRPr="000419AD" w:rsidRDefault="003239B8" w:rsidP="004A6A54">
      <w:pPr>
        <w:spacing w:after="240"/>
        <w:ind w:firstLine="720"/>
        <w:jc w:val="both"/>
        <w:rPr>
          <w:rFonts w:asciiTheme="majorHAnsi" w:hAnsiTheme="majorHAnsi"/>
          <w:b/>
          <w:bCs/>
          <w:sz w:val="20"/>
          <w:szCs w:val="20"/>
          <w:lang w:val="es-ES"/>
        </w:rPr>
      </w:pPr>
      <w:r w:rsidRPr="000419AD">
        <w:rPr>
          <w:rFonts w:asciiTheme="majorHAnsi" w:hAnsiTheme="majorHAnsi"/>
          <w:b/>
          <w:bCs/>
          <w:sz w:val="20"/>
          <w:szCs w:val="20"/>
          <w:lang w:val="es-ES"/>
        </w:rPr>
        <w:lastRenderedPageBreak/>
        <w:t>I.</w:t>
      </w:r>
      <w:r w:rsidRPr="000419AD">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14:paraId="5A79D1F7" w14:textId="77777777" w:rsidTr="004A6A54">
        <w:tc>
          <w:tcPr>
            <w:tcW w:w="3600" w:type="dxa"/>
            <w:tcBorders>
              <w:top w:val="single" w:sz="4" w:space="0" w:color="auto"/>
              <w:bottom w:val="single" w:sz="6" w:space="0" w:color="auto"/>
            </w:tcBorders>
            <w:shd w:val="clear" w:color="auto" w:fill="386294"/>
            <w:vAlign w:val="center"/>
          </w:tcPr>
          <w:p w14:paraId="0CB2A43B" w14:textId="77777777" w:rsidR="003239B8" w:rsidRPr="000D05CB" w:rsidRDefault="003239B8" w:rsidP="008D2290">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Parte peticionaria:</w:t>
            </w:r>
          </w:p>
        </w:tc>
        <w:tc>
          <w:tcPr>
            <w:tcW w:w="5760" w:type="dxa"/>
            <w:vAlign w:val="center"/>
          </w:tcPr>
          <w:p w14:paraId="3C5315D8" w14:textId="2C4D1C17" w:rsidR="003239B8" w:rsidRPr="000D05CB" w:rsidRDefault="00553EF7" w:rsidP="008D2290">
            <w:pPr>
              <w:jc w:val="both"/>
              <w:rPr>
                <w:rFonts w:ascii="Cambria" w:hAnsi="Cambria"/>
                <w:bCs/>
                <w:sz w:val="20"/>
                <w:szCs w:val="20"/>
              </w:rPr>
            </w:pPr>
            <w:r>
              <w:rPr>
                <w:rFonts w:ascii="Cambria" w:hAnsi="Cambria"/>
                <w:bCs/>
                <w:sz w:val="20"/>
                <w:szCs w:val="20"/>
              </w:rPr>
              <w:t>Miguel Piñeros Rey</w:t>
            </w:r>
          </w:p>
        </w:tc>
      </w:tr>
      <w:tr w:rsidR="003239B8" w:rsidRPr="00304097" w14:paraId="593A7E45" w14:textId="77777777" w:rsidTr="004A6A54">
        <w:tc>
          <w:tcPr>
            <w:tcW w:w="3600" w:type="dxa"/>
            <w:tcBorders>
              <w:top w:val="single" w:sz="6" w:space="0" w:color="auto"/>
              <w:bottom w:val="single" w:sz="6" w:space="0" w:color="auto"/>
            </w:tcBorders>
            <w:shd w:val="clear" w:color="auto" w:fill="386294"/>
            <w:vAlign w:val="center"/>
          </w:tcPr>
          <w:p w14:paraId="0E78CA0C" w14:textId="77777777" w:rsidR="003239B8" w:rsidRPr="000D05CB" w:rsidRDefault="00C9102F" w:rsidP="008D2290">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0D05CB">
                  <w:rPr>
                    <w:rFonts w:ascii="Cambria" w:hAnsi="Cambria"/>
                    <w:b/>
                    <w:bCs/>
                    <w:color w:val="FFFFFF" w:themeColor="background1"/>
                    <w:sz w:val="20"/>
                    <w:szCs w:val="20"/>
                  </w:rPr>
                  <w:t>Presunta víctima</w:t>
                </w:r>
              </w:sdtContent>
            </w:sdt>
            <w:r w:rsidR="003239B8" w:rsidRPr="000D05CB">
              <w:rPr>
                <w:rFonts w:ascii="Cambria" w:hAnsi="Cambria"/>
                <w:b/>
                <w:bCs/>
                <w:color w:val="FFFFFF" w:themeColor="background1"/>
                <w:sz w:val="20"/>
                <w:szCs w:val="20"/>
              </w:rPr>
              <w:t>:</w:t>
            </w:r>
          </w:p>
        </w:tc>
        <w:tc>
          <w:tcPr>
            <w:tcW w:w="5760" w:type="dxa"/>
            <w:vAlign w:val="center"/>
          </w:tcPr>
          <w:p w14:paraId="4AEBF59E" w14:textId="60625240" w:rsidR="003239B8" w:rsidRPr="00304097" w:rsidRDefault="00553EF7" w:rsidP="008D2290">
            <w:pPr>
              <w:jc w:val="both"/>
              <w:rPr>
                <w:rFonts w:ascii="Cambria" w:hAnsi="Cambria"/>
                <w:bCs/>
                <w:sz w:val="20"/>
                <w:szCs w:val="20"/>
                <w:lang w:val="es-US"/>
              </w:rPr>
            </w:pPr>
            <w:r w:rsidRPr="00304097">
              <w:rPr>
                <w:rFonts w:ascii="Cambria" w:hAnsi="Cambria"/>
                <w:bCs/>
                <w:sz w:val="20"/>
                <w:szCs w:val="20"/>
                <w:lang w:val="es-US"/>
              </w:rPr>
              <w:t xml:space="preserve">Florentino Paz y </w:t>
            </w:r>
            <w:r w:rsidR="00304097" w:rsidRPr="00304097">
              <w:rPr>
                <w:rFonts w:ascii="Cambria" w:hAnsi="Cambria"/>
                <w:bCs/>
                <w:sz w:val="20"/>
                <w:szCs w:val="20"/>
                <w:lang w:val="es-US"/>
              </w:rPr>
              <w:t>Luis B</w:t>
            </w:r>
            <w:r w:rsidR="00304097">
              <w:rPr>
                <w:rFonts w:ascii="Cambria" w:hAnsi="Cambria"/>
                <w:bCs/>
                <w:sz w:val="20"/>
                <w:szCs w:val="20"/>
                <w:lang w:val="es-US"/>
              </w:rPr>
              <w:t>ernardo Montenegro Sánchez</w:t>
            </w:r>
          </w:p>
        </w:tc>
      </w:tr>
      <w:tr w:rsidR="003239B8" w14:paraId="3E62E1D3" w14:textId="77777777" w:rsidTr="004A6A54">
        <w:tc>
          <w:tcPr>
            <w:tcW w:w="3600" w:type="dxa"/>
            <w:tcBorders>
              <w:top w:val="single" w:sz="6" w:space="0" w:color="auto"/>
              <w:bottom w:val="single" w:sz="6" w:space="0" w:color="auto"/>
            </w:tcBorders>
            <w:shd w:val="clear" w:color="auto" w:fill="386294"/>
            <w:vAlign w:val="center"/>
          </w:tcPr>
          <w:p w14:paraId="340B0F09" w14:textId="77777777" w:rsidR="003239B8" w:rsidRPr="000D05CB" w:rsidRDefault="003239B8" w:rsidP="008D2290">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Estado denunciado:</w:t>
            </w:r>
          </w:p>
        </w:tc>
        <w:tc>
          <w:tcPr>
            <w:tcW w:w="5760" w:type="dxa"/>
            <w:vAlign w:val="center"/>
          </w:tcPr>
          <w:p w14:paraId="274C8A50" w14:textId="7672621E" w:rsidR="003239B8" w:rsidRPr="000D05CB" w:rsidRDefault="00553EF7" w:rsidP="008D2290">
            <w:pPr>
              <w:jc w:val="both"/>
              <w:rPr>
                <w:rFonts w:ascii="Cambria" w:hAnsi="Cambria"/>
                <w:bCs/>
                <w:sz w:val="20"/>
                <w:szCs w:val="20"/>
              </w:rPr>
            </w:pPr>
            <w:r>
              <w:rPr>
                <w:rFonts w:ascii="Cambria" w:hAnsi="Cambria"/>
                <w:bCs/>
                <w:sz w:val="20"/>
                <w:szCs w:val="20"/>
              </w:rPr>
              <w:t>Colombia</w:t>
            </w:r>
            <w:r w:rsidR="004A6A54" w:rsidRPr="000D05CB">
              <w:rPr>
                <w:rStyle w:val="FootnoteReference"/>
                <w:rFonts w:ascii="Cambria" w:hAnsi="Cambria"/>
                <w:bCs/>
                <w:sz w:val="20"/>
                <w:szCs w:val="20"/>
              </w:rPr>
              <w:footnoteReference w:id="2"/>
            </w:r>
          </w:p>
        </w:tc>
      </w:tr>
      <w:tr w:rsidR="00223A29" w:rsidRPr="002910BE" w14:paraId="632511BC" w14:textId="77777777" w:rsidTr="004A6A54">
        <w:tc>
          <w:tcPr>
            <w:tcW w:w="3600" w:type="dxa"/>
            <w:tcBorders>
              <w:top w:val="single" w:sz="6" w:space="0" w:color="auto"/>
              <w:bottom w:val="single" w:sz="6" w:space="0" w:color="auto"/>
            </w:tcBorders>
            <w:shd w:val="clear" w:color="auto" w:fill="386294"/>
            <w:vAlign w:val="center"/>
          </w:tcPr>
          <w:p w14:paraId="727E2F6B" w14:textId="60AEE329" w:rsidR="00223A29" w:rsidRPr="000D05CB" w:rsidRDefault="001B3A00" w:rsidP="00E4118C">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 xml:space="preserve">Derechos </w:t>
            </w:r>
            <w:r w:rsidR="00E4118C" w:rsidRPr="000D05CB">
              <w:rPr>
                <w:rFonts w:ascii="Cambria" w:hAnsi="Cambria"/>
                <w:b/>
                <w:bCs/>
                <w:color w:val="FFFFFF" w:themeColor="background1"/>
                <w:sz w:val="20"/>
                <w:szCs w:val="20"/>
              </w:rPr>
              <w:t>invocados</w:t>
            </w:r>
            <w:r w:rsidRPr="000D05CB">
              <w:rPr>
                <w:rFonts w:ascii="Cambria" w:hAnsi="Cambria"/>
                <w:b/>
                <w:bCs/>
                <w:color w:val="FFFFFF" w:themeColor="background1"/>
                <w:sz w:val="20"/>
                <w:szCs w:val="20"/>
              </w:rPr>
              <w:t>:</w:t>
            </w:r>
          </w:p>
        </w:tc>
        <w:tc>
          <w:tcPr>
            <w:tcW w:w="5760" w:type="dxa"/>
            <w:vAlign w:val="center"/>
          </w:tcPr>
          <w:p w14:paraId="6DEE1EEB" w14:textId="33679F74" w:rsidR="00223A29" w:rsidRPr="00520836" w:rsidRDefault="00CF5322" w:rsidP="008D2290">
            <w:pPr>
              <w:jc w:val="both"/>
              <w:rPr>
                <w:rFonts w:ascii="Cambria" w:hAnsi="Cambria"/>
                <w:bCs/>
                <w:sz w:val="20"/>
                <w:szCs w:val="20"/>
                <w:lang w:val="es-US"/>
              </w:rPr>
            </w:pPr>
            <w:r>
              <w:rPr>
                <w:rFonts w:ascii="Cambria" w:hAnsi="Cambria"/>
                <w:bCs/>
                <w:sz w:val="20"/>
                <w:szCs w:val="20"/>
                <w:lang w:val="es-PA"/>
              </w:rPr>
              <w:t xml:space="preserve">Artículos 8 (garantías judiciales), 10 (derecho a la indemnización), 21 (derecho a la propiedad privada), 22 (derecho a la circulación y residencia), 24 (igualdad ante la ley), 25 (protección judicial) </w:t>
            </w:r>
            <w:r w:rsidR="00520836">
              <w:rPr>
                <w:rFonts w:ascii="Cambria" w:hAnsi="Cambria"/>
                <w:bCs/>
                <w:sz w:val="20"/>
                <w:szCs w:val="20"/>
                <w:lang w:val="es-PA"/>
              </w:rPr>
              <w:t>de la Convención Americana sobre Derechos Humanos</w:t>
            </w:r>
            <w:r w:rsidR="00520836">
              <w:rPr>
                <w:rStyle w:val="FootnoteReference"/>
                <w:rFonts w:ascii="Cambria" w:hAnsi="Cambria"/>
                <w:bCs/>
                <w:sz w:val="20"/>
                <w:szCs w:val="20"/>
                <w:lang w:val="es-PA"/>
              </w:rPr>
              <w:footnoteReference w:id="3"/>
            </w:r>
            <w:r>
              <w:rPr>
                <w:rFonts w:ascii="Cambria" w:hAnsi="Cambria"/>
                <w:bCs/>
                <w:sz w:val="20"/>
                <w:szCs w:val="20"/>
                <w:lang w:val="es-PA"/>
              </w:rPr>
              <w:t>; y VIII (derecho de residencia y tránsito); XI (derecho a la preservación de la salud y al bienestar); XVIII (derecho de justicia); XXIII (derecho a la propiedad) de la Declaración Americana de los Derechos y Deberes del Hombre</w:t>
            </w:r>
            <w:r>
              <w:rPr>
                <w:rStyle w:val="FootnoteReference"/>
                <w:rFonts w:ascii="Cambria" w:hAnsi="Cambria"/>
                <w:bCs/>
                <w:sz w:val="20"/>
                <w:szCs w:val="20"/>
                <w:lang w:val="es-PA"/>
              </w:rPr>
              <w:footnoteReference w:id="4"/>
            </w:r>
          </w:p>
        </w:tc>
      </w:tr>
    </w:tbl>
    <w:p w14:paraId="20263696" w14:textId="77777777" w:rsidR="003239B8" w:rsidRPr="00E4118C" w:rsidRDefault="003239B8" w:rsidP="003239B8">
      <w:pPr>
        <w:spacing w:before="240" w:after="240"/>
        <w:ind w:firstLine="720"/>
        <w:jc w:val="both"/>
        <w:rPr>
          <w:rFonts w:asciiTheme="majorHAnsi" w:hAnsiTheme="majorHAnsi"/>
          <w:b/>
          <w:bCs/>
          <w:sz w:val="20"/>
          <w:szCs w:val="20"/>
          <w:lang w:val="es-ES"/>
        </w:rPr>
      </w:pPr>
      <w:r w:rsidRPr="004C2312">
        <w:rPr>
          <w:rFonts w:asciiTheme="majorHAnsi" w:hAnsiTheme="majorHAnsi"/>
          <w:b/>
          <w:bCs/>
          <w:sz w:val="20"/>
          <w:szCs w:val="20"/>
          <w:lang w:val="es-ES"/>
        </w:rPr>
        <w:t>II.</w:t>
      </w:r>
      <w:r w:rsidRPr="004C2312">
        <w:rPr>
          <w:rFonts w:asciiTheme="majorHAnsi" w:hAnsiTheme="majorHAnsi"/>
          <w:b/>
          <w:bCs/>
          <w:sz w:val="20"/>
          <w:szCs w:val="20"/>
          <w:lang w:val="es-ES"/>
        </w:rPr>
        <w:tab/>
        <w:t>TRÁMITE ANTE LA CIDH</w:t>
      </w:r>
      <w:r w:rsidR="008E3BFE" w:rsidRPr="008E3BFE">
        <w:rPr>
          <w:rStyle w:val="FootnoteReference"/>
          <w:rFonts w:ascii="Cambria" w:hAnsi="Cambria"/>
          <w:b/>
          <w:sz w:val="20"/>
          <w:szCs w:val="20"/>
        </w:rPr>
        <w:footnoteReference w:id="5"/>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4A6A54" w14:paraId="306EFCB0" w14:textId="77777777" w:rsidTr="004A6A54">
        <w:tc>
          <w:tcPr>
            <w:tcW w:w="3600" w:type="dxa"/>
            <w:tcBorders>
              <w:top w:val="single" w:sz="6" w:space="0" w:color="auto"/>
              <w:bottom w:val="single" w:sz="6" w:space="0" w:color="auto"/>
            </w:tcBorders>
            <w:shd w:val="clear" w:color="auto" w:fill="386294"/>
            <w:vAlign w:val="center"/>
          </w:tcPr>
          <w:p w14:paraId="7508D16F" w14:textId="653461D7" w:rsidR="004C2312" w:rsidRPr="003239B8" w:rsidRDefault="004A6A54"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P</w:t>
            </w:r>
            <w:r w:rsidR="004C2312" w:rsidRPr="003239B8">
              <w:rPr>
                <w:rFonts w:ascii="Cambria" w:hAnsi="Cambria"/>
                <w:b/>
                <w:bCs/>
                <w:color w:val="FFFFFF" w:themeColor="background1"/>
                <w:sz w:val="20"/>
                <w:szCs w:val="20"/>
                <w:lang w:val="es-ES"/>
              </w:rPr>
              <w:t>resentación de la petición:</w:t>
            </w:r>
          </w:p>
        </w:tc>
        <w:tc>
          <w:tcPr>
            <w:tcW w:w="5760" w:type="dxa"/>
            <w:vAlign w:val="center"/>
          </w:tcPr>
          <w:p w14:paraId="6E579153" w14:textId="0308B3DF" w:rsidR="004C2312" w:rsidRPr="003239B8" w:rsidRDefault="00863061" w:rsidP="002625EA">
            <w:pPr>
              <w:jc w:val="both"/>
              <w:rPr>
                <w:rFonts w:ascii="Cambria" w:hAnsi="Cambria"/>
                <w:bCs/>
                <w:sz w:val="20"/>
                <w:szCs w:val="20"/>
                <w:lang w:val="es-ES"/>
              </w:rPr>
            </w:pPr>
            <w:r>
              <w:rPr>
                <w:rFonts w:ascii="Cambria" w:hAnsi="Cambria"/>
                <w:bCs/>
                <w:sz w:val="20"/>
                <w:szCs w:val="20"/>
                <w:lang w:val="es-ES"/>
              </w:rPr>
              <w:t>15 de mayo de 2009</w:t>
            </w:r>
          </w:p>
        </w:tc>
      </w:tr>
      <w:tr w:rsidR="00131425" w:rsidRPr="007A20DA" w14:paraId="337129E8" w14:textId="77777777" w:rsidTr="004A6A54">
        <w:tc>
          <w:tcPr>
            <w:tcW w:w="3600" w:type="dxa"/>
            <w:tcBorders>
              <w:top w:val="single" w:sz="6" w:space="0" w:color="auto"/>
              <w:bottom w:val="single" w:sz="6" w:space="0" w:color="auto"/>
            </w:tcBorders>
            <w:shd w:val="clear" w:color="auto" w:fill="386294"/>
            <w:vAlign w:val="center"/>
          </w:tcPr>
          <w:p w14:paraId="3D52E482" w14:textId="0FA8B3B3" w:rsidR="00131425" w:rsidRDefault="00131425"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Información adicional recibida durante la etapa de estudio:</w:t>
            </w:r>
          </w:p>
        </w:tc>
        <w:tc>
          <w:tcPr>
            <w:tcW w:w="5760" w:type="dxa"/>
            <w:vAlign w:val="center"/>
          </w:tcPr>
          <w:p w14:paraId="30151270" w14:textId="3DC6705C" w:rsidR="00131425" w:rsidRPr="003239B8" w:rsidRDefault="00863061" w:rsidP="002625EA">
            <w:pPr>
              <w:jc w:val="both"/>
              <w:rPr>
                <w:rFonts w:ascii="Cambria" w:hAnsi="Cambria"/>
                <w:bCs/>
                <w:sz w:val="20"/>
                <w:szCs w:val="20"/>
                <w:lang w:val="es-ES"/>
              </w:rPr>
            </w:pPr>
            <w:r>
              <w:rPr>
                <w:rFonts w:ascii="Cambria" w:hAnsi="Cambria"/>
                <w:bCs/>
                <w:sz w:val="20"/>
                <w:szCs w:val="20"/>
                <w:lang w:val="es-ES"/>
              </w:rPr>
              <w:t>4 de noviembre de 2010</w:t>
            </w:r>
          </w:p>
        </w:tc>
      </w:tr>
      <w:tr w:rsidR="004C2312" w:rsidRPr="007A20DA" w14:paraId="1BDCD5C6" w14:textId="77777777" w:rsidTr="004A6A54">
        <w:tc>
          <w:tcPr>
            <w:tcW w:w="3600" w:type="dxa"/>
            <w:tcBorders>
              <w:top w:val="single" w:sz="6" w:space="0" w:color="auto"/>
              <w:bottom w:val="single" w:sz="6" w:space="0" w:color="auto"/>
            </w:tcBorders>
            <w:shd w:val="clear" w:color="auto" w:fill="386294"/>
            <w:vAlign w:val="center"/>
          </w:tcPr>
          <w:p w14:paraId="7A18664F" w14:textId="73FE510C"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N</w:t>
            </w:r>
            <w:r w:rsidR="004C2312" w:rsidRPr="003239B8">
              <w:rPr>
                <w:rFonts w:ascii="Cambria" w:hAnsi="Cambria"/>
                <w:b/>
                <w:color w:val="FFFFFF" w:themeColor="background1"/>
                <w:sz w:val="20"/>
                <w:szCs w:val="20"/>
                <w:lang w:val="es-ES"/>
              </w:rPr>
              <w:t>otificación de la petición al Estado:</w:t>
            </w:r>
          </w:p>
        </w:tc>
        <w:tc>
          <w:tcPr>
            <w:tcW w:w="5760" w:type="dxa"/>
            <w:vAlign w:val="center"/>
          </w:tcPr>
          <w:p w14:paraId="1519DA6A" w14:textId="1BD07ED8" w:rsidR="004C2312" w:rsidRPr="003239B8" w:rsidRDefault="00863061" w:rsidP="008D2290">
            <w:pPr>
              <w:jc w:val="both"/>
              <w:rPr>
                <w:rFonts w:ascii="Cambria" w:hAnsi="Cambria"/>
                <w:bCs/>
                <w:sz w:val="20"/>
                <w:szCs w:val="20"/>
                <w:lang w:val="es-ES"/>
              </w:rPr>
            </w:pPr>
            <w:r>
              <w:rPr>
                <w:rFonts w:ascii="Cambria" w:hAnsi="Cambria"/>
                <w:bCs/>
                <w:sz w:val="20"/>
                <w:szCs w:val="20"/>
                <w:lang w:val="es-ES"/>
              </w:rPr>
              <w:t>5 de mayo de 2014</w:t>
            </w:r>
          </w:p>
        </w:tc>
      </w:tr>
      <w:tr w:rsidR="004C2312" w:rsidRPr="004A6A54" w14:paraId="6147A8D5" w14:textId="77777777" w:rsidTr="004A6A54">
        <w:tc>
          <w:tcPr>
            <w:tcW w:w="3600" w:type="dxa"/>
            <w:tcBorders>
              <w:top w:val="single" w:sz="6" w:space="0" w:color="auto"/>
              <w:bottom w:val="single" w:sz="6" w:space="0" w:color="auto"/>
            </w:tcBorders>
            <w:shd w:val="clear" w:color="auto" w:fill="386294"/>
            <w:vAlign w:val="center"/>
          </w:tcPr>
          <w:p w14:paraId="0201C86D" w14:textId="4A5EC6F9"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P</w:t>
            </w:r>
            <w:r w:rsidR="004C2312" w:rsidRPr="003239B8">
              <w:rPr>
                <w:rFonts w:ascii="Cambria" w:hAnsi="Cambria"/>
                <w:b/>
                <w:color w:val="FFFFFF" w:themeColor="background1"/>
                <w:sz w:val="20"/>
                <w:szCs w:val="20"/>
                <w:lang w:val="es-ES"/>
              </w:rPr>
              <w:t>rimera respuesta del Estado:</w:t>
            </w:r>
          </w:p>
        </w:tc>
        <w:tc>
          <w:tcPr>
            <w:tcW w:w="5760" w:type="dxa"/>
            <w:vAlign w:val="center"/>
          </w:tcPr>
          <w:p w14:paraId="1972B99E" w14:textId="0251F48E" w:rsidR="004C2312" w:rsidRPr="00CE76CA" w:rsidRDefault="00863061" w:rsidP="008D2290">
            <w:pPr>
              <w:jc w:val="both"/>
              <w:rPr>
                <w:rFonts w:ascii="Cambria" w:hAnsi="Cambria"/>
                <w:bCs/>
                <w:sz w:val="20"/>
                <w:szCs w:val="20"/>
                <w:lang w:val="es-PE"/>
              </w:rPr>
            </w:pPr>
            <w:r w:rsidRPr="00CE76CA">
              <w:rPr>
                <w:rFonts w:ascii="Cambria" w:hAnsi="Cambria"/>
                <w:bCs/>
                <w:sz w:val="20"/>
                <w:szCs w:val="20"/>
                <w:lang w:val="es-PE"/>
              </w:rPr>
              <w:t>12 de agosto de 2014</w:t>
            </w:r>
          </w:p>
        </w:tc>
      </w:tr>
      <w:tr w:rsidR="004C2312" w:rsidRPr="002910BE" w14:paraId="322668B6" w14:textId="77777777" w:rsidTr="004A6A54">
        <w:tc>
          <w:tcPr>
            <w:tcW w:w="3600" w:type="dxa"/>
            <w:tcBorders>
              <w:top w:val="single" w:sz="6" w:space="0" w:color="auto"/>
              <w:bottom w:val="single" w:sz="6" w:space="0" w:color="auto"/>
            </w:tcBorders>
            <w:shd w:val="clear" w:color="auto" w:fill="386294"/>
            <w:vAlign w:val="center"/>
          </w:tcPr>
          <w:p w14:paraId="1524DA55" w14:textId="77777777" w:rsidR="004C2312" w:rsidRPr="003239B8" w:rsidRDefault="008E3BFE" w:rsidP="008E3BFE">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Observaciones adicionales de la parte peticionaria:</w:t>
            </w:r>
          </w:p>
        </w:tc>
        <w:tc>
          <w:tcPr>
            <w:tcW w:w="5760" w:type="dxa"/>
            <w:vAlign w:val="center"/>
          </w:tcPr>
          <w:p w14:paraId="41D8B862" w14:textId="5F543B23" w:rsidR="004C2312" w:rsidRPr="00CE76CA" w:rsidRDefault="007B32A0" w:rsidP="008D2290">
            <w:pPr>
              <w:jc w:val="both"/>
              <w:rPr>
                <w:rFonts w:ascii="Cambria" w:hAnsi="Cambria"/>
                <w:bCs/>
                <w:sz w:val="20"/>
                <w:szCs w:val="20"/>
                <w:lang w:val="es-PE"/>
              </w:rPr>
            </w:pPr>
            <w:r w:rsidRPr="00CE76CA">
              <w:rPr>
                <w:rFonts w:ascii="Cambria" w:hAnsi="Cambria"/>
                <w:bCs/>
                <w:sz w:val="20"/>
                <w:szCs w:val="20"/>
                <w:lang w:val="es-PE"/>
              </w:rPr>
              <w:t>17 de septiembre de 2014</w:t>
            </w:r>
            <w:r w:rsidR="00715225" w:rsidRPr="00CE76CA">
              <w:rPr>
                <w:rFonts w:ascii="Cambria" w:hAnsi="Cambria"/>
                <w:bCs/>
                <w:sz w:val="20"/>
                <w:szCs w:val="20"/>
                <w:lang w:val="es-PE"/>
              </w:rPr>
              <w:t>, 9 de marzo de 2015, 13 de marzo de 2015, 9 de marzo de 2017, 11 de agosto de 2020</w:t>
            </w:r>
            <w:r w:rsidR="00520836" w:rsidRPr="00CE76CA">
              <w:rPr>
                <w:rFonts w:ascii="Cambria" w:hAnsi="Cambria"/>
                <w:bCs/>
                <w:sz w:val="20"/>
                <w:szCs w:val="20"/>
                <w:lang w:val="es-PE"/>
              </w:rPr>
              <w:t xml:space="preserve"> y 15 de enero de 2021</w:t>
            </w:r>
          </w:p>
        </w:tc>
      </w:tr>
      <w:tr w:rsidR="004C2312" w:rsidRPr="009111EC" w14:paraId="291ACE7A" w14:textId="77777777" w:rsidTr="004A6A54">
        <w:tc>
          <w:tcPr>
            <w:tcW w:w="3600" w:type="dxa"/>
            <w:tcBorders>
              <w:top w:val="single" w:sz="6" w:space="0" w:color="auto"/>
              <w:bottom w:val="single" w:sz="6" w:space="0" w:color="auto"/>
            </w:tcBorders>
            <w:shd w:val="clear" w:color="auto" w:fill="386294"/>
            <w:vAlign w:val="center"/>
          </w:tcPr>
          <w:p w14:paraId="068BD12F" w14:textId="77777777" w:rsidR="004C2312" w:rsidRPr="00706824" w:rsidRDefault="004C2312" w:rsidP="008E3BFE">
            <w:pPr>
              <w:jc w:val="center"/>
              <w:rPr>
                <w:rFonts w:ascii="Cambria" w:hAnsi="Cambria"/>
                <w:b/>
                <w:bCs/>
                <w:color w:val="FFFFFF" w:themeColor="background1"/>
                <w:sz w:val="20"/>
                <w:szCs w:val="20"/>
              </w:rPr>
            </w:pPr>
            <w:r w:rsidRPr="00706824">
              <w:rPr>
                <w:rFonts w:ascii="Cambria" w:hAnsi="Cambria"/>
                <w:b/>
                <w:bCs/>
                <w:color w:val="FFFFFF" w:themeColor="background1"/>
                <w:sz w:val="20"/>
                <w:szCs w:val="20"/>
              </w:rPr>
              <w:t>Observaciones adicionales del Estado:</w:t>
            </w:r>
          </w:p>
        </w:tc>
        <w:tc>
          <w:tcPr>
            <w:tcW w:w="5760" w:type="dxa"/>
            <w:vAlign w:val="center"/>
          </w:tcPr>
          <w:p w14:paraId="3CE49AFE" w14:textId="46EB4966" w:rsidR="004C2312" w:rsidRPr="00CE76CA" w:rsidRDefault="007B32A0" w:rsidP="008D2290">
            <w:pPr>
              <w:jc w:val="both"/>
              <w:rPr>
                <w:rFonts w:ascii="Cambria" w:hAnsi="Cambria"/>
                <w:bCs/>
                <w:sz w:val="20"/>
                <w:szCs w:val="20"/>
                <w:lang w:val="es-PE"/>
              </w:rPr>
            </w:pPr>
            <w:r w:rsidRPr="00CE76CA">
              <w:rPr>
                <w:rFonts w:ascii="Cambria" w:hAnsi="Cambria"/>
                <w:bCs/>
                <w:sz w:val="20"/>
                <w:szCs w:val="20"/>
                <w:lang w:val="es-PE"/>
              </w:rPr>
              <w:t>30 de enero de 2015</w:t>
            </w:r>
          </w:p>
        </w:tc>
      </w:tr>
    </w:tbl>
    <w:p w14:paraId="21DAA666" w14:textId="7777777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III. </w:t>
      </w:r>
      <w:r w:rsidRPr="003239B8">
        <w:rPr>
          <w:rFonts w:asciiTheme="majorHAnsi" w:hAnsiTheme="majorHAnsi"/>
          <w:b/>
          <w:bCs/>
          <w:sz w:val="20"/>
          <w:szCs w:val="20"/>
          <w:lang w:val="es-ES"/>
        </w:rPr>
        <w:tab/>
        <w:t>COMPETENCIA</w:t>
      </w:r>
      <w:r w:rsidR="00EE00E9">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540F17" w14:paraId="072532AD" w14:textId="77777777" w:rsidTr="004A6A54">
        <w:trPr>
          <w:cantSplit/>
        </w:trPr>
        <w:tc>
          <w:tcPr>
            <w:tcW w:w="3600" w:type="dxa"/>
            <w:tcBorders>
              <w:top w:val="single" w:sz="4" w:space="0" w:color="auto"/>
              <w:bottom w:val="single" w:sz="6" w:space="0" w:color="auto"/>
            </w:tcBorders>
            <w:shd w:val="clear" w:color="auto" w:fill="386294"/>
            <w:vAlign w:val="center"/>
          </w:tcPr>
          <w:p w14:paraId="5C2E4B34" w14:textId="77777777" w:rsidR="003239B8" w:rsidRPr="00B3745F" w:rsidRDefault="003239B8" w:rsidP="008D2290">
            <w:pPr>
              <w:jc w:val="center"/>
              <w:rPr>
                <w:rFonts w:ascii="Cambria" w:hAnsi="Cambria"/>
                <w:b/>
                <w:bCs/>
                <w:i/>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personae:</w:t>
            </w:r>
          </w:p>
        </w:tc>
        <w:tc>
          <w:tcPr>
            <w:tcW w:w="5760" w:type="dxa"/>
            <w:vAlign w:val="center"/>
          </w:tcPr>
          <w:p w14:paraId="7707F3E9" w14:textId="301E0B6E" w:rsidR="003239B8" w:rsidRPr="00B3745F" w:rsidRDefault="00520836" w:rsidP="008D2290">
            <w:pPr>
              <w:rPr>
                <w:rFonts w:ascii="Cambria" w:hAnsi="Cambria"/>
                <w:bCs/>
                <w:sz w:val="20"/>
                <w:szCs w:val="20"/>
              </w:rPr>
            </w:pPr>
            <w:r>
              <w:rPr>
                <w:rFonts w:ascii="Cambria" w:hAnsi="Cambria"/>
                <w:bCs/>
                <w:sz w:val="20"/>
                <w:szCs w:val="20"/>
              </w:rPr>
              <w:t>Sí</w:t>
            </w:r>
          </w:p>
        </w:tc>
      </w:tr>
      <w:tr w:rsidR="003239B8" w:rsidRPr="00540F17" w14:paraId="4B8802DA" w14:textId="77777777" w:rsidTr="004A6A54">
        <w:trPr>
          <w:cantSplit/>
        </w:trPr>
        <w:tc>
          <w:tcPr>
            <w:tcW w:w="3600" w:type="dxa"/>
            <w:tcBorders>
              <w:top w:val="single" w:sz="6" w:space="0" w:color="auto"/>
              <w:bottom w:val="single" w:sz="6" w:space="0" w:color="auto"/>
            </w:tcBorders>
            <w:shd w:val="clear" w:color="auto" w:fill="386294"/>
            <w:vAlign w:val="center"/>
          </w:tcPr>
          <w:p w14:paraId="3915C23B" w14:textId="77777777" w:rsidR="003239B8" w:rsidRPr="00B3745F" w:rsidRDefault="003239B8" w:rsidP="008D2290">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loci</w:t>
            </w:r>
            <w:r w:rsidRPr="00B3745F">
              <w:rPr>
                <w:rFonts w:ascii="Cambria" w:hAnsi="Cambria"/>
                <w:b/>
                <w:bCs/>
                <w:color w:val="FFFFFF" w:themeColor="background1"/>
                <w:sz w:val="20"/>
                <w:szCs w:val="20"/>
              </w:rPr>
              <w:t>:</w:t>
            </w:r>
          </w:p>
        </w:tc>
        <w:tc>
          <w:tcPr>
            <w:tcW w:w="5760" w:type="dxa"/>
            <w:vAlign w:val="center"/>
          </w:tcPr>
          <w:p w14:paraId="12C931CB" w14:textId="6FC9392E" w:rsidR="003239B8" w:rsidRPr="00B3745F" w:rsidRDefault="00520836" w:rsidP="008D2290">
            <w:pPr>
              <w:rPr>
                <w:rFonts w:ascii="Cambria" w:hAnsi="Cambria"/>
                <w:bCs/>
                <w:sz w:val="20"/>
                <w:szCs w:val="20"/>
              </w:rPr>
            </w:pPr>
            <w:r>
              <w:rPr>
                <w:rFonts w:ascii="Cambria" w:hAnsi="Cambria"/>
                <w:bCs/>
                <w:sz w:val="20"/>
                <w:szCs w:val="20"/>
              </w:rPr>
              <w:t>Sí</w:t>
            </w:r>
          </w:p>
        </w:tc>
      </w:tr>
      <w:tr w:rsidR="003239B8" w:rsidRPr="00540F17" w14:paraId="4362FDF3" w14:textId="77777777" w:rsidTr="004A6A54">
        <w:trPr>
          <w:cantSplit/>
        </w:trPr>
        <w:tc>
          <w:tcPr>
            <w:tcW w:w="3600" w:type="dxa"/>
            <w:tcBorders>
              <w:top w:val="single" w:sz="6" w:space="0" w:color="auto"/>
              <w:bottom w:val="single" w:sz="6" w:space="0" w:color="auto"/>
            </w:tcBorders>
            <w:shd w:val="clear" w:color="auto" w:fill="386294"/>
            <w:vAlign w:val="center"/>
          </w:tcPr>
          <w:p w14:paraId="3BE23153" w14:textId="77777777" w:rsidR="003239B8" w:rsidRPr="00B3745F" w:rsidRDefault="003239B8" w:rsidP="008D2290">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temporis</w:t>
            </w:r>
            <w:r w:rsidRPr="00B3745F">
              <w:rPr>
                <w:rFonts w:ascii="Cambria" w:hAnsi="Cambria"/>
                <w:b/>
                <w:bCs/>
                <w:color w:val="FFFFFF" w:themeColor="background1"/>
                <w:sz w:val="20"/>
                <w:szCs w:val="20"/>
              </w:rPr>
              <w:t>:</w:t>
            </w:r>
          </w:p>
        </w:tc>
        <w:tc>
          <w:tcPr>
            <w:tcW w:w="5760" w:type="dxa"/>
            <w:vAlign w:val="center"/>
          </w:tcPr>
          <w:p w14:paraId="6F8B059B" w14:textId="3C2A07A9" w:rsidR="003239B8" w:rsidRPr="00B3745F" w:rsidRDefault="00520836" w:rsidP="008D2290">
            <w:pPr>
              <w:rPr>
                <w:rFonts w:ascii="Cambria" w:hAnsi="Cambria"/>
                <w:bCs/>
                <w:sz w:val="20"/>
                <w:szCs w:val="20"/>
              </w:rPr>
            </w:pPr>
            <w:r>
              <w:rPr>
                <w:rFonts w:ascii="Cambria" w:hAnsi="Cambria"/>
                <w:bCs/>
                <w:sz w:val="20"/>
                <w:szCs w:val="20"/>
              </w:rPr>
              <w:t>Sí</w:t>
            </w:r>
          </w:p>
        </w:tc>
      </w:tr>
      <w:tr w:rsidR="003239B8" w:rsidRPr="002910BE" w14:paraId="30ABEC3E" w14:textId="77777777" w:rsidTr="004A6A54">
        <w:trPr>
          <w:cantSplit/>
        </w:trPr>
        <w:tc>
          <w:tcPr>
            <w:tcW w:w="3600" w:type="dxa"/>
            <w:tcBorders>
              <w:top w:val="single" w:sz="6" w:space="0" w:color="auto"/>
              <w:bottom w:val="single" w:sz="6" w:space="0" w:color="auto"/>
            </w:tcBorders>
            <w:shd w:val="clear" w:color="auto" w:fill="386294"/>
            <w:vAlign w:val="center"/>
          </w:tcPr>
          <w:p w14:paraId="47B529D2" w14:textId="77777777" w:rsidR="003239B8" w:rsidRPr="00B3745F" w:rsidRDefault="003239B8" w:rsidP="008D2290">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materia</w:t>
            </w:r>
            <w:r w:rsidR="00EE00E9" w:rsidRPr="00B3745F">
              <w:rPr>
                <w:rFonts w:ascii="Cambria" w:hAnsi="Cambria"/>
                <w:b/>
                <w:bCs/>
                <w:i/>
                <w:color w:val="FFFFFF" w:themeColor="background1"/>
                <w:sz w:val="20"/>
                <w:szCs w:val="20"/>
              </w:rPr>
              <w:t>e</w:t>
            </w:r>
            <w:r w:rsidRPr="00B3745F">
              <w:rPr>
                <w:rFonts w:ascii="Cambria" w:hAnsi="Cambria"/>
                <w:b/>
                <w:bCs/>
                <w:color w:val="FFFFFF" w:themeColor="background1"/>
                <w:sz w:val="20"/>
                <w:szCs w:val="20"/>
              </w:rPr>
              <w:t>:</w:t>
            </w:r>
          </w:p>
        </w:tc>
        <w:tc>
          <w:tcPr>
            <w:tcW w:w="5760" w:type="dxa"/>
            <w:vAlign w:val="center"/>
          </w:tcPr>
          <w:p w14:paraId="0C122F44" w14:textId="3762AE7C" w:rsidR="003239B8" w:rsidRPr="00B3745F" w:rsidRDefault="00520836" w:rsidP="008D2290">
            <w:pPr>
              <w:jc w:val="both"/>
              <w:rPr>
                <w:rFonts w:ascii="Cambria" w:hAnsi="Cambria"/>
                <w:bCs/>
                <w:sz w:val="20"/>
                <w:szCs w:val="20"/>
                <w:lang w:val="es-ES"/>
              </w:rPr>
            </w:pPr>
            <w:r>
              <w:rPr>
                <w:rFonts w:ascii="Cambria" w:hAnsi="Cambria"/>
                <w:bCs/>
                <w:sz w:val="20"/>
                <w:szCs w:val="20"/>
                <w:lang w:val="es-ES"/>
              </w:rPr>
              <w:t>Sí, Convención Americana (depósito del instrumento de ratificación realizado el 31 de julio de 1973)</w:t>
            </w:r>
          </w:p>
        </w:tc>
      </w:tr>
    </w:tbl>
    <w:p w14:paraId="4E92C444" w14:textId="140CB1E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IV. </w:t>
      </w:r>
      <w:r w:rsidRPr="003239B8">
        <w:rPr>
          <w:rFonts w:asciiTheme="majorHAnsi" w:hAnsiTheme="majorHAnsi"/>
          <w:b/>
          <w:bCs/>
          <w:sz w:val="20"/>
          <w:szCs w:val="20"/>
          <w:lang w:val="es-ES"/>
        </w:rPr>
        <w:tab/>
      </w:r>
      <w:r w:rsidR="00EE00E9" w:rsidRPr="003239B8">
        <w:rPr>
          <w:rFonts w:asciiTheme="majorHAnsi" w:hAnsiTheme="majorHAnsi"/>
          <w:b/>
          <w:bCs/>
          <w:sz w:val="20"/>
          <w:szCs w:val="20"/>
          <w:lang w:val="es-ES"/>
        </w:rPr>
        <w:t>DUPLICACIÓN</w:t>
      </w:r>
      <w:r w:rsidR="00EE00E9" w:rsidRPr="003239B8">
        <w:rPr>
          <w:rFonts w:asciiTheme="majorHAnsi" w:hAnsiTheme="majorHAnsi"/>
          <w:b/>
          <w:bCs/>
          <w:color w:val="FFFFFF" w:themeColor="background1"/>
          <w:sz w:val="20"/>
          <w:szCs w:val="20"/>
          <w:lang w:val="es-ES"/>
        </w:rPr>
        <w:t xml:space="preserve"> </w:t>
      </w:r>
      <w:r w:rsidR="00EE00E9" w:rsidRPr="003239B8">
        <w:rPr>
          <w:rFonts w:asciiTheme="majorHAnsi" w:hAnsiTheme="majorHAnsi"/>
          <w:b/>
          <w:bCs/>
          <w:sz w:val="20"/>
          <w:szCs w:val="20"/>
          <w:lang w:val="es-ES"/>
        </w:rPr>
        <w:t>DE PROCEDIMIENTOS Y COSA JUZGADA</w:t>
      </w:r>
      <w:r w:rsidR="00EE00E9" w:rsidRPr="003239B8">
        <w:rPr>
          <w:rFonts w:asciiTheme="majorHAnsi" w:hAnsiTheme="majorHAnsi"/>
          <w:b/>
          <w:bCs/>
          <w:i/>
          <w:sz w:val="20"/>
          <w:szCs w:val="20"/>
          <w:lang w:val="es-ES"/>
        </w:rPr>
        <w:t xml:space="preserve"> </w:t>
      </w:r>
      <w:r w:rsidR="00EE00E9" w:rsidRPr="003239B8">
        <w:rPr>
          <w:rFonts w:asciiTheme="majorHAnsi" w:hAnsiTheme="majorHAnsi"/>
          <w:b/>
          <w:bCs/>
          <w:sz w:val="20"/>
          <w:szCs w:val="20"/>
          <w:lang w:val="es-ES"/>
        </w:rPr>
        <w:t>INTERNACIONAL</w:t>
      </w:r>
      <w:r w:rsidR="005D38F9">
        <w:rPr>
          <w:rFonts w:asciiTheme="majorHAnsi" w:hAnsiTheme="majorHAnsi"/>
          <w:b/>
          <w:bCs/>
          <w:sz w:val="20"/>
          <w:szCs w:val="20"/>
          <w:lang w:val="es-ES"/>
        </w:rPr>
        <w:t>,</w:t>
      </w:r>
      <w:r w:rsidRPr="003239B8">
        <w:rPr>
          <w:rFonts w:asciiTheme="majorHAnsi" w:hAnsiTheme="majorHAnsi"/>
          <w:b/>
          <w:bCs/>
          <w:sz w:val="20"/>
          <w:szCs w:val="20"/>
          <w:lang w:val="es-ES"/>
        </w:rPr>
        <w:t xml:space="preserve"> CARACTERIZACIÓN, </w:t>
      </w:r>
      <w:r w:rsidRPr="003239B8">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4"/>
        <w:gridCol w:w="5678"/>
      </w:tblGrid>
      <w:tr w:rsidR="00EE00E9" w:rsidRPr="00304F0B" w14:paraId="1231C988" w14:textId="77777777" w:rsidTr="004A6A54">
        <w:trPr>
          <w:cantSplit/>
        </w:trPr>
        <w:tc>
          <w:tcPr>
            <w:tcW w:w="3600" w:type="dxa"/>
            <w:tcBorders>
              <w:top w:val="single" w:sz="4" w:space="0" w:color="auto"/>
              <w:bottom w:val="single" w:sz="6" w:space="0" w:color="auto"/>
            </w:tcBorders>
            <w:shd w:val="clear" w:color="auto" w:fill="386294"/>
            <w:vAlign w:val="center"/>
          </w:tcPr>
          <w:p w14:paraId="6F8031F4" w14:textId="77777777" w:rsidR="00EE00E9" w:rsidRPr="00DC24E3" w:rsidRDefault="00EE00E9" w:rsidP="008D2290">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Duplicación de procedimientos y cosa juzgada internacional:</w:t>
            </w:r>
          </w:p>
        </w:tc>
        <w:tc>
          <w:tcPr>
            <w:tcW w:w="5760" w:type="dxa"/>
            <w:vAlign w:val="center"/>
          </w:tcPr>
          <w:p w14:paraId="240941E6" w14:textId="5AF650B0" w:rsidR="00EE00E9" w:rsidRPr="00DC24E3" w:rsidRDefault="00307DEA" w:rsidP="008D2290">
            <w:pPr>
              <w:jc w:val="both"/>
              <w:rPr>
                <w:rFonts w:ascii="Cambria" w:hAnsi="Cambria"/>
                <w:bCs/>
                <w:sz w:val="20"/>
                <w:szCs w:val="20"/>
                <w:lang w:val="es-ES"/>
              </w:rPr>
            </w:pPr>
            <w:r>
              <w:rPr>
                <w:rFonts w:ascii="Cambria" w:hAnsi="Cambria"/>
                <w:bCs/>
                <w:sz w:val="20"/>
                <w:szCs w:val="20"/>
                <w:lang w:val="es-ES"/>
              </w:rPr>
              <w:t>No</w:t>
            </w:r>
          </w:p>
        </w:tc>
      </w:tr>
      <w:tr w:rsidR="003239B8" w:rsidRPr="002021CE" w14:paraId="15FAA7D1" w14:textId="77777777" w:rsidTr="004A6A54">
        <w:trPr>
          <w:cantSplit/>
        </w:trPr>
        <w:tc>
          <w:tcPr>
            <w:tcW w:w="3600" w:type="dxa"/>
            <w:tcBorders>
              <w:top w:val="single" w:sz="4" w:space="0" w:color="auto"/>
              <w:bottom w:val="single" w:sz="6" w:space="0" w:color="auto"/>
            </w:tcBorders>
            <w:shd w:val="clear" w:color="auto" w:fill="386294"/>
            <w:vAlign w:val="center"/>
          </w:tcPr>
          <w:p w14:paraId="1B0D29FF" w14:textId="77777777" w:rsidR="003239B8" w:rsidRPr="00DC24E3" w:rsidRDefault="003239B8" w:rsidP="008D2290">
            <w:pPr>
              <w:jc w:val="center"/>
              <w:rPr>
                <w:rFonts w:ascii="Cambria" w:hAnsi="Cambria"/>
                <w:b/>
                <w:bCs/>
                <w:i/>
                <w:color w:val="FFFFFF" w:themeColor="background1"/>
                <w:sz w:val="20"/>
                <w:szCs w:val="20"/>
              </w:rPr>
            </w:pPr>
            <w:r w:rsidRPr="00DC24E3">
              <w:rPr>
                <w:rFonts w:ascii="Cambria" w:hAnsi="Cambria"/>
                <w:b/>
                <w:bCs/>
                <w:color w:val="FFFFFF" w:themeColor="background1"/>
                <w:sz w:val="20"/>
                <w:szCs w:val="20"/>
              </w:rPr>
              <w:t>Derechos declarados admisibles</w:t>
            </w:r>
            <w:r w:rsidRPr="00DC24E3">
              <w:rPr>
                <w:rFonts w:ascii="Cambria" w:hAnsi="Cambria"/>
                <w:b/>
                <w:bCs/>
                <w:i/>
                <w:color w:val="FFFFFF" w:themeColor="background1"/>
                <w:sz w:val="20"/>
                <w:szCs w:val="20"/>
              </w:rPr>
              <w:t>:</w:t>
            </w:r>
          </w:p>
        </w:tc>
        <w:tc>
          <w:tcPr>
            <w:tcW w:w="5760" w:type="dxa"/>
            <w:vAlign w:val="center"/>
          </w:tcPr>
          <w:p w14:paraId="6310C8F7" w14:textId="133276BA" w:rsidR="003239B8" w:rsidRPr="00DC24E3" w:rsidRDefault="00673606" w:rsidP="008D2290">
            <w:pPr>
              <w:jc w:val="both"/>
              <w:rPr>
                <w:rFonts w:ascii="Cambria" w:hAnsi="Cambria"/>
                <w:bCs/>
                <w:sz w:val="20"/>
                <w:szCs w:val="20"/>
              </w:rPr>
            </w:pPr>
            <w:r>
              <w:rPr>
                <w:rFonts w:ascii="Cambria" w:hAnsi="Cambria"/>
                <w:bCs/>
                <w:sz w:val="20"/>
                <w:szCs w:val="20"/>
              </w:rPr>
              <w:t>No aplica</w:t>
            </w:r>
          </w:p>
        </w:tc>
      </w:tr>
      <w:tr w:rsidR="003239B8" w:rsidRPr="002910BE" w14:paraId="4EFD141E" w14:textId="77777777" w:rsidTr="004A6A54">
        <w:trPr>
          <w:cantSplit/>
        </w:trPr>
        <w:tc>
          <w:tcPr>
            <w:tcW w:w="3600" w:type="dxa"/>
            <w:tcBorders>
              <w:top w:val="single" w:sz="6" w:space="0" w:color="auto"/>
              <w:bottom w:val="single" w:sz="6" w:space="0" w:color="auto"/>
            </w:tcBorders>
            <w:shd w:val="clear" w:color="auto" w:fill="386294"/>
            <w:vAlign w:val="center"/>
          </w:tcPr>
          <w:p w14:paraId="4C04A89C" w14:textId="77777777" w:rsidR="003239B8" w:rsidRPr="00DC24E3" w:rsidRDefault="003239B8" w:rsidP="008D2290">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Agotamiento de recursos internos</w:t>
            </w:r>
            <w:r w:rsidR="00EE00E9" w:rsidRPr="00DC24E3">
              <w:rPr>
                <w:rFonts w:ascii="Cambria" w:hAnsi="Cambria"/>
                <w:b/>
                <w:bCs/>
                <w:color w:val="FFFFFF" w:themeColor="background1"/>
                <w:sz w:val="20"/>
                <w:szCs w:val="20"/>
                <w:lang w:val="es-ES"/>
              </w:rPr>
              <w:t xml:space="preserve"> o procedencia de una excepción</w:t>
            </w:r>
            <w:r w:rsidRPr="00DC24E3">
              <w:rPr>
                <w:rFonts w:ascii="Cambria" w:hAnsi="Cambria"/>
                <w:b/>
                <w:bCs/>
                <w:color w:val="FFFFFF" w:themeColor="background1"/>
                <w:sz w:val="20"/>
                <w:szCs w:val="20"/>
                <w:lang w:val="es-ES"/>
              </w:rPr>
              <w:t>:</w:t>
            </w:r>
          </w:p>
        </w:tc>
        <w:tc>
          <w:tcPr>
            <w:tcW w:w="5760" w:type="dxa"/>
            <w:vAlign w:val="center"/>
          </w:tcPr>
          <w:p w14:paraId="69C53E8A" w14:textId="64C3A39A" w:rsidR="003239B8" w:rsidRPr="00DC24E3" w:rsidRDefault="00B25B60" w:rsidP="008D2290">
            <w:pPr>
              <w:rPr>
                <w:rFonts w:ascii="Cambria" w:hAnsi="Cambria"/>
                <w:bCs/>
                <w:sz w:val="20"/>
                <w:szCs w:val="20"/>
                <w:lang w:val="es-ES"/>
              </w:rPr>
            </w:pPr>
            <w:r>
              <w:rPr>
                <w:rFonts w:ascii="Cambria" w:hAnsi="Cambria"/>
                <w:bCs/>
                <w:sz w:val="20"/>
                <w:szCs w:val="20"/>
                <w:lang w:val="es-ES"/>
              </w:rPr>
              <w:t>Parcialmente</w:t>
            </w:r>
            <w:r w:rsidR="006B19D1">
              <w:rPr>
                <w:rFonts w:ascii="Cambria" w:hAnsi="Cambria"/>
                <w:bCs/>
                <w:sz w:val="20"/>
                <w:szCs w:val="20"/>
                <w:lang w:val="es-ES"/>
              </w:rPr>
              <w:t xml:space="preserve">, </w:t>
            </w:r>
            <w:r>
              <w:rPr>
                <w:rFonts w:ascii="Cambria" w:hAnsi="Cambria"/>
                <w:bCs/>
                <w:sz w:val="20"/>
                <w:szCs w:val="20"/>
                <w:lang w:val="es-ES"/>
              </w:rPr>
              <w:t>en los términos de la sección VI</w:t>
            </w:r>
            <w:r w:rsidR="006B19D1">
              <w:rPr>
                <w:rFonts w:ascii="Cambria" w:hAnsi="Cambria"/>
                <w:bCs/>
                <w:sz w:val="20"/>
                <w:szCs w:val="20"/>
                <w:lang w:val="es-ES"/>
              </w:rPr>
              <w:t xml:space="preserve"> </w:t>
            </w:r>
          </w:p>
        </w:tc>
      </w:tr>
      <w:tr w:rsidR="003239B8" w:rsidRPr="00B2155F" w14:paraId="52B5BA17" w14:textId="77777777" w:rsidTr="004A6A54">
        <w:trPr>
          <w:cantSplit/>
        </w:trPr>
        <w:tc>
          <w:tcPr>
            <w:tcW w:w="3600" w:type="dxa"/>
            <w:tcBorders>
              <w:top w:val="single" w:sz="6" w:space="0" w:color="auto"/>
              <w:bottom w:val="single" w:sz="6" w:space="0" w:color="auto"/>
            </w:tcBorders>
            <w:shd w:val="clear" w:color="auto" w:fill="386294"/>
            <w:vAlign w:val="center"/>
          </w:tcPr>
          <w:p w14:paraId="5DF99086" w14:textId="77777777" w:rsidR="003239B8" w:rsidRPr="00DC24E3" w:rsidRDefault="003239B8" w:rsidP="008D2290">
            <w:pPr>
              <w:jc w:val="center"/>
              <w:rPr>
                <w:rFonts w:ascii="Cambria" w:hAnsi="Cambria"/>
                <w:b/>
                <w:bCs/>
                <w:color w:val="FFFFFF" w:themeColor="background1"/>
                <w:sz w:val="20"/>
                <w:szCs w:val="20"/>
              </w:rPr>
            </w:pPr>
            <w:r w:rsidRPr="00DC24E3">
              <w:rPr>
                <w:rFonts w:ascii="Cambria" w:hAnsi="Cambria"/>
                <w:b/>
                <w:bCs/>
                <w:color w:val="FFFFFF" w:themeColor="background1"/>
                <w:sz w:val="20"/>
                <w:szCs w:val="20"/>
              </w:rPr>
              <w:t>Presentación dentro de plazo:</w:t>
            </w:r>
          </w:p>
        </w:tc>
        <w:tc>
          <w:tcPr>
            <w:tcW w:w="5760" w:type="dxa"/>
            <w:vAlign w:val="center"/>
          </w:tcPr>
          <w:p w14:paraId="4A2A4569" w14:textId="109FB64E" w:rsidR="003239B8" w:rsidRPr="00DC24E3" w:rsidRDefault="00307DEA" w:rsidP="008D2290">
            <w:pPr>
              <w:rPr>
                <w:rFonts w:ascii="Cambria" w:hAnsi="Cambria"/>
                <w:bCs/>
                <w:sz w:val="20"/>
                <w:szCs w:val="20"/>
              </w:rPr>
            </w:pPr>
            <w:r>
              <w:rPr>
                <w:rFonts w:ascii="Cambria" w:hAnsi="Cambria"/>
                <w:bCs/>
                <w:sz w:val="20"/>
                <w:szCs w:val="20"/>
              </w:rPr>
              <w:t>No</w:t>
            </w:r>
          </w:p>
        </w:tc>
      </w:tr>
    </w:tbl>
    <w:p w14:paraId="456C5EEC" w14:textId="77777777" w:rsidR="00D240DB" w:rsidRDefault="00D240DB" w:rsidP="003239B8">
      <w:pPr>
        <w:spacing w:before="240" w:after="240"/>
        <w:ind w:firstLine="720"/>
        <w:jc w:val="both"/>
        <w:rPr>
          <w:rFonts w:asciiTheme="majorHAnsi" w:hAnsiTheme="majorHAnsi"/>
          <w:b/>
          <w:sz w:val="20"/>
          <w:szCs w:val="20"/>
          <w:lang w:val="es-UY"/>
        </w:rPr>
      </w:pPr>
    </w:p>
    <w:p w14:paraId="18E6423B" w14:textId="6CEC6F07" w:rsidR="003239B8" w:rsidRPr="00AB60FD" w:rsidRDefault="00223A29" w:rsidP="003239B8">
      <w:pPr>
        <w:spacing w:before="240" w:after="240"/>
        <w:ind w:firstLine="720"/>
        <w:jc w:val="both"/>
        <w:rPr>
          <w:rFonts w:asciiTheme="majorHAnsi" w:hAnsiTheme="majorHAnsi"/>
          <w:b/>
          <w:sz w:val="20"/>
          <w:szCs w:val="20"/>
          <w:lang w:val="es-ES_tradnl"/>
        </w:rPr>
      </w:pPr>
      <w:r w:rsidRPr="00AB60FD">
        <w:rPr>
          <w:rFonts w:asciiTheme="majorHAnsi" w:hAnsiTheme="majorHAnsi"/>
          <w:b/>
          <w:sz w:val="20"/>
          <w:szCs w:val="20"/>
          <w:lang w:val="es-ES_tradnl"/>
        </w:rPr>
        <w:lastRenderedPageBreak/>
        <w:t xml:space="preserve">V. </w:t>
      </w:r>
      <w:r w:rsidRPr="00AB60FD">
        <w:rPr>
          <w:rFonts w:asciiTheme="majorHAnsi" w:hAnsiTheme="majorHAnsi"/>
          <w:b/>
          <w:sz w:val="20"/>
          <w:szCs w:val="20"/>
          <w:lang w:val="es-ES_tradnl"/>
        </w:rPr>
        <w:tab/>
      </w:r>
      <w:r w:rsidR="003239B8" w:rsidRPr="00AB60FD">
        <w:rPr>
          <w:rFonts w:asciiTheme="majorHAnsi" w:hAnsiTheme="majorHAnsi"/>
          <w:b/>
          <w:sz w:val="20"/>
          <w:szCs w:val="20"/>
          <w:lang w:val="es-ES_tradnl"/>
        </w:rPr>
        <w:t xml:space="preserve">HECHOS ALEGADOS </w:t>
      </w:r>
    </w:p>
    <w:p w14:paraId="67C7A13A" w14:textId="5DD7EA6F" w:rsidR="00B42983" w:rsidRPr="00AB60FD" w:rsidRDefault="00B42983" w:rsidP="003239B8">
      <w:pPr>
        <w:spacing w:before="240" w:after="240"/>
        <w:ind w:firstLine="720"/>
        <w:jc w:val="both"/>
        <w:rPr>
          <w:rFonts w:asciiTheme="majorHAnsi" w:hAnsiTheme="majorHAnsi"/>
          <w:bCs/>
          <w:i/>
          <w:iCs/>
          <w:sz w:val="20"/>
          <w:szCs w:val="20"/>
          <w:lang w:val="es-ES_tradnl"/>
        </w:rPr>
      </w:pPr>
      <w:r w:rsidRPr="00AB60FD">
        <w:rPr>
          <w:rFonts w:asciiTheme="majorHAnsi" w:hAnsiTheme="majorHAnsi"/>
          <w:bCs/>
          <w:i/>
          <w:iCs/>
          <w:sz w:val="20"/>
          <w:szCs w:val="20"/>
          <w:lang w:val="es-ES_tradnl"/>
        </w:rPr>
        <w:t>Alegatos de la parte peticionaria</w:t>
      </w:r>
    </w:p>
    <w:p w14:paraId="670FCCBA" w14:textId="0B05D584" w:rsidR="00520836" w:rsidRPr="00AB60FD" w:rsidRDefault="00520836">
      <w:pPr>
        <w:pStyle w:val="ListParagraph"/>
        <w:numPr>
          <w:ilvl w:val="0"/>
          <w:numId w:val="56"/>
        </w:numPr>
        <w:spacing w:before="240" w:after="240"/>
        <w:ind w:left="0" w:firstLine="720"/>
        <w:jc w:val="both"/>
        <w:rPr>
          <w:rFonts w:asciiTheme="majorHAnsi" w:hAnsiTheme="majorHAnsi"/>
          <w:bCs/>
          <w:i/>
          <w:iCs/>
          <w:sz w:val="20"/>
          <w:szCs w:val="20"/>
          <w:lang w:val="es-ES_tradnl"/>
        </w:rPr>
      </w:pPr>
      <w:r w:rsidRPr="00AB60FD">
        <w:rPr>
          <w:rFonts w:asciiTheme="majorHAnsi" w:hAnsiTheme="majorHAnsi"/>
          <w:bCs/>
          <w:sz w:val="20"/>
          <w:szCs w:val="20"/>
          <w:lang w:val="es-ES_tradnl"/>
        </w:rPr>
        <w:t>La petición denuncia que</w:t>
      </w:r>
      <w:r w:rsidR="00307DEA" w:rsidRPr="00AB60FD">
        <w:rPr>
          <w:rFonts w:asciiTheme="majorHAnsi" w:hAnsiTheme="majorHAnsi"/>
          <w:bCs/>
          <w:sz w:val="20"/>
          <w:szCs w:val="20"/>
          <w:lang w:val="es-ES_tradnl"/>
        </w:rPr>
        <w:t xml:space="preserve">, debido a un enfrentamiento entre las Fuerzas Armadas Revolucionarias de Colombia (en adelante, “FARC”) y las fuerzas de seguridad del Estado, los bienes muebles e inmuebles de las presuntas víctimas fueron destruidos. Arguye que a pesar de que dichas personas presentaron una demanda de reparación directa, no se les concedió una reparación por estos hechos. Asimismo, agrega la investigación penal por estos acontecimientos tampoco dio resultados en su favor. </w:t>
      </w:r>
    </w:p>
    <w:p w14:paraId="50EEF289" w14:textId="70FD0425" w:rsidR="00085268" w:rsidRPr="00AB60FD" w:rsidRDefault="00085268" w:rsidP="00085268">
      <w:pPr>
        <w:pStyle w:val="ListParagraph"/>
        <w:spacing w:before="240" w:after="240"/>
        <w:jc w:val="both"/>
        <w:rPr>
          <w:rFonts w:asciiTheme="majorHAnsi" w:hAnsiTheme="majorHAnsi"/>
          <w:bCs/>
          <w:i/>
          <w:iCs/>
          <w:sz w:val="20"/>
          <w:szCs w:val="20"/>
          <w:lang w:val="es-ES_tradnl"/>
        </w:rPr>
      </w:pPr>
      <w:r w:rsidRPr="00AB60FD">
        <w:rPr>
          <w:rFonts w:asciiTheme="majorHAnsi" w:hAnsiTheme="majorHAnsi"/>
          <w:bCs/>
          <w:i/>
          <w:iCs/>
          <w:sz w:val="20"/>
          <w:szCs w:val="20"/>
          <w:lang w:val="es-ES_tradnl"/>
        </w:rPr>
        <w:t>Destrucción de los bienes de las presuntas víctimas</w:t>
      </w:r>
    </w:p>
    <w:p w14:paraId="7B4FB89F" w14:textId="4F77F666" w:rsidR="00304097" w:rsidRPr="00AB60FD" w:rsidRDefault="00307DEA">
      <w:pPr>
        <w:pStyle w:val="ListParagraph"/>
        <w:numPr>
          <w:ilvl w:val="0"/>
          <w:numId w:val="56"/>
        </w:numPr>
        <w:spacing w:before="240" w:after="240"/>
        <w:ind w:left="0" w:firstLine="720"/>
        <w:jc w:val="both"/>
        <w:rPr>
          <w:rFonts w:asciiTheme="majorHAnsi" w:hAnsiTheme="majorHAnsi"/>
          <w:bCs/>
          <w:sz w:val="20"/>
          <w:szCs w:val="20"/>
          <w:lang w:val="es-ES_tradnl"/>
        </w:rPr>
      </w:pPr>
      <w:r w:rsidRPr="00AB60FD">
        <w:rPr>
          <w:rFonts w:asciiTheme="majorHAnsi" w:hAnsiTheme="majorHAnsi"/>
          <w:bCs/>
          <w:sz w:val="20"/>
          <w:szCs w:val="20"/>
          <w:lang w:val="es-ES_tradnl"/>
        </w:rPr>
        <w:t>Indica que e</w:t>
      </w:r>
      <w:r w:rsidR="008C1836" w:rsidRPr="00AB60FD">
        <w:rPr>
          <w:rFonts w:asciiTheme="majorHAnsi" w:hAnsiTheme="majorHAnsi"/>
          <w:bCs/>
          <w:sz w:val="20"/>
          <w:szCs w:val="20"/>
          <w:lang w:val="es-ES_tradnl"/>
        </w:rPr>
        <w:t xml:space="preserve">l 10 y 11 de junio de 1999 los miembros de las </w:t>
      </w:r>
      <w:r w:rsidRPr="00AB60FD">
        <w:rPr>
          <w:rFonts w:asciiTheme="majorHAnsi" w:hAnsiTheme="majorHAnsi"/>
          <w:bCs/>
          <w:sz w:val="20"/>
          <w:szCs w:val="20"/>
          <w:lang w:val="es-ES_tradnl"/>
        </w:rPr>
        <w:t xml:space="preserve">FARC </w:t>
      </w:r>
      <w:r w:rsidR="008C1836" w:rsidRPr="00AB60FD">
        <w:rPr>
          <w:rFonts w:asciiTheme="majorHAnsi" w:hAnsiTheme="majorHAnsi"/>
          <w:bCs/>
          <w:sz w:val="20"/>
          <w:szCs w:val="20"/>
          <w:lang w:val="es-ES_tradnl"/>
        </w:rPr>
        <w:t>hicieron presencia en el municipio de Puerto Lleras, departamento del Meta</w:t>
      </w:r>
      <w:r w:rsidRPr="00AB60FD">
        <w:rPr>
          <w:rFonts w:asciiTheme="majorHAnsi" w:hAnsiTheme="majorHAnsi"/>
          <w:bCs/>
          <w:sz w:val="20"/>
          <w:szCs w:val="20"/>
          <w:lang w:val="es-ES_tradnl"/>
        </w:rPr>
        <w:t xml:space="preserve"> y atacaron </w:t>
      </w:r>
      <w:r w:rsidR="008C1836" w:rsidRPr="00AB60FD">
        <w:rPr>
          <w:rFonts w:asciiTheme="majorHAnsi" w:hAnsiTheme="majorHAnsi"/>
          <w:bCs/>
          <w:sz w:val="20"/>
          <w:szCs w:val="20"/>
          <w:lang w:val="es-ES_tradnl"/>
        </w:rPr>
        <w:t xml:space="preserve">las instalaciones de la estación de </w:t>
      </w:r>
      <w:r w:rsidR="00304097" w:rsidRPr="00AB60FD">
        <w:rPr>
          <w:rFonts w:asciiTheme="majorHAnsi" w:hAnsiTheme="majorHAnsi"/>
          <w:bCs/>
          <w:sz w:val="20"/>
          <w:szCs w:val="20"/>
          <w:lang w:val="es-ES_tradnl"/>
        </w:rPr>
        <w:t xml:space="preserve">la </w:t>
      </w:r>
      <w:r w:rsidR="008C1836" w:rsidRPr="00AB60FD">
        <w:rPr>
          <w:rFonts w:asciiTheme="majorHAnsi" w:hAnsiTheme="majorHAnsi"/>
          <w:bCs/>
          <w:sz w:val="20"/>
          <w:szCs w:val="20"/>
          <w:lang w:val="es-ES_tradnl"/>
        </w:rPr>
        <w:t>Policía, así como a los miembros y al personal de la institución que se encontraba en ésta. Sostiene qu</w:t>
      </w:r>
      <w:r w:rsidR="00304097" w:rsidRPr="00AB60FD">
        <w:rPr>
          <w:rFonts w:asciiTheme="majorHAnsi" w:hAnsiTheme="majorHAnsi"/>
          <w:bCs/>
          <w:sz w:val="20"/>
          <w:szCs w:val="20"/>
          <w:lang w:val="es-ES_tradnl"/>
        </w:rPr>
        <w:t>e las fuerzas policiales con apoyo del ejercito repelieron este ataque y, producto del enfrentamiento, se destruyeron varios inmuebles y bienes muebles, entre los que se encontraban las propiedades de las presuntas víctimas</w:t>
      </w:r>
      <w:r w:rsidR="00B42983" w:rsidRPr="00AB60FD">
        <w:rPr>
          <w:rStyle w:val="FootnoteReference"/>
          <w:rFonts w:asciiTheme="majorHAnsi" w:hAnsiTheme="majorHAnsi"/>
          <w:bCs/>
          <w:sz w:val="20"/>
          <w:szCs w:val="20"/>
          <w:lang w:val="es-ES_tradnl"/>
        </w:rPr>
        <w:footnoteReference w:id="6"/>
      </w:r>
      <w:r w:rsidR="00304097" w:rsidRPr="00AB60FD">
        <w:rPr>
          <w:rFonts w:asciiTheme="majorHAnsi" w:hAnsiTheme="majorHAnsi"/>
          <w:bCs/>
          <w:sz w:val="20"/>
          <w:szCs w:val="20"/>
          <w:lang w:val="es-ES_tradnl"/>
        </w:rPr>
        <w:t xml:space="preserve">. </w:t>
      </w:r>
    </w:p>
    <w:p w14:paraId="7C3C53D3" w14:textId="1CC764A9" w:rsidR="00304097" w:rsidRPr="00AB60FD" w:rsidRDefault="00304097">
      <w:pPr>
        <w:pStyle w:val="ListParagraph"/>
        <w:numPr>
          <w:ilvl w:val="0"/>
          <w:numId w:val="56"/>
        </w:numPr>
        <w:spacing w:before="240" w:after="240"/>
        <w:ind w:left="0" w:firstLine="720"/>
        <w:jc w:val="both"/>
        <w:rPr>
          <w:rFonts w:asciiTheme="majorHAnsi" w:hAnsiTheme="majorHAnsi"/>
          <w:bCs/>
          <w:sz w:val="20"/>
          <w:szCs w:val="20"/>
          <w:lang w:val="es-ES_tradnl"/>
        </w:rPr>
      </w:pPr>
      <w:r w:rsidRPr="00AB60FD">
        <w:rPr>
          <w:rFonts w:asciiTheme="majorHAnsi" w:hAnsiTheme="majorHAnsi"/>
          <w:bCs/>
          <w:sz w:val="20"/>
          <w:szCs w:val="20"/>
          <w:lang w:val="es-ES_tradnl"/>
        </w:rPr>
        <w:t xml:space="preserve">Arguye que las fuerzas de seguridad no guardaron prudencia y control </w:t>
      </w:r>
      <w:r w:rsidR="00B82B11" w:rsidRPr="00AB60FD">
        <w:rPr>
          <w:rFonts w:asciiTheme="majorHAnsi" w:hAnsiTheme="majorHAnsi"/>
          <w:bCs/>
          <w:sz w:val="20"/>
          <w:szCs w:val="20"/>
          <w:lang w:val="es-ES_tradnl"/>
        </w:rPr>
        <w:t>en el</w:t>
      </w:r>
      <w:r w:rsidRPr="00AB60FD">
        <w:rPr>
          <w:rFonts w:asciiTheme="majorHAnsi" w:hAnsiTheme="majorHAnsi"/>
          <w:bCs/>
          <w:sz w:val="20"/>
          <w:szCs w:val="20"/>
          <w:lang w:val="es-ES_tradnl"/>
        </w:rPr>
        <w:t xml:space="preserve"> uso de las armas de alto calibre, dado que dispararon de forma desproporcionad</w:t>
      </w:r>
      <w:r w:rsidR="00307DEA" w:rsidRPr="00AB60FD">
        <w:rPr>
          <w:rFonts w:asciiTheme="majorHAnsi" w:hAnsiTheme="majorHAnsi"/>
          <w:bCs/>
          <w:sz w:val="20"/>
          <w:szCs w:val="20"/>
          <w:lang w:val="es-ES_tradnl"/>
        </w:rPr>
        <w:t>a</w:t>
      </w:r>
      <w:r w:rsidRPr="00AB60FD">
        <w:rPr>
          <w:rFonts w:asciiTheme="majorHAnsi" w:hAnsiTheme="majorHAnsi"/>
          <w:bCs/>
          <w:sz w:val="20"/>
          <w:szCs w:val="20"/>
          <w:lang w:val="es-ES_tradnl"/>
        </w:rPr>
        <w:t xml:space="preserve"> y arbitraria sobre la población civil y sus bienes. </w:t>
      </w:r>
      <w:r w:rsidR="00976B22" w:rsidRPr="00AB60FD">
        <w:rPr>
          <w:rFonts w:asciiTheme="majorHAnsi" w:hAnsiTheme="majorHAnsi"/>
          <w:bCs/>
          <w:sz w:val="20"/>
          <w:szCs w:val="20"/>
          <w:lang w:val="es-ES_tradnl"/>
        </w:rPr>
        <w:t>Además, refiere que las autoridades municipales, departamentales y nacionales tenían conocimiento de la reiterada presencia subversiva en el sector, y a pesar de ello, omitieron cumplir su deber de protección y seguridad en favor de la población.</w:t>
      </w:r>
    </w:p>
    <w:p w14:paraId="24CB5642" w14:textId="092050C3" w:rsidR="00B42983" w:rsidRPr="00AB60FD" w:rsidRDefault="00B42983" w:rsidP="00B42983">
      <w:pPr>
        <w:pStyle w:val="ListParagraph"/>
        <w:spacing w:before="240" w:after="240"/>
        <w:jc w:val="both"/>
        <w:rPr>
          <w:rFonts w:asciiTheme="majorHAnsi" w:hAnsiTheme="majorHAnsi"/>
          <w:bCs/>
          <w:i/>
          <w:iCs/>
          <w:sz w:val="20"/>
          <w:szCs w:val="20"/>
          <w:lang w:val="es-ES_tradnl"/>
        </w:rPr>
      </w:pPr>
      <w:r w:rsidRPr="00AB60FD">
        <w:rPr>
          <w:rFonts w:asciiTheme="majorHAnsi" w:hAnsiTheme="majorHAnsi"/>
          <w:bCs/>
          <w:i/>
          <w:iCs/>
          <w:sz w:val="20"/>
          <w:szCs w:val="20"/>
          <w:lang w:val="es-ES_tradnl"/>
        </w:rPr>
        <w:t>Demanda contenciosa administrativa</w:t>
      </w:r>
    </w:p>
    <w:p w14:paraId="3E8D4D05" w14:textId="04638FCE" w:rsidR="00930C1E" w:rsidRPr="00AB60FD" w:rsidRDefault="008C1836">
      <w:pPr>
        <w:pStyle w:val="ListParagraph"/>
        <w:numPr>
          <w:ilvl w:val="0"/>
          <w:numId w:val="56"/>
        </w:numPr>
        <w:spacing w:before="240" w:after="240"/>
        <w:ind w:left="0" w:firstLine="720"/>
        <w:jc w:val="both"/>
        <w:rPr>
          <w:rFonts w:asciiTheme="majorHAnsi" w:hAnsiTheme="majorHAnsi"/>
          <w:bCs/>
          <w:sz w:val="20"/>
          <w:szCs w:val="20"/>
          <w:lang w:val="es-ES_tradnl"/>
        </w:rPr>
      </w:pPr>
      <w:r w:rsidRPr="00AB60FD">
        <w:rPr>
          <w:rFonts w:asciiTheme="majorHAnsi" w:hAnsiTheme="majorHAnsi"/>
          <w:bCs/>
          <w:sz w:val="20"/>
          <w:szCs w:val="20"/>
          <w:lang w:val="es-ES_tradnl"/>
        </w:rPr>
        <w:t xml:space="preserve">En razón a ello, </w:t>
      </w:r>
      <w:r w:rsidR="00930C1E" w:rsidRPr="00AB60FD">
        <w:rPr>
          <w:rFonts w:asciiTheme="majorHAnsi" w:hAnsiTheme="majorHAnsi"/>
          <w:bCs/>
          <w:sz w:val="20"/>
          <w:szCs w:val="20"/>
          <w:lang w:val="es-ES_tradnl"/>
        </w:rPr>
        <w:t xml:space="preserve">el 7 de junio de 2001 </w:t>
      </w:r>
      <w:r w:rsidRPr="00AB60FD">
        <w:rPr>
          <w:rFonts w:asciiTheme="majorHAnsi" w:hAnsiTheme="majorHAnsi"/>
          <w:bCs/>
          <w:sz w:val="20"/>
          <w:szCs w:val="20"/>
          <w:lang w:val="es-ES_tradnl"/>
        </w:rPr>
        <w:t xml:space="preserve">las presuntas víctimas iniciaron una acción de reparación directa ante la jurisdicción de lo Contencioso Administrativo, por medio de la cual pudieron obtener una reparación de los presuntos daños alegados. </w:t>
      </w:r>
      <w:r w:rsidR="00B42983" w:rsidRPr="00AB60FD">
        <w:rPr>
          <w:rFonts w:asciiTheme="majorHAnsi" w:hAnsiTheme="majorHAnsi"/>
          <w:bCs/>
          <w:sz w:val="20"/>
          <w:szCs w:val="20"/>
          <w:lang w:val="es-ES_tradnl"/>
        </w:rPr>
        <w:t xml:space="preserve">No obstante, refiere que </w:t>
      </w:r>
      <w:r w:rsidRPr="00AB60FD">
        <w:rPr>
          <w:rFonts w:asciiTheme="majorHAnsi" w:hAnsiTheme="majorHAnsi"/>
          <w:bCs/>
          <w:sz w:val="20"/>
          <w:szCs w:val="20"/>
          <w:lang w:val="es-ES_tradnl"/>
        </w:rPr>
        <w:t xml:space="preserve">el 13 de septiembre de 2005 el Tribunal Administrativo del Meta </w:t>
      </w:r>
      <w:r w:rsidR="00B42983" w:rsidRPr="00AB60FD">
        <w:rPr>
          <w:rFonts w:asciiTheme="majorHAnsi" w:hAnsiTheme="majorHAnsi"/>
          <w:bCs/>
          <w:sz w:val="20"/>
          <w:szCs w:val="20"/>
          <w:lang w:val="es-ES_tradnl"/>
        </w:rPr>
        <w:t xml:space="preserve">rechazó la demanda, al considerar </w:t>
      </w:r>
      <w:r w:rsidR="00930C1E" w:rsidRPr="00AB60FD">
        <w:rPr>
          <w:rFonts w:asciiTheme="majorHAnsi" w:hAnsiTheme="majorHAnsi"/>
          <w:bCs/>
          <w:sz w:val="20"/>
          <w:szCs w:val="20"/>
          <w:lang w:val="es-ES_tradnl"/>
        </w:rPr>
        <w:t>lo siguiente:</w:t>
      </w:r>
    </w:p>
    <w:p w14:paraId="2DF2822E" w14:textId="0442BB0A" w:rsidR="00930C1E" w:rsidRPr="00AB60FD" w:rsidRDefault="00930C1E" w:rsidP="001E4381">
      <w:pPr>
        <w:pStyle w:val="ListParagraph"/>
        <w:spacing w:before="240" w:after="240"/>
        <w:ind w:right="720"/>
        <w:jc w:val="both"/>
        <w:rPr>
          <w:rFonts w:asciiTheme="majorHAnsi" w:hAnsiTheme="majorHAnsi"/>
          <w:bCs/>
          <w:sz w:val="20"/>
          <w:szCs w:val="20"/>
          <w:lang w:val="es-ES_tradnl"/>
        </w:rPr>
      </w:pPr>
      <w:r w:rsidRPr="00AB60FD">
        <w:rPr>
          <w:rFonts w:asciiTheme="majorHAnsi" w:hAnsiTheme="majorHAnsi"/>
          <w:bCs/>
          <w:sz w:val="20"/>
          <w:szCs w:val="20"/>
          <w:lang w:val="es-ES_tradnl"/>
        </w:rPr>
        <w:t xml:space="preserve">El examen detenido y detallado a la documental anexa al expediente permiten determinar a la Sala, que la destrucción de los bienes tanto muebles como inmuebles de los demandantes acaeció por el hecho exclusivo y determinante de un tercero, esto es, la subversión, que de forma aleve y contraviniendo lo consagrado en el Derecho Internacional Humanitario, implementó el uso de armamento no convencional, con el fin de doblegar la voluntad de combate de las Fuerzas del Estado que repelieron la toma a la población. </w:t>
      </w:r>
      <w:r w:rsidR="00497F95" w:rsidRPr="00AB60FD">
        <w:rPr>
          <w:rFonts w:asciiTheme="majorHAnsi" w:hAnsiTheme="majorHAnsi"/>
          <w:bCs/>
          <w:sz w:val="20"/>
          <w:szCs w:val="20"/>
          <w:lang w:val="es-ES_tradnl"/>
        </w:rPr>
        <w:t>[</w:t>
      </w:r>
      <w:r w:rsidRPr="00AB60FD">
        <w:rPr>
          <w:rFonts w:asciiTheme="majorHAnsi" w:hAnsiTheme="majorHAnsi"/>
          <w:bCs/>
          <w:sz w:val="20"/>
          <w:szCs w:val="20"/>
          <w:lang w:val="es-ES_tradnl"/>
        </w:rPr>
        <w:t>…</w:t>
      </w:r>
      <w:r w:rsidR="00497F95" w:rsidRPr="00AB60FD">
        <w:rPr>
          <w:rFonts w:asciiTheme="majorHAnsi" w:hAnsiTheme="majorHAnsi"/>
          <w:bCs/>
          <w:sz w:val="20"/>
          <w:szCs w:val="20"/>
          <w:lang w:val="es-ES_tradnl"/>
        </w:rPr>
        <w:t>]</w:t>
      </w:r>
    </w:p>
    <w:p w14:paraId="46705DD5" w14:textId="7EBE4A72" w:rsidR="00930C1E" w:rsidRPr="00AB60FD" w:rsidRDefault="00930C1E" w:rsidP="001E4381">
      <w:pPr>
        <w:pStyle w:val="ListParagraph"/>
        <w:spacing w:before="240" w:after="240"/>
        <w:ind w:right="720"/>
        <w:jc w:val="both"/>
        <w:rPr>
          <w:rFonts w:asciiTheme="majorHAnsi" w:hAnsiTheme="majorHAnsi"/>
          <w:bCs/>
          <w:sz w:val="20"/>
          <w:szCs w:val="20"/>
          <w:lang w:val="es-ES_tradnl"/>
        </w:rPr>
      </w:pPr>
      <w:r w:rsidRPr="00AB60FD">
        <w:rPr>
          <w:rFonts w:asciiTheme="majorHAnsi" w:hAnsiTheme="majorHAnsi"/>
          <w:bCs/>
          <w:sz w:val="20"/>
          <w:szCs w:val="20"/>
          <w:lang w:val="es-ES_tradnl"/>
        </w:rPr>
        <w:t>No surge, pues, en este caso, la omisión del Estado en brindar protección a los bienes de los demandantes, lo cual debe ser determinante en la producción del daño antijurídico que se reclama. Ya que no aparece en el plenario con anterioridad a la incursión subversiva, algún tipo de misiva dirigida a la autoridad encargada de proteger la vida y bienes de los ciudadanos; evento que solo ocurre con posterioridad a los lamentables hechos que afectaron la vida y patrimonio de los pobladores del Municipio.</w:t>
      </w:r>
    </w:p>
    <w:p w14:paraId="653AF3A5" w14:textId="035003AB" w:rsidR="00930C1E" w:rsidRPr="00AB60FD" w:rsidRDefault="00930C1E" w:rsidP="001E4381">
      <w:pPr>
        <w:pStyle w:val="ListParagraph"/>
        <w:spacing w:before="240" w:after="240"/>
        <w:ind w:right="720"/>
        <w:jc w:val="both"/>
        <w:rPr>
          <w:rFonts w:asciiTheme="majorHAnsi" w:hAnsiTheme="majorHAnsi"/>
          <w:bCs/>
          <w:sz w:val="20"/>
          <w:szCs w:val="20"/>
          <w:lang w:val="es-ES_tradnl"/>
        </w:rPr>
      </w:pPr>
      <w:r w:rsidRPr="00AB60FD">
        <w:rPr>
          <w:rFonts w:asciiTheme="majorHAnsi" w:hAnsiTheme="majorHAnsi"/>
          <w:bCs/>
          <w:sz w:val="20"/>
          <w:szCs w:val="20"/>
          <w:lang w:val="es-ES_tradnl"/>
        </w:rPr>
        <w:t>Por consiguiente, no existe el necesario nexo causal entre la conducta omisiva del Estado y el daño producido que, como se explicó inicialmente, es el primero de los elementos en su orden para establecer la imputabilidad al Estado.</w:t>
      </w:r>
    </w:p>
    <w:p w14:paraId="2FA970D1" w14:textId="7FCFC47A" w:rsidR="00930C1E" w:rsidRPr="00AB60FD" w:rsidRDefault="00930C1E" w:rsidP="001E4381">
      <w:pPr>
        <w:pStyle w:val="ListParagraph"/>
        <w:spacing w:before="240" w:after="240"/>
        <w:ind w:right="720"/>
        <w:jc w:val="both"/>
        <w:rPr>
          <w:rFonts w:asciiTheme="majorHAnsi" w:hAnsiTheme="majorHAnsi"/>
          <w:bCs/>
          <w:sz w:val="20"/>
          <w:szCs w:val="20"/>
          <w:lang w:val="es-ES_tradnl"/>
        </w:rPr>
      </w:pPr>
      <w:r w:rsidRPr="00AB60FD">
        <w:rPr>
          <w:rFonts w:asciiTheme="majorHAnsi" w:hAnsiTheme="majorHAnsi"/>
          <w:bCs/>
          <w:sz w:val="20"/>
          <w:szCs w:val="20"/>
          <w:lang w:val="es-ES_tradnl"/>
        </w:rPr>
        <w:t xml:space="preserve">Por el </w:t>
      </w:r>
      <w:r w:rsidR="004A0FC5" w:rsidRPr="00AB60FD">
        <w:rPr>
          <w:rFonts w:asciiTheme="majorHAnsi" w:hAnsiTheme="majorHAnsi"/>
          <w:bCs/>
          <w:sz w:val="20"/>
          <w:szCs w:val="20"/>
          <w:lang w:val="es-ES_tradnl"/>
        </w:rPr>
        <w:t>contrario,</w:t>
      </w:r>
      <w:r w:rsidRPr="00AB60FD">
        <w:rPr>
          <w:rFonts w:asciiTheme="majorHAnsi" w:hAnsiTheme="majorHAnsi"/>
          <w:bCs/>
          <w:sz w:val="20"/>
          <w:szCs w:val="20"/>
          <w:lang w:val="es-ES_tradnl"/>
        </w:rPr>
        <w:t xml:space="preserve"> lo que s</w:t>
      </w:r>
      <w:r w:rsidR="004A0FC5" w:rsidRPr="00AB60FD">
        <w:rPr>
          <w:rFonts w:asciiTheme="majorHAnsi" w:hAnsiTheme="majorHAnsi"/>
          <w:bCs/>
          <w:sz w:val="20"/>
          <w:szCs w:val="20"/>
          <w:lang w:val="es-ES_tradnl"/>
        </w:rPr>
        <w:t>í</w:t>
      </w:r>
      <w:r w:rsidRPr="00AB60FD">
        <w:rPr>
          <w:rFonts w:asciiTheme="majorHAnsi" w:hAnsiTheme="majorHAnsi"/>
          <w:bCs/>
          <w:sz w:val="20"/>
          <w:szCs w:val="20"/>
          <w:lang w:val="es-ES_tradnl"/>
        </w:rPr>
        <w:t xml:space="preserve"> surge claro e indiscutible en el plenario, es la asignación de subsidio familiar de vivienda por parte del INURBE, en virtud de la medida adoptada por el Gobierno </w:t>
      </w:r>
      <w:r w:rsidRPr="00AB60FD">
        <w:rPr>
          <w:rFonts w:asciiTheme="majorHAnsi" w:hAnsiTheme="majorHAnsi"/>
          <w:bCs/>
          <w:sz w:val="20"/>
          <w:szCs w:val="20"/>
          <w:lang w:val="es-ES_tradnl"/>
        </w:rPr>
        <w:lastRenderedPageBreak/>
        <w:t xml:space="preserve">Nacional, dirigida a beneficiar a los hogares damnificados por la toma guerrillera acontecida en dicho municipio, del cual fueron beneficiarios los actores, </w:t>
      </w:r>
      <w:r w:rsidR="0008719E" w:rsidRPr="00AB60FD">
        <w:rPr>
          <w:rFonts w:asciiTheme="majorHAnsi" w:hAnsiTheme="majorHAnsi"/>
          <w:bCs/>
          <w:sz w:val="20"/>
          <w:szCs w:val="20"/>
          <w:lang w:val="es-ES_tradnl"/>
        </w:rPr>
        <w:t>de acuerdo con</w:t>
      </w:r>
      <w:r w:rsidRPr="00AB60FD">
        <w:rPr>
          <w:rFonts w:asciiTheme="majorHAnsi" w:hAnsiTheme="majorHAnsi"/>
          <w:bCs/>
          <w:sz w:val="20"/>
          <w:szCs w:val="20"/>
          <w:lang w:val="es-ES_tradnl"/>
        </w:rPr>
        <w:t xml:space="preserve"> certificación emitida por esa entidad</w:t>
      </w:r>
      <w:r w:rsidR="004A0FC5" w:rsidRPr="00AB60FD">
        <w:rPr>
          <w:rFonts w:asciiTheme="majorHAnsi" w:hAnsiTheme="majorHAnsi"/>
          <w:bCs/>
          <w:sz w:val="20"/>
          <w:szCs w:val="20"/>
          <w:lang w:val="es-ES_tradnl"/>
        </w:rPr>
        <w:t xml:space="preserve"> </w:t>
      </w:r>
      <w:r w:rsidR="00497F95" w:rsidRPr="00AB60FD">
        <w:rPr>
          <w:rFonts w:asciiTheme="majorHAnsi" w:hAnsiTheme="majorHAnsi"/>
          <w:bCs/>
          <w:sz w:val="20"/>
          <w:szCs w:val="20"/>
          <w:lang w:val="es-ES_tradnl"/>
        </w:rPr>
        <w:t>[</w:t>
      </w:r>
      <w:r w:rsidR="004A0FC5" w:rsidRPr="00AB60FD">
        <w:rPr>
          <w:rFonts w:asciiTheme="majorHAnsi" w:hAnsiTheme="majorHAnsi"/>
          <w:bCs/>
          <w:sz w:val="20"/>
          <w:szCs w:val="20"/>
          <w:lang w:val="es-ES_tradnl"/>
        </w:rPr>
        <w:t>…</w:t>
      </w:r>
      <w:r w:rsidR="00497F95" w:rsidRPr="00AB60FD">
        <w:rPr>
          <w:rFonts w:asciiTheme="majorHAnsi" w:hAnsiTheme="majorHAnsi"/>
          <w:bCs/>
          <w:sz w:val="20"/>
          <w:szCs w:val="20"/>
          <w:lang w:val="es-ES_tradnl"/>
        </w:rPr>
        <w:t>]</w:t>
      </w:r>
      <w:r w:rsidR="004A0FC5" w:rsidRPr="00AB60FD">
        <w:rPr>
          <w:rFonts w:asciiTheme="majorHAnsi" w:hAnsiTheme="majorHAnsi"/>
          <w:bCs/>
          <w:sz w:val="20"/>
          <w:szCs w:val="20"/>
          <w:lang w:val="es-ES_tradnl"/>
        </w:rPr>
        <w:t>.</w:t>
      </w:r>
    </w:p>
    <w:p w14:paraId="21F742B8" w14:textId="513AF9DC" w:rsidR="008C1836" w:rsidRPr="00AB60FD" w:rsidRDefault="008C1836">
      <w:pPr>
        <w:pStyle w:val="ListParagraph"/>
        <w:numPr>
          <w:ilvl w:val="0"/>
          <w:numId w:val="56"/>
        </w:numPr>
        <w:spacing w:before="240" w:after="240"/>
        <w:ind w:left="0" w:firstLine="720"/>
        <w:jc w:val="both"/>
        <w:rPr>
          <w:rFonts w:asciiTheme="majorHAnsi" w:hAnsiTheme="majorHAnsi"/>
          <w:bCs/>
          <w:sz w:val="20"/>
          <w:szCs w:val="20"/>
          <w:lang w:val="es-ES_tradnl"/>
        </w:rPr>
      </w:pPr>
      <w:r w:rsidRPr="00AB60FD">
        <w:rPr>
          <w:rFonts w:asciiTheme="majorHAnsi" w:hAnsiTheme="majorHAnsi"/>
          <w:bCs/>
          <w:sz w:val="20"/>
          <w:szCs w:val="20"/>
          <w:lang w:val="es-ES_tradnl"/>
        </w:rPr>
        <w:t xml:space="preserve">Refiere que las presuntas víctimas apelaron esta decisión, pero el 13 de marzo de </w:t>
      </w:r>
      <w:r w:rsidR="00307DEA" w:rsidRPr="00AB60FD">
        <w:rPr>
          <w:rFonts w:asciiTheme="majorHAnsi" w:hAnsiTheme="majorHAnsi"/>
          <w:bCs/>
          <w:sz w:val="20"/>
          <w:szCs w:val="20"/>
          <w:lang w:val="es-ES_tradnl"/>
        </w:rPr>
        <w:t>2006 la</w:t>
      </w:r>
      <w:r w:rsidR="00A20D36" w:rsidRPr="00AB60FD">
        <w:rPr>
          <w:rFonts w:asciiTheme="majorHAnsi" w:hAnsiTheme="majorHAnsi"/>
          <w:bCs/>
          <w:sz w:val="20"/>
          <w:szCs w:val="20"/>
          <w:lang w:val="es-ES_tradnl"/>
        </w:rPr>
        <w:t xml:space="preserve"> Sección Tercera del Consejo de Estado </w:t>
      </w:r>
      <w:r w:rsidRPr="00AB60FD">
        <w:rPr>
          <w:rFonts w:asciiTheme="majorHAnsi" w:hAnsiTheme="majorHAnsi"/>
          <w:bCs/>
          <w:sz w:val="20"/>
          <w:szCs w:val="20"/>
          <w:lang w:val="es-ES_tradnl"/>
        </w:rPr>
        <w:t xml:space="preserve">inadmitió este recurso, en razón a la cuantía del proceso. Finalmente, señala que las presuntas víctimas presentaron un recurso ordinario de súplica; sin embargo, el 11 de octubre de 2006 </w:t>
      </w:r>
      <w:r w:rsidR="00A20D36" w:rsidRPr="00AB60FD">
        <w:rPr>
          <w:rFonts w:asciiTheme="majorHAnsi" w:hAnsiTheme="majorHAnsi"/>
          <w:bCs/>
          <w:sz w:val="20"/>
          <w:szCs w:val="20"/>
          <w:lang w:val="es-ES_tradnl"/>
        </w:rPr>
        <w:t xml:space="preserve">el Consejo de Estado </w:t>
      </w:r>
      <w:r w:rsidRPr="00AB60FD">
        <w:rPr>
          <w:rFonts w:asciiTheme="majorHAnsi" w:hAnsiTheme="majorHAnsi"/>
          <w:bCs/>
          <w:sz w:val="20"/>
          <w:szCs w:val="20"/>
          <w:lang w:val="es-ES_tradnl"/>
        </w:rPr>
        <w:t xml:space="preserve">confirmó </w:t>
      </w:r>
      <w:r w:rsidR="00A20D36" w:rsidRPr="00AB60FD">
        <w:rPr>
          <w:rFonts w:asciiTheme="majorHAnsi" w:hAnsiTheme="majorHAnsi"/>
          <w:bCs/>
          <w:sz w:val="20"/>
          <w:szCs w:val="20"/>
          <w:lang w:val="es-ES_tradnl"/>
        </w:rPr>
        <w:t>las resoluciones previas</w:t>
      </w:r>
      <w:r w:rsidRPr="00AB60FD">
        <w:rPr>
          <w:rFonts w:asciiTheme="majorHAnsi" w:hAnsiTheme="majorHAnsi"/>
          <w:bCs/>
          <w:sz w:val="20"/>
          <w:szCs w:val="20"/>
          <w:lang w:val="es-ES_tradnl"/>
        </w:rPr>
        <w:t xml:space="preserve">. Esta decisión se notificó el 8 de noviembre de 2006. </w:t>
      </w:r>
    </w:p>
    <w:p w14:paraId="1BF5DB70" w14:textId="098200D8" w:rsidR="00BE58BB" w:rsidRPr="00AB60FD" w:rsidRDefault="00BE58BB" w:rsidP="00BE58BB">
      <w:pPr>
        <w:pStyle w:val="ListParagraph"/>
        <w:spacing w:before="240" w:after="240"/>
        <w:jc w:val="both"/>
        <w:rPr>
          <w:rFonts w:asciiTheme="majorHAnsi" w:hAnsiTheme="majorHAnsi"/>
          <w:bCs/>
          <w:i/>
          <w:iCs/>
          <w:sz w:val="20"/>
          <w:szCs w:val="20"/>
          <w:lang w:val="es-ES_tradnl"/>
        </w:rPr>
      </w:pPr>
      <w:r w:rsidRPr="00AB60FD">
        <w:rPr>
          <w:rFonts w:asciiTheme="majorHAnsi" w:hAnsiTheme="majorHAnsi"/>
          <w:bCs/>
          <w:i/>
          <w:iCs/>
          <w:sz w:val="20"/>
          <w:szCs w:val="20"/>
          <w:lang w:val="es-ES_tradnl"/>
        </w:rPr>
        <w:t>Investigación penal</w:t>
      </w:r>
    </w:p>
    <w:p w14:paraId="0BF64A10" w14:textId="41D96BAE" w:rsidR="00BE58BB" w:rsidRPr="00AB60FD" w:rsidRDefault="004A0FC5">
      <w:pPr>
        <w:pStyle w:val="ListParagraph"/>
        <w:numPr>
          <w:ilvl w:val="0"/>
          <w:numId w:val="56"/>
        </w:numPr>
        <w:spacing w:before="240" w:after="240"/>
        <w:ind w:left="0" w:firstLine="720"/>
        <w:jc w:val="both"/>
        <w:rPr>
          <w:rFonts w:asciiTheme="majorHAnsi" w:hAnsiTheme="majorHAnsi"/>
          <w:bCs/>
          <w:sz w:val="20"/>
          <w:szCs w:val="20"/>
          <w:lang w:val="es-ES_tradnl"/>
        </w:rPr>
      </w:pPr>
      <w:r w:rsidRPr="00AB60FD">
        <w:rPr>
          <w:rFonts w:asciiTheme="majorHAnsi" w:hAnsiTheme="majorHAnsi"/>
          <w:bCs/>
          <w:sz w:val="20"/>
          <w:szCs w:val="20"/>
          <w:lang w:val="es-ES_tradnl"/>
        </w:rPr>
        <w:t>Sin brindar muchos detalles, afirma que la Fiscalía</w:t>
      </w:r>
      <w:r w:rsidR="0063225E" w:rsidRPr="00AB60FD">
        <w:rPr>
          <w:rFonts w:asciiTheme="majorHAnsi" w:hAnsiTheme="majorHAnsi"/>
          <w:bCs/>
          <w:sz w:val="20"/>
          <w:szCs w:val="20"/>
          <w:lang w:val="es-ES_tradnl"/>
        </w:rPr>
        <w:t xml:space="preserve"> </w:t>
      </w:r>
      <w:r w:rsidRPr="00AB60FD">
        <w:rPr>
          <w:rFonts w:asciiTheme="majorHAnsi" w:hAnsiTheme="majorHAnsi"/>
          <w:bCs/>
          <w:sz w:val="20"/>
          <w:szCs w:val="20"/>
          <w:lang w:val="es-ES_tradnl"/>
        </w:rPr>
        <w:t xml:space="preserve">General de la Nación abrió una investigación penal contra varios paramilitares e integrantes del Ejército Nacional. No obstante, indica que este proceso concluyó exonerando a los responsables de los hechos. Agrega que las autoridades no notificaron ni concedieron recursos a las presuntas víctimas, ya que tenían que convertirse en parte civil dentro del trámite del proceso penal, pero por seguridad y temor dichas personas no realizaron estas gestiones. </w:t>
      </w:r>
    </w:p>
    <w:p w14:paraId="79AAEAC3" w14:textId="185C5FDA" w:rsidR="00B42983" w:rsidRPr="00AB60FD" w:rsidRDefault="00B42983" w:rsidP="00B42983">
      <w:pPr>
        <w:pStyle w:val="ListParagraph"/>
        <w:spacing w:before="240" w:after="240"/>
        <w:jc w:val="both"/>
        <w:rPr>
          <w:rFonts w:asciiTheme="majorHAnsi" w:hAnsiTheme="majorHAnsi"/>
          <w:bCs/>
          <w:i/>
          <w:iCs/>
          <w:sz w:val="20"/>
          <w:szCs w:val="20"/>
          <w:lang w:val="es-ES_tradnl"/>
        </w:rPr>
      </w:pPr>
      <w:r w:rsidRPr="00AB60FD">
        <w:rPr>
          <w:rFonts w:asciiTheme="majorHAnsi" w:hAnsiTheme="majorHAnsi"/>
          <w:bCs/>
          <w:i/>
          <w:iCs/>
          <w:sz w:val="20"/>
          <w:szCs w:val="20"/>
          <w:lang w:val="es-ES_tradnl"/>
        </w:rPr>
        <w:t>Consideraciones finales</w:t>
      </w:r>
    </w:p>
    <w:p w14:paraId="1F87AEF1" w14:textId="52CF5C98" w:rsidR="00B42983" w:rsidRPr="00AB60FD" w:rsidRDefault="00307DEA">
      <w:pPr>
        <w:pStyle w:val="ListParagraph"/>
        <w:numPr>
          <w:ilvl w:val="0"/>
          <w:numId w:val="56"/>
        </w:numPr>
        <w:spacing w:before="240" w:after="240"/>
        <w:ind w:left="0" w:firstLine="720"/>
        <w:jc w:val="both"/>
        <w:rPr>
          <w:rFonts w:asciiTheme="majorHAnsi" w:hAnsiTheme="majorHAnsi"/>
          <w:bCs/>
          <w:sz w:val="20"/>
          <w:szCs w:val="20"/>
          <w:lang w:val="es-ES_tradnl"/>
        </w:rPr>
      </w:pPr>
      <w:r w:rsidRPr="00AB60FD">
        <w:rPr>
          <w:rFonts w:asciiTheme="majorHAnsi" w:hAnsiTheme="majorHAnsi"/>
          <w:bCs/>
          <w:sz w:val="20"/>
          <w:szCs w:val="20"/>
          <w:lang w:val="es-ES_tradnl"/>
        </w:rPr>
        <w:t>Con base en estas consideraciones, l</w:t>
      </w:r>
      <w:r w:rsidR="00B42983" w:rsidRPr="00AB60FD">
        <w:rPr>
          <w:rFonts w:asciiTheme="majorHAnsi" w:hAnsiTheme="majorHAnsi"/>
          <w:bCs/>
          <w:sz w:val="20"/>
          <w:szCs w:val="20"/>
          <w:lang w:val="es-ES_tradnl"/>
        </w:rPr>
        <w:t xml:space="preserve">a parte peticionaria denuncia que el Estado negó el derecho a la doble instancia de las presuntas víctimas </w:t>
      </w:r>
      <w:r w:rsidR="00BE58BB" w:rsidRPr="00AB60FD">
        <w:rPr>
          <w:rFonts w:asciiTheme="majorHAnsi" w:hAnsiTheme="majorHAnsi"/>
          <w:bCs/>
          <w:sz w:val="20"/>
          <w:szCs w:val="20"/>
          <w:lang w:val="es-ES_tradnl"/>
        </w:rPr>
        <w:t>y le impidió acceder a la justicia, por lo cual</w:t>
      </w:r>
      <w:r w:rsidR="00B42983" w:rsidRPr="00AB60FD">
        <w:rPr>
          <w:rFonts w:asciiTheme="majorHAnsi" w:hAnsiTheme="majorHAnsi"/>
          <w:bCs/>
          <w:sz w:val="20"/>
          <w:szCs w:val="20"/>
          <w:lang w:val="es-ES_tradnl"/>
        </w:rPr>
        <w:t xml:space="preserve"> resulta procedente aplicar alguna de las excepciones al agotamiento de la jurisdicción interna previstas en los incisos a) o b) del artículo 46.2 de la Convención Americana. </w:t>
      </w:r>
      <w:r w:rsidR="00BE58BB" w:rsidRPr="00AB60FD">
        <w:rPr>
          <w:rFonts w:asciiTheme="majorHAnsi" w:hAnsiTheme="majorHAnsi"/>
          <w:bCs/>
          <w:sz w:val="20"/>
          <w:szCs w:val="20"/>
          <w:lang w:val="es-ES_tradnl"/>
        </w:rPr>
        <w:t>Asimismo, arguye que la cita</w:t>
      </w:r>
      <w:r w:rsidR="00DC2A80" w:rsidRPr="00AB60FD">
        <w:rPr>
          <w:rFonts w:asciiTheme="majorHAnsi" w:hAnsiTheme="majorHAnsi"/>
          <w:bCs/>
          <w:sz w:val="20"/>
          <w:szCs w:val="20"/>
          <w:lang w:val="es-ES_tradnl"/>
        </w:rPr>
        <w:t>da</w:t>
      </w:r>
      <w:r w:rsidR="00BE58BB" w:rsidRPr="00AB60FD">
        <w:rPr>
          <w:rFonts w:asciiTheme="majorHAnsi" w:hAnsiTheme="majorHAnsi"/>
          <w:bCs/>
          <w:sz w:val="20"/>
          <w:szCs w:val="20"/>
          <w:lang w:val="es-ES_tradnl"/>
        </w:rPr>
        <w:t xml:space="preserve"> situación también vulnero el derecho a la igualdad ante la ley de las presuntas víctimas, al brindarles un tratamiento diferenciado </w:t>
      </w:r>
      <w:r w:rsidR="00A20D36" w:rsidRPr="00AB60FD">
        <w:rPr>
          <w:rFonts w:asciiTheme="majorHAnsi" w:hAnsiTheme="majorHAnsi"/>
          <w:bCs/>
          <w:sz w:val="20"/>
          <w:szCs w:val="20"/>
          <w:lang w:val="es-ES_tradnl"/>
        </w:rPr>
        <w:t>debido a</w:t>
      </w:r>
      <w:r w:rsidR="00BE58BB" w:rsidRPr="00AB60FD">
        <w:rPr>
          <w:rFonts w:asciiTheme="majorHAnsi" w:hAnsiTheme="majorHAnsi"/>
          <w:bCs/>
          <w:sz w:val="20"/>
          <w:szCs w:val="20"/>
          <w:lang w:val="es-ES_tradnl"/>
        </w:rPr>
        <w:t xml:space="preserve"> la cuantía de su demanda. </w:t>
      </w:r>
    </w:p>
    <w:p w14:paraId="1DB86026" w14:textId="015FE70D" w:rsidR="00A20D36" w:rsidRPr="00AB60FD" w:rsidRDefault="00A20D36">
      <w:pPr>
        <w:pStyle w:val="ListParagraph"/>
        <w:numPr>
          <w:ilvl w:val="0"/>
          <w:numId w:val="56"/>
        </w:numPr>
        <w:spacing w:before="240" w:after="240"/>
        <w:ind w:left="0" w:firstLine="720"/>
        <w:jc w:val="both"/>
        <w:rPr>
          <w:rFonts w:asciiTheme="majorHAnsi" w:hAnsiTheme="majorHAnsi"/>
          <w:bCs/>
          <w:sz w:val="20"/>
          <w:szCs w:val="20"/>
          <w:lang w:val="es-ES_tradnl"/>
        </w:rPr>
      </w:pPr>
      <w:r w:rsidRPr="00AB60FD">
        <w:rPr>
          <w:rFonts w:asciiTheme="majorHAnsi" w:hAnsiTheme="majorHAnsi"/>
          <w:bCs/>
          <w:sz w:val="20"/>
          <w:szCs w:val="20"/>
          <w:lang w:val="es-ES_tradnl"/>
        </w:rPr>
        <w:t xml:space="preserve">Asimismo, indica que no se notificó a las presuntas víctimas sobre las decisiones judiciales adoptadas en el proceso penal que adelantó la Fiscalía General de la Nación de Colombia, ni se conoce el estado o resultados de este. En consecuencia, a juicio de la parte peticionaria, </w:t>
      </w:r>
      <w:r w:rsidR="00B0632A" w:rsidRPr="00AB60FD">
        <w:rPr>
          <w:rFonts w:asciiTheme="majorHAnsi" w:hAnsiTheme="majorHAnsi"/>
          <w:bCs/>
          <w:sz w:val="20"/>
          <w:szCs w:val="20"/>
          <w:lang w:val="es-ES_tradnl"/>
        </w:rPr>
        <w:t xml:space="preserve">el Estado también violó el derecho al debido proceso en este recurso y, por ende, resulta aplicable alguna de las excepciones previstas en el artículo 46.2 de la Convención. </w:t>
      </w:r>
      <w:r w:rsidR="008A400D" w:rsidRPr="00AB60FD">
        <w:rPr>
          <w:rFonts w:asciiTheme="majorHAnsi" w:hAnsiTheme="majorHAnsi"/>
          <w:bCs/>
          <w:sz w:val="20"/>
          <w:szCs w:val="20"/>
          <w:lang w:val="es-ES_tradnl"/>
        </w:rPr>
        <w:t xml:space="preserve">Añade que el alegato del Estado, referido a que la acción penal prescribió, resulta improcedente, pues los hechos denunciados pueden configurar delitos de lesa humanidad y, en consecuencia, son imprescriptibles. </w:t>
      </w:r>
    </w:p>
    <w:p w14:paraId="0B9BA9D2" w14:textId="7E155267" w:rsidR="00950536" w:rsidRPr="00AB60FD" w:rsidRDefault="00950536">
      <w:pPr>
        <w:pStyle w:val="ListParagraph"/>
        <w:numPr>
          <w:ilvl w:val="0"/>
          <w:numId w:val="56"/>
        </w:numPr>
        <w:spacing w:before="240" w:after="240"/>
        <w:ind w:left="0" w:firstLine="720"/>
        <w:jc w:val="both"/>
        <w:rPr>
          <w:rFonts w:asciiTheme="majorHAnsi" w:hAnsiTheme="majorHAnsi"/>
          <w:bCs/>
          <w:sz w:val="20"/>
          <w:szCs w:val="20"/>
          <w:lang w:val="es-ES_tradnl"/>
        </w:rPr>
      </w:pPr>
      <w:r w:rsidRPr="00AB60FD">
        <w:rPr>
          <w:rFonts w:asciiTheme="majorHAnsi" w:hAnsiTheme="majorHAnsi"/>
          <w:bCs/>
          <w:sz w:val="20"/>
          <w:szCs w:val="20"/>
          <w:lang w:val="es-ES_tradnl"/>
        </w:rPr>
        <w:t xml:space="preserve">Finalmente, indica que el 20 de junio de 2007 Tribunal Contencioso Administrativo del Meta ordenó el pago de una indemnización a siete personas, por hechos correspondientes al mismo enfrentamiento ocurrido entre el 10 y 11 de julio de 1999 en el Municipio de Puerto Lleras, departamento del Meta. </w:t>
      </w:r>
      <w:r w:rsidR="005C0C99" w:rsidRPr="00AB60FD">
        <w:rPr>
          <w:rFonts w:asciiTheme="majorHAnsi" w:hAnsiTheme="majorHAnsi"/>
          <w:bCs/>
          <w:sz w:val="20"/>
          <w:szCs w:val="20"/>
          <w:lang w:val="es-ES_tradnl"/>
        </w:rPr>
        <w:t xml:space="preserve">A juicio de la parte peticionaria, esta resolución demuestra la vulneración de derechos que sufrieron las presuntas víctimas en el presente caso y confirma la vulneración al derecho a la igualdad ante la ley. </w:t>
      </w:r>
    </w:p>
    <w:p w14:paraId="43AD8921" w14:textId="4B15A7C9" w:rsidR="00D2123A" w:rsidRPr="00AB60FD" w:rsidRDefault="00D2123A" w:rsidP="00D2123A">
      <w:pPr>
        <w:pStyle w:val="ListParagraph"/>
        <w:spacing w:before="240" w:after="240"/>
        <w:jc w:val="both"/>
        <w:rPr>
          <w:rFonts w:asciiTheme="majorHAnsi" w:hAnsiTheme="majorHAnsi"/>
          <w:bCs/>
          <w:i/>
          <w:iCs/>
          <w:sz w:val="20"/>
          <w:szCs w:val="20"/>
          <w:lang w:val="es-ES_tradnl"/>
        </w:rPr>
      </w:pPr>
      <w:r w:rsidRPr="00AB60FD">
        <w:rPr>
          <w:rFonts w:asciiTheme="majorHAnsi" w:hAnsiTheme="majorHAnsi"/>
          <w:bCs/>
          <w:i/>
          <w:iCs/>
          <w:sz w:val="20"/>
          <w:szCs w:val="20"/>
          <w:lang w:val="es-ES_tradnl"/>
        </w:rPr>
        <w:t>Alegatos del Estado</w:t>
      </w:r>
    </w:p>
    <w:p w14:paraId="30655E21" w14:textId="4D5963BB" w:rsidR="00520836" w:rsidRPr="00AB60FD" w:rsidRDefault="005E424D">
      <w:pPr>
        <w:pStyle w:val="ListParagraph"/>
        <w:numPr>
          <w:ilvl w:val="0"/>
          <w:numId w:val="56"/>
        </w:numPr>
        <w:spacing w:before="240" w:after="240"/>
        <w:ind w:left="0" w:firstLine="720"/>
        <w:jc w:val="both"/>
        <w:rPr>
          <w:rFonts w:asciiTheme="majorHAnsi" w:hAnsiTheme="majorHAnsi"/>
          <w:bCs/>
          <w:sz w:val="20"/>
          <w:szCs w:val="20"/>
          <w:lang w:val="es-ES_tradnl"/>
        </w:rPr>
      </w:pPr>
      <w:r w:rsidRPr="00AB60FD">
        <w:rPr>
          <w:rFonts w:asciiTheme="majorHAnsi" w:hAnsiTheme="majorHAnsi"/>
          <w:bCs/>
          <w:sz w:val="20"/>
          <w:szCs w:val="20"/>
          <w:lang w:val="es-ES_tradnl"/>
        </w:rPr>
        <w:t xml:space="preserve">El Estado, por su parte, replica que la petición es inadmisible por haber sido presentada de forma extemporánea. Arguye que, si bien las presuntas víctimas emplearon la vía adecuada y efectiva para resarcir los alegados daños a sus bienes, la decisión final de este proceso se notificó el 8 de noviembre de 2006 y la petición se presentó el 15 de mayo de 2009. En consecuencia, arguye que el presente reclamo se presentó casi dos años y medio después de la notificación que agotó los recursos internos, por lo cual resulta claro que no se cumple el requisito de plazo previsto en el artículo 46.1.b) de la Convención Americana. </w:t>
      </w:r>
    </w:p>
    <w:p w14:paraId="483EB1DB" w14:textId="0E285AC3" w:rsidR="00E55238" w:rsidRPr="00AB60FD" w:rsidRDefault="00ED27D5">
      <w:pPr>
        <w:pStyle w:val="ListParagraph"/>
        <w:numPr>
          <w:ilvl w:val="0"/>
          <w:numId w:val="56"/>
        </w:numPr>
        <w:spacing w:before="240" w:after="240"/>
        <w:ind w:left="0" w:firstLine="720"/>
        <w:jc w:val="both"/>
        <w:rPr>
          <w:rFonts w:asciiTheme="majorHAnsi" w:hAnsiTheme="majorHAnsi"/>
          <w:bCs/>
          <w:sz w:val="20"/>
          <w:szCs w:val="20"/>
          <w:lang w:val="es-ES_tradnl"/>
        </w:rPr>
      </w:pPr>
      <w:r w:rsidRPr="00AB60FD">
        <w:rPr>
          <w:rFonts w:asciiTheme="majorHAnsi" w:hAnsiTheme="majorHAnsi"/>
          <w:bCs/>
          <w:sz w:val="20"/>
          <w:szCs w:val="20"/>
          <w:lang w:val="es-ES_tradnl"/>
        </w:rPr>
        <w:t xml:space="preserve">Respecto a la regulación contenida en Ley 954 de 2005, resalta que esta no transgrede de ninguna manera disposiciones establecidas en la Convención Americana y, por ende, resulta errado sostener que dicha </w:t>
      </w:r>
      <w:r w:rsidR="00307DEA" w:rsidRPr="00AB60FD">
        <w:rPr>
          <w:rFonts w:asciiTheme="majorHAnsi" w:hAnsiTheme="majorHAnsi"/>
          <w:bCs/>
          <w:sz w:val="20"/>
          <w:szCs w:val="20"/>
          <w:lang w:val="es-ES_tradnl"/>
        </w:rPr>
        <w:t>normativa</w:t>
      </w:r>
      <w:r w:rsidRPr="00AB60FD">
        <w:rPr>
          <w:rFonts w:asciiTheme="majorHAnsi" w:hAnsiTheme="majorHAnsi"/>
          <w:bCs/>
          <w:sz w:val="20"/>
          <w:szCs w:val="20"/>
          <w:lang w:val="es-ES_tradnl"/>
        </w:rPr>
        <w:t xml:space="preserve"> faculta al peticionario para interponer la petición luego del vencimiento del término fijado para esos efectos. En esa línea, destaca que el 1 de febrero de 2006 la Sala Plena de la Corte Constitucional analizó la compatibilidad de la citada ley a la luz de los estándares internacionales en materia de acceso a la </w:t>
      </w:r>
      <w:r w:rsidRPr="00AB60FD">
        <w:rPr>
          <w:rFonts w:asciiTheme="majorHAnsi" w:hAnsiTheme="majorHAnsi"/>
          <w:bCs/>
          <w:sz w:val="20"/>
          <w:szCs w:val="20"/>
          <w:lang w:val="es-ES_tradnl"/>
        </w:rPr>
        <w:lastRenderedPageBreak/>
        <w:t>justicia y c</w:t>
      </w:r>
      <w:r w:rsidR="00156E0A" w:rsidRPr="00AB60FD">
        <w:rPr>
          <w:rFonts w:asciiTheme="majorHAnsi" w:hAnsiTheme="majorHAnsi"/>
          <w:bCs/>
          <w:sz w:val="20"/>
          <w:szCs w:val="20"/>
          <w:lang w:val="es-ES_tradnl"/>
        </w:rPr>
        <w:t>onfirmó su validez</w:t>
      </w:r>
      <w:r w:rsidR="00E55238" w:rsidRPr="00AB60FD">
        <w:rPr>
          <w:rFonts w:asciiTheme="majorHAnsi" w:hAnsiTheme="majorHAnsi"/>
          <w:bCs/>
          <w:sz w:val="20"/>
          <w:szCs w:val="20"/>
          <w:lang w:val="es-ES_tradnl"/>
        </w:rPr>
        <w:t>, al constatar que la exclusión de la doble instancia en procesos contenciosos administrativos permitía la finalidad constitucionalmente legitima de descongestionar el sistema judicial. Finalmente, detalla que el citado fallo también descart</w:t>
      </w:r>
      <w:r w:rsidR="00307DEA" w:rsidRPr="00AB60FD">
        <w:rPr>
          <w:rFonts w:asciiTheme="majorHAnsi" w:hAnsiTheme="majorHAnsi"/>
          <w:bCs/>
          <w:sz w:val="20"/>
          <w:szCs w:val="20"/>
          <w:lang w:val="es-ES_tradnl"/>
        </w:rPr>
        <w:t>ó</w:t>
      </w:r>
      <w:r w:rsidR="00E55238" w:rsidRPr="00AB60FD">
        <w:rPr>
          <w:rFonts w:asciiTheme="majorHAnsi" w:hAnsiTheme="majorHAnsi"/>
          <w:bCs/>
          <w:sz w:val="20"/>
          <w:szCs w:val="20"/>
          <w:lang w:val="es-ES_tradnl"/>
        </w:rPr>
        <w:t xml:space="preserve"> que dicha regulación tenga algún efecto discriminatorio. </w:t>
      </w:r>
      <w:r w:rsidR="00A23D13" w:rsidRPr="00AB60FD">
        <w:rPr>
          <w:rFonts w:asciiTheme="majorHAnsi" w:hAnsiTheme="majorHAnsi"/>
          <w:bCs/>
          <w:sz w:val="20"/>
          <w:szCs w:val="20"/>
          <w:lang w:val="es-ES_tradnl"/>
        </w:rPr>
        <w:t>Con base en estas consideraciones, concluye que los argumentos presentados por el peticionario orientados a justificar la presentación tardía de la petición deben ser desestimados.</w:t>
      </w:r>
    </w:p>
    <w:p w14:paraId="3F329180" w14:textId="1D766434" w:rsidR="00F12201" w:rsidRPr="00AB60FD" w:rsidRDefault="00F12201">
      <w:pPr>
        <w:pStyle w:val="ListParagraph"/>
        <w:numPr>
          <w:ilvl w:val="0"/>
          <w:numId w:val="56"/>
        </w:numPr>
        <w:spacing w:before="240" w:after="240"/>
        <w:ind w:left="0" w:firstLine="720"/>
        <w:jc w:val="both"/>
        <w:rPr>
          <w:rFonts w:asciiTheme="majorHAnsi" w:hAnsiTheme="majorHAnsi"/>
          <w:bCs/>
          <w:sz w:val="20"/>
          <w:szCs w:val="20"/>
          <w:lang w:val="es-ES_tradnl"/>
        </w:rPr>
      </w:pPr>
      <w:r w:rsidRPr="00AB60FD">
        <w:rPr>
          <w:rFonts w:asciiTheme="majorHAnsi" w:hAnsiTheme="majorHAnsi"/>
          <w:bCs/>
          <w:sz w:val="20"/>
          <w:szCs w:val="20"/>
          <w:lang w:val="es-ES_tradnl"/>
        </w:rPr>
        <w:t xml:space="preserve">Finalmente, respecto a la investigación penal por estos hechos, el Estado arguye que operó la prescripción de la acción penal y por ende este recurso resulta irrelevante para efectos del cómputo del plazo previsto en el artículo 46.1.b) de la Convención. </w:t>
      </w:r>
      <w:r w:rsidR="00D35A4A" w:rsidRPr="00AB60FD">
        <w:rPr>
          <w:rFonts w:asciiTheme="majorHAnsi" w:hAnsiTheme="majorHAnsi"/>
          <w:bCs/>
          <w:sz w:val="20"/>
          <w:szCs w:val="20"/>
          <w:lang w:val="es-ES_tradnl"/>
        </w:rPr>
        <w:t>Refiere que la regulación penal vigente al momento de los hechos consagraba el delito de daño en bien ajeno como querellable, siempre y cuando i) la cuantía excediera los 10 salarios mínimos legales mensuales; ii) la persona damnificada haya instaurado la correspondiente querella ante las autoridades competentes; y iii) no se configurara la prescripción de la acción, la cual se computaba en un término igual al máximo de la pena fijada en la ley. Así, explica que toda vez que el</w:t>
      </w:r>
      <w:r w:rsidR="00B22AC4" w:rsidRPr="00AB60FD">
        <w:rPr>
          <w:rFonts w:asciiTheme="majorHAnsi" w:hAnsiTheme="majorHAnsi"/>
          <w:bCs/>
          <w:sz w:val="20"/>
          <w:szCs w:val="20"/>
          <w:lang w:val="es-ES_tradnl"/>
        </w:rPr>
        <w:t xml:space="preserve"> delito de daño en bien ajeno establecía una pena de uno a cinco años, la acción para este crimen prescribía en cinco años contados a partir de la fecha en que se realizó la conducta punible. </w:t>
      </w:r>
    </w:p>
    <w:p w14:paraId="46518D1B" w14:textId="4E4685C2" w:rsidR="006F21EF" w:rsidRPr="00AB60FD" w:rsidRDefault="00B22AC4">
      <w:pPr>
        <w:pStyle w:val="ListParagraph"/>
        <w:numPr>
          <w:ilvl w:val="0"/>
          <w:numId w:val="56"/>
        </w:numPr>
        <w:spacing w:before="240" w:after="240"/>
        <w:ind w:left="0" w:firstLine="720"/>
        <w:jc w:val="both"/>
        <w:rPr>
          <w:rFonts w:asciiTheme="majorHAnsi" w:hAnsiTheme="majorHAnsi"/>
          <w:bCs/>
          <w:sz w:val="20"/>
          <w:szCs w:val="20"/>
          <w:lang w:val="es-ES_tradnl"/>
        </w:rPr>
      </w:pPr>
      <w:r w:rsidRPr="00AB60FD">
        <w:rPr>
          <w:rFonts w:asciiTheme="majorHAnsi" w:hAnsiTheme="majorHAnsi"/>
          <w:bCs/>
          <w:sz w:val="20"/>
          <w:szCs w:val="20"/>
          <w:lang w:val="es-ES_tradnl"/>
        </w:rPr>
        <w:t>Con base en ello, refiere que las presuntas víctimas debieron acudir a las autoridades en aras de formular la correspondiente querell</w:t>
      </w:r>
      <w:r w:rsidR="00D84F67" w:rsidRPr="00AB60FD">
        <w:rPr>
          <w:rFonts w:asciiTheme="majorHAnsi" w:hAnsiTheme="majorHAnsi"/>
          <w:bCs/>
          <w:sz w:val="20"/>
          <w:szCs w:val="20"/>
          <w:lang w:val="es-ES_tradnl"/>
        </w:rPr>
        <w:t>a</w:t>
      </w:r>
      <w:r w:rsidRPr="00AB60FD">
        <w:rPr>
          <w:rFonts w:asciiTheme="majorHAnsi" w:hAnsiTheme="majorHAnsi"/>
          <w:bCs/>
          <w:sz w:val="20"/>
          <w:szCs w:val="20"/>
          <w:lang w:val="es-ES_tradnl"/>
        </w:rPr>
        <w:t xml:space="preserve">, lo cual nunca se hizo. En razón a ello, la acción penal de la cual eran titulares prescribió el 11 de julio de 2004. Por ende, sostiene que la inexistencia de resultados en materia penal no obedece a la negligencia de las autoridades, sino a la inexistencia de una querella que pusiera en funcionamiento al ente investigador. De este modo, a juicio del Estado, queda absolutamente demostrado que la petición debe ser declarada inadmisible por extemporaneidad. </w:t>
      </w:r>
    </w:p>
    <w:p w14:paraId="0FC97F18" w14:textId="15EF2B38" w:rsidR="006F21EF" w:rsidRPr="00AB60FD" w:rsidRDefault="006F21EF" w:rsidP="006F21EF">
      <w:pPr>
        <w:spacing w:before="240" w:after="240"/>
        <w:ind w:firstLine="720"/>
        <w:jc w:val="both"/>
        <w:rPr>
          <w:rFonts w:ascii="Cambria" w:hAnsi="Cambria"/>
          <w:sz w:val="20"/>
          <w:szCs w:val="20"/>
          <w:lang w:val="es-ES_tradnl"/>
        </w:rPr>
      </w:pPr>
      <w:r w:rsidRPr="00AB60FD">
        <w:rPr>
          <w:rFonts w:asciiTheme="majorHAnsi" w:eastAsia="Cambria" w:hAnsiTheme="majorHAnsi" w:cs="Cambria"/>
          <w:b/>
          <w:bCs/>
          <w:color w:val="000000"/>
          <w:sz w:val="20"/>
          <w:szCs w:val="20"/>
          <w:u w:color="000000"/>
          <w:lang w:val="es-ES_tradnl" w:eastAsia="es-ES"/>
        </w:rPr>
        <w:t>VI.</w:t>
      </w:r>
      <w:r w:rsidRPr="00AB60FD">
        <w:rPr>
          <w:rFonts w:asciiTheme="majorHAnsi" w:eastAsia="Cambria" w:hAnsiTheme="majorHAnsi" w:cs="Cambria"/>
          <w:b/>
          <w:bCs/>
          <w:color w:val="000000"/>
          <w:sz w:val="20"/>
          <w:szCs w:val="20"/>
          <w:u w:color="000000"/>
          <w:lang w:val="es-ES_tradnl" w:eastAsia="es-ES"/>
        </w:rPr>
        <w:tab/>
      </w:r>
      <w:r w:rsidRPr="00AB60FD">
        <w:rPr>
          <w:rFonts w:asciiTheme="majorHAnsi" w:hAnsiTheme="majorHAnsi"/>
          <w:b/>
          <w:bCs/>
          <w:sz w:val="20"/>
          <w:szCs w:val="20"/>
          <w:lang w:val="es-ES_tradnl"/>
        </w:rPr>
        <w:t xml:space="preserve">ANÁLISIS DE </w:t>
      </w:r>
      <w:r w:rsidRPr="00AB60FD">
        <w:rPr>
          <w:rFonts w:asciiTheme="majorHAnsi" w:hAnsiTheme="majorHAnsi"/>
          <w:b/>
          <w:sz w:val="20"/>
          <w:szCs w:val="20"/>
          <w:lang w:val="es-ES_tradnl"/>
        </w:rPr>
        <w:t>AGOTAMIENTO DE LOS RECURSOS INTERNOS Y PLAZO DE PRESENTACIÓN</w:t>
      </w:r>
      <w:r w:rsidRPr="00AB60FD">
        <w:rPr>
          <w:rFonts w:asciiTheme="majorHAnsi" w:eastAsia="Cambria" w:hAnsiTheme="majorHAnsi" w:cs="Cambria"/>
          <w:b/>
          <w:bCs/>
          <w:color w:val="000000"/>
          <w:sz w:val="20"/>
          <w:szCs w:val="20"/>
          <w:u w:color="000000"/>
          <w:lang w:val="es-ES_tradnl" w:eastAsia="es-ES"/>
        </w:rPr>
        <w:t xml:space="preserve"> </w:t>
      </w:r>
    </w:p>
    <w:p w14:paraId="78ED7B3D" w14:textId="50732DBC" w:rsidR="00D84F67" w:rsidRPr="00AB60FD" w:rsidRDefault="00D84F67">
      <w:pPr>
        <w:pStyle w:val="ListParagraph"/>
        <w:numPr>
          <w:ilvl w:val="0"/>
          <w:numId w:val="56"/>
        </w:numPr>
        <w:spacing w:before="240" w:after="240"/>
        <w:ind w:left="0" w:firstLine="720"/>
        <w:jc w:val="both"/>
        <w:rPr>
          <w:rFonts w:asciiTheme="majorHAnsi" w:hAnsiTheme="majorHAnsi"/>
          <w:bCs/>
          <w:sz w:val="20"/>
          <w:szCs w:val="20"/>
          <w:lang w:val="es-ES_tradnl"/>
        </w:rPr>
      </w:pPr>
      <w:r w:rsidRPr="00AB60FD">
        <w:rPr>
          <w:rFonts w:asciiTheme="majorHAnsi" w:hAnsiTheme="majorHAnsi"/>
          <w:bCs/>
          <w:sz w:val="20"/>
          <w:szCs w:val="20"/>
          <w:lang w:val="es-ES_tradnl"/>
        </w:rPr>
        <w:t xml:space="preserve">En el presente caso, la Comisión observa que las presuntas víctimas presentaron un recurso de reparación directa, pero 13 de septiembre de 2005 el Tribunal Administrativo del Meta rechazó la demanda. Posteriormente, intentaron apelar esta decisión, pero las instancias </w:t>
      </w:r>
      <w:r w:rsidR="00307DEA" w:rsidRPr="00AB60FD">
        <w:rPr>
          <w:rFonts w:asciiTheme="majorHAnsi" w:hAnsiTheme="majorHAnsi"/>
          <w:bCs/>
          <w:sz w:val="20"/>
          <w:szCs w:val="20"/>
          <w:lang w:val="es-ES_tradnl"/>
        </w:rPr>
        <w:t>ulteriores</w:t>
      </w:r>
      <w:r w:rsidRPr="00AB60FD">
        <w:rPr>
          <w:rFonts w:asciiTheme="majorHAnsi" w:hAnsiTheme="majorHAnsi"/>
          <w:bCs/>
          <w:sz w:val="20"/>
          <w:szCs w:val="20"/>
          <w:lang w:val="es-ES_tradnl"/>
        </w:rPr>
        <w:t xml:space="preserve"> desestimaron sus recursos, alegando que se trataba de un proceso de instancia única debido a la cuantía, en aplicación de la </w:t>
      </w:r>
      <w:r w:rsidRPr="00AB60FD">
        <w:rPr>
          <w:sz w:val="20"/>
          <w:szCs w:val="20"/>
          <w:lang w:val="es-ES_tradnl"/>
        </w:rPr>
        <w:t>Ley 954 de 2005.</w:t>
      </w:r>
    </w:p>
    <w:p w14:paraId="353C09B6" w14:textId="77777777" w:rsidR="0063225E" w:rsidRPr="00AB60FD" w:rsidRDefault="0035660E">
      <w:pPr>
        <w:pStyle w:val="ListParagraph"/>
        <w:numPr>
          <w:ilvl w:val="0"/>
          <w:numId w:val="56"/>
        </w:numPr>
        <w:spacing w:before="240" w:after="240"/>
        <w:ind w:left="0" w:firstLine="720"/>
        <w:jc w:val="both"/>
        <w:rPr>
          <w:rFonts w:asciiTheme="majorHAnsi" w:hAnsiTheme="majorHAnsi"/>
          <w:bCs/>
          <w:sz w:val="20"/>
          <w:szCs w:val="20"/>
          <w:lang w:val="es-ES_tradnl"/>
        </w:rPr>
      </w:pPr>
      <w:r w:rsidRPr="00AB60FD">
        <w:rPr>
          <w:sz w:val="20"/>
          <w:szCs w:val="20"/>
          <w:lang w:val="es-ES_tradnl"/>
        </w:rPr>
        <w:t>Al respecto, en decisiones previas, la Comisión ha considerado que esta imposibilidad de apelar una sentencia debido a la cuantía representa un impedimento para agotar los recursos de la jurisdicción interna</w:t>
      </w:r>
      <w:r w:rsidRPr="00AB60FD">
        <w:rPr>
          <w:rStyle w:val="FootnoteReference"/>
          <w:sz w:val="20"/>
          <w:szCs w:val="20"/>
          <w:lang w:val="es-ES_tradnl"/>
        </w:rPr>
        <w:footnoteReference w:id="7"/>
      </w:r>
      <w:r w:rsidRPr="00AB60FD">
        <w:rPr>
          <w:sz w:val="20"/>
          <w:szCs w:val="20"/>
          <w:lang w:val="es-ES_tradnl"/>
        </w:rPr>
        <w:t>. Por ende, en concordancia con sus pronunciamientos previos, la Comisión considera que resulta aplicable la excepción prevista en el artículo 46.2.</w:t>
      </w:r>
      <w:r w:rsidR="005834DF" w:rsidRPr="00AB60FD">
        <w:rPr>
          <w:sz w:val="20"/>
          <w:szCs w:val="20"/>
          <w:lang w:val="es-ES_tradnl"/>
        </w:rPr>
        <w:t>b</w:t>
      </w:r>
      <w:r w:rsidRPr="00AB60FD">
        <w:rPr>
          <w:sz w:val="20"/>
          <w:szCs w:val="20"/>
          <w:lang w:val="es-ES_tradnl"/>
        </w:rPr>
        <w:t>) de la Convención Americana.</w:t>
      </w:r>
    </w:p>
    <w:p w14:paraId="5CC720E0" w14:textId="296AEE00" w:rsidR="0063225E" w:rsidRPr="00AB60FD" w:rsidRDefault="0063225E">
      <w:pPr>
        <w:pStyle w:val="ListParagraph"/>
        <w:numPr>
          <w:ilvl w:val="0"/>
          <w:numId w:val="56"/>
        </w:numPr>
        <w:spacing w:before="240" w:after="240"/>
        <w:ind w:left="0" w:firstLine="720"/>
        <w:jc w:val="both"/>
        <w:rPr>
          <w:rFonts w:asciiTheme="majorHAnsi" w:hAnsiTheme="majorHAnsi"/>
          <w:bCs/>
          <w:sz w:val="20"/>
          <w:szCs w:val="20"/>
          <w:lang w:val="es-ES_tradnl"/>
        </w:rPr>
      </w:pPr>
      <w:r w:rsidRPr="00AB60FD">
        <w:rPr>
          <w:rFonts w:asciiTheme="majorHAnsi" w:hAnsiTheme="majorHAnsi"/>
          <w:sz w:val="20"/>
          <w:szCs w:val="20"/>
          <w:lang w:val="es-ES_tradnl"/>
        </w:rPr>
        <w:t xml:space="preserve">Con respecto al requisito del plazo de presentación establecido en su artículo 46.1.b), la Convención Americana dispone en su artículo 46.2 que tal disposición no se aplicará cuando opere algunas de las excepciones a la regla del agotamiento de los recursos internos establecida en ese mismo artículo, como lo es la excepción establecida en el 46.2.b) aplicada en el presente caso. En sentido concordante con esta norma convencional, </w:t>
      </w:r>
      <w:r w:rsidR="000C6D86" w:rsidRPr="00AB60FD">
        <w:rPr>
          <w:rFonts w:asciiTheme="majorHAnsi" w:hAnsiTheme="majorHAnsi"/>
          <w:sz w:val="20"/>
          <w:szCs w:val="20"/>
          <w:lang w:val="es-ES_tradnl"/>
        </w:rPr>
        <w:t>el</w:t>
      </w:r>
      <w:r w:rsidRPr="00AB60FD">
        <w:rPr>
          <w:rFonts w:asciiTheme="majorHAnsi" w:hAnsiTheme="majorHAnsi"/>
          <w:sz w:val="20"/>
          <w:szCs w:val="20"/>
          <w:lang w:val="es-ES_tradnl"/>
        </w:rPr>
        <w:t xml:space="preserve"> artículo 32.2</w:t>
      </w:r>
      <w:r w:rsidR="000C6D86" w:rsidRPr="00AB60FD">
        <w:rPr>
          <w:rFonts w:asciiTheme="majorHAnsi" w:hAnsiTheme="majorHAnsi"/>
          <w:sz w:val="20"/>
          <w:szCs w:val="20"/>
          <w:lang w:val="es-ES_tradnl"/>
        </w:rPr>
        <w:t xml:space="preserve"> del Reglamento de la CIDH</w:t>
      </w:r>
      <w:r w:rsidRPr="00AB60FD">
        <w:rPr>
          <w:rFonts w:asciiTheme="majorHAnsi" w:hAnsiTheme="majorHAnsi"/>
          <w:sz w:val="20"/>
          <w:szCs w:val="20"/>
          <w:lang w:val="es-ES_tradnl"/>
        </w:rPr>
        <w:t xml:space="preserve"> dispone: que “[…] </w:t>
      </w:r>
      <w:r w:rsidRPr="00AB60FD">
        <w:rPr>
          <w:rFonts w:asciiTheme="majorHAnsi" w:hAnsiTheme="majorHAnsi"/>
          <w:i/>
          <w:iCs/>
          <w:sz w:val="20"/>
          <w:szCs w:val="20"/>
          <w:lang w:val="es-ES_tradnl"/>
        </w:rPr>
        <w:t>la petición deberá presentarse dentro de un plazo razonable, a criterio de la Comisión. A tal efecto, la Comisión considerará la fecha en que haya ocurrido la presunta violación a los derechos y las circunstancias de cada caso</w:t>
      </w:r>
      <w:r w:rsidRPr="00AB60FD">
        <w:rPr>
          <w:rFonts w:asciiTheme="majorHAnsi" w:hAnsiTheme="majorHAnsi"/>
          <w:sz w:val="20"/>
          <w:szCs w:val="20"/>
          <w:lang w:val="es-ES_tradnl"/>
        </w:rPr>
        <w:t>”. Respecto de este mismo tema precisamente, la Comisión ha recalcado que “</w:t>
      </w:r>
      <w:r w:rsidRPr="00AB60FD">
        <w:rPr>
          <w:rFonts w:asciiTheme="majorHAnsi" w:hAnsiTheme="majorHAnsi"/>
          <w:i/>
          <w:iCs/>
          <w:sz w:val="20"/>
          <w:szCs w:val="20"/>
          <w:lang w:val="es-ES_tradnl"/>
        </w:rPr>
        <w:t>los principios sobre los que descansa el sistema interamericano de derechos humanos ciertamente incluyen el de certeza jurídica, que es la base de la regla de los seis meses y del plazo razonable cuando se aplican las excepciones al agotamiento de los recursos internos</w:t>
      </w:r>
      <w:r w:rsidRPr="00AB60FD">
        <w:rPr>
          <w:rFonts w:asciiTheme="majorHAnsi" w:hAnsiTheme="majorHAnsi"/>
          <w:sz w:val="20"/>
          <w:szCs w:val="20"/>
          <w:lang w:val="es-ES_tradnl"/>
        </w:rPr>
        <w:t>”</w:t>
      </w:r>
      <w:r w:rsidRPr="00AB60FD">
        <w:rPr>
          <w:rStyle w:val="FootnoteReference"/>
          <w:rFonts w:asciiTheme="majorHAnsi" w:hAnsiTheme="majorHAnsi"/>
          <w:sz w:val="20"/>
          <w:szCs w:val="20"/>
          <w:lang w:val="es-ES_tradnl"/>
        </w:rPr>
        <w:footnoteReference w:id="8"/>
      </w:r>
      <w:r w:rsidRPr="00AB60FD">
        <w:rPr>
          <w:rFonts w:asciiTheme="majorHAnsi" w:hAnsiTheme="majorHAnsi"/>
          <w:sz w:val="20"/>
          <w:szCs w:val="20"/>
          <w:lang w:val="es-ES_tradnl"/>
        </w:rPr>
        <w:t xml:space="preserve">. </w:t>
      </w:r>
    </w:p>
    <w:p w14:paraId="5F7BAE06" w14:textId="08996C5C" w:rsidR="00D84F67" w:rsidRPr="00AB60FD" w:rsidRDefault="00D84F67">
      <w:pPr>
        <w:pStyle w:val="ListParagraph"/>
        <w:numPr>
          <w:ilvl w:val="0"/>
          <w:numId w:val="56"/>
        </w:numPr>
        <w:spacing w:before="240" w:after="240"/>
        <w:ind w:left="0" w:firstLine="720"/>
        <w:jc w:val="both"/>
        <w:rPr>
          <w:rFonts w:asciiTheme="majorHAnsi" w:hAnsiTheme="majorHAnsi"/>
          <w:bCs/>
          <w:sz w:val="20"/>
          <w:szCs w:val="20"/>
          <w:lang w:val="es-ES_tradnl"/>
        </w:rPr>
      </w:pPr>
      <w:r w:rsidRPr="00AB60FD">
        <w:rPr>
          <w:rFonts w:asciiTheme="majorHAnsi" w:hAnsiTheme="majorHAnsi"/>
          <w:bCs/>
          <w:sz w:val="20"/>
          <w:szCs w:val="20"/>
          <w:lang w:val="es-ES_tradnl"/>
        </w:rPr>
        <w:t>Así, el presente caso observa que los hechos iniciales, referidos al daño patrimonial que sufrieron las presuntas víctimas ocurrió en 1999 y la última decisión en el proceso de reparación directa se notificó el 11 de octubre de 2006. Frente a estos hechos, el Estado planteó oportunamente la excepción o la cuestión de la presentación extemporánea de la petición</w:t>
      </w:r>
      <w:r w:rsidR="00724F52" w:rsidRPr="00AB60FD">
        <w:rPr>
          <w:rFonts w:asciiTheme="majorHAnsi" w:hAnsiTheme="majorHAnsi"/>
          <w:bCs/>
          <w:sz w:val="20"/>
          <w:szCs w:val="20"/>
          <w:lang w:val="es-ES_tradnl"/>
        </w:rPr>
        <w:t>,</w:t>
      </w:r>
      <w:r w:rsidRPr="00AB60FD">
        <w:rPr>
          <w:rFonts w:asciiTheme="majorHAnsi" w:hAnsiTheme="majorHAnsi"/>
          <w:bCs/>
          <w:sz w:val="20"/>
          <w:szCs w:val="20"/>
          <w:lang w:val="es-ES_tradnl"/>
        </w:rPr>
        <w:t xml:space="preserve"> y ante ello, la parte peticionaria se limita a indicar que </w:t>
      </w:r>
      <w:r w:rsidRPr="00AB60FD">
        <w:rPr>
          <w:rFonts w:asciiTheme="majorHAnsi" w:hAnsiTheme="majorHAnsi"/>
          <w:bCs/>
          <w:sz w:val="20"/>
          <w:szCs w:val="20"/>
          <w:lang w:val="es-ES_tradnl"/>
        </w:rPr>
        <w:lastRenderedPageBreak/>
        <w:t>se configura una excepción al agotamiento de los recursos internos</w:t>
      </w:r>
      <w:r w:rsidR="000B438D" w:rsidRPr="00AB60FD">
        <w:rPr>
          <w:rFonts w:asciiTheme="majorHAnsi" w:hAnsiTheme="majorHAnsi"/>
          <w:bCs/>
          <w:sz w:val="20"/>
          <w:szCs w:val="20"/>
          <w:lang w:val="es-ES_tradnl"/>
        </w:rPr>
        <w:t>,</w:t>
      </w:r>
      <w:r w:rsidRPr="00AB60FD">
        <w:rPr>
          <w:rFonts w:asciiTheme="majorHAnsi" w:hAnsiTheme="majorHAnsi"/>
          <w:bCs/>
          <w:sz w:val="20"/>
          <w:szCs w:val="20"/>
          <w:lang w:val="es-ES_tradnl"/>
        </w:rPr>
        <w:t xml:space="preserve"> y en consecuencia se presentó la petición en un plazo razonable. </w:t>
      </w:r>
      <w:r w:rsidRPr="00AB60FD">
        <w:rPr>
          <w:rFonts w:asciiTheme="majorHAnsi" w:hAnsiTheme="majorHAnsi"/>
          <w:sz w:val="20"/>
          <w:szCs w:val="20"/>
          <w:lang w:val="es-ES_tradnl"/>
        </w:rPr>
        <w:t xml:space="preserve">Sin embargo, la Comisión considera que la parte peticionaria no aporta información específica sobre hechos </w:t>
      </w:r>
      <w:r w:rsidR="00A3771E" w:rsidRPr="00AB60FD">
        <w:rPr>
          <w:rFonts w:asciiTheme="majorHAnsi" w:hAnsiTheme="majorHAnsi"/>
          <w:sz w:val="20"/>
          <w:szCs w:val="20"/>
          <w:lang w:val="es-ES_tradnl"/>
        </w:rPr>
        <w:t xml:space="preserve">o </w:t>
      </w:r>
      <w:r w:rsidRPr="00AB60FD">
        <w:rPr>
          <w:rFonts w:asciiTheme="majorHAnsi" w:hAnsiTheme="majorHAnsi"/>
          <w:sz w:val="20"/>
          <w:szCs w:val="20"/>
          <w:lang w:val="es-ES_tradnl"/>
        </w:rPr>
        <w:t>circunstancias concretas que justifiquen el que aquellos hayan demorado más de dos años en presentar su reclamo ante la CIDH.</w:t>
      </w:r>
    </w:p>
    <w:p w14:paraId="4E28D0C1" w14:textId="75140F57" w:rsidR="00D84F67" w:rsidRPr="00AB60FD" w:rsidRDefault="00D84F67">
      <w:pPr>
        <w:pStyle w:val="ListParagraph"/>
        <w:numPr>
          <w:ilvl w:val="0"/>
          <w:numId w:val="56"/>
        </w:numPr>
        <w:spacing w:before="240" w:after="240"/>
        <w:ind w:left="0" w:firstLine="720"/>
        <w:jc w:val="both"/>
        <w:rPr>
          <w:rFonts w:asciiTheme="majorHAnsi" w:hAnsiTheme="majorHAnsi"/>
          <w:bCs/>
          <w:sz w:val="20"/>
          <w:szCs w:val="20"/>
          <w:lang w:val="es-ES_tradnl"/>
        </w:rPr>
      </w:pPr>
      <w:r w:rsidRPr="00AB60FD">
        <w:rPr>
          <w:rFonts w:asciiTheme="majorHAnsi" w:hAnsiTheme="majorHAnsi"/>
          <w:sz w:val="20"/>
          <w:szCs w:val="20"/>
          <w:lang w:val="es-ES_tradnl"/>
        </w:rPr>
        <w:t>Por lo tanto, la Comisión concluye que no cuenta con elementos para establecer que el presente extremo de la petición le fue presentada dentro de un plazo razonable en los términos del artículo 32.2 de su Reglamento, en concordancia con el artículo 46 de la Convención Americana.</w:t>
      </w:r>
    </w:p>
    <w:p w14:paraId="1931EFDD" w14:textId="60B18882" w:rsidR="00307DEA" w:rsidRPr="00AB60FD" w:rsidRDefault="00D84F67">
      <w:pPr>
        <w:pStyle w:val="ListParagraph"/>
        <w:numPr>
          <w:ilvl w:val="0"/>
          <w:numId w:val="56"/>
        </w:numPr>
        <w:spacing w:before="240" w:after="240"/>
        <w:ind w:left="0" w:firstLine="720"/>
        <w:jc w:val="both"/>
        <w:rPr>
          <w:rFonts w:asciiTheme="majorHAnsi" w:hAnsiTheme="majorHAnsi"/>
          <w:b/>
          <w:bCs/>
          <w:sz w:val="20"/>
          <w:szCs w:val="20"/>
          <w:lang w:val="es-ES_tradnl"/>
        </w:rPr>
      </w:pPr>
      <w:r w:rsidRPr="00AB60FD">
        <w:rPr>
          <w:rFonts w:asciiTheme="majorHAnsi" w:hAnsiTheme="majorHAnsi"/>
          <w:sz w:val="20"/>
          <w:szCs w:val="20"/>
          <w:lang w:val="es-ES_tradnl"/>
        </w:rPr>
        <w:t>Finalmente, con respecto al proceso penal, la parte peticionaria no brinda suficientes detalles o información sobre cómo se habría relacionado la investigación por los hechos</w:t>
      </w:r>
      <w:r w:rsidR="00307DEA" w:rsidRPr="00AB60FD">
        <w:rPr>
          <w:rFonts w:asciiTheme="majorHAnsi" w:hAnsiTheme="majorHAnsi"/>
          <w:sz w:val="20"/>
          <w:szCs w:val="20"/>
          <w:lang w:val="es-ES_tradnl"/>
        </w:rPr>
        <w:t>, ni tampoco argumentos que permitan desvirtuar los argumentos presentados por el Estado</w:t>
      </w:r>
      <w:r w:rsidRPr="00AB60FD">
        <w:rPr>
          <w:rFonts w:asciiTheme="majorHAnsi" w:hAnsiTheme="majorHAnsi"/>
          <w:sz w:val="20"/>
          <w:szCs w:val="20"/>
          <w:lang w:val="es-ES_tradnl"/>
        </w:rPr>
        <w:t xml:space="preserve">. Por el contrario, </w:t>
      </w:r>
      <w:r w:rsidR="00307DEA" w:rsidRPr="00AB60FD">
        <w:rPr>
          <w:rFonts w:asciiTheme="majorHAnsi" w:hAnsiTheme="majorHAnsi"/>
          <w:sz w:val="20"/>
          <w:szCs w:val="20"/>
          <w:lang w:val="es-ES_tradnl"/>
        </w:rPr>
        <w:t>Colombia</w:t>
      </w:r>
      <w:r w:rsidRPr="00AB60FD">
        <w:rPr>
          <w:rFonts w:asciiTheme="majorHAnsi" w:hAnsiTheme="majorHAnsi"/>
          <w:sz w:val="20"/>
          <w:szCs w:val="20"/>
          <w:lang w:val="es-ES_tradnl"/>
        </w:rPr>
        <w:t xml:space="preserve"> explica de manera exhaustiva que</w:t>
      </w:r>
      <w:r w:rsidR="00307DEA" w:rsidRPr="00AB60FD">
        <w:rPr>
          <w:rFonts w:asciiTheme="majorHAnsi" w:hAnsiTheme="majorHAnsi"/>
          <w:sz w:val="20"/>
          <w:szCs w:val="20"/>
          <w:lang w:val="es-ES_tradnl"/>
        </w:rPr>
        <w:t xml:space="preserve"> al tratarse de daños patrimoniales correspondía a las presuntas víctimas presentar una querella</w:t>
      </w:r>
      <w:r w:rsidR="00E95B1F" w:rsidRPr="00AB60FD">
        <w:rPr>
          <w:rFonts w:asciiTheme="majorHAnsi" w:hAnsiTheme="majorHAnsi"/>
          <w:sz w:val="20"/>
          <w:szCs w:val="20"/>
          <w:lang w:val="es-ES_tradnl"/>
        </w:rPr>
        <w:t>,</w:t>
      </w:r>
      <w:r w:rsidR="00307DEA" w:rsidRPr="00AB60FD">
        <w:rPr>
          <w:rFonts w:asciiTheme="majorHAnsi" w:hAnsiTheme="majorHAnsi"/>
          <w:sz w:val="20"/>
          <w:szCs w:val="20"/>
          <w:lang w:val="es-ES_tradnl"/>
        </w:rPr>
        <w:t xml:space="preserve"> y </w:t>
      </w:r>
      <w:r w:rsidR="00E95B1F" w:rsidRPr="00AB60FD">
        <w:rPr>
          <w:rFonts w:asciiTheme="majorHAnsi" w:hAnsiTheme="majorHAnsi"/>
          <w:sz w:val="20"/>
          <w:szCs w:val="20"/>
          <w:lang w:val="es-ES_tradnl"/>
        </w:rPr>
        <w:t xml:space="preserve">que </w:t>
      </w:r>
      <w:r w:rsidR="00307DEA" w:rsidRPr="00AB60FD">
        <w:rPr>
          <w:rFonts w:asciiTheme="majorHAnsi" w:hAnsiTheme="majorHAnsi"/>
          <w:sz w:val="20"/>
          <w:szCs w:val="20"/>
          <w:lang w:val="es-ES_tradnl"/>
        </w:rPr>
        <w:t>ante la falta de tal gestión oper</w:t>
      </w:r>
      <w:r w:rsidR="007C4A18" w:rsidRPr="00AB60FD">
        <w:rPr>
          <w:rFonts w:asciiTheme="majorHAnsi" w:hAnsiTheme="majorHAnsi"/>
          <w:sz w:val="20"/>
          <w:szCs w:val="20"/>
          <w:lang w:val="es-ES_tradnl"/>
        </w:rPr>
        <w:t>ó</w:t>
      </w:r>
      <w:r w:rsidR="00307DEA" w:rsidRPr="00AB60FD">
        <w:rPr>
          <w:rFonts w:asciiTheme="majorHAnsi" w:hAnsiTheme="majorHAnsi"/>
          <w:sz w:val="20"/>
          <w:szCs w:val="20"/>
          <w:lang w:val="es-ES_tradnl"/>
        </w:rPr>
        <w:t xml:space="preserve"> la prescripción de la acción penal. En consecuencia, la Comisión considera que en el presente asunto las presuntas víctimas no emplearon de manera adecuada la vía penal a efectos de canalizar sus reclamos</w:t>
      </w:r>
      <w:r w:rsidR="00B25B60" w:rsidRPr="00AB60FD">
        <w:rPr>
          <w:rFonts w:asciiTheme="majorHAnsi" w:hAnsiTheme="majorHAnsi"/>
          <w:sz w:val="20"/>
          <w:szCs w:val="20"/>
          <w:lang w:val="es-ES_tradnl"/>
        </w:rPr>
        <w:t>,</w:t>
      </w:r>
      <w:r w:rsidR="00307DEA" w:rsidRPr="00AB60FD">
        <w:rPr>
          <w:rFonts w:asciiTheme="majorHAnsi" w:hAnsiTheme="majorHAnsi"/>
          <w:sz w:val="20"/>
          <w:szCs w:val="20"/>
          <w:lang w:val="es-ES_tradnl"/>
        </w:rPr>
        <w:t xml:space="preserve"> y en consecuencia no resulta posible acreditar el cumplimiento del requisito previsto en el artículo 46.1.a) de la Convención Americana.</w:t>
      </w:r>
    </w:p>
    <w:p w14:paraId="29BB41F5" w14:textId="37A38C2D" w:rsidR="003239B8" w:rsidRPr="00AB60FD" w:rsidRDefault="003239B8" w:rsidP="00307DEA">
      <w:pPr>
        <w:pStyle w:val="ListParagraph"/>
        <w:spacing w:before="240" w:after="240"/>
        <w:jc w:val="both"/>
        <w:rPr>
          <w:rFonts w:asciiTheme="majorHAnsi" w:hAnsiTheme="majorHAnsi"/>
          <w:b/>
          <w:bCs/>
          <w:sz w:val="20"/>
          <w:szCs w:val="20"/>
          <w:lang w:val="es-ES_tradnl"/>
        </w:rPr>
      </w:pPr>
      <w:r w:rsidRPr="00AB60FD">
        <w:rPr>
          <w:rFonts w:asciiTheme="majorHAnsi" w:hAnsiTheme="majorHAnsi"/>
          <w:b/>
          <w:bCs/>
          <w:sz w:val="20"/>
          <w:szCs w:val="20"/>
          <w:lang w:val="es-ES_tradnl"/>
        </w:rPr>
        <w:t xml:space="preserve">VII. </w:t>
      </w:r>
      <w:r w:rsidRPr="00AB60FD">
        <w:rPr>
          <w:rFonts w:asciiTheme="majorHAnsi" w:hAnsiTheme="majorHAnsi"/>
          <w:b/>
          <w:bCs/>
          <w:sz w:val="20"/>
          <w:szCs w:val="20"/>
          <w:lang w:val="es-ES_tradnl"/>
        </w:rPr>
        <w:tab/>
        <w:t>DECISIÓN</w:t>
      </w:r>
    </w:p>
    <w:p w14:paraId="570DA61C" w14:textId="73E866C5" w:rsidR="000419AD" w:rsidRPr="00AB60FD" w:rsidRDefault="000419AD">
      <w:pPr>
        <w:pStyle w:val="ListParagraph"/>
        <w:numPr>
          <w:ilvl w:val="0"/>
          <w:numId w:val="55"/>
        </w:numPr>
        <w:rPr>
          <w:rFonts w:eastAsia="Arial Unicode MS" w:cs="Times New Roman"/>
          <w:color w:val="auto"/>
          <w:sz w:val="20"/>
          <w:szCs w:val="20"/>
          <w:lang w:val="es-ES_tradnl" w:eastAsia="en-US"/>
        </w:rPr>
      </w:pPr>
      <w:r w:rsidRPr="00AB60FD">
        <w:rPr>
          <w:rFonts w:eastAsia="Arial Unicode MS" w:cs="Times New Roman"/>
          <w:color w:val="auto"/>
          <w:sz w:val="20"/>
          <w:szCs w:val="20"/>
          <w:lang w:val="es-ES_tradnl" w:eastAsia="en-US"/>
        </w:rPr>
        <w:t>Declarar inadmisible la presente petición</w:t>
      </w:r>
      <w:r w:rsidR="00A758AA" w:rsidRPr="00AB60FD">
        <w:rPr>
          <w:rFonts w:eastAsia="Arial Unicode MS" w:cs="Times New Roman"/>
          <w:color w:val="auto"/>
          <w:sz w:val="20"/>
          <w:szCs w:val="20"/>
          <w:lang w:val="es-ES_tradnl" w:eastAsia="en-US"/>
        </w:rPr>
        <w:t>;</w:t>
      </w:r>
      <w:r w:rsidR="004A6A54" w:rsidRPr="00AB60FD">
        <w:rPr>
          <w:rFonts w:eastAsia="Arial Unicode MS" w:cs="Times New Roman"/>
          <w:color w:val="auto"/>
          <w:sz w:val="20"/>
          <w:szCs w:val="20"/>
          <w:lang w:val="es-ES_tradnl" w:eastAsia="en-US"/>
        </w:rPr>
        <w:t xml:space="preserve"> y</w:t>
      </w:r>
    </w:p>
    <w:p w14:paraId="41AA5BF6" w14:textId="77777777" w:rsidR="000419AD" w:rsidRPr="00AB60FD" w:rsidRDefault="000419AD" w:rsidP="000419AD">
      <w:pPr>
        <w:pStyle w:val="ListParagraph"/>
        <w:rPr>
          <w:rFonts w:eastAsia="Arial Unicode MS" w:cs="Times New Roman"/>
          <w:color w:val="auto"/>
          <w:sz w:val="20"/>
          <w:szCs w:val="20"/>
          <w:lang w:val="es-ES_tradnl" w:eastAsia="en-US"/>
        </w:rPr>
      </w:pPr>
    </w:p>
    <w:p w14:paraId="12A7002C" w14:textId="74CB04CC" w:rsidR="004A6A54" w:rsidRDefault="004A6A5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AB60FD">
        <w:rPr>
          <w:rFonts w:asciiTheme="majorHAnsi" w:hAnsiTheme="majorHAnsi"/>
          <w:sz w:val="20"/>
          <w:szCs w:val="20"/>
          <w:lang w:val="es-ES_tradnl"/>
        </w:rPr>
        <w:t>Notificar a las partes la presente decisión; y publicar esta decisión e incluirla en su Informe Anual a la Asamblea General de la Organización de los Estados Americanos.</w:t>
      </w:r>
    </w:p>
    <w:p w14:paraId="629565D8" w14:textId="35E2F801" w:rsidR="005C0CFC" w:rsidRPr="002910BE" w:rsidRDefault="005C0CFC" w:rsidP="002910BE">
      <w:pPr>
        <w:pStyle w:val="paragraph"/>
        <w:spacing w:before="0" w:beforeAutospacing="0" w:after="0" w:afterAutospacing="0"/>
        <w:ind w:firstLine="720"/>
        <w:jc w:val="both"/>
        <w:textAlignment w:val="baseline"/>
        <w:rPr>
          <w:rFonts w:ascii="Segoe UI" w:hAnsi="Segoe UI" w:cs="Segoe UI"/>
          <w:sz w:val="18"/>
          <w:szCs w:val="18"/>
          <w:lang w:val="es-ES"/>
        </w:rPr>
      </w:pPr>
      <w:r>
        <w:rPr>
          <w:rStyle w:val="normaltextrun"/>
          <w:rFonts w:ascii="Cambria" w:hAnsi="Cambria" w:cs="Segoe UI"/>
          <w:sz w:val="20"/>
          <w:szCs w:val="20"/>
          <w:lang w:val="es-CL"/>
        </w:rPr>
        <w:t xml:space="preserve">Aprobado por la Comisión Interamericana de Derechos Humanos a los 26 días del mes de febrero de 2023.  (Firmado): Julissa Mantilla Falcón, Presidenta; Stuardo Ralón Orellana (en disidencia), Primer Vicepresidente; Esmeralda Arosemena de Troitiño y Joel Hernández, </w:t>
      </w:r>
      <w:r w:rsidR="002910BE">
        <w:rPr>
          <w:rStyle w:val="normaltextrun"/>
          <w:rFonts w:ascii="Cambria" w:hAnsi="Cambria" w:cs="Segoe UI"/>
          <w:sz w:val="20"/>
          <w:szCs w:val="20"/>
          <w:lang w:val="es-CL"/>
        </w:rPr>
        <w:t>m</w:t>
      </w:r>
      <w:r>
        <w:rPr>
          <w:rStyle w:val="normaltextrun"/>
          <w:rFonts w:ascii="Cambria" w:hAnsi="Cambria" w:cs="Segoe UI"/>
          <w:sz w:val="20"/>
          <w:szCs w:val="20"/>
          <w:lang w:val="es-CL"/>
        </w:rPr>
        <w:t>iembros de la Comisión.</w:t>
      </w:r>
    </w:p>
    <w:p w14:paraId="2B8D1311" w14:textId="77777777" w:rsidR="00FA6BBB" w:rsidRPr="00AB60FD" w:rsidRDefault="00FA6BBB" w:rsidP="00FA6BB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p>
    <w:p w14:paraId="7CD4DFBD" w14:textId="77777777" w:rsidR="003239B8" w:rsidRPr="00AB60FD" w:rsidRDefault="003239B8" w:rsidP="003239B8">
      <w:pPr>
        <w:pStyle w:val="ListParagraph"/>
        <w:suppressAutoHyphens/>
        <w:spacing w:before="240" w:after="240"/>
        <w:jc w:val="both"/>
        <w:rPr>
          <w:rFonts w:asciiTheme="majorHAnsi" w:hAnsiTheme="majorHAnsi"/>
          <w:sz w:val="20"/>
          <w:szCs w:val="20"/>
          <w:lang w:val="es-ES_tradnl"/>
        </w:rPr>
      </w:pPr>
    </w:p>
    <w:p w14:paraId="0D98495A" w14:textId="77777777" w:rsidR="008D768D" w:rsidRPr="00AB60FD" w:rsidRDefault="008D768D" w:rsidP="001D65EF">
      <w:pPr>
        <w:tabs>
          <w:tab w:val="center" w:pos="5400"/>
        </w:tabs>
        <w:suppressAutoHyphens/>
        <w:spacing w:line="276" w:lineRule="auto"/>
        <w:rPr>
          <w:rFonts w:asciiTheme="majorHAnsi" w:hAnsiTheme="majorHAnsi"/>
          <w:sz w:val="20"/>
          <w:szCs w:val="20"/>
          <w:lang w:val="es-ES_tradnl"/>
        </w:rPr>
      </w:pPr>
    </w:p>
    <w:p w14:paraId="2642C68E" w14:textId="77777777" w:rsidR="008D768D" w:rsidRPr="00AB60FD" w:rsidRDefault="008D768D" w:rsidP="001D65EF">
      <w:pPr>
        <w:tabs>
          <w:tab w:val="center" w:pos="5400"/>
        </w:tabs>
        <w:suppressAutoHyphens/>
        <w:spacing w:line="276" w:lineRule="auto"/>
        <w:rPr>
          <w:rFonts w:asciiTheme="majorHAnsi" w:hAnsiTheme="majorHAnsi"/>
          <w:sz w:val="20"/>
          <w:szCs w:val="20"/>
          <w:lang w:val="es-ES_tradnl"/>
        </w:rPr>
      </w:pPr>
    </w:p>
    <w:p w14:paraId="6AC80CA6" w14:textId="77777777" w:rsidR="00722C9F" w:rsidRPr="00AB60FD" w:rsidRDefault="00722C9F" w:rsidP="00974491">
      <w:pPr>
        <w:rPr>
          <w:rFonts w:ascii="Cambria" w:hAnsi="Cambria" w:cs="Calibri"/>
          <w:sz w:val="20"/>
          <w:szCs w:val="20"/>
          <w:lang w:val="es-ES_tradnl"/>
        </w:rPr>
      </w:pPr>
    </w:p>
    <w:sectPr w:rsidR="00722C9F" w:rsidRPr="00AB60FD"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B491BF" w14:textId="77777777" w:rsidR="00775313" w:rsidRDefault="00775313">
      <w:r>
        <w:separator/>
      </w:r>
    </w:p>
  </w:endnote>
  <w:endnote w:type="continuationSeparator" w:id="0">
    <w:p w14:paraId="700BE3F0" w14:textId="77777777" w:rsidR="00775313" w:rsidRDefault="007753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29E243E2" w14:textId="25B7F19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5D38F9">
          <w:rPr>
            <w:noProof/>
            <w:sz w:val="16"/>
            <w:szCs w:val="22"/>
          </w:rPr>
          <w:t>2</w:t>
        </w:r>
        <w:r w:rsidRPr="00934A2C">
          <w:rPr>
            <w:noProof/>
            <w:sz w:val="16"/>
            <w:szCs w:val="22"/>
          </w:rPr>
          <w:fldChar w:fldCharType="end"/>
        </w:r>
      </w:p>
    </w:sdtContent>
  </w:sdt>
  <w:p w14:paraId="68530E6A"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54FDC" w14:textId="77777777" w:rsidR="0070697F" w:rsidRPr="00934A2C" w:rsidRDefault="0070697F">
    <w:pPr>
      <w:pStyle w:val="Footer"/>
      <w:jc w:val="center"/>
      <w:rPr>
        <w:sz w:val="16"/>
        <w:szCs w:val="22"/>
      </w:rPr>
    </w:pPr>
  </w:p>
  <w:p w14:paraId="49059CE3"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793783" w14:textId="77777777" w:rsidR="00775313" w:rsidRPr="000F35ED" w:rsidRDefault="00775313">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360D0A78" w14:textId="77777777" w:rsidR="00775313" w:rsidRPr="000F35ED" w:rsidRDefault="00775313" w:rsidP="000F35ED">
      <w:pPr>
        <w:rPr>
          <w:rFonts w:asciiTheme="majorHAnsi" w:hAnsiTheme="majorHAnsi"/>
          <w:sz w:val="16"/>
          <w:szCs w:val="16"/>
        </w:rPr>
      </w:pPr>
      <w:r w:rsidRPr="000F35ED">
        <w:rPr>
          <w:rFonts w:asciiTheme="majorHAnsi" w:hAnsiTheme="majorHAnsi"/>
          <w:sz w:val="16"/>
          <w:szCs w:val="16"/>
        </w:rPr>
        <w:separator/>
      </w:r>
    </w:p>
    <w:p w14:paraId="2D577855" w14:textId="77777777" w:rsidR="00775313" w:rsidRPr="000F35ED" w:rsidRDefault="00775313"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74CC3CB6" w14:textId="77777777" w:rsidR="00775313" w:rsidRPr="000F35ED" w:rsidRDefault="00775313"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06C1BEFA" w14:textId="24FF6057" w:rsidR="004A6A54" w:rsidRPr="0051722E" w:rsidRDefault="004A6A54" w:rsidP="0051722E">
      <w:pPr>
        <w:pStyle w:val="FootnoteText"/>
        <w:ind w:firstLine="720"/>
        <w:jc w:val="both"/>
        <w:rPr>
          <w:rFonts w:asciiTheme="majorHAnsi" w:hAnsiTheme="majorHAnsi"/>
          <w:sz w:val="16"/>
          <w:szCs w:val="16"/>
          <w:lang w:val="es-ES"/>
        </w:rPr>
      </w:pPr>
      <w:r w:rsidRPr="0051722E">
        <w:rPr>
          <w:rStyle w:val="FootnoteReference"/>
          <w:rFonts w:asciiTheme="majorHAnsi" w:hAnsiTheme="majorHAnsi"/>
          <w:sz w:val="16"/>
          <w:szCs w:val="16"/>
        </w:rPr>
        <w:footnoteRef/>
      </w:r>
      <w:r w:rsidRPr="0051722E">
        <w:rPr>
          <w:rFonts w:asciiTheme="majorHAnsi" w:hAnsiTheme="majorHAnsi"/>
          <w:sz w:val="16"/>
          <w:szCs w:val="16"/>
          <w:lang w:val="es-ES"/>
        </w:rPr>
        <w:t xml:space="preserve"> Conforme a lo dispuesto en el artículo 17.2.a del Reglamento de la Comisión, el Comisionado </w:t>
      </w:r>
      <w:r w:rsidR="00553EF7" w:rsidRPr="0051722E">
        <w:rPr>
          <w:rFonts w:asciiTheme="majorHAnsi" w:hAnsiTheme="majorHAnsi"/>
          <w:sz w:val="16"/>
          <w:szCs w:val="16"/>
          <w:lang w:val="es-ES"/>
        </w:rPr>
        <w:t>Carlos Bernal Pulido</w:t>
      </w:r>
      <w:r w:rsidRPr="0051722E">
        <w:rPr>
          <w:rFonts w:asciiTheme="majorHAnsi" w:hAnsiTheme="majorHAnsi"/>
          <w:sz w:val="16"/>
          <w:szCs w:val="16"/>
          <w:lang w:val="es-ES"/>
        </w:rPr>
        <w:t xml:space="preserve">, de nacionalidad </w:t>
      </w:r>
      <w:r w:rsidR="00553EF7" w:rsidRPr="0051722E">
        <w:rPr>
          <w:rFonts w:asciiTheme="majorHAnsi" w:hAnsiTheme="majorHAnsi"/>
          <w:sz w:val="16"/>
          <w:szCs w:val="16"/>
          <w:lang w:val="es-ES"/>
        </w:rPr>
        <w:t>colombiana</w:t>
      </w:r>
      <w:r w:rsidRPr="0051722E">
        <w:rPr>
          <w:rFonts w:asciiTheme="majorHAnsi" w:hAnsiTheme="majorHAnsi"/>
          <w:sz w:val="16"/>
          <w:szCs w:val="16"/>
          <w:lang w:val="es-ES"/>
        </w:rPr>
        <w:t>, no participó en el debate ni en la decisión del presente asunto.</w:t>
      </w:r>
    </w:p>
  </w:footnote>
  <w:footnote w:id="3">
    <w:p w14:paraId="204AD5FF" w14:textId="77777777" w:rsidR="00520836" w:rsidRPr="0051722E" w:rsidRDefault="00520836" w:rsidP="0051722E">
      <w:pPr>
        <w:pStyle w:val="FootnoteText"/>
        <w:ind w:firstLine="720"/>
        <w:jc w:val="both"/>
        <w:rPr>
          <w:rFonts w:asciiTheme="majorHAnsi" w:hAnsiTheme="majorHAnsi"/>
          <w:sz w:val="16"/>
          <w:szCs w:val="16"/>
          <w:lang w:val="es-ES_tradnl"/>
        </w:rPr>
      </w:pPr>
      <w:r w:rsidRPr="0051722E">
        <w:rPr>
          <w:rStyle w:val="FootnoteReference"/>
          <w:rFonts w:asciiTheme="majorHAnsi" w:hAnsiTheme="majorHAnsi"/>
          <w:sz w:val="16"/>
          <w:szCs w:val="16"/>
          <w:lang w:val="es-ES_tradnl"/>
        </w:rPr>
        <w:footnoteRef/>
      </w:r>
      <w:r w:rsidRPr="0051722E">
        <w:rPr>
          <w:rFonts w:asciiTheme="majorHAnsi" w:hAnsiTheme="majorHAnsi"/>
          <w:sz w:val="16"/>
          <w:szCs w:val="16"/>
          <w:lang w:val="es-ES_tradnl"/>
        </w:rPr>
        <w:t xml:space="preserve"> En adelante “la Convención Americana”</w:t>
      </w:r>
    </w:p>
  </w:footnote>
  <w:footnote w:id="4">
    <w:p w14:paraId="295CE103" w14:textId="2DA92246" w:rsidR="00CF5322" w:rsidRPr="0051722E" w:rsidRDefault="00CF5322" w:rsidP="0051722E">
      <w:pPr>
        <w:pStyle w:val="FootnoteText"/>
        <w:ind w:firstLine="720"/>
        <w:jc w:val="both"/>
        <w:rPr>
          <w:rFonts w:asciiTheme="majorHAnsi" w:hAnsiTheme="majorHAnsi"/>
          <w:sz w:val="16"/>
          <w:szCs w:val="16"/>
          <w:lang w:val="es-US"/>
        </w:rPr>
      </w:pPr>
      <w:r w:rsidRPr="0051722E">
        <w:rPr>
          <w:rStyle w:val="FootnoteReference"/>
          <w:rFonts w:asciiTheme="majorHAnsi" w:hAnsiTheme="majorHAnsi"/>
          <w:sz w:val="16"/>
          <w:szCs w:val="16"/>
        </w:rPr>
        <w:footnoteRef/>
      </w:r>
      <w:r w:rsidRPr="0051722E">
        <w:rPr>
          <w:rFonts w:asciiTheme="majorHAnsi" w:hAnsiTheme="majorHAnsi"/>
          <w:sz w:val="16"/>
          <w:szCs w:val="16"/>
          <w:lang w:val="es-US"/>
        </w:rPr>
        <w:t xml:space="preserve"> En adelante, “la Declaración” o “la Declaración Americana”.  </w:t>
      </w:r>
    </w:p>
  </w:footnote>
  <w:footnote w:id="5">
    <w:p w14:paraId="79F07139" w14:textId="77777777" w:rsidR="008E3BFE" w:rsidRPr="0051722E" w:rsidRDefault="008E3BFE" w:rsidP="0051722E">
      <w:pPr>
        <w:pStyle w:val="FootnoteText"/>
        <w:spacing w:after="120"/>
        <w:ind w:firstLine="720"/>
        <w:jc w:val="both"/>
        <w:rPr>
          <w:rFonts w:asciiTheme="majorHAnsi" w:hAnsiTheme="majorHAnsi"/>
          <w:sz w:val="16"/>
          <w:szCs w:val="16"/>
          <w:lang w:val="es-ES"/>
        </w:rPr>
      </w:pPr>
      <w:r w:rsidRPr="0051722E">
        <w:rPr>
          <w:rStyle w:val="FootnoteReference"/>
          <w:rFonts w:asciiTheme="majorHAnsi" w:hAnsiTheme="majorHAnsi"/>
          <w:sz w:val="16"/>
          <w:szCs w:val="16"/>
        </w:rPr>
        <w:footnoteRef/>
      </w:r>
      <w:r w:rsidRPr="0051722E">
        <w:rPr>
          <w:rFonts w:asciiTheme="majorHAnsi" w:hAnsiTheme="majorHAnsi"/>
          <w:sz w:val="16"/>
          <w:szCs w:val="16"/>
          <w:lang w:val="es-ES"/>
        </w:rPr>
        <w:t xml:space="preserve"> Las observaciones de cada parte fueron debidamente trasladadas a la parte contraria.</w:t>
      </w:r>
    </w:p>
  </w:footnote>
  <w:footnote w:id="6">
    <w:p w14:paraId="1CB056AE" w14:textId="1FFD5ABA" w:rsidR="00B42983" w:rsidRPr="0051722E" w:rsidRDefault="00B42983" w:rsidP="0051722E">
      <w:pPr>
        <w:pStyle w:val="FootnoteText"/>
        <w:ind w:firstLine="720"/>
        <w:jc w:val="both"/>
        <w:rPr>
          <w:rFonts w:asciiTheme="majorHAnsi" w:hAnsiTheme="majorHAnsi"/>
          <w:sz w:val="16"/>
          <w:szCs w:val="16"/>
          <w:lang w:val="es-US"/>
        </w:rPr>
      </w:pPr>
      <w:r w:rsidRPr="0051722E">
        <w:rPr>
          <w:rStyle w:val="FootnoteReference"/>
          <w:rFonts w:asciiTheme="majorHAnsi" w:hAnsiTheme="majorHAnsi"/>
          <w:sz w:val="16"/>
          <w:szCs w:val="16"/>
        </w:rPr>
        <w:footnoteRef/>
      </w:r>
      <w:r w:rsidRPr="0051722E">
        <w:rPr>
          <w:rFonts w:asciiTheme="majorHAnsi" w:hAnsiTheme="majorHAnsi"/>
          <w:sz w:val="16"/>
          <w:szCs w:val="16"/>
          <w:lang w:val="es-US"/>
        </w:rPr>
        <w:t xml:space="preserve"> Concretamente, refieren que el señor Florentino Paz perdió un inmueble, junto los bienes muebles y electrodomésticos que se encontraban en dicho lugar; mientras que el señor Montenegro Sánchez perdió un inmueble que fungía como establecimiento comercial, además de los bienes que se encontraban dicho de tal propiedad. </w:t>
      </w:r>
    </w:p>
  </w:footnote>
  <w:footnote w:id="7">
    <w:p w14:paraId="72760BC5" w14:textId="59FCA851" w:rsidR="0035660E" w:rsidRPr="0051722E" w:rsidRDefault="0035660E" w:rsidP="0051722E">
      <w:pPr>
        <w:pStyle w:val="FootnoteText"/>
        <w:ind w:firstLine="720"/>
        <w:jc w:val="both"/>
        <w:rPr>
          <w:rFonts w:asciiTheme="majorHAnsi" w:hAnsiTheme="majorHAnsi"/>
          <w:sz w:val="16"/>
          <w:szCs w:val="16"/>
          <w:lang w:val="es-US"/>
        </w:rPr>
      </w:pPr>
      <w:r w:rsidRPr="0051722E">
        <w:rPr>
          <w:rStyle w:val="FootnoteReference"/>
          <w:rFonts w:asciiTheme="majorHAnsi" w:hAnsiTheme="majorHAnsi"/>
          <w:sz w:val="16"/>
          <w:szCs w:val="16"/>
        </w:rPr>
        <w:footnoteRef/>
      </w:r>
      <w:r w:rsidRPr="0051722E">
        <w:rPr>
          <w:rFonts w:asciiTheme="majorHAnsi" w:hAnsiTheme="majorHAnsi"/>
          <w:sz w:val="16"/>
          <w:szCs w:val="16"/>
          <w:lang w:val="es-US"/>
        </w:rPr>
        <w:t xml:space="preserve"> CIDH, Informe No. 91/20, Peticion 227-09, Admisibilidad, Dario Gómez Cartagena y familia. Colombia. 4 de abril de 2020, párr. 9; 241/21, Petición 762-10, Admisibilidad, Geovanni Aguirre Soto. Colombia. 17 de septiembre de 2021, 17. </w:t>
      </w:r>
    </w:p>
  </w:footnote>
  <w:footnote w:id="8">
    <w:p w14:paraId="5E4529D2" w14:textId="77777777" w:rsidR="0063225E" w:rsidRPr="0051722E" w:rsidRDefault="0063225E" w:rsidP="0051722E">
      <w:pPr>
        <w:pStyle w:val="FootnoteText"/>
        <w:ind w:firstLine="720"/>
        <w:jc w:val="both"/>
        <w:rPr>
          <w:rFonts w:asciiTheme="majorHAnsi" w:hAnsiTheme="majorHAnsi"/>
          <w:sz w:val="16"/>
          <w:szCs w:val="16"/>
          <w:lang w:val="es-ES"/>
        </w:rPr>
      </w:pPr>
      <w:r w:rsidRPr="0051722E">
        <w:rPr>
          <w:rStyle w:val="FootnoteReference"/>
          <w:rFonts w:asciiTheme="majorHAnsi" w:hAnsiTheme="majorHAnsi"/>
          <w:sz w:val="16"/>
          <w:szCs w:val="16"/>
        </w:rPr>
        <w:footnoteRef/>
      </w:r>
      <w:r w:rsidRPr="0051722E">
        <w:rPr>
          <w:rFonts w:asciiTheme="majorHAnsi" w:hAnsiTheme="majorHAnsi"/>
          <w:sz w:val="16"/>
          <w:szCs w:val="16"/>
          <w:lang w:val="es-ES"/>
        </w:rPr>
        <w:t xml:space="preserve"> CIDH, Informe Nº 100/06, Petición 943-04, Inadmisibilidad. Gaybor Tapia y Colón Eloy Muñoz, Ecuador, 21 de octubre de 2006, párr. 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A00D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401BB" w14:textId="77777777" w:rsidR="00A50FCF" w:rsidRDefault="00A50FCF" w:rsidP="00A50FCF">
    <w:pPr>
      <w:pStyle w:val="Header"/>
      <w:tabs>
        <w:tab w:val="clear" w:pos="4320"/>
        <w:tab w:val="clear" w:pos="8640"/>
      </w:tabs>
      <w:jc w:val="center"/>
      <w:rPr>
        <w:sz w:val="22"/>
        <w:szCs w:val="22"/>
      </w:rPr>
    </w:pPr>
    <w:r>
      <w:rPr>
        <w:noProof/>
        <w:sz w:val="22"/>
        <w:szCs w:val="22"/>
        <w:lang w:val="es-419" w:eastAsia="es-419"/>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040C3A" w:rsidRPr="00EC7D62" w:rsidRDefault="00C9102F"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7"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0"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213364BF"/>
    <w:multiLevelType w:val="hybridMultilevel"/>
    <w:tmpl w:val="3830D61E"/>
    <w:lvl w:ilvl="0" w:tplc="FC04B416">
      <w:start w:val="1"/>
      <w:numFmt w:val="decimal"/>
      <w:lvlText w:val="%1."/>
      <w:lvlJc w:val="left"/>
      <w:pPr>
        <w:ind w:left="1440" w:hanging="720"/>
      </w:pPr>
      <w:rPr>
        <w:rFonts w:hint="default"/>
        <w:b w:val="0"/>
        <w:bCs/>
        <w:i w:val="0"/>
        <w:iCs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6"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7"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5"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6"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9"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0"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7"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1"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872813378">
    <w:abstractNumId w:val="3"/>
  </w:num>
  <w:num w:numId="2" w16cid:durableId="1813330237">
    <w:abstractNumId w:val="4"/>
  </w:num>
  <w:num w:numId="3" w16cid:durableId="1532187907">
    <w:abstractNumId w:val="50"/>
  </w:num>
  <w:num w:numId="4" w16cid:durableId="1933658824">
    <w:abstractNumId w:val="20"/>
  </w:num>
  <w:num w:numId="5" w16cid:durableId="102309653">
    <w:abstractNumId w:val="44"/>
  </w:num>
  <w:num w:numId="6" w16cid:durableId="119616561">
    <w:abstractNumId w:val="25"/>
  </w:num>
  <w:num w:numId="7" w16cid:durableId="1374312286">
    <w:abstractNumId w:val="5"/>
  </w:num>
  <w:num w:numId="8" w16cid:durableId="1356929234">
    <w:abstractNumId w:val="16"/>
  </w:num>
  <w:num w:numId="9" w16cid:durableId="382481005">
    <w:abstractNumId w:val="35"/>
  </w:num>
  <w:num w:numId="10" w16cid:durableId="1767651536">
    <w:abstractNumId w:val="39"/>
  </w:num>
  <w:num w:numId="11" w16cid:durableId="993338501">
    <w:abstractNumId w:val="0"/>
  </w:num>
  <w:num w:numId="12" w16cid:durableId="783113306">
    <w:abstractNumId w:val="34"/>
  </w:num>
  <w:num w:numId="13" w16cid:durableId="906108081">
    <w:abstractNumId w:val="41"/>
  </w:num>
  <w:num w:numId="14" w16cid:durableId="1662195483">
    <w:abstractNumId w:val="1"/>
  </w:num>
  <w:num w:numId="15" w16cid:durableId="1422067352">
    <w:abstractNumId w:val="2"/>
  </w:num>
  <w:num w:numId="16" w16cid:durableId="728697696">
    <w:abstractNumId w:val="6"/>
  </w:num>
  <w:num w:numId="17" w16cid:durableId="532697137">
    <w:abstractNumId w:val="7"/>
  </w:num>
  <w:num w:numId="18" w16cid:durableId="1882203984">
    <w:abstractNumId w:val="8"/>
  </w:num>
  <w:num w:numId="19" w16cid:durableId="1351371818">
    <w:abstractNumId w:val="9"/>
  </w:num>
  <w:num w:numId="20" w16cid:durableId="1675113195">
    <w:abstractNumId w:val="10"/>
  </w:num>
  <w:num w:numId="21" w16cid:durableId="1955670201">
    <w:abstractNumId w:val="12"/>
  </w:num>
  <w:num w:numId="22" w16cid:durableId="574364452">
    <w:abstractNumId w:val="13"/>
  </w:num>
  <w:num w:numId="23" w16cid:durableId="223028224">
    <w:abstractNumId w:val="14"/>
  </w:num>
  <w:num w:numId="24" w16cid:durableId="839083034">
    <w:abstractNumId w:val="15"/>
  </w:num>
  <w:num w:numId="25" w16cid:durableId="1048453737">
    <w:abstractNumId w:val="17"/>
  </w:num>
  <w:num w:numId="26" w16cid:durableId="1026640194">
    <w:abstractNumId w:val="18"/>
  </w:num>
  <w:num w:numId="27" w16cid:durableId="1329288156">
    <w:abstractNumId w:val="21"/>
  </w:num>
  <w:num w:numId="28" w16cid:durableId="1809085151">
    <w:abstractNumId w:val="22"/>
  </w:num>
  <w:num w:numId="29" w16cid:durableId="1080827732">
    <w:abstractNumId w:val="23"/>
  </w:num>
  <w:num w:numId="30" w16cid:durableId="2036301683">
    <w:abstractNumId w:val="24"/>
  </w:num>
  <w:num w:numId="31" w16cid:durableId="126708259">
    <w:abstractNumId w:val="26"/>
  </w:num>
  <w:num w:numId="32" w16cid:durableId="2058167483">
    <w:abstractNumId w:val="27"/>
  </w:num>
  <w:num w:numId="33" w16cid:durableId="2058311766">
    <w:abstractNumId w:val="28"/>
  </w:num>
  <w:num w:numId="34" w16cid:durableId="410128829">
    <w:abstractNumId w:val="29"/>
  </w:num>
  <w:num w:numId="35" w16cid:durableId="1761218776">
    <w:abstractNumId w:val="30"/>
  </w:num>
  <w:num w:numId="36" w16cid:durableId="1781222947">
    <w:abstractNumId w:val="31"/>
  </w:num>
  <w:num w:numId="37" w16cid:durableId="1311638866">
    <w:abstractNumId w:val="32"/>
  </w:num>
  <w:num w:numId="38" w16cid:durableId="1285455016">
    <w:abstractNumId w:val="33"/>
  </w:num>
  <w:num w:numId="39" w16cid:durableId="1160926393">
    <w:abstractNumId w:val="36"/>
  </w:num>
  <w:num w:numId="40" w16cid:durableId="1364018377">
    <w:abstractNumId w:val="37"/>
  </w:num>
  <w:num w:numId="41" w16cid:durableId="80612354">
    <w:abstractNumId w:val="43"/>
  </w:num>
  <w:num w:numId="42" w16cid:durableId="1691254366">
    <w:abstractNumId w:val="45"/>
  </w:num>
  <w:num w:numId="43" w16cid:durableId="580339032">
    <w:abstractNumId w:val="46"/>
  </w:num>
  <w:num w:numId="44" w16cid:durableId="379717792">
    <w:abstractNumId w:val="48"/>
  </w:num>
  <w:num w:numId="45" w16cid:durableId="1044066421">
    <w:abstractNumId w:val="49"/>
  </w:num>
  <w:num w:numId="46" w16cid:durableId="2091930067">
    <w:abstractNumId w:val="51"/>
  </w:num>
  <w:num w:numId="47" w16cid:durableId="532546517">
    <w:abstractNumId w:val="52"/>
  </w:num>
  <w:num w:numId="48" w16cid:durableId="414666162">
    <w:abstractNumId w:val="53"/>
  </w:num>
  <w:num w:numId="49" w16cid:durableId="1269311212">
    <w:abstractNumId w:val="54"/>
  </w:num>
  <w:num w:numId="50" w16cid:durableId="1631939513">
    <w:abstractNumId w:val="55"/>
  </w:num>
  <w:num w:numId="51" w16cid:durableId="1834564849">
    <w:abstractNumId w:val="19"/>
  </w:num>
  <w:num w:numId="52" w16cid:durableId="205724164">
    <w:abstractNumId w:val="38"/>
  </w:num>
  <w:num w:numId="53" w16cid:durableId="949429864">
    <w:abstractNumId w:val="47"/>
  </w:num>
  <w:num w:numId="54" w16cid:durableId="952714129">
    <w:abstractNumId w:val="42"/>
  </w:num>
  <w:num w:numId="55" w16cid:durableId="546839422">
    <w:abstractNumId w:val="40"/>
  </w:num>
  <w:num w:numId="56" w16cid:durableId="438989797">
    <w:abstractNumId w:val="11"/>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CDA"/>
    <w:rsid w:val="00006E1F"/>
    <w:rsid w:val="000070D7"/>
    <w:rsid w:val="0001788C"/>
    <w:rsid w:val="000234AA"/>
    <w:rsid w:val="000337EF"/>
    <w:rsid w:val="00040C3A"/>
    <w:rsid w:val="000419AD"/>
    <w:rsid w:val="000433C9"/>
    <w:rsid w:val="000716C5"/>
    <w:rsid w:val="00075E23"/>
    <w:rsid w:val="00075E55"/>
    <w:rsid w:val="00085268"/>
    <w:rsid w:val="0008719E"/>
    <w:rsid w:val="0009344A"/>
    <w:rsid w:val="000A392E"/>
    <w:rsid w:val="000A575F"/>
    <w:rsid w:val="000B438D"/>
    <w:rsid w:val="000C6D86"/>
    <w:rsid w:val="000D05CB"/>
    <w:rsid w:val="000D10DB"/>
    <w:rsid w:val="000E5EB5"/>
    <w:rsid w:val="000F35ED"/>
    <w:rsid w:val="000F65F5"/>
    <w:rsid w:val="00107131"/>
    <w:rsid w:val="0010736F"/>
    <w:rsid w:val="00113F73"/>
    <w:rsid w:val="00121CC2"/>
    <w:rsid w:val="00131425"/>
    <w:rsid w:val="00133EE5"/>
    <w:rsid w:val="00156E0A"/>
    <w:rsid w:val="00167A34"/>
    <w:rsid w:val="001A7870"/>
    <w:rsid w:val="001B3A00"/>
    <w:rsid w:val="001C1B41"/>
    <w:rsid w:val="001C7645"/>
    <w:rsid w:val="001D65EF"/>
    <w:rsid w:val="001E4381"/>
    <w:rsid w:val="001E49E7"/>
    <w:rsid w:val="001F7201"/>
    <w:rsid w:val="00223A29"/>
    <w:rsid w:val="002250A3"/>
    <w:rsid w:val="00235217"/>
    <w:rsid w:val="00246D1F"/>
    <w:rsid w:val="00247403"/>
    <w:rsid w:val="00247542"/>
    <w:rsid w:val="00266B61"/>
    <w:rsid w:val="0026712A"/>
    <w:rsid w:val="002704DB"/>
    <w:rsid w:val="002910BE"/>
    <w:rsid w:val="002A0AAE"/>
    <w:rsid w:val="002A1449"/>
    <w:rsid w:val="002A5820"/>
    <w:rsid w:val="002D2B26"/>
    <w:rsid w:val="002D7EA2"/>
    <w:rsid w:val="002E187C"/>
    <w:rsid w:val="002E7671"/>
    <w:rsid w:val="00302733"/>
    <w:rsid w:val="00304097"/>
    <w:rsid w:val="00304F0B"/>
    <w:rsid w:val="00307DEA"/>
    <w:rsid w:val="00314078"/>
    <w:rsid w:val="0031535D"/>
    <w:rsid w:val="003239B8"/>
    <w:rsid w:val="0033169F"/>
    <w:rsid w:val="00344977"/>
    <w:rsid w:val="00346C95"/>
    <w:rsid w:val="00356185"/>
    <w:rsid w:val="0035660E"/>
    <w:rsid w:val="00360380"/>
    <w:rsid w:val="0036460F"/>
    <w:rsid w:val="0037519E"/>
    <w:rsid w:val="00386CF0"/>
    <w:rsid w:val="003B70FB"/>
    <w:rsid w:val="003C676B"/>
    <w:rsid w:val="003D3BC2"/>
    <w:rsid w:val="003E6CA1"/>
    <w:rsid w:val="00401D83"/>
    <w:rsid w:val="00405F9C"/>
    <w:rsid w:val="004065A8"/>
    <w:rsid w:val="004165C2"/>
    <w:rsid w:val="00441ECB"/>
    <w:rsid w:val="00445193"/>
    <w:rsid w:val="00462C1B"/>
    <w:rsid w:val="00467B7E"/>
    <w:rsid w:val="00473BB4"/>
    <w:rsid w:val="00477592"/>
    <w:rsid w:val="00486F1C"/>
    <w:rsid w:val="0049419D"/>
    <w:rsid w:val="00497F95"/>
    <w:rsid w:val="004A0FC5"/>
    <w:rsid w:val="004A6A54"/>
    <w:rsid w:val="004B28ED"/>
    <w:rsid w:val="004C20D2"/>
    <w:rsid w:val="004C2312"/>
    <w:rsid w:val="004C4B62"/>
    <w:rsid w:val="004C54C9"/>
    <w:rsid w:val="004D4ABA"/>
    <w:rsid w:val="004D6025"/>
    <w:rsid w:val="004E2649"/>
    <w:rsid w:val="004F626F"/>
    <w:rsid w:val="00501399"/>
    <w:rsid w:val="0050633D"/>
    <w:rsid w:val="00507BC4"/>
    <w:rsid w:val="005128E4"/>
    <w:rsid w:val="005133DB"/>
    <w:rsid w:val="00514504"/>
    <w:rsid w:val="0051722E"/>
    <w:rsid w:val="00520836"/>
    <w:rsid w:val="00525560"/>
    <w:rsid w:val="00544C49"/>
    <w:rsid w:val="005516A1"/>
    <w:rsid w:val="00553EF7"/>
    <w:rsid w:val="005559EF"/>
    <w:rsid w:val="00561226"/>
    <w:rsid w:val="00563557"/>
    <w:rsid w:val="0057402A"/>
    <w:rsid w:val="005771D0"/>
    <w:rsid w:val="005834DF"/>
    <w:rsid w:val="0059191A"/>
    <w:rsid w:val="005921FF"/>
    <w:rsid w:val="005A24ED"/>
    <w:rsid w:val="005A6D0E"/>
    <w:rsid w:val="005B52B0"/>
    <w:rsid w:val="005B548C"/>
    <w:rsid w:val="005B6806"/>
    <w:rsid w:val="005C0C99"/>
    <w:rsid w:val="005C0CFC"/>
    <w:rsid w:val="005C4225"/>
    <w:rsid w:val="005C4442"/>
    <w:rsid w:val="005D38F9"/>
    <w:rsid w:val="005E424D"/>
    <w:rsid w:val="005F0DAD"/>
    <w:rsid w:val="005F0F33"/>
    <w:rsid w:val="00600DEB"/>
    <w:rsid w:val="00615879"/>
    <w:rsid w:val="00627C9F"/>
    <w:rsid w:val="006311E9"/>
    <w:rsid w:val="0063225E"/>
    <w:rsid w:val="00632354"/>
    <w:rsid w:val="00635421"/>
    <w:rsid w:val="00642810"/>
    <w:rsid w:val="00652333"/>
    <w:rsid w:val="00673606"/>
    <w:rsid w:val="0068009E"/>
    <w:rsid w:val="00692219"/>
    <w:rsid w:val="006A17D2"/>
    <w:rsid w:val="006A73E6"/>
    <w:rsid w:val="006B19D1"/>
    <w:rsid w:val="006B2D5C"/>
    <w:rsid w:val="006C4EB1"/>
    <w:rsid w:val="006D0154"/>
    <w:rsid w:val="006E0166"/>
    <w:rsid w:val="006E2FFB"/>
    <w:rsid w:val="006E6C3B"/>
    <w:rsid w:val="006E7B34"/>
    <w:rsid w:val="006F21EF"/>
    <w:rsid w:val="0070697F"/>
    <w:rsid w:val="00715225"/>
    <w:rsid w:val="0072199C"/>
    <w:rsid w:val="00722C9F"/>
    <w:rsid w:val="00724F52"/>
    <w:rsid w:val="007253B8"/>
    <w:rsid w:val="0073741F"/>
    <w:rsid w:val="00740425"/>
    <w:rsid w:val="0076643F"/>
    <w:rsid w:val="00775313"/>
    <w:rsid w:val="00777F63"/>
    <w:rsid w:val="007A20DA"/>
    <w:rsid w:val="007A5817"/>
    <w:rsid w:val="007B05C4"/>
    <w:rsid w:val="007B32A0"/>
    <w:rsid w:val="007B60E9"/>
    <w:rsid w:val="007B6CC3"/>
    <w:rsid w:val="007B76D3"/>
    <w:rsid w:val="007C3334"/>
    <w:rsid w:val="007C4A18"/>
    <w:rsid w:val="007D2B98"/>
    <w:rsid w:val="007E21BC"/>
    <w:rsid w:val="007E7C82"/>
    <w:rsid w:val="007F2AA1"/>
    <w:rsid w:val="007F588D"/>
    <w:rsid w:val="00803F1C"/>
    <w:rsid w:val="0080600E"/>
    <w:rsid w:val="00814688"/>
    <w:rsid w:val="00817612"/>
    <w:rsid w:val="008338A4"/>
    <w:rsid w:val="00834D49"/>
    <w:rsid w:val="00837C45"/>
    <w:rsid w:val="00844730"/>
    <w:rsid w:val="008457C2"/>
    <w:rsid w:val="00857A82"/>
    <w:rsid w:val="00863061"/>
    <w:rsid w:val="00873836"/>
    <w:rsid w:val="00885737"/>
    <w:rsid w:val="00890650"/>
    <w:rsid w:val="00897E12"/>
    <w:rsid w:val="008A400D"/>
    <w:rsid w:val="008A7E0F"/>
    <w:rsid w:val="008B12F5"/>
    <w:rsid w:val="008C1836"/>
    <w:rsid w:val="008C5E2D"/>
    <w:rsid w:val="008D768D"/>
    <w:rsid w:val="008E3759"/>
    <w:rsid w:val="008E3BFE"/>
    <w:rsid w:val="008F1912"/>
    <w:rsid w:val="0090270B"/>
    <w:rsid w:val="009041DC"/>
    <w:rsid w:val="00905D2F"/>
    <w:rsid w:val="00917B5A"/>
    <w:rsid w:val="00920A58"/>
    <w:rsid w:val="00920A8C"/>
    <w:rsid w:val="00930C1E"/>
    <w:rsid w:val="00934A2C"/>
    <w:rsid w:val="00950536"/>
    <w:rsid w:val="0096706E"/>
    <w:rsid w:val="00974491"/>
    <w:rsid w:val="00975C4E"/>
    <w:rsid w:val="00976B22"/>
    <w:rsid w:val="00981936"/>
    <w:rsid w:val="00981FBA"/>
    <w:rsid w:val="00997BC5"/>
    <w:rsid w:val="009A4F41"/>
    <w:rsid w:val="009B381B"/>
    <w:rsid w:val="009D1753"/>
    <w:rsid w:val="009D7611"/>
    <w:rsid w:val="009E0B61"/>
    <w:rsid w:val="009E53DE"/>
    <w:rsid w:val="00A11212"/>
    <w:rsid w:val="00A11E44"/>
    <w:rsid w:val="00A20D36"/>
    <w:rsid w:val="00A23D13"/>
    <w:rsid w:val="00A30100"/>
    <w:rsid w:val="00A328B3"/>
    <w:rsid w:val="00A3771E"/>
    <w:rsid w:val="00A50FCF"/>
    <w:rsid w:val="00A528D1"/>
    <w:rsid w:val="00A610CD"/>
    <w:rsid w:val="00A758AA"/>
    <w:rsid w:val="00AA09A2"/>
    <w:rsid w:val="00AA7996"/>
    <w:rsid w:val="00AB60FD"/>
    <w:rsid w:val="00AC19CB"/>
    <w:rsid w:val="00AE5488"/>
    <w:rsid w:val="00AE6F91"/>
    <w:rsid w:val="00AF25D7"/>
    <w:rsid w:val="00AF5571"/>
    <w:rsid w:val="00B0632A"/>
    <w:rsid w:val="00B07341"/>
    <w:rsid w:val="00B17BFE"/>
    <w:rsid w:val="00B22AC4"/>
    <w:rsid w:val="00B25B60"/>
    <w:rsid w:val="00B30539"/>
    <w:rsid w:val="00B314DB"/>
    <w:rsid w:val="00B361F2"/>
    <w:rsid w:val="00B3718B"/>
    <w:rsid w:val="00B3745F"/>
    <w:rsid w:val="00B42983"/>
    <w:rsid w:val="00B4632A"/>
    <w:rsid w:val="00B530F1"/>
    <w:rsid w:val="00B82B11"/>
    <w:rsid w:val="00BA276C"/>
    <w:rsid w:val="00BB306F"/>
    <w:rsid w:val="00BD4B89"/>
    <w:rsid w:val="00BD5922"/>
    <w:rsid w:val="00BE58BB"/>
    <w:rsid w:val="00BF02CB"/>
    <w:rsid w:val="00BF6FD8"/>
    <w:rsid w:val="00C03680"/>
    <w:rsid w:val="00C054DF"/>
    <w:rsid w:val="00C21762"/>
    <w:rsid w:val="00C21FEF"/>
    <w:rsid w:val="00C23BA4"/>
    <w:rsid w:val="00C24543"/>
    <w:rsid w:val="00C256A2"/>
    <w:rsid w:val="00C25ADB"/>
    <w:rsid w:val="00C51515"/>
    <w:rsid w:val="00C5660B"/>
    <w:rsid w:val="00C66B72"/>
    <w:rsid w:val="00C87AC4"/>
    <w:rsid w:val="00C9102F"/>
    <w:rsid w:val="00C9567A"/>
    <w:rsid w:val="00CB212D"/>
    <w:rsid w:val="00CB2660"/>
    <w:rsid w:val="00CC5E90"/>
    <w:rsid w:val="00CD046C"/>
    <w:rsid w:val="00CE076C"/>
    <w:rsid w:val="00CE5199"/>
    <w:rsid w:val="00CE66D5"/>
    <w:rsid w:val="00CE76CA"/>
    <w:rsid w:val="00CF5322"/>
    <w:rsid w:val="00CF637A"/>
    <w:rsid w:val="00D059DE"/>
    <w:rsid w:val="00D05ABD"/>
    <w:rsid w:val="00D13FCE"/>
    <w:rsid w:val="00D2123A"/>
    <w:rsid w:val="00D240DB"/>
    <w:rsid w:val="00D306D1"/>
    <w:rsid w:val="00D30800"/>
    <w:rsid w:val="00D34786"/>
    <w:rsid w:val="00D35A4A"/>
    <w:rsid w:val="00D37BFC"/>
    <w:rsid w:val="00D47A8E"/>
    <w:rsid w:val="00D52D14"/>
    <w:rsid w:val="00D712D3"/>
    <w:rsid w:val="00D71422"/>
    <w:rsid w:val="00D72DC6"/>
    <w:rsid w:val="00D7558D"/>
    <w:rsid w:val="00D81D92"/>
    <w:rsid w:val="00D84F67"/>
    <w:rsid w:val="00D876F9"/>
    <w:rsid w:val="00D90FF7"/>
    <w:rsid w:val="00DA7B5F"/>
    <w:rsid w:val="00DB1EAB"/>
    <w:rsid w:val="00DC11E7"/>
    <w:rsid w:val="00DC24E3"/>
    <w:rsid w:val="00DC2A80"/>
    <w:rsid w:val="00DC7023"/>
    <w:rsid w:val="00DC769A"/>
    <w:rsid w:val="00DD09EE"/>
    <w:rsid w:val="00DD3D86"/>
    <w:rsid w:val="00DD4AD2"/>
    <w:rsid w:val="00DF1EC4"/>
    <w:rsid w:val="00E0340B"/>
    <w:rsid w:val="00E04A90"/>
    <w:rsid w:val="00E0551F"/>
    <w:rsid w:val="00E219C7"/>
    <w:rsid w:val="00E4118C"/>
    <w:rsid w:val="00E43157"/>
    <w:rsid w:val="00E461CE"/>
    <w:rsid w:val="00E55238"/>
    <w:rsid w:val="00E573E4"/>
    <w:rsid w:val="00E64C3D"/>
    <w:rsid w:val="00E720CA"/>
    <w:rsid w:val="00E84EB5"/>
    <w:rsid w:val="00E85662"/>
    <w:rsid w:val="00E8789F"/>
    <w:rsid w:val="00E95B1F"/>
    <w:rsid w:val="00E97B71"/>
    <w:rsid w:val="00EA3D34"/>
    <w:rsid w:val="00EB454D"/>
    <w:rsid w:val="00ED27D5"/>
    <w:rsid w:val="00ED549D"/>
    <w:rsid w:val="00ED76BE"/>
    <w:rsid w:val="00EE00E9"/>
    <w:rsid w:val="00EF1AAA"/>
    <w:rsid w:val="00EF619B"/>
    <w:rsid w:val="00F00B55"/>
    <w:rsid w:val="00F020CC"/>
    <w:rsid w:val="00F02AD1"/>
    <w:rsid w:val="00F12201"/>
    <w:rsid w:val="00F253CC"/>
    <w:rsid w:val="00F37106"/>
    <w:rsid w:val="00F44E25"/>
    <w:rsid w:val="00F519CF"/>
    <w:rsid w:val="00F56BA5"/>
    <w:rsid w:val="00F60E22"/>
    <w:rsid w:val="00F81395"/>
    <w:rsid w:val="00F81BB8"/>
    <w:rsid w:val="00F90C64"/>
    <w:rsid w:val="00F917D1"/>
    <w:rsid w:val="00F9653B"/>
    <w:rsid w:val="00FA6BBB"/>
    <w:rsid w:val="00FB62CF"/>
    <w:rsid w:val="00FD3C3B"/>
    <w:rsid w:val="00FE07DD"/>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pPr>
      <w:numPr>
        <w:numId w:val="31"/>
      </w:numPr>
    </w:pPr>
  </w:style>
  <w:style w:type="paragraph" w:customStyle="1" w:styleId="paragraph">
    <w:name w:val="paragraph"/>
    <w:basedOn w:val="Normal"/>
    <w:rsid w:val="005C0CF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numbering" w:customStyle="1" w:styleId="List1">
    <w:name w:val="List 1"/>
    <w:pPr>
      <w:numPr>
        <w:numId w:val="1"/>
      </w:numPr>
    </w:pPr>
  </w:style>
  <w:style w:type="character" w:customStyle="1" w:styleId="normaltextrun">
    <w:name w:val="normaltextrun"/>
    <w:basedOn w:val="DefaultParagraphFont"/>
    <w:rsid w:val="005C0CFC"/>
  </w:style>
  <w:style w:type="numbering" w:customStyle="1" w:styleId="List210">
    <w:name w:val="List 21"/>
    <w:pPr>
      <w:numPr>
        <w:numId w:val="52"/>
      </w:numPr>
    </w:pPr>
  </w:style>
  <w:style w:type="character" w:customStyle="1" w:styleId="eop">
    <w:name w:val="eop"/>
    <w:basedOn w:val="DefaultParagraphFont"/>
    <w:rsid w:val="005C0CFC"/>
  </w:style>
  <w:style w:type="numbering" w:customStyle="1" w:styleId="List31">
    <w:name w:val="List 31"/>
    <w:pPr>
      <w:numPr>
        <w:numId w:val="51"/>
      </w:numPr>
    </w:pPr>
  </w:style>
  <w:style w:type="numbering" w:customStyle="1" w:styleId="List41">
    <w:name w:val="List 41"/>
    <w:pPr>
      <w:numPr>
        <w:numId w:val="2"/>
      </w:numPr>
    </w:pPr>
  </w:style>
  <w:style w:type="numbering" w:customStyle="1" w:styleId="List510">
    <w:name w:val="List 51"/>
    <w:pPr>
      <w:numPr>
        <w:numId w:val="54"/>
      </w:numPr>
    </w:pPr>
  </w:style>
  <w:style w:type="numbering" w:customStyle="1" w:styleId="List6">
    <w:name w:val="List 6"/>
    <w:pPr>
      <w:numPr>
        <w:numId w:val="3"/>
      </w:numPr>
    </w:pPr>
  </w:style>
  <w:style w:type="numbering" w:customStyle="1" w:styleId="List7">
    <w:name w:val="List 7"/>
    <w:pPr>
      <w:numPr>
        <w:numId w:val="4"/>
      </w:numPr>
    </w:pPr>
  </w:style>
  <w:style w:type="numbering" w:customStyle="1" w:styleId="List8">
    <w:name w:val="List 8"/>
    <w:pPr>
      <w:numPr>
        <w:numId w:val="5"/>
      </w:numPr>
    </w:pPr>
  </w:style>
  <w:style w:type="numbering" w:customStyle="1" w:styleId="List9">
    <w:name w:val="List 9"/>
    <w:pPr>
      <w:numPr>
        <w:numId w:val="22"/>
      </w:numPr>
    </w:pPr>
  </w:style>
  <w:style w:type="numbering" w:customStyle="1" w:styleId="List10">
    <w:name w:val="List 10"/>
    <w:pPr>
      <w:numPr>
        <w:numId w:val="6"/>
      </w:numPr>
    </w:pPr>
  </w:style>
  <w:style w:type="numbering" w:customStyle="1" w:styleId="List11">
    <w:name w:val="List 11"/>
    <w:pPr>
      <w:numPr>
        <w:numId w:val="7"/>
      </w:numPr>
    </w:pPr>
  </w:style>
  <w:style w:type="numbering" w:customStyle="1" w:styleId="List12">
    <w:name w:val="List 12"/>
    <w:pPr>
      <w:numPr>
        <w:numId w:val="36"/>
      </w:numPr>
    </w:pPr>
  </w:style>
  <w:style w:type="numbering" w:customStyle="1" w:styleId="List13">
    <w:name w:val="List 13"/>
    <w:pPr>
      <w:numPr>
        <w:numId w:val="42"/>
      </w:numPr>
    </w:pPr>
  </w:style>
  <w:style w:type="numbering" w:customStyle="1" w:styleId="List14">
    <w:name w:val="List 14"/>
    <w:pPr>
      <w:numPr>
        <w:numId w:val="17"/>
      </w:numPr>
    </w:pPr>
  </w:style>
  <w:style w:type="numbering" w:customStyle="1" w:styleId="List15">
    <w:name w:val="List 15"/>
    <w:pPr>
      <w:numPr>
        <w:numId w:val="16"/>
      </w:numPr>
    </w:pPr>
  </w:style>
  <w:style w:type="numbering" w:customStyle="1" w:styleId="List16">
    <w:name w:val="List 16"/>
    <w:pPr>
      <w:numPr>
        <w:numId w:val="11"/>
      </w:numPr>
    </w:pPr>
  </w:style>
  <w:style w:type="numbering" w:customStyle="1" w:styleId="List17">
    <w:name w:val="List 17"/>
    <w:pPr>
      <w:numPr>
        <w:numId w:val="25"/>
      </w:numPr>
    </w:pPr>
  </w:style>
  <w:style w:type="numbering" w:customStyle="1" w:styleId="List18">
    <w:name w:val="List 18"/>
    <w:pPr>
      <w:numPr>
        <w:numId w:val="27"/>
      </w:numPr>
    </w:pPr>
  </w:style>
  <w:style w:type="numbering" w:customStyle="1" w:styleId="List19">
    <w:name w:val="List 19"/>
    <w:pPr>
      <w:numPr>
        <w:numId w:val="19"/>
      </w:numPr>
    </w:pPr>
  </w:style>
  <w:style w:type="numbering" w:customStyle="1" w:styleId="List20">
    <w:name w:val="List 20"/>
    <w:pPr>
      <w:numPr>
        <w:numId w:val="43"/>
      </w:numPr>
    </w:pPr>
  </w:style>
  <w:style w:type="numbering" w:customStyle="1" w:styleId="List21">
    <w:name w:val="List 21"/>
    <w:pPr>
      <w:numPr>
        <w:numId w:val="38"/>
      </w:numPr>
    </w:pPr>
  </w:style>
  <w:style w:type="numbering" w:customStyle="1" w:styleId="List22">
    <w:name w:val="List 22"/>
    <w:pPr>
      <w:numPr>
        <w:numId w:val="28"/>
      </w:numPr>
    </w:pPr>
  </w:style>
  <w:style w:type="numbering" w:customStyle="1" w:styleId="List23">
    <w:name w:val="List 23"/>
    <w:pPr>
      <w:numPr>
        <w:numId w:val="18"/>
      </w:numPr>
    </w:pPr>
  </w:style>
  <w:style w:type="numbering" w:customStyle="1" w:styleId="List24">
    <w:name w:val="List 24"/>
    <w:pPr>
      <w:numPr>
        <w:numId w:val="13"/>
      </w:numPr>
    </w:pPr>
  </w:style>
  <w:style w:type="numbering" w:customStyle="1" w:styleId="List25">
    <w:name w:val="List 25"/>
    <w:pPr>
      <w:numPr>
        <w:numId w:val="15"/>
      </w:numPr>
    </w:pPr>
  </w:style>
  <w:style w:type="numbering" w:customStyle="1" w:styleId="List26">
    <w:name w:val="List 26"/>
    <w:pPr>
      <w:numPr>
        <w:numId w:val="49"/>
      </w:numPr>
    </w:pPr>
  </w:style>
  <w:style w:type="numbering" w:customStyle="1" w:styleId="List27">
    <w:name w:val="List 27"/>
    <w:pPr>
      <w:numPr>
        <w:numId w:val="41"/>
      </w:numPr>
    </w:pPr>
  </w:style>
  <w:style w:type="numbering" w:customStyle="1" w:styleId="List28">
    <w:name w:val="List 28"/>
    <w:pPr>
      <w:numPr>
        <w:numId w:val="30"/>
      </w:numPr>
    </w:pPr>
  </w:style>
  <w:style w:type="numbering" w:customStyle="1" w:styleId="List29">
    <w:name w:val="List 29"/>
    <w:pPr>
      <w:numPr>
        <w:numId w:val="34"/>
      </w:numPr>
    </w:pPr>
  </w:style>
  <w:style w:type="numbering" w:customStyle="1" w:styleId="List30">
    <w:name w:val="List 30"/>
    <w:pPr>
      <w:numPr>
        <w:numId w:val="32"/>
      </w:numPr>
    </w:pPr>
  </w:style>
  <w:style w:type="numbering" w:customStyle="1" w:styleId="List310">
    <w:name w:val="List 31"/>
    <w:pPr>
      <w:numPr>
        <w:numId w:val="45"/>
      </w:numPr>
    </w:pPr>
  </w:style>
  <w:style w:type="numbering" w:customStyle="1" w:styleId="List32">
    <w:name w:val="List 32"/>
    <w:pPr>
      <w:numPr>
        <w:numId w:val="48"/>
      </w:numPr>
    </w:p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Pr>
      <w:rFonts w:ascii="Calibri" w:eastAsia="Calibri" w:hAnsi="Calibri" w:cs="Calibri"/>
      <w:color w:val="000000"/>
      <w:u w:color="000000"/>
      <w:lang w:val="en-US"/>
    </w:rPr>
  </w:style>
  <w:style w:type="numbering" w:customStyle="1" w:styleId="List33">
    <w:name w:val="List 33"/>
    <w:pPr>
      <w:numPr>
        <w:numId w:val="26"/>
      </w:numPr>
    </w:pPr>
  </w:style>
  <w:style w:type="numbering" w:customStyle="1" w:styleId="List34">
    <w:name w:val="List 34"/>
    <w:pPr>
      <w:numPr>
        <w:numId w:val="12"/>
      </w:numPr>
    </w:pPr>
  </w:style>
  <w:style w:type="numbering" w:customStyle="1" w:styleId="List35">
    <w:name w:val="List 35"/>
    <w:pPr>
      <w:numPr>
        <w:numId w:val="8"/>
      </w:numPr>
    </w:pPr>
  </w:style>
  <w:style w:type="numbering" w:customStyle="1" w:styleId="List36">
    <w:name w:val="List 36"/>
    <w:pPr>
      <w:numPr>
        <w:numId w:val="14"/>
      </w:numPr>
    </w:pPr>
  </w:style>
  <w:style w:type="numbering" w:customStyle="1" w:styleId="List37">
    <w:name w:val="List 37"/>
    <w:pPr>
      <w:numPr>
        <w:numId w:val="47"/>
      </w:numPr>
    </w:pPr>
  </w:style>
  <w:style w:type="numbering" w:customStyle="1" w:styleId="List38">
    <w:name w:val="List 38"/>
    <w:pPr>
      <w:numPr>
        <w:numId w:val="35"/>
      </w:numPr>
    </w:pPr>
  </w:style>
  <w:style w:type="numbering" w:customStyle="1" w:styleId="List39">
    <w:name w:val="List 39"/>
    <w:pPr>
      <w:numPr>
        <w:numId w:val="46"/>
      </w:numPr>
    </w:pPr>
  </w:style>
  <w:style w:type="numbering" w:customStyle="1" w:styleId="List40">
    <w:name w:val="List 40"/>
    <w:pPr>
      <w:numPr>
        <w:numId w:val="21"/>
      </w:numPr>
    </w:pPr>
  </w:style>
  <w:style w:type="numbering" w:customStyle="1" w:styleId="List410">
    <w:name w:val="List 41"/>
    <w:pPr>
      <w:numPr>
        <w:numId w:val="44"/>
      </w:numPr>
    </w:pPr>
  </w:style>
  <w:style w:type="numbering" w:customStyle="1" w:styleId="List42">
    <w:name w:val="List 42"/>
    <w:pPr>
      <w:numPr>
        <w:numId w:val="9"/>
      </w:numPr>
    </w:pPr>
  </w:style>
  <w:style w:type="numbering" w:customStyle="1" w:styleId="List43">
    <w:name w:val="List 43"/>
    <w:pPr>
      <w:numPr>
        <w:numId w:val="23"/>
      </w:numPr>
    </w:pPr>
  </w:style>
  <w:style w:type="numbering" w:customStyle="1" w:styleId="List44">
    <w:name w:val="List 44"/>
    <w:pPr>
      <w:numPr>
        <w:numId w:val="40"/>
      </w:numPr>
    </w:pPr>
  </w:style>
  <w:style w:type="numbering" w:customStyle="1" w:styleId="List45">
    <w:name w:val="List 45"/>
    <w:pPr>
      <w:numPr>
        <w:numId w:val="20"/>
      </w:numPr>
    </w:pPr>
  </w:style>
  <w:style w:type="numbering" w:customStyle="1" w:styleId="List46">
    <w:name w:val="List 46"/>
    <w:pPr>
      <w:numPr>
        <w:numId w:val="24"/>
      </w:numPr>
    </w:pPr>
  </w:style>
  <w:style w:type="numbering" w:customStyle="1" w:styleId="List47">
    <w:name w:val="List 47"/>
    <w:pPr>
      <w:numPr>
        <w:numId w:val="29"/>
      </w:numPr>
    </w:pPr>
  </w:style>
  <w:style w:type="numbering" w:customStyle="1" w:styleId="List48">
    <w:name w:val="List 48"/>
    <w:pPr>
      <w:numPr>
        <w:numId w:val="50"/>
      </w:numPr>
    </w:pPr>
  </w:style>
  <w:style w:type="numbering" w:customStyle="1" w:styleId="List49">
    <w:name w:val="List 49"/>
    <w:pPr>
      <w:numPr>
        <w:numId w:val="39"/>
      </w:numPr>
    </w:pPr>
  </w:style>
  <w:style w:type="numbering" w:customStyle="1" w:styleId="List50">
    <w:name w:val="List 50"/>
    <w:pPr>
      <w:numPr>
        <w:numId w:val="37"/>
      </w:numPr>
    </w:pPr>
  </w:style>
  <w:style w:type="numbering" w:customStyle="1" w:styleId="List51">
    <w:name w:val="List 51"/>
    <w:pPr>
      <w:numPr>
        <w:numId w:val="33"/>
      </w:numPr>
    </w:pPr>
  </w:style>
  <w:style w:type="numbering" w:customStyle="1" w:styleId="List52">
    <w:name w:val="List 52"/>
    <w:pPr>
      <w:numPr>
        <w:numId w:val="10"/>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4GChar"/>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qFormat/>
    <w:rsid w:val="00520836"/>
    <w:pPr>
      <w:pBdr>
        <w:top w:val="none" w:sz="0" w:space="0" w:color="auto"/>
        <w:left w:val="none" w:sz="0" w:space="0" w:color="auto"/>
        <w:bottom w:val="none" w:sz="0" w:space="0" w:color="auto"/>
        <w:right w:val="none" w:sz="0" w:space="0" w:color="auto"/>
        <w:between w:val="none" w:sz="0" w:space="0" w:color="auto"/>
        <w:bar w:val="none" w:sz="0" w:color="auto"/>
      </w:pBdr>
      <w:jc w:val="both"/>
    </w:pPr>
    <w:rPr>
      <w:sz w:val="20"/>
      <w:szCs w:val="20"/>
      <w:vertAlign w:val="superscript"/>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image" Target="media/image3.png"/><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0F1531"/>
    <w:rsid w:val="00177416"/>
    <w:rsid w:val="00200821"/>
    <w:rsid w:val="0020278F"/>
    <w:rsid w:val="0025245B"/>
    <w:rsid w:val="002A3923"/>
    <w:rsid w:val="00394049"/>
    <w:rsid w:val="004B5BBB"/>
    <w:rsid w:val="004F2DF8"/>
    <w:rsid w:val="006F24A1"/>
    <w:rsid w:val="007B480E"/>
    <w:rsid w:val="0086336B"/>
    <w:rsid w:val="0099456D"/>
    <w:rsid w:val="009A261B"/>
    <w:rsid w:val="00AA2E17"/>
    <w:rsid w:val="00AC15A4"/>
    <w:rsid w:val="00B0336C"/>
    <w:rsid w:val="00D241E9"/>
    <w:rsid w:val="00D7750D"/>
    <w:rsid w:val="00F00D2F"/>
    <w:rsid w:val="00F128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89DCDDB8A16B44BDC2A7128ECAC845" ma:contentTypeVersion="16" ma:contentTypeDescription="Create a new document." ma:contentTypeScope="" ma:versionID="8320a09ae00a1f0dc305485fa1bf5fd2">
  <xsd:schema xmlns:xsd="http://www.w3.org/2001/XMLSchema" xmlns:xs="http://www.w3.org/2001/XMLSchema" xmlns:p="http://schemas.microsoft.com/office/2006/metadata/properties" xmlns:ns2="7ff2a89a-f9c3-4229-b04b-1f4abb2786a1" xmlns:ns3="730f74aa-8393-4aa5-b2f8-3c7aae566a68" targetNamespace="http://schemas.microsoft.com/office/2006/metadata/properties" ma:root="true" ma:fieldsID="d5f400581fcfbc5c2b880261c5748acb" ns2:_="" ns3:_="">
    <xsd:import namespace="7ff2a89a-f9c3-4229-b04b-1f4abb2786a1"/>
    <xsd:import namespace="730f74aa-8393-4aa5-b2f8-3c7aae566a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f2a89a-f9c3-4229-b04b-1f4abb2786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61574ee-41fe-444d-9ab4-b96c47c071b6}" ma:internalName="TaxCatchAll" ma:showField="CatchAllData" ma:web="730f74aa-8393-4aa5-b2f8-3c7aae566a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973F54-80E4-40FF-820B-567BAFDA30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f2a89a-f9c3-4229-b04b-1f4abb2786a1"/>
    <ds:schemaRef ds:uri="730f74aa-8393-4aa5-b2f8-3c7aae566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A6382F-AB13-4431-8484-AFB1086B1C6C}">
  <ds:schemaRefs>
    <ds:schemaRef ds:uri="http://schemas.microsoft.com/sharepoint/v3/contenttype/forms"/>
  </ds:schemaRefs>
</ds:datastoreItem>
</file>

<file path=customXml/itemProps3.xml><?xml version="1.0" encoding="utf-8"?>
<ds:datastoreItem xmlns:ds="http://schemas.openxmlformats.org/officeDocument/2006/customXml" ds:itemID="{F16126BE-6309-409F-9A97-9BD99ECB8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2362</Words>
  <Characters>13465</Characters>
  <Application>Microsoft Office Word</Application>
  <DocSecurity>0</DocSecurity>
  <Lines>112</Lines>
  <Paragraphs>31</Paragraphs>
  <ScaleCrop>false</ScaleCrop>
  <Company/>
  <LinksUpToDate>false</LinksUpToDate>
  <CharactersWithSpaces>15796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2023-03-24T18:17:00Z</dcterms:created>
  <dcterms:modified xsi:type="dcterms:W3CDTF">2023-03-24T18:17:00Z</dcterms:modified>
</cp:coreProperties>
</file>