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91BB3"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7E58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" fillcolor="#4a7194" stroked="f" strokeweight="2pt"/>
            </w:pict>
          </mc:Fallback>
        </mc:AlternateContent>
      </w:r>
      <w:r w:rsidR="003E6CA1" w:rsidRPr="0090270B">
        <w:rPr>
          <w:rFonts w:asciiTheme="majorHAnsi" w:hAnsiTheme="majorHAnsi"/>
          <w:noProof/>
          <w:sz w:val="22"/>
          <w:szCs w:val="22"/>
          <w:lang w:val="es-419" w:eastAsia="es-419"/>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349218F2" w14:textId="0208E50D" w:rsidR="00CB2660" w:rsidRDefault="00AE5488" w:rsidP="00AE5488">
                      <w:r>
                        <w:rPr>
                          <w:noProof/>
                          <w:lang w:val="es-419" w:eastAsia="es-419"/>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p>
                  </w:txbxContent>
                </v:textbox>
              </v:shape>
            </w:pict>
          </mc:Fallback>
        </mc:AlternateContent>
      </w:r>
    </w:p>
    <w:p w14:paraId="47386BAF"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90270B" w:rsidRDefault="005128E4" w:rsidP="00040C3A">
      <w:pPr>
        <w:tabs>
          <w:tab w:val="center" w:pos="5400"/>
        </w:tabs>
        <w:suppressAutoHyphens/>
        <w:rPr>
          <w:rFonts w:asciiTheme="majorHAnsi" w:hAnsiTheme="majorHAnsi"/>
          <w:sz w:val="22"/>
          <w:szCs w:val="22"/>
          <w:lang w:val="es-ES_tradnl"/>
        </w:rPr>
      </w:pPr>
    </w:p>
    <w:p w14:paraId="12A36B24" w14:textId="77777777" w:rsidR="005128E4" w:rsidRPr="0090270B" w:rsidRDefault="005128E4" w:rsidP="00040C3A">
      <w:pPr>
        <w:tabs>
          <w:tab w:val="center" w:pos="5400"/>
        </w:tabs>
        <w:suppressAutoHyphens/>
        <w:rPr>
          <w:rFonts w:asciiTheme="majorHAnsi" w:hAnsiTheme="majorHAnsi"/>
          <w:sz w:val="22"/>
          <w:szCs w:val="22"/>
          <w:lang w:val="es-ES_tradnl"/>
        </w:rPr>
      </w:pPr>
    </w:p>
    <w:p w14:paraId="2252093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403935BD"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6DCF5F8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791F13A"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4E016B6"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63D41962"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ADEB99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D81B7E8"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4791D04"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470EF3D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81284">
                              <w:rPr>
                                <w:rFonts w:asciiTheme="majorHAnsi" w:hAnsiTheme="majorHAnsi" w:cs="Arial"/>
                                <w:b/>
                                <w:bCs/>
                                <w:color w:val="0D0D0D" w:themeColor="text1" w:themeTint="F2"/>
                                <w:sz w:val="36"/>
                                <w:szCs w:val="22"/>
                                <w:lang w:val="es-ES_tradnl"/>
                              </w:rPr>
                              <w:t>299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570D45F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3211E">
                              <w:rPr>
                                <w:rFonts w:asciiTheme="majorHAnsi" w:hAnsiTheme="majorHAnsi" w:cs="Arial"/>
                                <w:b/>
                                <w:color w:val="0D0D0D" w:themeColor="text1" w:themeTint="F2"/>
                                <w:sz w:val="36"/>
                                <w:szCs w:val="22"/>
                                <w:lang w:val="es-ES_tradnl"/>
                              </w:rPr>
                              <w:t>693</w:t>
                            </w:r>
                            <w:r w:rsidR="00246D1F" w:rsidRPr="004E2649">
                              <w:rPr>
                                <w:rFonts w:asciiTheme="majorHAnsi" w:hAnsiTheme="majorHAnsi" w:cs="Arial"/>
                                <w:b/>
                                <w:color w:val="0D0D0D" w:themeColor="text1" w:themeTint="F2"/>
                                <w:sz w:val="36"/>
                                <w:szCs w:val="22"/>
                                <w:lang w:val="es-ES_tradnl"/>
                              </w:rPr>
                              <w:t>-</w:t>
                            </w:r>
                            <w:r w:rsidR="005F4A6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0" w:name="_ftnref1"/>
                          </w:p>
                          <w:p w14:paraId="4CFA2FBF" w14:textId="4B6F20BF" w:rsidR="005B52B0" w:rsidRPr="00E3211E" w:rsidRDefault="00E3211E" w:rsidP="00997BC5">
                            <w:pPr>
                              <w:spacing w:line="276" w:lineRule="auto"/>
                              <w:rPr>
                                <w:rFonts w:asciiTheme="majorHAnsi" w:hAnsiTheme="majorHAnsi" w:cs="Arial"/>
                                <w:color w:val="0D0D0D" w:themeColor="text1" w:themeTint="F2"/>
                                <w:szCs w:val="22"/>
                                <w:lang w:val="es-US"/>
                              </w:rPr>
                            </w:pPr>
                            <w:r w:rsidRPr="00E3211E">
                              <w:rPr>
                                <w:rFonts w:asciiTheme="majorHAnsi" w:hAnsiTheme="majorHAnsi" w:cs="Arial"/>
                                <w:color w:val="0D0D0D" w:themeColor="text1" w:themeTint="F2"/>
                                <w:szCs w:val="22"/>
                                <w:lang w:val="es-US"/>
                              </w:rPr>
                              <w:t>F</w:t>
                            </w:r>
                            <w:r>
                              <w:rPr>
                                <w:rFonts w:asciiTheme="majorHAnsi" w:hAnsiTheme="majorHAnsi" w:cs="Arial"/>
                                <w:color w:val="0D0D0D" w:themeColor="text1" w:themeTint="F2"/>
                                <w:szCs w:val="22"/>
                                <w:lang w:val="es-US"/>
                              </w:rPr>
                              <w:t>RANKLIN VARGAS GONZÁLEZ</w:t>
                            </w:r>
                          </w:p>
                          <w:bookmarkEnd w:id="0"/>
                          <w:p w14:paraId="35068D0D" w14:textId="0DC00239" w:rsidR="005B52B0" w:rsidRPr="00E3211E" w:rsidRDefault="00441E0D" w:rsidP="00997BC5">
                            <w:pPr>
                              <w:spacing w:line="276" w:lineRule="auto"/>
                              <w:rPr>
                                <w:rFonts w:asciiTheme="majorHAnsi" w:hAnsiTheme="majorHAnsi" w:cs="Arial"/>
                                <w:color w:val="0D0D0D" w:themeColor="text1" w:themeTint="F2"/>
                                <w:szCs w:val="22"/>
                                <w:lang w:val="es-US"/>
                              </w:rPr>
                            </w:pPr>
                            <w:r w:rsidRPr="00E3211E">
                              <w:rPr>
                                <w:rFonts w:asciiTheme="majorHAnsi" w:hAnsiTheme="majorHAnsi" w:cs="Arial"/>
                                <w:color w:val="0D0D0D" w:themeColor="text1" w:themeTint="F2"/>
                                <w:szCs w:val="22"/>
                                <w:lang w:val="es-US"/>
                              </w:rPr>
                              <w:t>COSTA RICA</w:t>
                            </w:r>
                          </w:p>
                          <w:p w14:paraId="575DFD52" w14:textId="77777777" w:rsidR="005B52B0" w:rsidRPr="00E3211E" w:rsidRDefault="005B52B0" w:rsidP="007A5817">
                            <w:pPr>
                              <w:rPr>
                                <w:color w:val="0D0D0D" w:themeColor="text1" w:themeTint="F2"/>
                                <w:lang w:val="es-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filled="f" stroked="f" strokeweight=".5pt">
                <v:textbox>
                  <w:txbxContent>
                    <w:p w14:paraId="4D9FE29C" w14:textId="470EF3DD"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181284">
                        <w:rPr>
                          <w:rFonts w:asciiTheme="majorHAnsi" w:hAnsiTheme="majorHAnsi" w:cs="Arial"/>
                          <w:b/>
                          <w:bCs/>
                          <w:color w:val="0D0D0D" w:themeColor="text1" w:themeTint="F2"/>
                          <w:sz w:val="36"/>
                          <w:szCs w:val="22"/>
                          <w:lang w:val="es-ES_tradnl"/>
                        </w:rPr>
                        <w:t>299</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w:t>
                      </w:r>
                      <w:r w:rsidR="00E82DDC">
                        <w:rPr>
                          <w:rFonts w:asciiTheme="majorHAnsi" w:hAnsiTheme="majorHAnsi" w:cs="Arial"/>
                          <w:b/>
                          <w:bCs/>
                          <w:color w:val="0D0D0D" w:themeColor="text1" w:themeTint="F2"/>
                          <w:sz w:val="36"/>
                          <w:szCs w:val="22"/>
                          <w:lang w:val="es-ES_tradnl"/>
                        </w:rPr>
                        <w:t>3</w:t>
                      </w:r>
                    </w:p>
                    <w:p w14:paraId="09C54AB3" w14:textId="570D45F5"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3211E">
                        <w:rPr>
                          <w:rFonts w:asciiTheme="majorHAnsi" w:hAnsiTheme="majorHAnsi" w:cs="Arial"/>
                          <w:b/>
                          <w:color w:val="0D0D0D" w:themeColor="text1" w:themeTint="F2"/>
                          <w:sz w:val="36"/>
                          <w:szCs w:val="22"/>
                          <w:lang w:val="es-ES_tradnl"/>
                        </w:rPr>
                        <w:t>693</w:t>
                      </w:r>
                      <w:r w:rsidR="00246D1F" w:rsidRPr="004E2649">
                        <w:rPr>
                          <w:rFonts w:asciiTheme="majorHAnsi" w:hAnsiTheme="majorHAnsi" w:cs="Arial"/>
                          <w:b/>
                          <w:color w:val="0D0D0D" w:themeColor="text1" w:themeTint="F2"/>
                          <w:sz w:val="36"/>
                          <w:szCs w:val="22"/>
                          <w:lang w:val="es-ES_tradnl"/>
                        </w:rPr>
                        <w:t>-</w:t>
                      </w:r>
                      <w:r w:rsidR="005F4A6C">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6623D22F"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INADMISIBILIDAD</w:t>
                      </w:r>
                      <w:r w:rsidR="008F1912" w:rsidRPr="0010736F">
                        <w:rPr>
                          <w:rFonts w:asciiTheme="majorHAnsi" w:hAnsiTheme="majorHAnsi" w:cs="Arial"/>
                          <w:color w:val="0D0D0D" w:themeColor="text1" w:themeTint="F2"/>
                          <w:szCs w:val="22"/>
                          <w:lang w:val="es-ES_tradnl"/>
                        </w:rPr>
                        <w:t xml:space="preserve"> </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4B6F20BF" w:rsidR="005B52B0" w:rsidRPr="00E3211E" w:rsidRDefault="00E3211E" w:rsidP="00997BC5">
                      <w:pPr>
                        <w:spacing w:line="276" w:lineRule="auto"/>
                        <w:rPr>
                          <w:rFonts w:asciiTheme="majorHAnsi" w:hAnsiTheme="majorHAnsi" w:cs="Arial"/>
                          <w:color w:val="0D0D0D" w:themeColor="text1" w:themeTint="F2"/>
                          <w:szCs w:val="22"/>
                          <w:lang w:val="es-US"/>
                        </w:rPr>
                      </w:pPr>
                      <w:r w:rsidRPr="00E3211E">
                        <w:rPr>
                          <w:rFonts w:asciiTheme="majorHAnsi" w:hAnsiTheme="majorHAnsi" w:cs="Arial"/>
                          <w:color w:val="0D0D0D" w:themeColor="text1" w:themeTint="F2"/>
                          <w:szCs w:val="22"/>
                          <w:lang w:val="es-US"/>
                        </w:rPr>
                        <w:t>F</w:t>
                      </w:r>
                      <w:r>
                        <w:rPr>
                          <w:rFonts w:asciiTheme="majorHAnsi" w:hAnsiTheme="majorHAnsi" w:cs="Arial"/>
                          <w:color w:val="0D0D0D" w:themeColor="text1" w:themeTint="F2"/>
                          <w:szCs w:val="22"/>
                          <w:lang w:val="es-US"/>
                        </w:rPr>
                        <w:t>RANKLIN VARGAS GONZÁLEZ</w:t>
                      </w:r>
                    </w:p>
                    <w:bookmarkEnd w:id="1"/>
                    <w:p w14:paraId="35068D0D" w14:textId="0DC00239" w:rsidR="005B52B0" w:rsidRPr="00E3211E" w:rsidRDefault="00441E0D" w:rsidP="00997BC5">
                      <w:pPr>
                        <w:spacing w:line="276" w:lineRule="auto"/>
                        <w:rPr>
                          <w:rFonts w:asciiTheme="majorHAnsi" w:hAnsiTheme="majorHAnsi" w:cs="Arial"/>
                          <w:color w:val="0D0D0D" w:themeColor="text1" w:themeTint="F2"/>
                          <w:szCs w:val="22"/>
                          <w:lang w:val="es-US"/>
                        </w:rPr>
                      </w:pPr>
                      <w:r w:rsidRPr="00E3211E">
                        <w:rPr>
                          <w:rFonts w:asciiTheme="majorHAnsi" w:hAnsiTheme="majorHAnsi" w:cs="Arial"/>
                          <w:color w:val="0D0D0D" w:themeColor="text1" w:themeTint="F2"/>
                          <w:szCs w:val="22"/>
                          <w:lang w:val="es-US"/>
                        </w:rPr>
                        <w:t>COSTA RICA</w:t>
                      </w:r>
                    </w:p>
                    <w:p w14:paraId="575DFD52" w14:textId="77777777" w:rsidR="005B52B0" w:rsidRPr="00E3211E" w:rsidRDefault="005B52B0" w:rsidP="007A5817">
                      <w:pPr>
                        <w:rPr>
                          <w:color w:val="0D0D0D" w:themeColor="text1" w:themeTint="F2"/>
                          <w:lang w:val="es-US"/>
                        </w:rPr>
                      </w:pPr>
                    </w:p>
                  </w:txbxContent>
                </v:textbox>
              </v:shape>
            </w:pict>
          </mc:Fallback>
        </mc:AlternateContent>
      </w:r>
      <w:r w:rsidR="004E2649" w:rsidRPr="0090270B">
        <w:rPr>
          <w:rFonts w:asciiTheme="majorHAnsi" w:hAnsiTheme="majorHAnsi"/>
          <w:noProof/>
          <w:sz w:val="22"/>
          <w:szCs w:val="22"/>
          <w:lang w:val="es-419" w:eastAsia="es-419"/>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1422311" w:rsidR="00627C9F" w:rsidRPr="00084AAE" w:rsidRDefault="00834D49" w:rsidP="007A5817">
                            <w:pPr>
                              <w:spacing w:line="276" w:lineRule="auto"/>
                              <w:jc w:val="right"/>
                              <w:rPr>
                                <w:rFonts w:asciiTheme="minorHAnsi" w:hAnsiTheme="minorHAnsi"/>
                                <w:color w:val="FFFFFF" w:themeColor="background1"/>
                                <w:sz w:val="22"/>
                                <w:lang w:val="es-AR"/>
                              </w:rPr>
                            </w:pPr>
                            <w:r w:rsidRPr="00084AAE">
                              <w:rPr>
                                <w:rFonts w:asciiTheme="minorHAnsi" w:hAnsiTheme="minorHAnsi"/>
                                <w:color w:val="FFFFFF" w:themeColor="background1"/>
                                <w:sz w:val="22"/>
                                <w:lang w:val="es-AR"/>
                              </w:rPr>
                              <w:t>OEA/Ser.L/V/II</w:t>
                            </w:r>
                          </w:p>
                          <w:p w14:paraId="6A41611B" w14:textId="4E397D15" w:rsidR="00627C9F" w:rsidRPr="00084AAE" w:rsidRDefault="00627C9F" w:rsidP="007A5817">
                            <w:pPr>
                              <w:spacing w:line="276" w:lineRule="auto"/>
                              <w:jc w:val="right"/>
                              <w:rPr>
                                <w:rFonts w:asciiTheme="minorHAnsi" w:hAnsiTheme="minorHAnsi"/>
                                <w:color w:val="FFFFFF" w:themeColor="background1"/>
                                <w:sz w:val="22"/>
                                <w:lang w:val="es-AR"/>
                              </w:rPr>
                            </w:pPr>
                            <w:r w:rsidRPr="00084AAE">
                              <w:rPr>
                                <w:rFonts w:asciiTheme="minorHAnsi" w:hAnsiTheme="minorHAnsi"/>
                                <w:color w:val="FFFFFF" w:themeColor="background1"/>
                                <w:sz w:val="22"/>
                                <w:lang w:val="es-AR"/>
                              </w:rPr>
                              <w:t>Doc.</w:t>
                            </w:r>
                            <w:r w:rsidR="001C7D5F" w:rsidRPr="00084AAE">
                              <w:rPr>
                                <w:rFonts w:asciiTheme="minorHAnsi" w:hAnsiTheme="minorHAnsi"/>
                                <w:color w:val="FFFFFF" w:themeColor="background1"/>
                                <w:sz w:val="22"/>
                                <w:lang w:val="es-AR"/>
                              </w:rPr>
                              <w:t xml:space="preserve"> 323</w:t>
                            </w:r>
                            <w:r w:rsidRPr="00084AAE">
                              <w:rPr>
                                <w:rFonts w:asciiTheme="minorHAnsi" w:hAnsiTheme="minorHAnsi"/>
                                <w:color w:val="FFFFFF" w:themeColor="background1"/>
                                <w:sz w:val="22"/>
                                <w:lang w:val="es-AR"/>
                              </w:rPr>
                              <w:t xml:space="preserve"> </w:t>
                            </w:r>
                          </w:p>
                          <w:p w14:paraId="69373ED2" w14:textId="435AB969" w:rsidR="00627C9F" w:rsidRPr="00C25ADB" w:rsidRDefault="001C7D5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filled="f" stroked="f" strokeweight=".5pt">
                <v:textbox>
                  <w:txbxContent>
                    <w:p w14:paraId="6CF0BAF6" w14:textId="71422311" w:rsidR="00627C9F" w:rsidRPr="00084AAE" w:rsidRDefault="00834D49" w:rsidP="007A5817">
                      <w:pPr>
                        <w:spacing w:line="276" w:lineRule="auto"/>
                        <w:jc w:val="right"/>
                        <w:rPr>
                          <w:rFonts w:asciiTheme="minorHAnsi" w:hAnsiTheme="minorHAnsi"/>
                          <w:color w:val="FFFFFF" w:themeColor="background1"/>
                          <w:sz w:val="22"/>
                          <w:lang w:val="es-AR"/>
                        </w:rPr>
                      </w:pPr>
                      <w:r w:rsidRPr="00084AAE">
                        <w:rPr>
                          <w:rFonts w:asciiTheme="minorHAnsi" w:hAnsiTheme="minorHAnsi"/>
                          <w:color w:val="FFFFFF" w:themeColor="background1"/>
                          <w:sz w:val="22"/>
                          <w:lang w:val="es-AR"/>
                        </w:rPr>
                        <w:t>OEA/Ser.L/V/II</w:t>
                      </w:r>
                    </w:p>
                    <w:p w14:paraId="6A41611B" w14:textId="4E397D15" w:rsidR="00627C9F" w:rsidRPr="00084AAE" w:rsidRDefault="00627C9F" w:rsidP="007A5817">
                      <w:pPr>
                        <w:spacing w:line="276" w:lineRule="auto"/>
                        <w:jc w:val="right"/>
                        <w:rPr>
                          <w:rFonts w:asciiTheme="minorHAnsi" w:hAnsiTheme="minorHAnsi"/>
                          <w:color w:val="FFFFFF" w:themeColor="background1"/>
                          <w:sz w:val="22"/>
                          <w:lang w:val="es-AR"/>
                        </w:rPr>
                      </w:pPr>
                      <w:r w:rsidRPr="00084AAE">
                        <w:rPr>
                          <w:rFonts w:asciiTheme="minorHAnsi" w:hAnsiTheme="minorHAnsi"/>
                          <w:color w:val="FFFFFF" w:themeColor="background1"/>
                          <w:sz w:val="22"/>
                          <w:lang w:val="es-AR"/>
                        </w:rPr>
                        <w:t>Doc.</w:t>
                      </w:r>
                      <w:r w:rsidR="001C7D5F" w:rsidRPr="00084AAE">
                        <w:rPr>
                          <w:rFonts w:asciiTheme="minorHAnsi" w:hAnsiTheme="minorHAnsi"/>
                          <w:color w:val="FFFFFF" w:themeColor="background1"/>
                          <w:sz w:val="22"/>
                          <w:lang w:val="es-AR"/>
                        </w:rPr>
                        <w:t xml:space="preserve"> 323</w:t>
                      </w:r>
                      <w:r w:rsidRPr="00084AAE">
                        <w:rPr>
                          <w:rFonts w:asciiTheme="minorHAnsi" w:hAnsiTheme="minorHAnsi"/>
                          <w:color w:val="FFFFFF" w:themeColor="background1"/>
                          <w:sz w:val="22"/>
                          <w:lang w:val="es-AR"/>
                        </w:rPr>
                        <w:t xml:space="preserve"> </w:t>
                      </w:r>
                    </w:p>
                    <w:p w14:paraId="69373ED2" w14:textId="435AB969" w:rsidR="00627C9F" w:rsidRPr="00C25ADB" w:rsidRDefault="001C7D5F"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8 diciembre</w:t>
                      </w:r>
                      <w:r w:rsidR="007B05C4" w:rsidRPr="00C25ADB">
                        <w:rPr>
                          <w:rFonts w:asciiTheme="minorHAnsi" w:hAnsiTheme="minorHAnsi"/>
                          <w:color w:val="FFFFFF" w:themeColor="background1"/>
                          <w:sz w:val="22"/>
                          <w:lang w:val="es-PA"/>
                        </w:rPr>
                        <w:t xml:space="preserve"> </w:t>
                      </w:r>
                      <w:r w:rsidR="00627C9F" w:rsidRPr="00C25ADB">
                        <w:rPr>
                          <w:rFonts w:asciiTheme="minorHAnsi" w:hAnsiTheme="minorHAnsi"/>
                          <w:color w:val="FFFFFF" w:themeColor="background1"/>
                          <w:sz w:val="22"/>
                          <w:lang w:val="es-PA"/>
                        </w:rPr>
                        <w:t>20</w:t>
                      </w:r>
                      <w:r w:rsidR="00C23BA4" w:rsidRPr="00C25ADB">
                        <w:rPr>
                          <w:rFonts w:asciiTheme="minorHAnsi" w:hAnsiTheme="minorHAnsi"/>
                          <w:color w:val="FFFFFF" w:themeColor="background1"/>
                          <w:sz w:val="22"/>
                          <w:lang w:val="es-PA"/>
                        </w:rPr>
                        <w:t>2</w:t>
                      </w:r>
                      <w:r w:rsidR="00E82DDC">
                        <w:rPr>
                          <w:rFonts w:asciiTheme="minorHAnsi" w:hAnsiTheme="minorHAnsi"/>
                          <w:color w:val="FFFFFF" w:themeColor="background1"/>
                          <w:sz w:val="22"/>
                          <w:lang w:val="es-PA"/>
                        </w:rPr>
                        <w:t>3</w:t>
                      </w:r>
                    </w:p>
                    <w:p w14:paraId="0771DB5B"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155B0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FE3AB8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383BC0"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54590931"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6C291D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2161B44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C4EEE07"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B0E4647"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DAAF36D"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2496A14"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25772DB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820FADA"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54445A55"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D4A4040"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48FBB22"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90ABF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C69004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33CA438"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74D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698D0D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F90782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45D9AC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6068EE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4A4A43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B3B735F"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2C5C44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6A2B0"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19C392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14A0182"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lang w:val="es-419" w:eastAsia="es-419"/>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6E5D34F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C7D5F">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1C7D5F">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1C7D5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B44F"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filled="f" stroked="f" strokeweight=".5pt">
                <v:textbox>
                  <w:txbxContent>
                    <w:p w14:paraId="2944B4F7" w14:textId="6E5D34F0"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1C7D5F">
                        <w:rPr>
                          <w:rFonts w:asciiTheme="majorHAnsi" w:hAnsiTheme="majorHAnsi"/>
                          <w:color w:val="0D0D0D" w:themeColor="text1" w:themeTint="F2"/>
                          <w:sz w:val="18"/>
                          <w:szCs w:val="22"/>
                          <w:lang w:val="es-ES"/>
                        </w:rPr>
                        <w:t>8</w:t>
                      </w:r>
                      <w:r w:rsidRPr="00890650">
                        <w:rPr>
                          <w:rFonts w:asciiTheme="majorHAnsi" w:hAnsiTheme="majorHAnsi"/>
                          <w:color w:val="0D0D0D" w:themeColor="text1" w:themeTint="F2"/>
                          <w:sz w:val="18"/>
                          <w:szCs w:val="22"/>
                          <w:lang w:val="es-ES"/>
                        </w:rPr>
                        <w:t xml:space="preserve"> de </w:t>
                      </w:r>
                      <w:r w:rsidR="001C7D5F">
                        <w:rPr>
                          <w:rFonts w:asciiTheme="majorHAnsi" w:hAnsiTheme="majorHAnsi"/>
                          <w:color w:val="0D0D0D" w:themeColor="text1" w:themeTint="F2"/>
                          <w:sz w:val="18"/>
                          <w:szCs w:val="22"/>
                          <w:lang w:val="es-ES"/>
                        </w:rPr>
                        <w:t>diciembre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w:t>
                      </w:r>
                      <w:r w:rsidR="005A254F">
                        <w:rPr>
                          <w:rFonts w:asciiTheme="majorHAnsi" w:hAnsiTheme="majorHAnsi"/>
                          <w:color w:val="0D0D0D" w:themeColor="text1" w:themeTint="F2"/>
                          <w:sz w:val="18"/>
                          <w:szCs w:val="22"/>
                          <w:lang w:val="es-ES"/>
                        </w:rPr>
                        <w:t>3</w:t>
                      </w:r>
                      <w:r w:rsidR="001C7D5F">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929D1F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469D0B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A79F05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30672AE"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lang w:val="es-419" w:eastAsia="es-419"/>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9DC8AF" w14:textId="77777777" w:rsidR="001C7D5F" w:rsidRDefault="00113F73" w:rsidP="00113F73">
                            <w:pPr>
                              <w:spacing w:line="276" w:lineRule="auto"/>
                              <w:rPr>
                                <w:rFonts w:asciiTheme="majorHAnsi" w:hAnsiTheme="majorHAnsi"/>
                                <w:color w:val="595959" w:themeColor="text1" w:themeTint="A6"/>
                                <w:sz w:val="18"/>
                                <w:szCs w:val="18"/>
                                <w:lang w:val="es-ES"/>
                              </w:rPr>
                            </w:pPr>
                            <w:r w:rsidRPr="00466DB2">
                              <w:rPr>
                                <w:rFonts w:asciiTheme="majorHAnsi" w:hAnsiTheme="majorHAnsi"/>
                                <w:b/>
                                <w:color w:val="595959" w:themeColor="text1" w:themeTint="A6"/>
                                <w:sz w:val="18"/>
                                <w:szCs w:val="18"/>
                                <w:lang w:val="pt-BR"/>
                              </w:rPr>
                              <w:t>Citar como:</w:t>
                            </w:r>
                            <w:r w:rsidRPr="00466DB2">
                              <w:rPr>
                                <w:rFonts w:asciiTheme="majorHAnsi" w:hAnsiTheme="majorHAnsi"/>
                                <w:color w:val="595959" w:themeColor="text1" w:themeTint="A6"/>
                                <w:sz w:val="18"/>
                                <w:szCs w:val="18"/>
                                <w:lang w:val="pt-BR"/>
                              </w:rPr>
                              <w:t xml:space="preserve"> CIDH, Informe No. </w:t>
                            </w:r>
                            <w:r w:rsidR="001C7D5F" w:rsidRPr="001C7D5F">
                              <w:rPr>
                                <w:rFonts w:asciiTheme="majorHAnsi" w:hAnsiTheme="majorHAnsi"/>
                                <w:color w:val="595959" w:themeColor="text1" w:themeTint="A6"/>
                                <w:sz w:val="18"/>
                                <w:szCs w:val="18"/>
                                <w:lang w:val="pt-BR"/>
                              </w:rPr>
                              <w:t>299</w:t>
                            </w:r>
                            <w:r w:rsidR="007B05C4" w:rsidRPr="001C7D5F">
                              <w:rPr>
                                <w:rFonts w:asciiTheme="majorHAnsi" w:hAnsiTheme="majorHAnsi"/>
                                <w:color w:val="595959" w:themeColor="text1" w:themeTint="A6"/>
                                <w:sz w:val="18"/>
                                <w:szCs w:val="18"/>
                                <w:lang w:val="pt-BR"/>
                              </w:rPr>
                              <w:t>/</w:t>
                            </w:r>
                            <w:r w:rsidR="001C7D5F" w:rsidRPr="001C7D5F">
                              <w:rPr>
                                <w:rFonts w:asciiTheme="majorHAnsi" w:hAnsiTheme="majorHAnsi"/>
                                <w:color w:val="595959" w:themeColor="text1" w:themeTint="A6"/>
                                <w:sz w:val="18"/>
                                <w:szCs w:val="18"/>
                                <w:lang w:val="pt-BR"/>
                              </w:rPr>
                              <w:t>23</w:t>
                            </w:r>
                            <w:r w:rsidRPr="001C7D5F">
                              <w:rPr>
                                <w:rFonts w:asciiTheme="majorHAnsi" w:hAnsiTheme="majorHAnsi"/>
                                <w:color w:val="595959" w:themeColor="text1" w:themeTint="A6"/>
                                <w:sz w:val="18"/>
                                <w:szCs w:val="18"/>
                                <w:lang w:val="pt-BR"/>
                              </w:rPr>
                              <w:t xml:space="preserve">. </w:t>
                            </w:r>
                            <w:r w:rsidR="000433C9" w:rsidRPr="008672A7">
                              <w:rPr>
                                <w:rFonts w:asciiTheme="majorHAnsi" w:hAnsiTheme="majorHAnsi"/>
                                <w:color w:val="595959" w:themeColor="text1" w:themeTint="A6"/>
                                <w:sz w:val="18"/>
                                <w:szCs w:val="18"/>
                                <w:lang w:val="es-ES"/>
                              </w:rPr>
                              <w:t xml:space="preserve">Petición </w:t>
                            </w:r>
                            <w:r w:rsidR="00B3079F">
                              <w:rPr>
                                <w:rFonts w:asciiTheme="majorHAnsi" w:hAnsiTheme="majorHAnsi"/>
                                <w:color w:val="595959" w:themeColor="text1" w:themeTint="A6"/>
                                <w:sz w:val="18"/>
                                <w:szCs w:val="18"/>
                                <w:lang w:val="es-ES"/>
                              </w:rPr>
                              <w:t>693</w:t>
                            </w:r>
                            <w:r w:rsidR="000E6646" w:rsidRPr="008672A7">
                              <w:rPr>
                                <w:rFonts w:asciiTheme="majorHAnsi" w:hAnsiTheme="majorHAnsi"/>
                                <w:color w:val="595959" w:themeColor="text1" w:themeTint="A6"/>
                                <w:sz w:val="18"/>
                                <w:szCs w:val="18"/>
                                <w:lang w:val="es-ES"/>
                              </w:rPr>
                              <w:t>-11</w:t>
                            </w:r>
                            <w:r w:rsidR="000433C9" w:rsidRPr="008672A7">
                              <w:rPr>
                                <w:rFonts w:asciiTheme="majorHAnsi" w:hAnsiTheme="majorHAnsi"/>
                                <w:color w:val="595959" w:themeColor="text1" w:themeTint="A6"/>
                                <w:sz w:val="18"/>
                                <w:szCs w:val="18"/>
                                <w:lang w:val="es-ES"/>
                              </w:rPr>
                              <w:t xml:space="preserve">. </w:t>
                            </w:r>
                            <w:r w:rsidRPr="008672A7">
                              <w:rPr>
                                <w:rFonts w:asciiTheme="majorHAnsi" w:hAnsiTheme="majorHAnsi"/>
                                <w:color w:val="595959" w:themeColor="text1" w:themeTint="A6"/>
                                <w:sz w:val="18"/>
                                <w:szCs w:val="18"/>
                                <w:lang w:val="es-ES"/>
                              </w:rPr>
                              <w:t xml:space="preserve">Inadmisibilidad. </w:t>
                            </w:r>
                          </w:p>
                          <w:p w14:paraId="0D1B22CF" w14:textId="1606B498" w:rsidR="00113F73" w:rsidRPr="008672A7" w:rsidRDefault="00B3079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Franklin Vargas González</w:t>
                            </w:r>
                            <w:r w:rsidR="00113F73" w:rsidRPr="008672A7">
                              <w:rPr>
                                <w:rFonts w:asciiTheme="majorHAnsi" w:hAnsiTheme="majorHAnsi"/>
                                <w:color w:val="595959" w:themeColor="text1" w:themeTint="A6"/>
                                <w:sz w:val="18"/>
                                <w:szCs w:val="18"/>
                                <w:lang w:val="es-ES"/>
                              </w:rPr>
                              <w:t xml:space="preserve">. </w:t>
                            </w:r>
                            <w:r w:rsidR="00441E0D" w:rsidRPr="008672A7">
                              <w:rPr>
                                <w:rFonts w:asciiTheme="majorHAnsi" w:hAnsiTheme="majorHAnsi"/>
                                <w:color w:val="595959" w:themeColor="text1" w:themeTint="A6"/>
                                <w:sz w:val="18"/>
                                <w:szCs w:val="18"/>
                                <w:lang w:val="es-ES"/>
                              </w:rPr>
                              <w:t>Costa Rica</w:t>
                            </w:r>
                            <w:r w:rsidR="00113F73" w:rsidRPr="008672A7">
                              <w:rPr>
                                <w:rFonts w:asciiTheme="majorHAnsi" w:hAnsiTheme="majorHAnsi"/>
                                <w:color w:val="595959" w:themeColor="text1" w:themeTint="A6"/>
                                <w:sz w:val="18"/>
                                <w:szCs w:val="18"/>
                                <w:lang w:val="es-ES"/>
                              </w:rPr>
                              <w:t xml:space="preserve">. </w:t>
                            </w:r>
                            <w:r w:rsidR="001C7D5F">
                              <w:rPr>
                                <w:rFonts w:asciiTheme="majorHAnsi" w:hAnsiTheme="majorHAnsi"/>
                                <w:color w:val="595959" w:themeColor="text1" w:themeTint="A6"/>
                                <w:sz w:val="18"/>
                                <w:szCs w:val="18"/>
                                <w:lang w:val="es-ES"/>
                              </w:rPr>
                              <w:t>8 de diciembre de 2023</w:t>
                            </w:r>
                            <w:r w:rsidR="00113F73" w:rsidRPr="008672A7">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D9DC8AF" w14:textId="77777777" w:rsidR="001C7D5F" w:rsidRDefault="00113F73" w:rsidP="00113F73">
                      <w:pPr>
                        <w:spacing w:line="276" w:lineRule="auto"/>
                        <w:rPr>
                          <w:rFonts w:asciiTheme="majorHAnsi" w:hAnsiTheme="majorHAnsi"/>
                          <w:color w:val="595959" w:themeColor="text1" w:themeTint="A6"/>
                          <w:sz w:val="18"/>
                          <w:szCs w:val="18"/>
                          <w:lang w:val="es-ES"/>
                        </w:rPr>
                      </w:pPr>
                      <w:r w:rsidRPr="00466DB2">
                        <w:rPr>
                          <w:rFonts w:asciiTheme="majorHAnsi" w:hAnsiTheme="majorHAnsi"/>
                          <w:b/>
                          <w:color w:val="595959" w:themeColor="text1" w:themeTint="A6"/>
                          <w:sz w:val="18"/>
                          <w:szCs w:val="18"/>
                          <w:lang w:val="pt-BR"/>
                        </w:rPr>
                        <w:t>Citar como:</w:t>
                      </w:r>
                      <w:r w:rsidRPr="00466DB2">
                        <w:rPr>
                          <w:rFonts w:asciiTheme="majorHAnsi" w:hAnsiTheme="majorHAnsi"/>
                          <w:color w:val="595959" w:themeColor="text1" w:themeTint="A6"/>
                          <w:sz w:val="18"/>
                          <w:szCs w:val="18"/>
                          <w:lang w:val="pt-BR"/>
                        </w:rPr>
                        <w:t xml:space="preserve"> CIDH, Informe No. </w:t>
                      </w:r>
                      <w:r w:rsidR="001C7D5F" w:rsidRPr="001C7D5F">
                        <w:rPr>
                          <w:rFonts w:asciiTheme="majorHAnsi" w:hAnsiTheme="majorHAnsi"/>
                          <w:color w:val="595959" w:themeColor="text1" w:themeTint="A6"/>
                          <w:sz w:val="18"/>
                          <w:szCs w:val="18"/>
                          <w:lang w:val="pt-BR"/>
                        </w:rPr>
                        <w:t>299</w:t>
                      </w:r>
                      <w:r w:rsidR="007B05C4" w:rsidRPr="001C7D5F">
                        <w:rPr>
                          <w:rFonts w:asciiTheme="majorHAnsi" w:hAnsiTheme="majorHAnsi"/>
                          <w:color w:val="595959" w:themeColor="text1" w:themeTint="A6"/>
                          <w:sz w:val="18"/>
                          <w:szCs w:val="18"/>
                          <w:lang w:val="pt-BR"/>
                        </w:rPr>
                        <w:t>/</w:t>
                      </w:r>
                      <w:r w:rsidR="001C7D5F" w:rsidRPr="001C7D5F">
                        <w:rPr>
                          <w:rFonts w:asciiTheme="majorHAnsi" w:hAnsiTheme="majorHAnsi"/>
                          <w:color w:val="595959" w:themeColor="text1" w:themeTint="A6"/>
                          <w:sz w:val="18"/>
                          <w:szCs w:val="18"/>
                          <w:lang w:val="pt-BR"/>
                        </w:rPr>
                        <w:t>23</w:t>
                      </w:r>
                      <w:r w:rsidRPr="001C7D5F">
                        <w:rPr>
                          <w:rFonts w:asciiTheme="majorHAnsi" w:hAnsiTheme="majorHAnsi"/>
                          <w:color w:val="595959" w:themeColor="text1" w:themeTint="A6"/>
                          <w:sz w:val="18"/>
                          <w:szCs w:val="18"/>
                          <w:lang w:val="pt-BR"/>
                        </w:rPr>
                        <w:t xml:space="preserve">. </w:t>
                      </w:r>
                      <w:r w:rsidR="000433C9" w:rsidRPr="008672A7">
                        <w:rPr>
                          <w:rFonts w:asciiTheme="majorHAnsi" w:hAnsiTheme="majorHAnsi"/>
                          <w:color w:val="595959" w:themeColor="text1" w:themeTint="A6"/>
                          <w:sz w:val="18"/>
                          <w:szCs w:val="18"/>
                          <w:lang w:val="es-ES"/>
                        </w:rPr>
                        <w:t xml:space="preserve">Petición </w:t>
                      </w:r>
                      <w:r w:rsidR="00B3079F">
                        <w:rPr>
                          <w:rFonts w:asciiTheme="majorHAnsi" w:hAnsiTheme="majorHAnsi"/>
                          <w:color w:val="595959" w:themeColor="text1" w:themeTint="A6"/>
                          <w:sz w:val="18"/>
                          <w:szCs w:val="18"/>
                          <w:lang w:val="es-ES"/>
                        </w:rPr>
                        <w:t>693</w:t>
                      </w:r>
                      <w:r w:rsidR="000E6646" w:rsidRPr="008672A7">
                        <w:rPr>
                          <w:rFonts w:asciiTheme="majorHAnsi" w:hAnsiTheme="majorHAnsi"/>
                          <w:color w:val="595959" w:themeColor="text1" w:themeTint="A6"/>
                          <w:sz w:val="18"/>
                          <w:szCs w:val="18"/>
                          <w:lang w:val="es-ES"/>
                        </w:rPr>
                        <w:t>-11</w:t>
                      </w:r>
                      <w:r w:rsidR="000433C9" w:rsidRPr="008672A7">
                        <w:rPr>
                          <w:rFonts w:asciiTheme="majorHAnsi" w:hAnsiTheme="majorHAnsi"/>
                          <w:color w:val="595959" w:themeColor="text1" w:themeTint="A6"/>
                          <w:sz w:val="18"/>
                          <w:szCs w:val="18"/>
                          <w:lang w:val="es-ES"/>
                        </w:rPr>
                        <w:t xml:space="preserve">. </w:t>
                      </w:r>
                      <w:r w:rsidRPr="008672A7">
                        <w:rPr>
                          <w:rFonts w:asciiTheme="majorHAnsi" w:hAnsiTheme="majorHAnsi"/>
                          <w:color w:val="595959" w:themeColor="text1" w:themeTint="A6"/>
                          <w:sz w:val="18"/>
                          <w:szCs w:val="18"/>
                          <w:lang w:val="es-ES"/>
                        </w:rPr>
                        <w:t xml:space="preserve">Inadmisibilidad. </w:t>
                      </w:r>
                    </w:p>
                    <w:p w14:paraId="0D1B22CF" w14:textId="1606B498" w:rsidR="00113F73" w:rsidRPr="008672A7" w:rsidRDefault="00B3079F" w:rsidP="00113F73">
                      <w:pPr>
                        <w:spacing w:line="276" w:lineRule="auto"/>
                        <w:rPr>
                          <w:rFonts w:asciiTheme="majorHAnsi" w:hAnsiTheme="majorHAnsi"/>
                          <w:color w:val="595959" w:themeColor="text1" w:themeTint="A6"/>
                          <w:sz w:val="18"/>
                          <w:szCs w:val="18"/>
                          <w:lang w:val="es-ES"/>
                        </w:rPr>
                      </w:pPr>
                      <w:r>
                        <w:rPr>
                          <w:rFonts w:asciiTheme="majorHAnsi" w:hAnsiTheme="majorHAnsi"/>
                          <w:color w:val="595959" w:themeColor="text1" w:themeTint="A6"/>
                          <w:sz w:val="18"/>
                          <w:szCs w:val="18"/>
                          <w:lang w:val="es-ES"/>
                        </w:rPr>
                        <w:t>Franklin Vargas González</w:t>
                      </w:r>
                      <w:r w:rsidR="00113F73" w:rsidRPr="008672A7">
                        <w:rPr>
                          <w:rFonts w:asciiTheme="majorHAnsi" w:hAnsiTheme="majorHAnsi"/>
                          <w:color w:val="595959" w:themeColor="text1" w:themeTint="A6"/>
                          <w:sz w:val="18"/>
                          <w:szCs w:val="18"/>
                          <w:lang w:val="es-ES"/>
                        </w:rPr>
                        <w:t xml:space="preserve">. </w:t>
                      </w:r>
                      <w:r w:rsidR="00441E0D" w:rsidRPr="008672A7">
                        <w:rPr>
                          <w:rFonts w:asciiTheme="majorHAnsi" w:hAnsiTheme="majorHAnsi"/>
                          <w:color w:val="595959" w:themeColor="text1" w:themeTint="A6"/>
                          <w:sz w:val="18"/>
                          <w:szCs w:val="18"/>
                          <w:lang w:val="es-ES"/>
                        </w:rPr>
                        <w:t>Costa Rica</w:t>
                      </w:r>
                      <w:r w:rsidR="00113F73" w:rsidRPr="008672A7">
                        <w:rPr>
                          <w:rFonts w:asciiTheme="majorHAnsi" w:hAnsiTheme="majorHAnsi"/>
                          <w:color w:val="595959" w:themeColor="text1" w:themeTint="A6"/>
                          <w:sz w:val="18"/>
                          <w:szCs w:val="18"/>
                          <w:lang w:val="es-ES"/>
                        </w:rPr>
                        <w:t xml:space="preserve">. </w:t>
                      </w:r>
                      <w:r w:rsidR="001C7D5F">
                        <w:rPr>
                          <w:rFonts w:asciiTheme="majorHAnsi" w:hAnsiTheme="majorHAnsi"/>
                          <w:color w:val="595959" w:themeColor="text1" w:themeTint="A6"/>
                          <w:sz w:val="18"/>
                          <w:szCs w:val="18"/>
                          <w:lang w:val="es-ES"/>
                        </w:rPr>
                        <w:t>8 de diciembre de 2023</w:t>
                      </w:r>
                      <w:r w:rsidR="00113F73" w:rsidRPr="008672A7">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DA07629"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lang w:val="es-419" w:eastAsia="es-419"/>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FFF1B58" w:rsidR="00D72DC6" w:rsidRPr="00D72DC6" w:rsidRDefault="001C7D5F" w:rsidP="00F02AD1">
                            <w:pPr>
                              <w:rPr>
                                <w:color w:val="FFFFFF" w:themeColor="background1"/>
                                <w14:textFill>
                                  <w14:noFill/>
                                </w14:textFill>
                              </w:rPr>
                            </w:pPr>
                            <w:r>
                              <w:rPr>
                                <w:noProof/>
                                <w:color w:val="FFFFFF" w:themeColor="background1"/>
                              </w:rPr>
                              <w:drawing>
                                <wp:inline distT="0" distB="0" distL="0" distR="0" wp14:anchorId="78C904F0" wp14:editId="52CF62B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2A1ECD3C" w14:textId="7FFF1B58" w:rsidR="00D72DC6" w:rsidRPr="00D72DC6" w:rsidRDefault="001C7D5F" w:rsidP="00F02AD1">
                      <w:pPr>
                        <w:rPr>
                          <w:color w:val="FFFFFF" w:themeColor="background1"/>
                          <w14:textFill>
                            <w14:noFill/>
                          </w14:textFill>
                        </w:rPr>
                      </w:pPr>
                      <w:r>
                        <w:rPr>
                          <w:noProof/>
                          <w:color w:val="FFFFFF" w:themeColor="background1"/>
                        </w:rPr>
                        <w:drawing>
                          <wp:inline distT="0" distB="0" distL="0" distR="0" wp14:anchorId="78C904F0" wp14:editId="52CF62B3">
                            <wp:extent cx="1824355" cy="469265"/>
                            <wp:effectExtent l="0" t="0" r="4445" b="6985"/>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lang w:val="es-419" w:eastAsia="es-419"/>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0"/>
          <w:headerReference w:type="default" r:id="rId11"/>
          <w:footerReference w:type="default" r:id="rId12"/>
          <w:footerReference w:type="first" r:id="rId13"/>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376DDC8B"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rsidRPr="00084AAE" w14:paraId="5A79D1F7" w14:textId="77777777" w:rsidTr="004A6A54">
        <w:tc>
          <w:tcPr>
            <w:tcW w:w="3600" w:type="dxa"/>
            <w:tcBorders>
              <w:top w:val="single" w:sz="4" w:space="0" w:color="auto"/>
              <w:bottom w:val="single" w:sz="6" w:space="0" w:color="auto"/>
            </w:tcBorders>
            <w:shd w:val="clear" w:color="auto" w:fill="386294"/>
            <w:vAlign w:val="center"/>
          </w:tcPr>
          <w:p w14:paraId="0CB2A43B"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3C5315D8" w14:textId="7FA49ACE" w:rsidR="003239B8" w:rsidRPr="005A254F" w:rsidRDefault="00694A9E" w:rsidP="008D2290">
            <w:pPr>
              <w:jc w:val="both"/>
              <w:rPr>
                <w:rFonts w:ascii="Cambria" w:hAnsi="Cambria"/>
                <w:bCs/>
                <w:sz w:val="20"/>
                <w:szCs w:val="20"/>
                <w:lang w:val="es-PE"/>
              </w:rPr>
            </w:pPr>
            <w:r>
              <w:rPr>
                <w:rFonts w:ascii="Cambria" w:hAnsi="Cambria"/>
                <w:bCs/>
                <w:sz w:val="20"/>
                <w:szCs w:val="20"/>
                <w:lang w:val="es-ES"/>
              </w:rPr>
              <w:t>Adriana Vargas García</w:t>
            </w:r>
            <w:r w:rsidR="009039C9">
              <w:rPr>
                <w:rFonts w:ascii="Cambria" w:hAnsi="Cambria"/>
                <w:bCs/>
                <w:sz w:val="20"/>
                <w:szCs w:val="20"/>
                <w:lang w:val="es-ES"/>
              </w:rPr>
              <w:t xml:space="preserve"> y Arcelio Hernández Mussio</w:t>
            </w:r>
          </w:p>
        </w:tc>
      </w:tr>
      <w:tr w:rsidR="003239B8" w:rsidRPr="001E49E7" w14:paraId="593A7E45" w14:textId="77777777" w:rsidTr="004A6A54">
        <w:tc>
          <w:tcPr>
            <w:tcW w:w="3600" w:type="dxa"/>
            <w:tcBorders>
              <w:top w:val="single" w:sz="6" w:space="0" w:color="auto"/>
              <w:bottom w:val="single" w:sz="6" w:space="0" w:color="auto"/>
            </w:tcBorders>
            <w:shd w:val="clear" w:color="auto" w:fill="386294"/>
            <w:vAlign w:val="center"/>
          </w:tcPr>
          <w:p w14:paraId="0E78CA0C" w14:textId="77777777" w:rsidR="003239B8" w:rsidRPr="000D05CB" w:rsidRDefault="00DC3C8E"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4AEBF59E" w14:textId="24938B28" w:rsidR="003239B8" w:rsidRPr="000D05CB" w:rsidRDefault="00B3079F" w:rsidP="008D2290">
            <w:pPr>
              <w:jc w:val="both"/>
              <w:rPr>
                <w:rFonts w:ascii="Cambria" w:hAnsi="Cambria"/>
                <w:bCs/>
                <w:sz w:val="20"/>
                <w:szCs w:val="20"/>
                <w:lang w:val="es-ES"/>
              </w:rPr>
            </w:pPr>
            <w:r>
              <w:rPr>
                <w:rFonts w:ascii="Cambria" w:hAnsi="Cambria"/>
                <w:bCs/>
                <w:sz w:val="20"/>
                <w:szCs w:val="20"/>
                <w:lang w:val="es-ES"/>
              </w:rPr>
              <w:t xml:space="preserve">Franklin Vargas González </w:t>
            </w:r>
          </w:p>
        </w:tc>
      </w:tr>
      <w:tr w:rsidR="003239B8" w14:paraId="3E62E1D3" w14:textId="77777777" w:rsidTr="004A6A54">
        <w:tc>
          <w:tcPr>
            <w:tcW w:w="3600" w:type="dxa"/>
            <w:tcBorders>
              <w:top w:val="single" w:sz="6" w:space="0" w:color="auto"/>
              <w:bottom w:val="single" w:sz="6" w:space="0" w:color="auto"/>
            </w:tcBorders>
            <w:shd w:val="clear" w:color="auto" w:fill="386294"/>
            <w:vAlign w:val="center"/>
          </w:tcPr>
          <w:p w14:paraId="340B0F09"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Estado denunciado:</w:t>
            </w:r>
          </w:p>
        </w:tc>
        <w:tc>
          <w:tcPr>
            <w:tcW w:w="5760" w:type="dxa"/>
            <w:vAlign w:val="center"/>
          </w:tcPr>
          <w:p w14:paraId="274C8A50" w14:textId="2EA411B2" w:rsidR="003239B8" w:rsidRPr="000D05CB" w:rsidRDefault="00441E0D" w:rsidP="008D2290">
            <w:pPr>
              <w:jc w:val="both"/>
              <w:rPr>
                <w:rFonts w:ascii="Cambria" w:hAnsi="Cambria"/>
                <w:bCs/>
                <w:sz w:val="20"/>
                <w:szCs w:val="20"/>
              </w:rPr>
            </w:pPr>
            <w:r>
              <w:rPr>
                <w:rFonts w:ascii="Cambria" w:hAnsi="Cambria"/>
                <w:bCs/>
                <w:sz w:val="20"/>
                <w:szCs w:val="20"/>
              </w:rPr>
              <w:t>Costa Rica</w:t>
            </w:r>
          </w:p>
        </w:tc>
      </w:tr>
      <w:tr w:rsidR="00223A29" w:rsidRPr="00084AAE" w14:paraId="632511BC" w14:textId="77777777" w:rsidTr="004A6A54">
        <w:tc>
          <w:tcPr>
            <w:tcW w:w="3600" w:type="dxa"/>
            <w:tcBorders>
              <w:top w:val="single" w:sz="6" w:space="0" w:color="auto"/>
              <w:bottom w:val="single" w:sz="6" w:space="0" w:color="auto"/>
            </w:tcBorders>
            <w:shd w:val="clear" w:color="auto" w:fill="386294"/>
            <w:vAlign w:val="center"/>
          </w:tcPr>
          <w:p w14:paraId="727E2F6B" w14:textId="60AEE329"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DEE1EEB" w14:textId="1A7EBE79" w:rsidR="00223A29" w:rsidRPr="0061609D" w:rsidRDefault="0061609D" w:rsidP="008D2290">
            <w:pPr>
              <w:jc w:val="both"/>
              <w:rPr>
                <w:rFonts w:ascii="Cambria" w:hAnsi="Cambria"/>
                <w:bCs/>
                <w:sz w:val="20"/>
                <w:szCs w:val="20"/>
                <w:lang w:val="es-US"/>
              </w:rPr>
            </w:pPr>
            <w:r w:rsidRPr="001E2981">
              <w:rPr>
                <w:rFonts w:ascii="Cambria" w:hAnsi="Cambria"/>
                <w:bCs/>
                <w:sz w:val="20"/>
                <w:szCs w:val="20"/>
                <w:lang w:val="es-PE"/>
              </w:rPr>
              <w:t>Artículos</w:t>
            </w:r>
            <w:r>
              <w:rPr>
                <w:rFonts w:ascii="Cambria" w:hAnsi="Cambria"/>
                <w:bCs/>
                <w:sz w:val="20"/>
                <w:szCs w:val="20"/>
                <w:lang w:val="es-PE"/>
              </w:rPr>
              <w:t xml:space="preserve"> </w:t>
            </w:r>
            <w:r w:rsidR="00210B73">
              <w:rPr>
                <w:rFonts w:ascii="Cambria" w:hAnsi="Cambria"/>
                <w:bCs/>
                <w:sz w:val="20"/>
                <w:szCs w:val="20"/>
                <w:lang w:val="es-PE"/>
              </w:rPr>
              <w:t xml:space="preserve">7 (libertad personal), </w:t>
            </w:r>
            <w:r>
              <w:rPr>
                <w:rFonts w:ascii="Cambria" w:hAnsi="Cambria"/>
                <w:bCs/>
                <w:sz w:val="20"/>
                <w:szCs w:val="20"/>
                <w:lang w:val="es-ES"/>
              </w:rPr>
              <w:t>8 (garantías judiciales)</w:t>
            </w:r>
            <w:r w:rsidR="00EE68D5">
              <w:rPr>
                <w:rFonts w:ascii="Cambria" w:hAnsi="Cambria"/>
                <w:bCs/>
                <w:sz w:val="20"/>
                <w:szCs w:val="20"/>
                <w:lang w:val="es-ES"/>
              </w:rPr>
              <w:t xml:space="preserve">, 9 (principio de legalidad y retroactividad), </w:t>
            </w:r>
            <w:r w:rsidR="00C9392A">
              <w:rPr>
                <w:rFonts w:ascii="Cambria" w:hAnsi="Cambria"/>
                <w:bCs/>
                <w:sz w:val="20"/>
                <w:szCs w:val="20"/>
                <w:lang w:val="es-ES"/>
              </w:rPr>
              <w:t>17 (protección a la familia), 24</w:t>
            </w:r>
            <w:r w:rsidR="00813FBD">
              <w:rPr>
                <w:rFonts w:ascii="Cambria" w:hAnsi="Cambria"/>
                <w:bCs/>
                <w:sz w:val="20"/>
                <w:szCs w:val="20"/>
                <w:lang w:val="es-ES"/>
              </w:rPr>
              <w:t xml:space="preserve"> (igualdad ante la ley)</w:t>
            </w:r>
            <w:r>
              <w:rPr>
                <w:rFonts w:ascii="Cambria" w:hAnsi="Cambria"/>
                <w:bCs/>
                <w:sz w:val="20"/>
                <w:szCs w:val="20"/>
                <w:lang w:val="es-ES"/>
              </w:rPr>
              <w:t xml:space="preserve"> y 25 (protección judicial) de la Convención Americana sobre Derechos Humanos</w:t>
            </w:r>
            <w:r>
              <w:rPr>
                <w:rStyle w:val="FootnoteReference"/>
                <w:rFonts w:ascii="Cambria" w:hAnsi="Cambria"/>
                <w:bCs/>
                <w:sz w:val="20"/>
                <w:szCs w:val="20"/>
                <w:lang w:val="es-ES"/>
              </w:rPr>
              <w:footnoteReference w:id="2"/>
            </w:r>
          </w:p>
        </w:tc>
      </w:tr>
    </w:tbl>
    <w:p w14:paraId="20263696"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306EFCB0" w14:textId="77777777" w:rsidTr="004A6A54">
        <w:tc>
          <w:tcPr>
            <w:tcW w:w="3600" w:type="dxa"/>
            <w:tcBorders>
              <w:top w:val="single" w:sz="6" w:space="0" w:color="auto"/>
              <w:bottom w:val="single" w:sz="6" w:space="0" w:color="auto"/>
            </w:tcBorders>
            <w:shd w:val="clear" w:color="auto" w:fill="386294"/>
            <w:vAlign w:val="center"/>
          </w:tcPr>
          <w:p w14:paraId="7508D16F" w14:textId="653461D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6E579153" w14:textId="625F3C26" w:rsidR="004C2312" w:rsidRPr="003239B8" w:rsidRDefault="00BC4593" w:rsidP="002625EA">
            <w:pPr>
              <w:jc w:val="both"/>
              <w:rPr>
                <w:rFonts w:ascii="Cambria" w:hAnsi="Cambria"/>
                <w:bCs/>
                <w:sz w:val="20"/>
                <w:szCs w:val="20"/>
                <w:lang w:val="es-ES"/>
              </w:rPr>
            </w:pPr>
            <w:r>
              <w:rPr>
                <w:rFonts w:ascii="Cambria" w:hAnsi="Cambria"/>
                <w:bCs/>
                <w:sz w:val="20"/>
                <w:szCs w:val="20"/>
                <w:lang w:val="es-ES"/>
              </w:rPr>
              <w:t>19 de mayo de 2011</w:t>
            </w:r>
          </w:p>
        </w:tc>
      </w:tr>
      <w:tr w:rsidR="00131425" w:rsidRPr="00084AAE" w14:paraId="337129E8" w14:textId="77777777" w:rsidTr="004A6A54">
        <w:tc>
          <w:tcPr>
            <w:tcW w:w="3600" w:type="dxa"/>
            <w:tcBorders>
              <w:top w:val="single" w:sz="6" w:space="0" w:color="auto"/>
              <w:bottom w:val="single" w:sz="6" w:space="0" w:color="auto"/>
            </w:tcBorders>
            <w:shd w:val="clear" w:color="auto" w:fill="386294"/>
            <w:vAlign w:val="center"/>
          </w:tcPr>
          <w:p w14:paraId="3D52E482" w14:textId="0FA8B3B3" w:rsidR="00131425" w:rsidRPr="0048719B" w:rsidRDefault="00131425" w:rsidP="004A6A54">
            <w:pPr>
              <w:jc w:val="center"/>
              <w:rPr>
                <w:rFonts w:ascii="Cambria" w:hAnsi="Cambria"/>
                <w:b/>
                <w:bCs/>
                <w:color w:val="FFFFFF" w:themeColor="background1"/>
                <w:sz w:val="20"/>
                <w:szCs w:val="20"/>
                <w:lang w:val="es-PE"/>
              </w:rPr>
            </w:pPr>
            <w:r w:rsidRPr="0048719B">
              <w:rPr>
                <w:rFonts w:ascii="Cambria" w:hAnsi="Cambria"/>
                <w:b/>
                <w:bCs/>
                <w:color w:val="FFFFFF" w:themeColor="background1"/>
                <w:sz w:val="20"/>
                <w:szCs w:val="20"/>
                <w:lang w:val="es-PE"/>
              </w:rPr>
              <w:t>Información adicional recibida durante la etapa de estudio:</w:t>
            </w:r>
          </w:p>
        </w:tc>
        <w:tc>
          <w:tcPr>
            <w:tcW w:w="5760" w:type="dxa"/>
            <w:vAlign w:val="center"/>
          </w:tcPr>
          <w:p w14:paraId="30151270" w14:textId="0D149E00" w:rsidR="00131425" w:rsidRPr="00372151" w:rsidRDefault="00E271F8" w:rsidP="002625EA">
            <w:pPr>
              <w:jc w:val="both"/>
              <w:rPr>
                <w:rFonts w:ascii="Cambria" w:hAnsi="Cambria"/>
                <w:bCs/>
                <w:sz w:val="20"/>
                <w:szCs w:val="20"/>
                <w:lang w:val="es-US"/>
              </w:rPr>
            </w:pPr>
            <w:r w:rsidRPr="00372151">
              <w:rPr>
                <w:rFonts w:ascii="Cambria" w:hAnsi="Cambria"/>
                <w:bCs/>
                <w:sz w:val="20"/>
                <w:szCs w:val="20"/>
                <w:lang w:val="es-US"/>
              </w:rPr>
              <w:t>8 de agosto de 2012</w:t>
            </w:r>
            <w:r w:rsidR="00EB5D32" w:rsidRPr="00372151">
              <w:rPr>
                <w:rFonts w:ascii="Cambria" w:hAnsi="Cambria"/>
                <w:bCs/>
                <w:sz w:val="20"/>
                <w:szCs w:val="20"/>
                <w:lang w:val="es-US"/>
              </w:rPr>
              <w:t>, 24 de octubre de 2012</w:t>
            </w:r>
            <w:r w:rsidR="007810CA" w:rsidRPr="00372151">
              <w:rPr>
                <w:rFonts w:ascii="Cambria" w:hAnsi="Cambria"/>
                <w:bCs/>
                <w:sz w:val="20"/>
                <w:szCs w:val="20"/>
                <w:lang w:val="es-US"/>
              </w:rPr>
              <w:t xml:space="preserve"> y</w:t>
            </w:r>
            <w:r w:rsidR="007C6416" w:rsidRPr="00372151">
              <w:rPr>
                <w:rFonts w:ascii="Cambria" w:hAnsi="Cambria"/>
                <w:bCs/>
                <w:sz w:val="20"/>
                <w:szCs w:val="20"/>
                <w:lang w:val="es-US"/>
              </w:rPr>
              <w:t xml:space="preserve"> 30 de julio de 2015, </w:t>
            </w:r>
          </w:p>
        </w:tc>
      </w:tr>
      <w:tr w:rsidR="004C2312" w:rsidRPr="006C0D4C" w14:paraId="1BDCD5C6" w14:textId="77777777" w:rsidTr="004A6A54">
        <w:tc>
          <w:tcPr>
            <w:tcW w:w="3600" w:type="dxa"/>
            <w:tcBorders>
              <w:top w:val="single" w:sz="6" w:space="0" w:color="auto"/>
              <w:bottom w:val="single" w:sz="6" w:space="0" w:color="auto"/>
            </w:tcBorders>
            <w:shd w:val="clear" w:color="auto" w:fill="386294"/>
            <w:vAlign w:val="center"/>
          </w:tcPr>
          <w:p w14:paraId="7A18664F" w14:textId="73FE510C"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N</w:t>
            </w:r>
            <w:r w:rsidR="004C2312" w:rsidRPr="0048719B">
              <w:rPr>
                <w:rFonts w:ascii="Cambria" w:hAnsi="Cambria"/>
                <w:b/>
                <w:color w:val="FFFFFF" w:themeColor="background1"/>
                <w:sz w:val="20"/>
                <w:szCs w:val="20"/>
                <w:lang w:val="es-PE"/>
              </w:rPr>
              <w:t>otificación de la petición al Estado:</w:t>
            </w:r>
          </w:p>
        </w:tc>
        <w:tc>
          <w:tcPr>
            <w:tcW w:w="5760" w:type="dxa"/>
            <w:vAlign w:val="center"/>
          </w:tcPr>
          <w:p w14:paraId="1519DA6A" w14:textId="11A37550" w:rsidR="004C2312" w:rsidRPr="0048719B" w:rsidRDefault="007C6416" w:rsidP="008D2290">
            <w:pPr>
              <w:jc w:val="both"/>
              <w:rPr>
                <w:rFonts w:ascii="Cambria" w:hAnsi="Cambria"/>
                <w:bCs/>
                <w:sz w:val="20"/>
                <w:szCs w:val="20"/>
                <w:lang w:val="es-PE"/>
              </w:rPr>
            </w:pPr>
            <w:r>
              <w:rPr>
                <w:rFonts w:ascii="Cambria" w:hAnsi="Cambria"/>
                <w:bCs/>
                <w:sz w:val="20"/>
                <w:szCs w:val="20"/>
                <w:lang w:val="es-PE"/>
              </w:rPr>
              <w:t xml:space="preserve">25 de octubre </w:t>
            </w:r>
            <w:r w:rsidR="007D35F1">
              <w:rPr>
                <w:rFonts w:ascii="Cambria" w:hAnsi="Cambria"/>
                <w:bCs/>
                <w:sz w:val="20"/>
                <w:szCs w:val="20"/>
                <w:lang w:val="es-PE"/>
              </w:rPr>
              <w:t>de 2016</w:t>
            </w:r>
          </w:p>
        </w:tc>
      </w:tr>
      <w:tr w:rsidR="004C2312" w:rsidRPr="005F4A6C" w14:paraId="6147A8D5" w14:textId="77777777" w:rsidTr="004A6A54">
        <w:tc>
          <w:tcPr>
            <w:tcW w:w="3600" w:type="dxa"/>
            <w:tcBorders>
              <w:top w:val="single" w:sz="6" w:space="0" w:color="auto"/>
              <w:bottom w:val="single" w:sz="6" w:space="0" w:color="auto"/>
            </w:tcBorders>
            <w:shd w:val="clear" w:color="auto" w:fill="386294"/>
            <w:vAlign w:val="center"/>
          </w:tcPr>
          <w:p w14:paraId="0201C86D" w14:textId="4A5EC6F9" w:rsidR="004C2312" w:rsidRPr="0048719B" w:rsidRDefault="004A6A54" w:rsidP="004A6A54">
            <w:pPr>
              <w:jc w:val="center"/>
              <w:rPr>
                <w:rFonts w:ascii="Cambria" w:hAnsi="Cambria"/>
                <w:b/>
                <w:bCs/>
                <w:color w:val="FFFFFF" w:themeColor="background1"/>
                <w:sz w:val="20"/>
                <w:szCs w:val="20"/>
                <w:lang w:val="es-PE"/>
              </w:rPr>
            </w:pPr>
            <w:r w:rsidRPr="0048719B">
              <w:rPr>
                <w:rFonts w:ascii="Cambria" w:hAnsi="Cambria"/>
                <w:b/>
                <w:color w:val="FFFFFF" w:themeColor="background1"/>
                <w:sz w:val="20"/>
                <w:szCs w:val="20"/>
                <w:lang w:val="es-PE"/>
              </w:rPr>
              <w:t>P</w:t>
            </w:r>
            <w:r w:rsidR="004C2312" w:rsidRPr="0048719B">
              <w:rPr>
                <w:rFonts w:ascii="Cambria" w:hAnsi="Cambria"/>
                <w:b/>
                <w:color w:val="FFFFFF" w:themeColor="background1"/>
                <w:sz w:val="20"/>
                <w:szCs w:val="20"/>
                <w:lang w:val="es-PE"/>
              </w:rPr>
              <w:t>rimera respuesta del Estado:</w:t>
            </w:r>
          </w:p>
        </w:tc>
        <w:tc>
          <w:tcPr>
            <w:tcW w:w="5760" w:type="dxa"/>
            <w:vAlign w:val="center"/>
          </w:tcPr>
          <w:p w14:paraId="1972B99E" w14:textId="2059D28A" w:rsidR="004C2312" w:rsidRPr="0048719B" w:rsidRDefault="000E372B" w:rsidP="008D2290">
            <w:pPr>
              <w:jc w:val="both"/>
              <w:rPr>
                <w:rFonts w:ascii="Cambria" w:hAnsi="Cambria"/>
                <w:bCs/>
                <w:sz w:val="20"/>
                <w:szCs w:val="20"/>
                <w:lang w:val="es-PE"/>
              </w:rPr>
            </w:pPr>
            <w:r>
              <w:rPr>
                <w:rFonts w:ascii="Cambria" w:hAnsi="Cambria"/>
                <w:bCs/>
                <w:sz w:val="20"/>
                <w:szCs w:val="20"/>
                <w:lang w:val="es-PE"/>
              </w:rPr>
              <w:t>26 de octubre de 2018</w:t>
            </w:r>
          </w:p>
        </w:tc>
      </w:tr>
      <w:tr w:rsidR="007B1DBC" w:rsidRPr="00084AAE" w14:paraId="79B1D7A2" w14:textId="77777777" w:rsidTr="004A6A54">
        <w:tc>
          <w:tcPr>
            <w:tcW w:w="3600" w:type="dxa"/>
            <w:tcBorders>
              <w:top w:val="single" w:sz="6" w:space="0" w:color="auto"/>
              <w:bottom w:val="single" w:sz="6" w:space="0" w:color="auto"/>
            </w:tcBorders>
            <w:shd w:val="clear" w:color="auto" w:fill="386294"/>
            <w:vAlign w:val="center"/>
          </w:tcPr>
          <w:p w14:paraId="160AA649" w14:textId="12EE8B24" w:rsidR="007B1DBC" w:rsidRPr="0048719B" w:rsidRDefault="00652D51" w:rsidP="007B1DBC">
            <w:pPr>
              <w:jc w:val="center"/>
              <w:rPr>
                <w:rFonts w:ascii="Cambria" w:hAnsi="Cambria"/>
                <w:b/>
                <w:bCs/>
                <w:color w:val="FFFFFF" w:themeColor="background1"/>
                <w:sz w:val="20"/>
                <w:szCs w:val="20"/>
                <w:lang w:val="es-PE"/>
              </w:rPr>
            </w:pPr>
            <w:r>
              <w:rPr>
                <w:rFonts w:ascii="Cambria" w:hAnsi="Cambria"/>
                <w:b/>
                <w:bCs/>
                <w:color w:val="FFFFFF" w:themeColor="background1"/>
                <w:sz w:val="20"/>
                <w:szCs w:val="20"/>
                <w:lang w:val="es-PE"/>
              </w:rPr>
              <w:t>Observaciones adicionales de la parte peticionaria</w:t>
            </w:r>
          </w:p>
        </w:tc>
        <w:tc>
          <w:tcPr>
            <w:tcW w:w="5760" w:type="dxa"/>
            <w:vAlign w:val="center"/>
          </w:tcPr>
          <w:p w14:paraId="3199F0A6" w14:textId="5B27FC5D" w:rsidR="007B1DBC" w:rsidRDefault="00F955E7" w:rsidP="007B1DBC">
            <w:pPr>
              <w:jc w:val="both"/>
              <w:rPr>
                <w:rFonts w:ascii="Cambria" w:hAnsi="Cambria"/>
                <w:bCs/>
                <w:sz w:val="20"/>
                <w:szCs w:val="20"/>
                <w:lang w:val="es-PE"/>
              </w:rPr>
            </w:pPr>
            <w:r>
              <w:rPr>
                <w:rFonts w:ascii="Cambria" w:hAnsi="Cambria"/>
                <w:bCs/>
                <w:sz w:val="20"/>
                <w:szCs w:val="20"/>
                <w:lang w:val="es-PE"/>
              </w:rPr>
              <w:t>15 de enero de 2019</w:t>
            </w:r>
            <w:r w:rsidR="007810CA">
              <w:rPr>
                <w:rFonts w:ascii="Cambria" w:hAnsi="Cambria"/>
                <w:bCs/>
                <w:sz w:val="20"/>
                <w:szCs w:val="20"/>
                <w:lang w:val="es-PE"/>
              </w:rPr>
              <w:t>, 16 de noviembre de 2021 y</w:t>
            </w:r>
            <w:r w:rsidR="00372151">
              <w:rPr>
                <w:rFonts w:ascii="Cambria" w:hAnsi="Cambria"/>
                <w:bCs/>
                <w:sz w:val="20"/>
                <w:szCs w:val="20"/>
                <w:lang w:val="es-PE"/>
              </w:rPr>
              <w:t xml:space="preserve"> 28 de diciembre de 2022</w:t>
            </w:r>
          </w:p>
        </w:tc>
      </w:tr>
      <w:tr w:rsidR="007B1DBC" w:rsidRPr="004D51FD" w14:paraId="0F7931EB" w14:textId="77777777" w:rsidTr="004A6A54">
        <w:tc>
          <w:tcPr>
            <w:tcW w:w="3600" w:type="dxa"/>
            <w:tcBorders>
              <w:top w:val="single" w:sz="6" w:space="0" w:color="auto"/>
              <w:bottom w:val="single" w:sz="6" w:space="0" w:color="auto"/>
            </w:tcBorders>
            <w:shd w:val="clear" w:color="auto" w:fill="386294"/>
            <w:vAlign w:val="center"/>
          </w:tcPr>
          <w:p w14:paraId="25A4A07B" w14:textId="34475F03" w:rsidR="007B1DBC" w:rsidRDefault="00652D51" w:rsidP="007B1DBC">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del Estado</w:t>
            </w:r>
            <w:r w:rsidR="007B1DBC" w:rsidRPr="003239B8">
              <w:rPr>
                <w:rFonts w:ascii="Cambria" w:hAnsi="Cambria"/>
                <w:b/>
                <w:bCs/>
                <w:color w:val="FFFFFF" w:themeColor="background1"/>
                <w:sz w:val="20"/>
                <w:szCs w:val="20"/>
                <w:lang w:val="es-ES"/>
              </w:rPr>
              <w:t>:</w:t>
            </w:r>
          </w:p>
        </w:tc>
        <w:tc>
          <w:tcPr>
            <w:tcW w:w="5760" w:type="dxa"/>
            <w:vAlign w:val="center"/>
          </w:tcPr>
          <w:p w14:paraId="37AD53EB" w14:textId="7BF87EA7" w:rsidR="007B1DBC" w:rsidRDefault="00EC1BB7" w:rsidP="007B1DBC">
            <w:pPr>
              <w:jc w:val="both"/>
              <w:rPr>
                <w:rFonts w:ascii="Cambria" w:hAnsi="Cambria"/>
                <w:bCs/>
                <w:sz w:val="20"/>
                <w:szCs w:val="20"/>
                <w:lang w:val="es-PE"/>
              </w:rPr>
            </w:pPr>
            <w:r>
              <w:rPr>
                <w:rFonts w:ascii="Cambria" w:hAnsi="Cambria"/>
                <w:bCs/>
                <w:sz w:val="20"/>
                <w:szCs w:val="20"/>
                <w:lang w:val="es-PE"/>
              </w:rPr>
              <w:t>10 de noviembre de 2020</w:t>
            </w:r>
          </w:p>
        </w:tc>
      </w:tr>
    </w:tbl>
    <w:p w14:paraId="21DAA666"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1"/>
        <w:gridCol w:w="5776"/>
      </w:tblGrid>
      <w:tr w:rsidR="003239B8" w:rsidRPr="00540F17" w14:paraId="072532AD" w14:textId="77777777" w:rsidTr="00E874E8">
        <w:trPr>
          <w:cantSplit/>
        </w:trPr>
        <w:tc>
          <w:tcPr>
            <w:tcW w:w="3561" w:type="dxa"/>
            <w:tcBorders>
              <w:top w:val="single" w:sz="4" w:space="0" w:color="auto"/>
              <w:bottom w:val="single" w:sz="6" w:space="0" w:color="auto"/>
            </w:tcBorders>
            <w:shd w:val="clear" w:color="auto" w:fill="386294"/>
            <w:vAlign w:val="center"/>
          </w:tcPr>
          <w:p w14:paraId="5C2E4B34" w14:textId="77777777" w:rsidR="003239B8" w:rsidRPr="0074293C" w:rsidRDefault="003239B8" w:rsidP="008D2290">
            <w:pPr>
              <w:jc w:val="center"/>
              <w:rPr>
                <w:rFonts w:ascii="Cambria" w:hAnsi="Cambria"/>
                <w:b/>
                <w:bCs/>
                <w:i/>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personae:</w:t>
            </w:r>
          </w:p>
        </w:tc>
        <w:tc>
          <w:tcPr>
            <w:tcW w:w="5776" w:type="dxa"/>
            <w:vAlign w:val="center"/>
          </w:tcPr>
          <w:p w14:paraId="7707F3E9" w14:textId="58FDBB2A"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540F17" w14:paraId="4B8802DA" w14:textId="77777777" w:rsidTr="00E874E8">
        <w:trPr>
          <w:cantSplit/>
        </w:trPr>
        <w:tc>
          <w:tcPr>
            <w:tcW w:w="3561" w:type="dxa"/>
            <w:tcBorders>
              <w:top w:val="single" w:sz="6" w:space="0" w:color="auto"/>
              <w:bottom w:val="single" w:sz="6" w:space="0" w:color="auto"/>
            </w:tcBorders>
            <w:shd w:val="clear" w:color="auto" w:fill="386294"/>
            <w:vAlign w:val="center"/>
          </w:tcPr>
          <w:p w14:paraId="3915C23B"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loci</w:t>
            </w:r>
            <w:r w:rsidRPr="0074293C">
              <w:rPr>
                <w:rFonts w:ascii="Cambria" w:hAnsi="Cambria"/>
                <w:b/>
                <w:bCs/>
                <w:color w:val="FFFFFF" w:themeColor="background1"/>
                <w:sz w:val="20"/>
                <w:szCs w:val="20"/>
                <w:lang w:val="es-PE"/>
              </w:rPr>
              <w:t>:</w:t>
            </w:r>
          </w:p>
        </w:tc>
        <w:tc>
          <w:tcPr>
            <w:tcW w:w="5776" w:type="dxa"/>
            <w:vAlign w:val="center"/>
          </w:tcPr>
          <w:p w14:paraId="12C931CB" w14:textId="7EDE1F5B"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540F17" w14:paraId="4362FDF3" w14:textId="77777777" w:rsidTr="00E874E8">
        <w:trPr>
          <w:cantSplit/>
        </w:trPr>
        <w:tc>
          <w:tcPr>
            <w:tcW w:w="3561" w:type="dxa"/>
            <w:tcBorders>
              <w:top w:val="single" w:sz="6" w:space="0" w:color="auto"/>
              <w:bottom w:val="single" w:sz="6" w:space="0" w:color="auto"/>
            </w:tcBorders>
            <w:shd w:val="clear" w:color="auto" w:fill="386294"/>
            <w:vAlign w:val="center"/>
          </w:tcPr>
          <w:p w14:paraId="3BE23153"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temporis</w:t>
            </w:r>
            <w:r w:rsidRPr="0074293C">
              <w:rPr>
                <w:rFonts w:ascii="Cambria" w:hAnsi="Cambria"/>
                <w:b/>
                <w:bCs/>
                <w:color w:val="FFFFFF" w:themeColor="background1"/>
                <w:sz w:val="20"/>
                <w:szCs w:val="20"/>
                <w:lang w:val="es-PE"/>
              </w:rPr>
              <w:t>:</w:t>
            </w:r>
          </w:p>
        </w:tc>
        <w:tc>
          <w:tcPr>
            <w:tcW w:w="5776" w:type="dxa"/>
            <w:vAlign w:val="center"/>
          </w:tcPr>
          <w:p w14:paraId="6F8B059B" w14:textId="2114778A" w:rsidR="003239B8" w:rsidRPr="0074293C" w:rsidRDefault="00C9230A" w:rsidP="008D2290">
            <w:pPr>
              <w:rPr>
                <w:rFonts w:ascii="Cambria" w:hAnsi="Cambria"/>
                <w:bCs/>
                <w:sz w:val="20"/>
                <w:szCs w:val="20"/>
                <w:lang w:val="es-PE"/>
              </w:rPr>
            </w:pPr>
            <w:r w:rsidRPr="0074293C">
              <w:rPr>
                <w:rFonts w:ascii="Cambria" w:hAnsi="Cambria"/>
                <w:bCs/>
                <w:sz w:val="20"/>
                <w:szCs w:val="20"/>
                <w:lang w:val="es-PE"/>
              </w:rPr>
              <w:t>Sí</w:t>
            </w:r>
          </w:p>
        </w:tc>
      </w:tr>
      <w:tr w:rsidR="003239B8" w:rsidRPr="00084AAE" w14:paraId="30ABEC3E" w14:textId="77777777" w:rsidTr="00E874E8">
        <w:trPr>
          <w:cantSplit/>
        </w:trPr>
        <w:tc>
          <w:tcPr>
            <w:tcW w:w="3561" w:type="dxa"/>
            <w:tcBorders>
              <w:top w:val="single" w:sz="6" w:space="0" w:color="auto"/>
              <w:bottom w:val="single" w:sz="6" w:space="0" w:color="auto"/>
            </w:tcBorders>
            <w:shd w:val="clear" w:color="auto" w:fill="386294"/>
            <w:vAlign w:val="center"/>
          </w:tcPr>
          <w:p w14:paraId="47B529D2" w14:textId="77777777" w:rsidR="003239B8" w:rsidRPr="0074293C" w:rsidRDefault="003239B8" w:rsidP="008D2290">
            <w:pPr>
              <w:jc w:val="center"/>
              <w:rPr>
                <w:rFonts w:ascii="Cambria" w:hAnsi="Cambria"/>
                <w:b/>
                <w:bCs/>
                <w:color w:val="FFFFFF" w:themeColor="background1"/>
                <w:sz w:val="20"/>
                <w:szCs w:val="20"/>
                <w:lang w:val="es-PE"/>
              </w:rPr>
            </w:pPr>
            <w:r w:rsidRPr="0074293C">
              <w:rPr>
                <w:rFonts w:ascii="Cambria" w:hAnsi="Cambria"/>
                <w:b/>
                <w:bCs/>
                <w:color w:val="FFFFFF" w:themeColor="background1"/>
                <w:sz w:val="20"/>
                <w:szCs w:val="20"/>
                <w:lang w:val="es-PE"/>
              </w:rPr>
              <w:t>Competencia</w:t>
            </w:r>
            <w:r w:rsidRPr="0074293C">
              <w:rPr>
                <w:rFonts w:ascii="Cambria" w:hAnsi="Cambria"/>
                <w:b/>
                <w:bCs/>
                <w:i/>
                <w:color w:val="FFFFFF" w:themeColor="background1"/>
                <w:sz w:val="20"/>
                <w:szCs w:val="20"/>
                <w:lang w:val="es-PE"/>
              </w:rPr>
              <w:t xml:space="preserve"> Ratione materia</w:t>
            </w:r>
            <w:r w:rsidR="00EE00E9" w:rsidRPr="0074293C">
              <w:rPr>
                <w:rFonts w:ascii="Cambria" w:hAnsi="Cambria"/>
                <w:b/>
                <w:bCs/>
                <w:i/>
                <w:color w:val="FFFFFF" w:themeColor="background1"/>
                <w:sz w:val="20"/>
                <w:szCs w:val="20"/>
                <w:lang w:val="es-PE"/>
              </w:rPr>
              <w:t>e</w:t>
            </w:r>
            <w:r w:rsidRPr="0074293C">
              <w:rPr>
                <w:rFonts w:ascii="Cambria" w:hAnsi="Cambria"/>
                <w:b/>
                <w:bCs/>
                <w:color w:val="FFFFFF" w:themeColor="background1"/>
                <w:sz w:val="20"/>
                <w:szCs w:val="20"/>
                <w:lang w:val="es-PE"/>
              </w:rPr>
              <w:t>:</w:t>
            </w:r>
          </w:p>
        </w:tc>
        <w:tc>
          <w:tcPr>
            <w:tcW w:w="5776" w:type="dxa"/>
            <w:vAlign w:val="center"/>
          </w:tcPr>
          <w:p w14:paraId="0C122F44" w14:textId="410C8E10" w:rsidR="003239B8" w:rsidRPr="0074293C" w:rsidRDefault="00B472EC" w:rsidP="008D2290">
            <w:pPr>
              <w:jc w:val="both"/>
              <w:rPr>
                <w:rFonts w:ascii="Cambria" w:hAnsi="Cambria"/>
                <w:bCs/>
                <w:sz w:val="20"/>
                <w:szCs w:val="20"/>
                <w:lang w:val="es-PE"/>
              </w:rPr>
            </w:pPr>
            <w:r w:rsidRPr="0074293C">
              <w:rPr>
                <w:rFonts w:ascii="Cambria" w:hAnsi="Cambria"/>
                <w:bCs/>
                <w:sz w:val="20"/>
                <w:szCs w:val="20"/>
                <w:lang w:val="es-PE"/>
              </w:rPr>
              <w:t>Sí, Convención Americana (depósito del instrumento de ratificación realizado el 8 de abril de 1970)</w:t>
            </w:r>
          </w:p>
        </w:tc>
      </w:tr>
    </w:tbl>
    <w:p w14:paraId="4E92C444" w14:textId="140CB1E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EE00E9" w:rsidRPr="003239B8">
        <w:rPr>
          <w:rFonts w:asciiTheme="majorHAnsi" w:hAnsiTheme="majorHAnsi"/>
          <w:b/>
          <w:bCs/>
          <w:sz w:val="20"/>
          <w:szCs w:val="20"/>
          <w:lang w:val="es-ES"/>
        </w:rPr>
        <w:t>INTERNACIONAL</w:t>
      </w:r>
      <w:r w:rsidR="005D38F9">
        <w:rPr>
          <w:rFonts w:asciiTheme="majorHAnsi" w:hAnsiTheme="majorHAnsi"/>
          <w:b/>
          <w:bCs/>
          <w:sz w:val="20"/>
          <w:szCs w:val="20"/>
          <w:lang w:val="es-ES"/>
        </w:rPr>
        <w:t>,</w:t>
      </w:r>
      <w:r w:rsidRPr="003239B8">
        <w:rPr>
          <w:rFonts w:asciiTheme="majorHAnsi" w:hAnsiTheme="majorHAnsi"/>
          <w:b/>
          <w:bCs/>
          <w:sz w:val="20"/>
          <w:szCs w:val="20"/>
          <w:lang w:val="es-ES"/>
        </w:rPr>
        <w:t xml:space="preserve"> CARACTERIZACIÓN, </w:t>
      </w:r>
      <w:r w:rsidRPr="003239B8">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566"/>
        <w:gridCol w:w="5771"/>
      </w:tblGrid>
      <w:tr w:rsidR="00EE00E9" w:rsidRPr="006D1946" w14:paraId="1231C988" w14:textId="77777777" w:rsidTr="00E874E8">
        <w:trPr>
          <w:cantSplit/>
        </w:trPr>
        <w:tc>
          <w:tcPr>
            <w:tcW w:w="3566" w:type="dxa"/>
            <w:tcBorders>
              <w:top w:val="single" w:sz="4" w:space="0" w:color="auto"/>
              <w:bottom w:val="single" w:sz="6" w:space="0" w:color="auto"/>
            </w:tcBorders>
            <w:shd w:val="clear" w:color="auto" w:fill="386294"/>
            <w:vAlign w:val="center"/>
          </w:tcPr>
          <w:p w14:paraId="6F8031F4"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71" w:type="dxa"/>
            <w:vAlign w:val="center"/>
          </w:tcPr>
          <w:p w14:paraId="240941E6" w14:textId="0A715263" w:rsidR="00EE00E9" w:rsidRPr="00DC24E3" w:rsidRDefault="005F327D" w:rsidP="008D2290">
            <w:pPr>
              <w:jc w:val="both"/>
              <w:rPr>
                <w:rFonts w:ascii="Cambria" w:hAnsi="Cambria"/>
                <w:bCs/>
                <w:sz w:val="20"/>
                <w:szCs w:val="20"/>
                <w:lang w:val="es-ES"/>
              </w:rPr>
            </w:pPr>
            <w:r>
              <w:rPr>
                <w:rFonts w:ascii="Cambria" w:hAnsi="Cambria"/>
                <w:bCs/>
                <w:sz w:val="20"/>
                <w:szCs w:val="20"/>
                <w:lang w:val="es-ES"/>
              </w:rPr>
              <w:t>No</w:t>
            </w:r>
          </w:p>
        </w:tc>
      </w:tr>
      <w:tr w:rsidR="003239B8" w:rsidRPr="002021CE" w14:paraId="15FAA7D1" w14:textId="77777777" w:rsidTr="00E874E8">
        <w:trPr>
          <w:cantSplit/>
        </w:trPr>
        <w:tc>
          <w:tcPr>
            <w:tcW w:w="3566" w:type="dxa"/>
            <w:tcBorders>
              <w:top w:val="single" w:sz="4" w:space="0" w:color="auto"/>
              <w:bottom w:val="single" w:sz="6" w:space="0" w:color="auto"/>
            </w:tcBorders>
            <w:shd w:val="clear" w:color="auto" w:fill="386294"/>
            <w:vAlign w:val="center"/>
          </w:tcPr>
          <w:p w14:paraId="1B0D29FF" w14:textId="77777777" w:rsidR="003239B8" w:rsidRPr="00DC24E3" w:rsidRDefault="003239B8" w:rsidP="008D2290">
            <w:pPr>
              <w:jc w:val="center"/>
              <w:rPr>
                <w:rFonts w:ascii="Cambria" w:hAnsi="Cambria"/>
                <w:b/>
                <w:bCs/>
                <w:i/>
                <w:color w:val="FFFFFF" w:themeColor="background1"/>
                <w:sz w:val="20"/>
                <w:szCs w:val="20"/>
              </w:rPr>
            </w:pPr>
            <w:r w:rsidRPr="00DC24E3">
              <w:rPr>
                <w:rFonts w:ascii="Cambria" w:hAnsi="Cambria"/>
                <w:b/>
                <w:bCs/>
                <w:color w:val="FFFFFF" w:themeColor="background1"/>
                <w:sz w:val="20"/>
                <w:szCs w:val="20"/>
              </w:rPr>
              <w:t>Derechos declarados admisibles</w:t>
            </w:r>
            <w:r w:rsidRPr="00DC24E3">
              <w:rPr>
                <w:rFonts w:ascii="Cambria" w:hAnsi="Cambria"/>
                <w:b/>
                <w:bCs/>
                <w:i/>
                <w:color w:val="FFFFFF" w:themeColor="background1"/>
                <w:sz w:val="20"/>
                <w:szCs w:val="20"/>
              </w:rPr>
              <w:t>:</w:t>
            </w:r>
          </w:p>
        </w:tc>
        <w:tc>
          <w:tcPr>
            <w:tcW w:w="5771" w:type="dxa"/>
            <w:vAlign w:val="center"/>
          </w:tcPr>
          <w:p w14:paraId="6310C8F7" w14:textId="1A7EAD23" w:rsidR="003239B8" w:rsidRPr="005F327D" w:rsidRDefault="005F327D" w:rsidP="008D2290">
            <w:pPr>
              <w:jc w:val="both"/>
              <w:rPr>
                <w:rFonts w:ascii="Cambria" w:hAnsi="Cambria"/>
                <w:bCs/>
                <w:sz w:val="20"/>
                <w:szCs w:val="20"/>
                <w:lang w:val="es-PE"/>
              </w:rPr>
            </w:pPr>
            <w:r w:rsidRPr="005F327D">
              <w:rPr>
                <w:rFonts w:ascii="Cambria" w:hAnsi="Cambria"/>
                <w:bCs/>
                <w:sz w:val="20"/>
                <w:szCs w:val="20"/>
                <w:lang w:val="es-PE"/>
              </w:rPr>
              <w:t>Ninguno</w:t>
            </w:r>
          </w:p>
        </w:tc>
      </w:tr>
      <w:tr w:rsidR="003239B8" w:rsidRPr="00084AAE" w14:paraId="4EFD141E" w14:textId="77777777" w:rsidTr="00E874E8">
        <w:trPr>
          <w:cantSplit/>
        </w:trPr>
        <w:tc>
          <w:tcPr>
            <w:tcW w:w="3566" w:type="dxa"/>
            <w:tcBorders>
              <w:top w:val="single" w:sz="6" w:space="0" w:color="auto"/>
              <w:bottom w:val="single" w:sz="6" w:space="0" w:color="auto"/>
            </w:tcBorders>
            <w:shd w:val="clear" w:color="auto" w:fill="386294"/>
            <w:vAlign w:val="center"/>
          </w:tcPr>
          <w:p w14:paraId="4C04A89C"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71" w:type="dxa"/>
            <w:vAlign w:val="center"/>
          </w:tcPr>
          <w:p w14:paraId="69C53E8A" w14:textId="5632E5F8" w:rsidR="003239B8" w:rsidRPr="00DC24E3" w:rsidRDefault="005F327D" w:rsidP="008D2290">
            <w:pPr>
              <w:rPr>
                <w:rFonts w:ascii="Cambria" w:hAnsi="Cambria"/>
                <w:bCs/>
                <w:sz w:val="20"/>
                <w:szCs w:val="20"/>
                <w:lang w:val="es-ES"/>
              </w:rPr>
            </w:pPr>
            <w:r>
              <w:rPr>
                <w:rFonts w:ascii="Cambria" w:hAnsi="Cambria"/>
                <w:bCs/>
                <w:sz w:val="20"/>
                <w:szCs w:val="20"/>
                <w:lang w:val="es-ES"/>
              </w:rPr>
              <w:t>Sí, en los términos de la sección VII</w:t>
            </w:r>
          </w:p>
        </w:tc>
      </w:tr>
      <w:tr w:rsidR="003239B8" w:rsidRPr="00084AAE" w14:paraId="52B5BA17" w14:textId="77777777" w:rsidTr="00E874E8">
        <w:trPr>
          <w:cantSplit/>
        </w:trPr>
        <w:tc>
          <w:tcPr>
            <w:tcW w:w="3566" w:type="dxa"/>
            <w:tcBorders>
              <w:top w:val="single" w:sz="6" w:space="0" w:color="auto"/>
              <w:bottom w:val="single" w:sz="6" w:space="0" w:color="auto"/>
            </w:tcBorders>
            <w:shd w:val="clear" w:color="auto" w:fill="386294"/>
            <w:vAlign w:val="center"/>
          </w:tcPr>
          <w:p w14:paraId="5DF99086" w14:textId="77777777" w:rsidR="003239B8" w:rsidRPr="00DC24E3" w:rsidRDefault="003239B8" w:rsidP="008D2290">
            <w:pPr>
              <w:jc w:val="center"/>
              <w:rPr>
                <w:rFonts w:ascii="Cambria" w:hAnsi="Cambria"/>
                <w:b/>
                <w:bCs/>
                <w:color w:val="FFFFFF" w:themeColor="background1"/>
                <w:sz w:val="20"/>
                <w:szCs w:val="20"/>
              </w:rPr>
            </w:pPr>
            <w:r w:rsidRPr="00DC24E3">
              <w:rPr>
                <w:rFonts w:ascii="Cambria" w:hAnsi="Cambria"/>
                <w:b/>
                <w:bCs/>
                <w:color w:val="FFFFFF" w:themeColor="background1"/>
                <w:sz w:val="20"/>
                <w:szCs w:val="20"/>
              </w:rPr>
              <w:t>Presentación dentro de plazo:</w:t>
            </w:r>
          </w:p>
        </w:tc>
        <w:tc>
          <w:tcPr>
            <w:tcW w:w="5771" w:type="dxa"/>
            <w:vAlign w:val="center"/>
          </w:tcPr>
          <w:p w14:paraId="4A2A4569" w14:textId="09869D9F" w:rsidR="003239B8" w:rsidRPr="005F327D" w:rsidRDefault="005F327D" w:rsidP="008D2290">
            <w:pPr>
              <w:rPr>
                <w:rFonts w:ascii="Cambria" w:hAnsi="Cambria"/>
                <w:bCs/>
                <w:sz w:val="20"/>
                <w:szCs w:val="20"/>
                <w:lang w:val="es-US"/>
              </w:rPr>
            </w:pPr>
            <w:r>
              <w:rPr>
                <w:rFonts w:ascii="Cambria" w:hAnsi="Cambria"/>
                <w:bCs/>
                <w:sz w:val="20"/>
                <w:szCs w:val="20"/>
                <w:lang w:val="es-ES"/>
              </w:rPr>
              <w:t>Sí, en los términos de la sección VII</w:t>
            </w:r>
          </w:p>
        </w:tc>
      </w:tr>
    </w:tbl>
    <w:p w14:paraId="18E6423B" w14:textId="0107F3A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867314">
        <w:rPr>
          <w:rFonts w:asciiTheme="majorHAnsi" w:hAnsiTheme="majorHAnsi"/>
          <w:b/>
          <w:sz w:val="20"/>
          <w:szCs w:val="20"/>
          <w:lang w:val="es-UY"/>
        </w:rPr>
        <w:t>POSICIÓN DE LAS PARTES</w:t>
      </w:r>
    </w:p>
    <w:p w14:paraId="6CB72300" w14:textId="41137ED5" w:rsidR="00BA237E" w:rsidRPr="008E3587" w:rsidRDefault="008E3587" w:rsidP="003239B8">
      <w:pPr>
        <w:spacing w:before="240" w:after="240"/>
        <w:ind w:firstLine="720"/>
        <w:jc w:val="both"/>
        <w:rPr>
          <w:rFonts w:asciiTheme="majorHAnsi" w:hAnsiTheme="majorHAnsi"/>
          <w:bCs/>
          <w:i/>
          <w:iCs/>
          <w:sz w:val="20"/>
          <w:szCs w:val="20"/>
          <w:lang w:val="es-UY"/>
        </w:rPr>
      </w:pPr>
      <w:r w:rsidRPr="008E3587">
        <w:rPr>
          <w:rFonts w:asciiTheme="majorHAnsi" w:hAnsiTheme="majorHAnsi"/>
          <w:bCs/>
          <w:i/>
          <w:iCs/>
          <w:sz w:val="20"/>
          <w:szCs w:val="20"/>
          <w:lang w:val="es-UY"/>
        </w:rPr>
        <w:t>Alegatos de la parte peticionaria</w:t>
      </w:r>
    </w:p>
    <w:p w14:paraId="36EF817E" w14:textId="150E3F63" w:rsidR="00DD26B2" w:rsidRPr="00172250" w:rsidRDefault="00172250" w:rsidP="0017225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Pr>
          <w:rFonts w:ascii="Cambria" w:hAnsi="Cambria"/>
          <w:sz w:val="20"/>
          <w:szCs w:val="20"/>
          <w:lang w:val="es-ES_tradnl"/>
        </w:rPr>
        <w:t>La parte peticionaria denuncia que el señor Va</w:t>
      </w:r>
      <w:r w:rsidRPr="00172250">
        <w:rPr>
          <w:rFonts w:ascii="Cambria" w:hAnsi="Cambria"/>
          <w:sz w:val="20"/>
          <w:szCs w:val="20"/>
          <w:lang w:val="es-ES_tradnl"/>
        </w:rPr>
        <w:t xml:space="preserve">rgas Gonzalez no tuvo acceso a un recurso que le permita la revisión integral de su condena por </w:t>
      </w:r>
      <w:r>
        <w:rPr>
          <w:rFonts w:ascii="Cambria" w:hAnsi="Cambria"/>
          <w:sz w:val="20"/>
          <w:szCs w:val="20"/>
          <w:lang w:val="es-ES_tradnl"/>
        </w:rPr>
        <w:t>el delito de violación</w:t>
      </w:r>
      <w:r w:rsidR="00391A9E">
        <w:rPr>
          <w:rFonts w:ascii="Cambria" w:hAnsi="Cambria"/>
          <w:sz w:val="20"/>
          <w:szCs w:val="20"/>
          <w:lang w:val="es-ES_tradnl"/>
        </w:rPr>
        <w:t xml:space="preserve"> y, debido a ello, </w:t>
      </w:r>
      <w:r w:rsidR="0014690A">
        <w:rPr>
          <w:rFonts w:ascii="Cambria" w:hAnsi="Cambria"/>
          <w:sz w:val="20"/>
          <w:szCs w:val="20"/>
          <w:lang w:val="es-ES_tradnl"/>
        </w:rPr>
        <w:t>habría</w:t>
      </w:r>
      <w:r w:rsidR="00391A9E">
        <w:rPr>
          <w:rFonts w:ascii="Cambria" w:hAnsi="Cambria"/>
          <w:sz w:val="20"/>
          <w:szCs w:val="20"/>
          <w:lang w:val="es-ES_tradnl"/>
        </w:rPr>
        <w:t xml:space="preserve"> p</w:t>
      </w:r>
      <w:r w:rsidR="0014690A">
        <w:rPr>
          <w:rFonts w:ascii="Cambria" w:hAnsi="Cambria"/>
          <w:sz w:val="20"/>
          <w:szCs w:val="20"/>
          <w:lang w:val="es-ES_tradnl"/>
        </w:rPr>
        <w:t>odido</w:t>
      </w:r>
      <w:r w:rsidR="00391A9E">
        <w:rPr>
          <w:rFonts w:ascii="Cambria" w:hAnsi="Cambria"/>
          <w:sz w:val="20"/>
          <w:szCs w:val="20"/>
          <w:lang w:val="es-ES_tradnl"/>
        </w:rPr>
        <w:t xml:space="preserve"> cuestionar </w:t>
      </w:r>
      <w:r w:rsidR="00F56652">
        <w:rPr>
          <w:rFonts w:ascii="Cambria" w:hAnsi="Cambria"/>
          <w:sz w:val="20"/>
          <w:szCs w:val="20"/>
          <w:lang w:val="es-ES_tradnl"/>
        </w:rPr>
        <w:t>la indebida motivación de esta decisión</w:t>
      </w:r>
      <w:r>
        <w:rPr>
          <w:rFonts w:ascii="Cambria" w:hAnsi="Cambria"/>
          <w:sz w:val="20"/>
          <w:szCs w:val="20"/>
          <w:lang w:val="es-ES_tradnl"/>
        </w:rPr>
        <w:t xml:space="preserve">. Asimismo, arguye que </w:t>
      </w:r>
      <w:r w:rsidR="002868AD">
        <w:rPr>
          <w:rFonts w:ascii="Cambria" w:hAnsi="Cambria"/>
          <w:sz w:val="20"/>
          <w:szCs w:val="20"/>
          <w:lang w:val="es-ES_tradnl"/>
        </w:rPr>
        <w:t xml:space="preserve">la integridad de la presunta víctima se encuentra en riesgo, debido que está encarcelado con personas que buscarían adoptar represalias en su contra. </w:t>
      </w:r>
    </w:p>
    <w:p w14:paraId="7B91D69D" w14:textId="2FC9C3F9" w:rsidR="00A27C34" w:rsidRDefault="00A27C34" w:rsidP="003C507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lastRenderedPageBreak/>
        <w:t>Informa que el 18 de diciembre de 2006 el Tribunal de Juicio del Primero Circuito Judicial de Alajuela</w:t>
      </w:r>
      <w:r w:rsidR="00B045EA">
        <w:rPr>
          <w:rFonts w:ascii="Cambria" w:hAnsi="Cambria"/>
          <w:sz w:val="20"/>
          <w:szCs w:val="20"/>
          <w:lang w:val="es-AR"/>
        </w:rPr>
        <w:t xml:space="preserve"> condenó al señor Vargas González </w:t>
      </w:r>
      <w:r w:rsidR="00A02FCB">
        <w:rPr>
          <w:rFonts w:ascii="Cambria" w:hAnsi="Cambria"/>
          <w:sz w:val="20"/>
          <w:szCs w:val="20"/>
          <w:lang w:val="es-AR"/>
        </w:rPr>
        <w:t xml:space="preserve">a diez años de pena privativa de libertad </w:t>
      </w:r>
      <w:r w:rsidR="00A17F92">
        <w:rPr>
          <w:rFonts w:ascii="Cambria" w:hAnsi="Cambria"/>
          <w:sz w:val="20"/>
          <w:szCs w:val="20"/>
          <w:lang w:val="es-AR"/>
        </w:rPr>
        <w:t>por el delito de violación en perjuicio de una menor de edad. Afirma que</w:t>
      </w:r>
      <w:r w:rsidR="00A02FCB">
        <w:rPr>
          <w:rFonts w:ascii="Cambria" w:hAnsi="Cambria"/>
          <w:sz w:val="20"/>
          <w:szCs w:val="20"/>
          <w:lang w:val="es-AR"/>
        </w:rPr>
        <w:t xml:space="preserve">, ante ello, </w:t>
      </w:r>
      <w:r w:rsidR="009B4C8F">
        <w:rPr>
          <w:rFonts w:ascii="Cambria" w:hAnsi="Cambria"/>
          <w:sz w:val="20"/>
          <w:szCs w:val="20"/>
          <w:lang w:val="es-AR"/>
        </w:rPr>
        <w:t xml:space="preserve">la </w:t>
      </w:r>
      <w:r w:rsidR="004D11C3">
        <w:rPr>
          <w:rFonts w:ascii="Cambria" w:hAnsi="Cambria"/>
          <w:sz w:val="20"/>
          <w:szCs w:val="20"/>
          <w:lang w:val="es-AR"/>
        </w:rPr>
        <w:t xml:space="preserve">defensa de la </w:t>
      </w:r>
      <w:r w:rsidR="009B4C8F">
        <w:rPr>
          <w:rFonts w:ascii="Cambria" w:hAnsi="Cambria"/>
          <w:sz w:val="20"/>
          <w:szCs w:val="20"/>
          <w:lang w:val="es-AR"/>
        </w:rPr>
        <w:t xml:space="preserve">presunta víctima presentó un recurso de casación, </w:t>
      </w:r>
      <w:r w:rsidR="00686356">
        <w:rPr>
          <w:rFonts w:ascii="Cambria" w:hAnsi="Cambria"/>
          <w:sz w:val="20"/>
          <w:szCs w:val="20"/>
          <w:lang w:val="es-AR"/>
        </w:rPr>
        <w:t>cuestionando que</w:t>
      </w:r>
      <w:r w:rsidR="003C507B">
        <w:rPr>
          <w:rFonts w:ascii="Cambria" w:hAnsi="Cambria"/>
          <w:sz w:val="20"/>
          <w:szCs w:val="20"/>
          <w:lang w:val="es-AR"/>
        </w:rPr>
        <w:t xml:space="preserve"> i) </w:t>
      </w:r>
      <w:r w:rsidR="004D11C3">
        <w:rPr>
          <w:rFonts w:ascii="Cambria" w:hAnsi="Cambria"/>
          <w:sz w:val="20"/>
          <w:szCs w:val="20"/>
          <w:lang w:val="es-AR"/>
        </w:rPr>
        <w:t xml:space="preserve">no se cumplió con realizar el examen mental obligatorio al señor Vargas González; </w:t>
      </w:r>
      <w:r w:rsidR="003C507B">
        <w:rPr>
          <w:rFonts w:ascii="Cambria" w:hAnsi="Cambria"/>
          <w:sz w:val="20"/>
          <w:szCs w:val="20"/>
          <w:lang w:val="es-AR"/>
        </w:rPr>
        <w:t xml:space="preserve">y </w:t>
      </w:r>
      <w:r w:rsidR="004D11C3">
        <w:rPr>
          <w:rFonts w:ascii="Cambria" w:hAnsi="Cambria"/>
          <w:sz w:val="20"/>
          <w:szCs w:val="20"/>
          <w:lang w:val="es-AR"/>
        </w:rPr>
        <w:t>ii)</w:t>
      </w:r>
      <w:r w:rsidR="00686356">
        <w:rPr>
          <w:rFonts w:ascii="Cambria" w:hAnsi="Cambria"/>
          <w:sz w:val="20"/>
          <w:szCs w:val="20"/>
          <w:lang w:val="es-AR"/>
        </w:rPr>
        <w:t xml:space="preserve"> </w:t>
      </w:r>
      <w:r w:rsidR="003C507B">
        <w:rPr>
          <w:rFonts w:ascii="Cambria" w:hAnsi="Cambria"/>
          <w:sz w:val="20"/>
          <w:szCs w:val="20"/>
          <w:lang w:val="es-AR"/>
        </w:rPr>
        <w:t>que la sentencia no estaba adecuadamente fundamentada, pues contenía argumentos contradictorios</w:t>
      </w:r>
      <w:r w:rsidR="00A02FCB">
        <w:rPr>
          <w:rFonts w:ascii="Cambria" w:hAnsi="Cambria"/>
          <w:sz w:val="20"/>
          <w:szCs w:val="20"/>
          <w:lang w:val="es-AR"/>
        </w:rPr>
        <w:t xml:space="preserve">. Sin embargo, </w:t>
      </w:r>
      <w:r w:rsidR="009B4C8F">
        <w:rPr>
          <w:rFonts w:ascii="Cambria" w:hAnsi="Cambria"/>
          <w:sz w:val="20"/>
          <w:szCs w:val="20"/>
          <w:lang w:val="es-AR"/>
        </w:rPr>
        <w:t>el 16 de marzo de 2007 el Tribunal de Casación Penal desestimó</w:t>
      </w:r>
      <w:r w:rsidR="009662E4">
        <w:rPr>
          <w:rFonts w:ascii="Cambria" w:hAnsi="Cambria"/>
          <w:sz w:val="20"/>
          <w:szCs w:val="20"/>
          <w:lang w:val="es-AR"/>
        </w:rPr>
        <w:t xml:space="preserve"> tal acción</w:t>
      </w:r>
      <w:r w:rsidR="002868AD">
        <w:rPr>
          <w:rFonts w:ascii="Cambria" w:hAnsi="Cambria"/>
          <w:sz w:val="20"/>
          <w:szCs w:val="20"/>
          <w:lang w:val="es-AR"/>
        </w:rPr>
        <w:t>, tras analizar ambos cuestionamientos y considerar que estos no demostraban la presencia de un error en la decisión de primera instancia que ameritase su nulidad</w:t>
      </w:r>
      <w:r w:rsidR="009662E4">
        <w:rPr>
          <w:rFonts w:ascii="Cambria" w:hAnsi="Cambria"/>
          <w:sz w:val="20"/>
          <w:szCs w:val="20"/>
          <w:lang w:val="es-AR"/>
        </w:rPr>
        <w:t>.</w:t>
      </w:r>
      <w:r w:rsidR="00881118">
        <w:rPr>
          <w:rFonts w:ascii="Cambria" w:hAnsi="Cambria"/>
          <w:sz w:val="20"/>
          <w:szCs w:val="20"/>
          <w:lang w:val="es-AR"/>
        </w:rPr>
        <w:t xml:space="preserve"> Esta decisión se notificó el 22 de marzo de 2007.</w:t>
      </w:r>
    </w:p>
    <w:p w14:paraId="0B0F576B" w14:textId="2188E370" w:rsidR="00154B81" w:rsidRDefault="00154B81" w:rsidP="00154B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Pr>
          <w:rFonts w:ascii="Cambria" w:hAnsi="Cambria"/>
          <w:sz w:val="20"/>
          <w:szCs w:val="20"/>
          <w:lang w:val="es-AR"/>
        </w:rPr>
        <w:t xml:space="preserve">Agrega que a pesar de que </w:t>
      </w:r>
      <w:r w:rsidR="009662E4">
        <w:rPr>
          <w:rFonts w:ascii="Cambria" w:hAnsi="Cambria"/>
          <w:sz w:val="20"/>
          <w:szCs w:val="20"/>
          <w:lang w:val="es-AR"/>
        </w:rPr>
        <w:t>el 9 de mayo de 2007 el señor Vargas Gonzalez inició un procedimiento de revisión de sentencia</w:t>
      </w:r>
      <w:r w:rsidR="00D26859">
        <w:rPr>
          <w:rFonts w:ascii="Cambria" w:hAnsi="Cambria"/>
          <w:sz w:val="20"/>
          <w:szCs w:val="20"/>
          <w:lang w:val="es-AR"/>
        </w:rPr>
        <w:t xml:space="preserve">, </w:t>
      </w:r>
      <w:r>
        <w:rPr>
          <w:rFonts w:ascii="Cambria" w:hAnsi="Cambria"/>
          <w:sz w:val="20"/>
          <w:szCs w:val="20"/>
          <w:lang w:val="es-AR"/>
        </w:rPr>
        <w:t xml:space="preserve">reiterando sus cuestionamientos </w:t>
      </w:r>
      <w:r w:rsidR="001328BB">
        <w:rPr>
          <w:rFonts w:ascii="Cambria" w:hAnsi="Cambria"/>
          <w:sz w:val="20"/>
          <w:szCs w:val="20"/>
          <w:lang w:val="es-AR"/>
        </w:rPr>
        <w:t>hacia su</w:t>
      </w:r>
      <w:r>
        <w:rPr>
          <w:rFonts w:ascii="Cambria" w:hAnsi="Cambria"/>
          <w:sz w:val="20"/>
          <w:szCs w:val="20"/>
          <w:lang w:val="es-AR"/>
        </w:rPr>
        <w:t xml:space="preserve"> sentencia condenatoria, el 30 de noviembre de 2007</w:t>
      </w:r>
      <w:r w:rsidR="00254798">
        <w:rPr>
          <w:rFonts w:ascii="Cambria" w:hAnsi="Cambria"/>
          <w:sz w:val="20"/>
          <w:szCs w:val="20"/>
          <w:lang w:val="es-AR"/>
        </w:rPr>
        <w:t xml:space="preserve"> </w:t>
      </w:r>
      <w:r w:rsidR="00C34D18">
        <w:rPr>
          <w:rFonts w:ascii="Cambria" w:hAnsi="Cambria"/>
          <w:sz w:val="20"/>
          <w:szCs w:val="20"/>
          <w:lang w:val="es-AR"/>
        </w:rPr>
        <w:t>el Tribunal de Casación Penal del Terc</w:t>
      </w:r>
      <w:r w:rsidR="003A0966">
        <w:rPr>
          <w:rFonts w:ascii="Cambria" w:hAnsi="Cambria"/>
          <w:sz w:val="20"/>
          <w:szCs w:val="20"/>
          <w:lang w:val="es-AR"/>
        </w:rPr>
        <w:t>e</w:t>
      </w:r>
      <w:r w:rsidR="00C34D18">
        <w:rPr>
          <w:rFonts w:ascii="Cambria" w:hAnsi="Cambria"/>
          <w:sz w:val="20"/>
          <w:szCs w:val="20"/>
          <w:lang w:val="es-AR"/>
        </w:rPr>
        <w:t>r Circuito Judicial de Alajuela,</w:t>
      </w:r>
      <w:r w:rsidR="00254798">
        <w:rPr>
          <w:rFonts w:ascii="Cambria" w:hAnsi="Cambria"/>
          <w:sz w:val="20"/>
          <w:szCs w:val="20"/>
          <w:lang w:val="es-AR"/>
        </w:rPr>
        <w:t xml:space="preserve"> </w:t>
      </w:r>
      <w:r>
        <w:rPr>
          <w:rFonts w:ascii="Cambria" w:hAnsi="Cambria"/>
          <w:sz w:val="20"/>
          <w:szCs w:val="20"/>
          <w:lang w:val="es-AR"/>
        </w:rPr>
        <w:t>desestimó sus alegatos.</w:t>
      </w:r>
    </w:p>
    <w:p w14:paraId="26C109B9" w14:textId="1E32ECF9" w:rsidR="005063AF" w:rsidRDefault="00D26859" w:rsidP="00154B81">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154B81">
        <w:rPr>
          <w:rFonts w:ascii="Cambria" w:hAnsi="Cambria"/>
          <w:sz w:val="20"/>
          <w:szCs w:val="20"/>
          <w:lang w:val="es-AR"/>
        </w:rPr>
        <w:t xml:space="preserve">Finalmente, </w:t>
      </w:r>
      <w:r w:rsidR="00154B81" w:rsidRPr="00154B81">
        <w:rPr>
          <w:rFonts w:ascii="Cambria" w:hAnsi="Cambria"/>
          <w:sz w:val="20"/>
          <w:szCs w:val="20"/>
          <w:lang w:val="es-AR"/>
        </w:rPr>
        <w:t xml:space="preserve">informa que </w:t>
      </w:r>
      <w:r w:rsidR="00903BC3" w:rsidRPr="00154B81">
        <w:rPr>
          <w:rFonts w:ascii="Cambria" w:hAnsi="Cambria"/>
          <w:sz w:val="20"/>
          <w:szCs w:val="20"/>
          <w:lang w:val="es-AR"/>
        </w:rPr>
        <w:t xml:space="preserve">el 25 de febrero de 2011 el señor Vargas González presentó una demanda amparo, cuestionando </w:t>
      </w:r>
      <w:r w:rsidR="008A18FC" w:rsidRPr="00154B81">
        <w:rPr>
          <w:rFonts w:ascii="Cambria" w:hAnsi="Cambria"/>
          <w:sz w:val="20"/>
          <w:szCs w:val="20"/>
          <w:lang w:val="es-AR"/>
        </w:rPr>
        <w:t>su sentencia condenatoria</w:t>
      </w:r>
      <w:r w:rsidR="00903BC3" w:rsidRPr="00154B81">
        <w:rPr>
          <w:rFonts w:ascii="Cambria" w:hAnsi="Cambria"/>
          <w:sz w:val="20"/>
          <w:szCs w:val="20"/>
          <w:lang w:val="es-AR"/>
        </w:rPr>
        <w:t xml:space="preserve">. </w:t>
      </w:r>
      <w:r w:rsidR="006723A4" w:rsidRPr="00154B81">
        <w:rPr>
          <w:rFonts w:ascii="Cambria" w:hAnsi="Cambria"/>
          <w:sz w:val="20"/>
          <w:szCs w:val="20"/>
          <w:lang w:val="es-AR"/>
        </w:rPr>
        <w:t>No obstante, e</w:t>
      </w:r>
      <w:r w:rsidR="005063AF" w:rsidRPr="00154B81">
        <w:rPr>
          <w:rFonts w:ascii="Cambria" w:hAnsi="Cambria"/>
          <w:sz w:val="20"/>
          <w:szCs w:val="20"/>
          <w:lang w:val="es-AR"/>
        </w:rPr>
        <w:t xml:space="preserve">l 8 de marzo de 2011 la Sala Constitucional de la Corte Suprema de Justicia </w:t>
      </w:r>
      <w:r w:rsidR="00543DAB" w:rsidRPr="00154B81">
        <w:rPr>
          <w:rFonts w:ascii="Cambria" w:hAnsi="Cambria"/>
          <w:sz w:val="20"/>
          <w:szCs w:val="20"/>
          <w:lang w:val="es-AR"/>
        </w:rPr>
        <w:t>desestimó la acción, al considerar que no podía revisar la validez de una sentencia penal</w:t>
      </w:r>
      <w:r w:rsidR="00905E69" w:rsidRPr="00154B81">
        <w:rPr>
          <w:rFonts w:ascii="Cambria" w:hAnsi="Cambria"/>
          <w:sz w:val="20"/>
          <w:szCs w:val="20"/>
          <w:lang w:val="es-AR"/>
        </w:rPr>
        <w:t xml:space="preserve">, pues ello implicaría incidir </w:t>
      </w:r>
      <w:r w:rsidR="002E03D9">
        <w:rPr>
          <w:rFonts w:ascii="Cambria" w:hAnsi="Cambria"/>
          <w:sz w:val="20"/>
          <w:szCs w:val="20"/>
          <w:lang w:val="es-AR"/>
        </w:rPr>
        <w:t>in</w:t>
      </w:r>
      <w:r w:rsidR="00905E69" w:rsidRPr="00154B81">
        <w:rPr>
          <w:rFonts w:ascii="Cambria" w:hAnsi="Cambria"/>
          <w:sz w:val="20"/>
          <w:szCs w:val="20"/>
          <w:lang w:val="es-AR"/>
        </w:rPr>
        <w:t xml:space="preserve">debidamente en el ámbito de competencia de la jurisdicción penal. En consecuencia, precisó que los reparos de la presunta víctima respecto a su condena debían plantearse en sede penal, por medio de los respectivos recursos y ante las instancias previstas para tal efecto. </w:t>
      </w:r>
    </w:p>
    <w:p w14:paraId="3B057F2B" w14:textId="357BB53E" w:rsidR="00505F53" w:rsidRPr="00505F53" w:rsidRDefault="00505F53" w:rsidP="00505F5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US"/>
        </w:rPr>
      </w:pPr>
      <w:r>
        <w:rPr>
          <w:rFonts w:asciiTheme="majorHAnsi" w:hAnsiTheme="majorHAnsi"/>
          <w:sz w:val="20"/>
          <w:szCs w:val="20"/>
          <w:lang w:val="es-US"/>
        </w:rPr>
        <w:t>Con base en estas consideraciones, el señor Vargas González considera que las autoridades Costa Rica no le garantizaron el acceso a un recurso de apelación que permita la revisión integral de su sentencia condenatoria.</w:t>
      </w:r>
      <w:r w:rsidR="005E0795">
        <w:rPr>
          <w:rFonts w:asciiTheme="majorHAnsi" w:hAnsiTheme="majorHAnsi"/>
          <w:sz w:val="20"/>
          <w:szCs w:val="20"/>
          <w:lang w:val="es-US"/>
        </w:rPr>
        <w:t xml:space="preserve"> Asimismo, sostiene que su integridad física se encuentra en riesgo, dado que</w:t>
      </w:r>
      <w:r w:rsidR="002868AD">
        <w:rPr>
          <w:rFonts w:asciiTheme="majorHAnsi" w:hAnsiTheme="majorHAnsi"/>
          <w:sz w:val="20"/>
          <w:szCs w:val="20"/>
          <w:lang w:val="es-US"/>
        </w:rPr>
        <w:t>, debido a que ejerció funciones en el Ministerio de Seguridad Pública, se encuentra</w:t>
      </w:r>
      <w:r w:rsidR="005E0795">
        <w:rPr>
          <w:rFonts w:asciiTheme="majorHAnsi" w:hAnsiTheme="majorHAnsi"/>
          <w:sz w:val="20"/>
          <w:szCs w:val="20"/>
          <w:lang w:val="es-US"/>
        </w:rPr>
        <w:t xml:space="preserve"> privado de</w:t>
      </w:r>
      <w:r w:rsidR="002868AD">
        <w:rPr>
          <w:rFonts w:asciiTheme="majorHAnsi" w:hAnsiTheme="majorHAnsi"/>
          <w:sz w:val="20"/>
          <w:szCs w:val="20"/>
          <w:lang w:val="es-US"/>
        </w:rPr>
        <w:t xml:space="preserve"> su</w:t>
      </w:r>
      <w:r w:rsidR="005E0795">
        <w:rPr>
          <w:rFonts w:asciiTheme="majorHAnsi" w:hAnsiTheme="majorHAnsi"/>
          <w:sz w:val="20"/>
          <w:szCs w:val="20"/>
          <w:lang w:val="es-US"/>
        </w:rPr>
        <w:t xml:space="preserve"> libertad con personas que tendrían interés en hacerle daño. </w:t>
      </w:r>
    </w:p>
    <w:p w14:paraId="4D689013" w14:textId="59E1915E" w:rsidR="00522C3B" w:rsidRPr="003075BE" w:rsidRDefault="00522C3B" w:rsidP="00DD26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i/>
          <w:iCs/>
          <w:sz w:val="20"/>
          <w:szCs w:val="20"/>
          <w:lang w:val="es-AR"/>
        </w:rPr>
      </w:pPr>
      <w:r w:rsidRPr="003075BE">
        <w:rPr>
          <w:i/>
          <w:iCs/>
          <w:sz w:val="20"/>
          <w:szCs w:val="20"/>
          <w:lang w:val="es-AR"/>
        </w:rPr>
        <w:t>Alegatos del Estado</w:t>
      </w:r>
      <w:r w:rsidR="00E874E8">
        <w:rPr>
          <w:i/>
          <w:iCs/>
          <w:sz w:val="20"/>
          <w:szCs w:val="20"/>
          <w:lang w:val="es-AR"/>
        </w:rPr>
        <w:t xml:space="preserve"> costarricense</w:t>
      </w:r>
    </w:p>
    <w:p w14:paraId="6307A355" w14:textId="075D5D0D" w:rsidR="002B6ED0" w:rsidRPr="000869F7" w:rsidRDefault="002B6ED0" w:rsidP="002B6E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sidRPr="001B63D4">
        <w:rPr>
          <w:rFonts w:ascii="Cambria" w:hAnsi="Cambria"/>
          <w:sz w:val="20"/>
          <w:szCs w:val="20"/>
          <w:lang w:val="es-AR"/>
        </w:rPr>
        <w:t xml:space="preserve">Por su parte, el Estado replica que </w:t>
      </w:r>
      <w:r>
        <w:rPr>
          <w:rFonts w:ascii="Cambria" w:hAnsi="Cambria"/>
          <w:sz w:val="20"/>
          <w:szCs w:val="20"/>
          <w:lang w:val="es-AR"/>
        </w:rPr>
        <w:t xml:space="preserve">la petición es inadmisible por haber sido presentada extemporáneamente. Detalla que a pesar de que el </w:t>
      </w:r>
      <w:r w:rsidR="00881118">
        <w:rPr>
          <w:rFonts w:ascii="Cambria" w:hAnsi="Cambria"/>
          <w:sz w:val="20"/>
          <w:szCs w:val="20"/>
          <w:lang w:val="es-AR"/>
        </w:rPr>
        <w:t>22 de marzo de 2007</w:t>
      </w:r>
      <w:r>
        <w:rPr>
          <w:rFonts w:ascii="Cambria" w:hAnsi="Cambria"/>
          <w:sz w:val="20"/>
          <w:szCs w:val="20"/>
          <w:lang w:val="es-AR"/>
        </w:rPr>
        <w:t xml:space="preserve"> las autoridades notificaron al señor </w:t>
      </w:r>
      <w:r w:rsidR="00881118">
        <w:rPr>
          <w:rFonts w:ascii="Cambria" w:hAnsi="Cambria"/>
          <w:sz w:val="20"/>
          <w:szCs w:val="20"/>
          <w:lang w:val="es-AR"/>
        </w:rPr>
        <w:t>Vargas Gonzalez</w:t>
      </w:r>
      <w:r>
        <w:rPr>
          <w:rFonts w:ascii="Cambria" w:hAnsi="Cambria"/>
          <w:sz w:val="20"/>
          <w:szCs w:val="20"/>
          <w:lang w:val="es-AR"/>
        </w:rPr>
        <w:t xml:space="preserve"> la sentencia que desestimó su recurso de casación, la parte peticionaria recién presentó esta petición casi </w:t>
      </w:r>
      <w:r w:rsidR="000C2AA0">
        <w:rPr>
          <w:rFonts w:ascii="Cambria" w:hAnsi="Cambria"/>
          <w:sz w:val="20"/>
          <w:szCs w:val="20"/>
          <w:lang w:val="es-AR"/>
        </w:rPr>
        <w:t>cuatro</w:t>
      </w:r>
      <w:r>
        <w:rPr>
          <w:rFonts w:ascii="Cambria" w:hAnsi="Cambria"/>
          <w:sz w:val="20"/>
          <w:szCs w:val="20"/>
          <w:lang w:val="es-AR"/>
        </w:rPr>
        <w:t xml:space="preserve"> años después de ello. En consecuencia, a juicio de Costa Rica, resulta claro que no se cumple el requisito de plazo previsto en el artículo 46.1.b) de la Convención. </w:t>
      </w:r>
    </w:p>
    <w:p w14:paraId="11459105" w14:textId="27C05182" w:rsidR="000869F7" w:rsidRPr="00DF5CFB" w:rsidRDefault="000869F7" w:rsidP="002B6ED0">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
          <w:bCs/>
          <w:sz w:val="20"/>
          <w:szCs w:val="20"/>
          <w:lang w:val="es-ES_tradnl"/>
        </w:rPr>
      </w:pPr>
      <w:r>
        <w:rPr>
          <w:rFonts w:ascii="Cambria" w:hAnsi="Cambria"/>
          <w:sz w:val="20"/>
          <w:szCs w:val="20"/>
          <w:lang w:val="es-AR"/>
        </w:rPr>
        <w:t xml:space="preserve">Adicionalmente, </w:t>
      </w:r>
      <w:r w:rsidR="00545FB2">
        <w:rPr>
          <w:rFonts w:ascii="Cambria" w:hAnsi="Cambria"/>
          <w:sz w:val="20"/>
          <w:szCs w:val="20"/>
          <w:lang w:val="es-AR"/>
        </w:rPr>
        <w:t xml:space="preserve">arguye que la parte peticionaria no agotó los recursos de la jurisdicción interna. Destaca </w:t>
      </w:r>
      <w:r w:rsidR="00244286">
        <w:rPr>
          <w:rFonts w:ascii="Cambria" w:hAnsi="Cambria"/>
          <w:sz w:val="20"/>
          <w:szCs w:val="20"/>
          <w:lang w:val="es-AR"/>
        </w:rPr>
        <w:t>que</w:t>
      </w:r>
      <w:r w:rsidR="00AA4AD8">
        <w:rPr>
          <w:rFonts w:ascii="Cambria" w:hAnsi="Cambria"/>
          <w:sz w:val="20"/>
          <w:szCs w:val="20"/>
          <w:lang w:val="es-AR"/>
        </w:rPr>
        <w:t xml:space="preserve"> </w:t>
      </w:r>
      <w:r w:rsidR="0094185A">
        <w:rPr>
          <w:rFonts w:ascii="Cambria" w:hAnsi="Cambria"/>
          <w:sz w:val="20"/>
          <w:szCs w:val="20"/>
          <w:lang w:val="es-AR"/>
        </w:rPr>
        <w:t>en caso</w:t>
      </w:r>
      <w:r w:rsidR="00AA4AD8">
        <w:rPr>
          <w:rFonts w:ascii="Cambria" w:hAnsi="Cambria"/>
          <w:sz w:val="20"/>
          <w:szCs w:val="20"/>
          <w:lang w:val="es-AR"/>
        </w:rPr>
        <w:t xml:space="preserve"> la presunta víctima </w:t>
      </w:r>
      <w:r w:rsidR="00B764C3">
        <w:rPr>
          <w:rFonts w:ascii="Cambria" w:hAnsi="Cambria"/>
          <w:sz w:val="20"/>
          <w:szCs w:val="20"/>
          <w:lang w:val="es-AR"/>
        </w:rPr>
        <w:t>hubiese considerado</w:t>
      </w:r>
      <w:r w:rsidR="0094185A">
        <w:rPr>
          <w:rFonts w:ascii="Cambria" w:hAnsi="Cambria"/>
          <w:sz w:val="20"/>
          <w:szCs w:val="20"/>
          <w:lang w:val="es-AR"/>
        </w:rPr>
        <w:t xml:space="preserve"> que su integridad física se enc</w:t>
      </w:r>
      <w:r w:rsidR="00B764C3">
        <w:rPr>
          <w:rFonts w:ascii="Cambria" w:hAnsi="Cambria"/>
          <w:sz w:val="20"/>
          <w:szCs w:val="20"/>
          <w:lang w:val="es-AR"/>
        </w:rPr>
        <w:t>ontraba</w:t>
      </w:r>
      <w:r w:rsidR="0094185A">
        <w:rPr>
          <w:rFonts w:ascii="Cambria" w:hAnsi="Cambria"/>
          <w:sz w:val="20"/>
          <w:szCs w:val="20"/>
          <w:lang w:val="es-AR"/>
        </w:rPr>
        <w:t xml:space="preserve"> en riesgo y que el Estado no est</w:t>
      </w:r>
      <w:r w:rsidR="00B764C3">
        <w:rPr>
          <w:rFonts w:ascii="Cambria" w:hAnsi="Cambria"/>
          <w:sz w:val="20"/>
          <w:szCs w:val="20"/>
          <w:lang w:val="es-AR"/>
        </w:rPr>
        <w:t>aba</w:t>
      </w:r>
      <w:r w:rsidR="00AA4AD8">
        <w:rPr>
          <w:rFonts w:ascii="Cambria" w:hAnsi="Cambria"/>
          <w:sz w:val="20"/>
          <w:szCs w:val="20"/>
          <w:lang w:val="es-AR"/>
        </w:rPr>
        <w:t xml:space="preserve"> atendiendo </w:t>
      </w:r>
      <w:r w:rsidR="00244286">
        <w:rPr>
          <w:rFonts w:ascii="Cambria" w:hAnsi="Cambria"/>
          <w:sz w:val="20"/>
          <w:szCs w:val="20"/>
          <w:lang w:val="es-AR"/>
        </w:rPr>
        <w:t xml:space="preserve">tal situación, debió haber acudido a la jurisdicción constitucional y presentar un recurso de amparo o, también, </w:t>
      </w:r>
      <w:r w:rsidR="00F54050">
        <w:rPr>
          <w:rFonts w:ascii="Cambria" w:hAnsi="Cambria"/>
          <w:sz w:val="20"/>
          <w:szCs w:val="20"/>
          <w:lang w:val="es-AR"/>
        </w:rPr>
        <w:t xml:space="preserve">un incidente de queja. Sin embargo, refiere que </w:t>
      </w:r>
      <w:r w:rsidR="00B764C3">
        <w:rPr>
          <w:rFonts w:ascii="Cambria" w:hAnsi="Cambria"/>
          <w:sz w:val="20"/>
          <w:szCs w:val="20"/>
          <w:lang w:val="es-AR"/>
        </w:rPr>
        <w:t>el señor Vargas González</w:t>
      </w:r>
      <w:r w:rsidR="00F54050">
        <w:rPr>
          <w:rFonts w:ascii="Cambria" w:hAnsi="Cambria"/>
          <w:sz w:val="20"/>
          <w:szCs w:val="20"/>
          <w:lang w:val="es-AR"/>
        </w:rPr>
        <w:t xml:space="preserve"> no empleó ninguna de tales vías, a pesar de que estas eran idóneas y efectivas para atender sus reclamos. En consecuencia, afirma que el presente asunto no cumple el requisito previsto en el artículo 46.1.a) de la Convención. </w:t>
      </w:r>
    </w:p>
    <w:p w14:paraId="7767C543" w14:textId="70AC7F21" w:rsidR="002B6ED0" w:rsidRPr="001C7D5F" w:rsidRDefault="000869F7" w:rsidP="00DD26B2">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Cambria" w:hAnsi="Cambria"/>
          <w:sz w:val="20"/>
          <w:szCs w:val="20"/>
          <w:lang w:val="es-AR"/>
        </w:rPr>
      </w:pPr>
      <w:r w:rsidRPr="00424C59">
        <w:rPr>
          <w:rFonts w:asciiTheme="majorHAnsi" w:hAnsiTheme="majorHAnsi"/>
          <w:bCs/>
          <w:sz w:val="20"/>
          <w:szCs w:val="20"/>
          <w:lang w:val="es-ES_tradnl"/>
        </w:rPr>
        <w:t>Por último, Costa Rica plantea que los hechos alegados no caracterizan una violación de derechos humanos que le sea atribuible. Por el contrario, arguye que la parte peticionaria pretende que la Comisión actúe como una cuarta instancia judicial y revise las valoraciones de hecho y de derecho efectuadas por los jueces y tribunales internos que actuaron en la esfera de su competencia</w:t>
      </w:r>
      <w:r>
        <w:rPr>
          <w:rFonts w:asciiTheme="majorHAnsi" w:hAnsiTheme="majorHAnsi"/>
          <w:bCs/>
          <w:sz w:val="20"/>
          <w:szCs w:val="20"/>
          <w:lang w:val="es-ES_tradnl"/>
        </w:rPr>
        <w:t>, sin</w:t>
      </w:r>
      <w:r>
        <w:rPr>
          <w:rFonts w:ascii="Cambria" w:hAnsi="Cambria"/>
          <w:sz w:val="20"/>
          <w:szCs w:val="20"/>
          <w:lang w:val="es-AR"/>
        </w:rPr>
        <w:t xml:space="preserve"> </w:t>
      </w:r>
      <w:r w:rsidRPr="00DB0C88">
        <w:rPr>
          <w:rFonts w:asciiTheme="majorHAnsi" w:hAnsiTheme="majorHAnsi"/>
          <w:bCs/>
          <w:sz w:val="20"/>
          <w:szCs w:val="20"/>
          <w:lang w:val="es-ES_tradnl"/>
        </w:rPr>
        <w:t xml:space="preserve">demostrar que estos hayan vulnerado algún derecho reconocido en la Convención. En particular, destaca que el peticionario solo manifiesta su disconformidad con </w:t>
      </w:r>
      <w:r>
        <w:rPr>
          <w:rFonts w:asciiTheme="majorHAnsi" w:hAnsiTheme="majorHAnsi"/>
          <w:bCs/>
          <w:sz w:val="20"/>
          <w:szCs w:val="20"/>
          <w:lang w:val="es-ES_tradnl"/>
        </w:rPr>
        <w:t>las decisiones internas, a pesar de que la vía de casación dio una respuesta integral a todos sus cuestionamientos.</w:t>
      </w:r>
    </w:p>
    <w:p w14:paraId="24961352" w14:textId="2C6FEDDB" w:rsidR="001C7D5F" w:rsidRDefault="001C7D5F" w:rsidP="001C7D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Cs/>
          <w:sz w:val="20"/>
          <w:szCs w:val="20"/>
          <w:lang w:val="es-ES_tradnl"/>
        </w:rPr>
      </w:pPr>
    </w:p>
    <w:p w14:paraId="5D04C5D2" w14:textId="77777777" w:rsidR="001C7D5F" w:rsidRDefault="001C7D5F" w:rsidP="001C7D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Cambria" w:hAnsi="Cambria"/>
          <w:sz w:val="20"/>
          <w:szCs w:val="20"/>
          <w:lang w:val="es-AR"/>
        </w:rPr>
      </w:pPr>
    </w:p>
    <w:p w14:paraId="3CDBB522" w14:textId="51F75D96" w:rsidR="007705D7" w:rsidRPr="007705D7" w:rsidRDefault="007705D7" w:rsidP="00E15B6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ind w:left="720"/>
        <w:jc w:val="both"/>
        <w:rPr>
          <w:rFonts w:asciiTheme="majorHAnsi" w:hAnsiTheme="majorHAnsi"/>
          <w:b/>
          <w:bCs/>
          <w:sz w:val="20"/>
          <w:szCs w:val="20"/>
          <w:lang w:val="es-ES_tradnl"/>
        </w:rPr>
      </w:pPr>
      <w:r w:rsidRPr="007705D7">
        <w:rPr>
          <w:rFonts w:asciiTheme="majorHAnsi" w:hAnsiTheme="majorHAnsi"/>
          <w:b/>
          <w:bCs/>
          <w:sz w:val="20"/>
          <w:szCs w:val="20"/>
          <w:lang w:val="es-ES"/>
        </w:rPr>
        <w:lastRenderedPageBreak/>
        <w:t>VI.</w:t>
      </w:r>
      <w:r w:rsidRPr="007705D7">
        <w:rPr>
          <w:rFonts w:asciiTheme="majorHAnsi" w:hAnsiTheme="majorHAnsi"/>
          <w:b/>
          <w:bCs/>
          <w:sz w:val="20"/>
          <w:szCs w:val="20"/>
          <w:lang w:val="es-ES"/>
        </w:rPr>
        <w:tab/>
      </w:r>
      <w:r w:rsidRPr="007705D7">
        <w:rPr>
          <w:rFonts w:asciiTheme="majorHAnsi" w:hAnsiTheme="majorHAnsi"/>
          <w:b/>
          <w:bCs/>
          <w:sz w:val="20"/>
          <w:szCs w:val="20"/>
          <w:lang w:val="es-ES_tradnl"/>
        </w:rPr>
        <w:t>CONSIDERACIONES PREVIAS</w:t>
      </w:r>
    </w:p>
    <w:p w14:paraId="4A12D7E1" w14:textId="487D75ED"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bCs/>
          <w:sz w:val="20"/>
          <w:szCs w:val="20"/>
          <w:lang w:val="es-ES_tradnl"/>
        </w:rPr>
      </w:pPr>
      <w:r w:rsidRPr="00FF1B07">
        <w:rPr>
          <w:rFonts w:asciiTheme="majorHAnsi" w:hAnsiTheme="majorHAnsi"/>
          <w:bCs/>
          <w:sz w:val="20"/>
          <w:szCs w:val="20"/>
          <w:lang w:val="es-ES_tradnl"/>
        </w:rPr>
        <w:t xml:space="preserve">La Comisión observa que el objeto principal de la presente petición se centra en cuestionar la afectación al derecho a recurrir el fallo, contemplado en el artículo 8.2.h) de la Convención Americana. En razón a ello, dado que se han emitido distintas decisiones dentro del sistema interamericano sobre esta temática, en función de las modificaciones implementadas en la legislación procesal penal costarricense, la CIDH estima necesario realizar un recuento de estos pronunciamientos a efectos de identificar estándares que permitan resolver adecuadamente la presente petición. </w:t>
      </w:r>
    </w:p>
    <w:p w14:paraId="4FF09DE4"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 xml:space="preserve">Así, la CIDH recuerda que en la sentencia del caso </w:t>
      </w:r>
      <w:r w:rsidRPr="00FF1B07">
        <w:rPr>
          <w:rFonts w:asciiTheme="majorHAnsi" w:hAnsiTheme="majorHAnsi"/>
          <w:bCs/>
          <w:i/>
          <w:iCs/>
          <w:sz w:val="20"/>
          <w:szCs w:val="20"/>
          <w:lang w:val="es-ES_tradnl"/>
        </w:rPr>
        <w:t xml:space="preserve">Herrera Ulloa vs. Costa Rica </w:t>
      </w:r>
      <w:r w:rsidRPr="00FF1B07">
        <w:rPr>
          <w:rFonts w:asciiTheme="majorHAnsi" w:hAnsiTheme="majorHAnsi"/>
          <w:bCs/>
          <w:sz w:val="20"/>
          <w:szCs w:val="20"/>
          <w:lang w:val="es-ES_tradnl"/>
        </w:rPr>
        <w:t>del 2 de julio de 2004, la Corte Interamericana de Derechos Humanos</w:t>
      </w:r>
      <w:r w:rsidRPr="00FF1B07">
        <w:rPr>
          <w:rStyle w:val="FootnoteReference"/>
          <w:rFonts w:asciiTheme="majorHAnsi" w:hAnsiTheme="majorHAnsi"/>
          <w:bCs/>
          <w:sz w:val="20"/>
          <w:szCs w:val="20"/>
        </w:rPr>
        <w:footnoteReference w:id="4"/>
      </w:r>
      <w:r w:rsidRPr="00FF1B07">
        <w:rPr>
          <w:rFonts w:asciiTheme="majorHAnsi" w:hAnsiTheme="majorHAnsi"/>
          <w:bCs/>
          <w:sz w:val="20"/>
          <w:szCs w:val="20"/>
          <w:lang w:val="es-ES_tradnl"/>
        </w:rPr>
        <w:t xml:space="preserve"> examinó la regulación establecida en el Código Procesal Penal vigente desde 1998; y concluyó que no contaba con “</w:t>
      </w:r>
      <w:r w:rsidRPr="00FF1B07">
        <w:rPr>
          <w:rFonts w:asciiTheme="majorHAnsi" w:hAnsiTheme="majorHAnsi"/>
          <w:bCs/>
          <w:i/>
          <w:iCs/>
          <w:sz w:val="20"/>
          <w:szCs w:val="20"/>
          <w:lang w:val="es-ES_tradnl"/>
        </w:rPr>
        <w:t xml:space="preserve">un recurso que </w:t>
      </w:r>
      <w:r w:rsidRPr="00FF1B07">
        <w:rPr>
          <w:rFonts w:asciiTheme="majorHAnsi" w:hAnsiTheme="majorHAnsi"/>
          <w:i/>
          <w:iCs/>
          <w:sz w:val="20"/>
          <w:szCs w:val="20"/>
          <w:lang w:val="es-ES_tradnl"/>
        </w:rPr>
        <w:t>permitiera que el tribunal superior realizara un análisis o examen comprensivo e integral de todas las cuestiones debatidas y analizadas por el tribunal inferior</w:t>
      </w:r>
      <w:r w:rsidRPr="00FF1B07">
        <w:rPr>
          <w:rFonts w:asciiTheme="majorHAnsi" w:hAnsiTheme="majorHAnsi"/>
          <w:sz w:val="20"/>
          <w:szCs w:val="20"/>
          <w:lang w:val="es-ES_tradnl"/>
        </w:rPr>
        <w:t>”, dada las limitaciones que tenía la regulación del recurso de casación en el ámbito penal</w:t>
      </w:r>
      <w:r w:rsidRPr="00FF1B07">
        <w:rPr>
          <w:rStyle w:val="FootnoteReference"/>
          <w:rFonts w:asciiTheme="majorHAnsi" w:hAnsiTheme="majorHAnsi"/>
          <w:sz w:val="20"/>
          <w:szCs w:val="20"/>
        </w:rPr>
        <w:footnoteReference w:id="5"/>
      </w:r>
      <w:r w:rsidRPr="00FF1B07">
        <w:rPr>
          <w:rFonts w:asciiTheme="majorHAnsi" w:hAnsiTheme="majorHAnsi"/>
          <w:sz w:val="20"/>
          <w:szCs w:val="20"/>
          <w:lang w:val="es-ES_tradnl"/>
        </w:rPr>
        <w:t>. En consecuencia, la Corte IDH declaró que el Estado costarricense violó el artículo 8.2.h) de la Convención en relación con sus artículos 1.1 y 2 en perjuicio del señor Mauricio Herrera Ulloa, al no haber garantizado su derecho a recurrir el fallo; y ordenó a Costa Rica “</w:t>
      </w:r>
      <w:r w:rsidRPr="00FF1B07">
        <w:rPr>
          <w:rFonts w:asciiTheme="majorHAnsi" w:hAnsiTheme="majorHAnsi"/>
          <w:i/>
          <w:iCs/>
          <w:sz w:val="20"/>
          <w:szCs w:val="20"/>
          <w:lang w:val="es-ES_tradnl"/>
        </w:rPr>
        <w:t>adecuar su ordenamiento jurídico interno a lo establecido en el artículo 8.2.h de la Convención Americana, en relación con el artículo 2 de la misma</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6"/>
      </w:r>
      <w:r w:rsidRPr="00FF1B07">
        <w:rPr>
          <w:rFonts w:asciiTheme="majorHAnsi" w:hAnsiTheme="majorHAnsi"/>
          <w:sz w:val="20"/>
          <w:szCs w:val="20"/>
          <w:lang w:val="es-ES_tradnl"/>
        </w:rPr>
        <w:t>.</w:t>
      </w:r>
    </w:p>
    <w:p w14:paraId="5CE614C9" w14:textId="21B3044C" w:rsidR="00CD17F6" w:rsidRPr="00A44DB9"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FF1B07">
        <w:rPr>
          <w:rFonts w:asciiTheme="majorHAnsi" w:hAnsiTheme="majorHAnsi"/>
          <w:bCs/>
          <w:sz w:val="20"/>
          <w:szCs w:val="20"/>
          <w:lang w:val="es-ES_tradnl"/>
        </w:rPr>
        <w:t>Como consecuencia de esta sentencia, Costa Rica reformó la regulación de su sistema procesal penal a efectos de contar con una regulación acorde con las obligaciones contempladas en el artículo 8.2.h) de la Convención Americana. Así, el 6 de</w:t>
      </w:r>
      <w:r w:rsidRPr="00FF1B07">
        <w:rPr>
          <w:rFonts w:asciiTheme="majorHAnsi" w:hAnsiTheme="majorHAnsi"/>
          <w:sz w:val="20"/>
          <w:szCs w:val="20"/>
          <w:lang w:val="es-ES_tradnl"/>
        </w:rPr>
        <w:t xml:space="preserve"> junio de 2006 entró en vigor la Ley No. 8503, denominada “Ley de Apertura de la Casación Penal”, la cual modificó y adicionó distintos artículos del Código Procesal Penal relacionados con los recursos de casación y revisión. Asimismo, tal legislación estableció en su Transitorio I, un procedimiento de revisión especial para “</w:t>
      </w:r>
      <w:r w:rsidRPr="00FF1B07">
        <w:rPr>
          <w:rFonts w:asciiTheme="majorHAnsi" w:hAnsiTheme="majorHAnsi"/>
          <w:i/>
          <w:iCs/>
          <w:sz w:val="20"/>
          <w:szCs w:val="20"/>
          <w:lang w:val="es-ES_tradnl"/>
        </w:rPr>
        <w:t>las personas condenadas por un hecho delictivo con fecha anterior a esta Ley, a quienes se les haya obstaculizado formular recurso de casación contra la sentencia, en razón de las reglas que regulaban su admisibilidad en aquella fecha […] invocando, en ca</w:t>
      </w:r>
      <w:r w:rsidRPr="00A44DB9">
        <w:rPr>
          <w:rFonts w:asciiTheme="majorHAnsi" w:hAnsiTheme="majorHAnsi"/>
          <w:i/>
          <w:iCs/>
          <w:sz w:val="20"/>
          <w:szCs w:val="20"/>
          <w:lang w:val="es-ES_tradnl"/>
        </w:rPr>
        <w:t>da caso, el agravio y los aspectos de hecho y de derecho que no fueron posibles de conocer en casación</w:t>
      </w:r>
      <w:r w:rsidRPr="00A44DB9">
        <w:rPr>
          <w:rFonts w:asciiTheme="majorHAnsi" w:hAnsiTheme="majorHAnsi"/>
          <w:sz w:val="20"/>
          <w:szCs w:val="20"/>
          <w:lang w:val="es-ES_tradnl"/>
        </w:rPr>
        <w:t>”. En virtud de ello, la Corte Interamericana consideró que “</w:t>
      </w:r>
      <w:r w:rsidRPr="00A44DB9">
        <w:rPr>
          <w:rFonts w:asciiTheme="majorHAnsi" w:hAnsiTheme="majorHAnsi"/>
          <w:i/>
          <w:iCs/>
          <w:sz w:val="20"/>
          <w:szCs w:val="20"/>
          <w:lang w:val="es-ES_tradnl"/>
        </w:rPr>
        <w:t>a través de la causal de revisión creada por el Transitorio I, una persona condenada penalmente podría, en principio, obtener una revisión integral de su sentencia que incluya tanto cuestiones de hecho como de derecho</w:t>
      </w:r>
      <w:r w:rsidRPr="00A44DB9">
        <w:rPr>
          <w:rFonts w:asciiTheme="majorHAnsi" w:hAnsiTheme="majorHAnsi"/>
          <w:sz w:val="20"/>
          <w:szCs w:val="20"/>
          <w:lang w:val="es-ES_tradnl"/>
        </w:rPr>
        <w:t>”</w:t>
      </w:r>
      <w:r w:rsidRPr="00A44DB9">
        <w:rPr>
          <w:rStyle w:val="FootnoteReference"/>
          <w:rFonts w:asciiTheme="majorHAnsi" w:hAnsiTheme="majorHAnsi"/>
          <w:sz w:val="20"/>
          <w:szCs w:val="20"/>
        </w:rPr>
        <w:footnoteReference w:id="7"/>
      </w:r>
      <w:r w:rsidRPr="00A44DB9">
        <w:rPr>
          <w:rFonts w:asciiTheme="majorHAnsi" w:hAnsiTheme="majorHAnsi"/>
          <w:sz w:val="20"/>
          <w:szCs w:val="20"/>
          <w:lang w:val="es-ES_tradnl"/>
        </w:rPr>
        <w:t>.</w:t>
      </w:r>
    </w:p>
    <w:p w14:paraId="01B83E83" w14:textId="5B053F44" w:rsidR="00CD17F6" w:rsidRPr="00A44DB9"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_tradnl"/>
        </w:rPr>
      </w:pPr>
      <w:r w:rsidRPr="00A44DB9">
        <w:rPr>
          <w:rFonts w:asciiTheme="majorHAnsi" w:hAnsiTheme="majorHAnsi"/>
          <w:sz w:val="20"/>
          <w:szCs w:val="20"/>
          <w:lang w:val="es-ES_tradnl"/>
        </w:rPr>
        <w:t>Asimismo</w:t>
      </w:r>
      <w:r w:rsidR="007C1952">
        <w:rPr>
          <w:rFonts w:asciiTheme="majorHAnsi" w:hAnsiTheme="majorHAnsi"/>
          <w:sz w:val="20"/>
          <w:szCs w:val="20"/>
          <w:lang w:val="es-ES_tradnl"/>
        </w:rPr>
        <w:t>,</w:t>
      </w:r>
      <w:r w:rsidRPr="00A44DB9">
        <w:rPr>
          <w:rFonts w:asciiTheme="majorHAnsi" w:hAnsiTheme="majorHAnsi"/>
          <w:sz w:val="20"/>
          <w:szCs w:val="20"/>
          <w:lang w:val="es-ES_tradnl"/>
        </w:rPr>
        <w:t xml:space="preserve"> </w:t>
      </w:r>
      <w:r w:rsidR="007C1952" w:rsidRPr="00FF1B07">
        <w:rPr>
          <w:rFonts w:asciiTheme="majorHAnsi" w:hAnsiTheme="majorHAnsi"/>
          <w:sz w:val="20"/>
          <w:szCs w:val="20"/>
          <w:lang w:val="es-ES_tradnl"/>
        </w:rPr>
        <w:t>y en lo relevante para el presente caso</w:t>
      </w:r>
      <w:r w:rsidR="007C1952">
        <w:rPr>
          <w:rFonts w:asciiTheme="majorHAnsi" w:hAnsiTheme="majorHAnsi"/>
          <w:sz w:val="20"/>
          <w:szCs w:val="20"/>
          <w:lang w:val="es-ES_tradnl"/>
        </w:rPr>
        <w:t xml:space="preserve">, </w:t>
      </w:r>
      <w:r w:rsidRPr="00A44DB9">
        <w:rPr>
          <w:rFonts w:asciiTheme="majorHAnsi" w:hAnsiTheme="majorHAnsi"/>
          <w:sz w:val="20"/>
          <w:szCs w:val="20"/>
          <w:lang w:val="es-ES_tradnl"/>
        </w:rPr>
        <w:t xml:space="preserve">la citada ley incorporó </w:t>
      </w:r>
      <w:r w:rsidRPr="00A44DB9">
        <w:rPr>
          <w:rFonts w:asciiTheme="majorHAnsi" w:hAnsiTheme="majorHAnsi"/>
          <w:sz w:val="20"/>
          <w:szCs w:val="20"/>
          <w:lang w:val="es-ES"/>
        </w:rPr>
        <w:t xml:space="preserve">diversas modificaciones al régimen legal del recurso de casación contenido en el Código Procesal Penal. En primer término, se adicionó a la nómina de vicios de la sentencia que justifican la casación del art. 396 una nueva causal consistente en que “la sentencia no haya sido dictada mediante el debido proceso o con oportunidad de defensa”. En segundo lugar, y con respecto a la amplitud del examen del tribunal de casación, la ley 8503 incorporó el artículo 449 bis al Código Procesal Penal, el cual reza: </w:t>
      </w:r>
    </w:p>
    <w:p w14:paraId="1442D2C0" w14:textId="77777777" w:rsidR="00CD17F6" w:rsidRPr="00263E66" w:rsidRDefault="00CD17F6" w:rsidP="00CD17F6">
      <w:pPr>
        <w:pStyle w:val="NormalWeb"/>
        <w:spacing w:before="0" w:beforeAutospacing="0" w:after="0" w:afterAutospacing="0"/>
        <w:ind w:left="709" w:right="798"/>
        <w:jc w:val="both"/>
        <w:rPr>
          <w:rFonts w:asciiTheme="majorHAnsi" w:hAnsiTheme="majorHAnsi" w:cs="Calibri"/>
          <w:sz w:val="18"/>
          <w:szCs w:val="18"/>
          <w:lang w:val="es-ES"/>
        </w:rPr>
      </w:pPr>
      <w:r w:rsidRPr="00263E66">
        <w:rPr>
          <w:rFonts w:asciiTheme="majorHAnsi" w:hAnsiTheme="majorHAnsi" w:cs="Calibri"/>
          <w:sz w:val="18"/>
          <w:szCs w:val="18"/>
          <w:lang w:val="es-ES"/>
        </w:rPr>
        <w:t xml:space="preserve">El Tribunal de Casación apreciará la procedencia de los reclamos invocados en el recurso y sus fundamentos, examinando las actuaciones y los registros de la audiencia, de modo que pueda valorar la forma en que los jueces de juicio apreciaron la prueba y fundamentaron su decisión. De no tener registros suficientes para realizar esa apreciación, podrá reproducir en casación la prueba oral del juicio que, en su criterio, sea necesaria para examinar la procedencia del reclamo, y la valorará en relación con el resto de las actuaciones. </w:t>
      </w:r>
    </w:p>
    <w:p w14:paraId="629BDB34" w14:textId="77777777" w:rsidR="00CD17F6" w:rsidRPr="00A44DB9" w:rsidRDefault="00CD17F6" w:rsidP="00CD17F6">
      <w:pPr>
        <w:pStyle w:val="NormalWeb"/>
        <w:spacing w:before="0" w:beforeAutospacing="0" w:after="0" w:afterAutospacing="0"/>
        <w:ind w:left="709" w:right="798"/>
        <w:jc w:val="both"/>
        <w:rPr>
          <w:rFonts w:asciiTheme="majorHAnsi" w:hAnsiTheme="majorHAnsi"/>
          <w:sz w:val="20"/>
          <w:szCs w:val="20"/>
          <w:lang w:val="es-ES"/>
        </w:rPr>
      </w:pPr>
    </w:p>
    <w:p w14:paraId="1035475D" w14:textId="77777777" w:rsidR="00CD17F6" w:rsidRPr="00263E66" w:rsidRDefault="00CD17F6" w:rsidP="00CD17F6">
      <w:pPr>
        <w:pStyle w:val="NormalWeb"/>
        <w:spacing w:before="0" w:beforeAutospacing="0" w:after="0" w:afterAutospacing="0"/>
        <w:ind w:left="709" w:right="798"/>
        <w:jc w:val="both"/>
        <w:rPr>
          <w:rFonts w:asciiTheme="majorHAnsi" w:hAnsiTheme="majorHAnsi" w:cs="Calibri"/>
          <w:sz w:val="18"/>
          <w:szCs w:val="18"/>
          <w:lang w:val="es-ES"/>
        </w:rPr>
      </w:pPr>
      <w:r w:rsidRPr="00263E66">
        <w:rPr>
          <w:rFonts w:asciiTheme="majorHAnsi" w:hAnsiTheme="majorHAnsi" w:cs="Calibri"/>
          <w:sz w:val="18"/>
          <w:szCs w:val="18"/>
          <w:lang w:val="es-ES"/>
        </w:rPr>
        <w:t>De igual manera, podrá valorar en forma directa la prueba que se haya introducido por escrito al juicio.</w:t>
      </w:r>
    </w:p>
    <w:p w14:paraId="66FF7CB8"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bCs/>
          <w:sz w:val="20"/>
          <w:szCs w:val="20"/>
          <w:lang w:val="es-ES_tradnl"/>
        </w:rPr>
        <w:lastRenderedPageBreak/>
        <w:t>Adicionalmente, tanto la Comisión como la Corte IDH también constataron que e</w:t>
      </w:r>
      <w:r w:rsidRPr="00FF1B07">
        <w:rPr>
          <w:rFonts w:asciiTheme="majorHAnsi" w:hAnsiTheme="majorHAnsi"/>
          <w:sz w:val="20"/>
          <w:szCs w:val="20"/>
          <w:lang w:val="es-ES_tradnl"/>
        </w:rPr>
        <w:t>l 9 de junio de 2010 se publicó la Ley No. 8837, denominada “Creación del recurso de apelación de la sentencia, otras reformas al régimen de impugnación e implementación de nuevas reglas de oralidad en el proceso penal”, vigente a partir del 9 de diciembre de 2011; la cual creó y reguló el recurso de apelación. Además, el Transitorio III de dicha norma reguló dos supuestos adicionales: i) para las personas cuyas sentencias estaban firmes para el momento de entrada en vigencia de la ley, se estableció que pueden interponer, por única vez, un procedimiento de revisión en los primeros seis meses; y ii) para las personas cuyos recursos de casación se encontraban pendientes de resolución al momento de la entrada en vigencia de la ley, se estableció que podían solicitar la conversión del recurso de casación ya presentado a uno de apelación conforme a la nueva norma.</w:t>
      </w:r>
    </w:p>
    <w:p w14:paraId="7260990D"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 xml:space="preserve">Como consecuencia de las citadas modificaciones, en la sentencia del caso </w:t>
      </w:r>
      <w:r w:rsidRPr="00FF1B07">
        <w:rPr>
          <w:rFonts w:asciiTheme="majorHAnsi" w:hAnsiTheme="majorHAnsi"/>
          <w:i/>
          <w:iCs/>
          <w:sz w:val="20"/>
          <w:szCs w:val="20"/>
          <w:lang w:val="es-ES_tradnl"/>
        </w:rPr>
        <w:t>Amrhein y otros vs. Costa Rica</w:t>
      </w:r>
      <w:r w:rsidRPr="00FF1B07">
        <w:rPr>
          <w:rFonts w:asciiTheme="majorHAnsi" w:hAnsiTheme="majorHAnsi"/>
          <w:sz w:val="20"/>
          <w:szCs w:val="20"/>
          <w:lang w:val="es-ES_tradnl"/>
        </w:rPr>
        <w:t xml:space="preserve"> del 25 de abril de 2018, la Corte Interamericana evaluó nuevamente la regulación procesal penal costarricense; y amplió sus criterios jurídicos tanto respecto al agotamiento de la jurisdicción interna, como al análisis de fondo de casos sobre la misma temática. </w:t>
      </w:r>
    </w:p>
    <w:p w14:paraId="7EDC6B60"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En relación con el primer punto, la Comisión destaca que, en el citado caso, la Corte IDH consideró que las presuntas víctimas debieron haber interpuesto el recurso de revisión especial con base en el Transitorio I de la Ley 8503 de 2006 durante el trámite de admisibilidad de la petición, pues estaba destinado específicamente a personas con condenas ya en firme; y por ello, “</w:t>
      </w:r>
      <w:r w:rsidRPr="00FF1B07">
        <w:rPr>
          <w:rFonts w:asciiTheme="majorHAnsi" w:hAnsiTheme="majorHAnsi"/>
          <w:i/>
          <w:iCs/>
          <w:sz w:val="20"/>
          <w:szCs w:val="20"/>
          <w:lang w:val="es-ES_tradnl"/>
        </w:rPr>
        <w:t>el hecho de que se trataría de un recurso extraordinario no puede ser determinante, per se, para concluir su inefectividad”</w:t>
      </w:r>
      <w:r w:rsidRPr="00FF1B07">
        <w:rPr>
          <w:rStyle w:val="FootnoteReference"/>
          <w:rFonts w:asciiTheme="majorHAnsi" w:hAnsiTheme="majorHAnsi"/>
          <w:i/>
          <w:iCs/>
          <w:sz w:val="20"/>
          <w:szCs w:val="20"/>
        </w:rPr>
        <w:footnoteReference w:id="8"/>
      </w:r>
      <w:r w:rsidRPr="00FF1B07">
        <w:rPr>
          <w:rFonts w:asciiTheme="majorHAnsi" w:hAnsiTheme="majorHAnsi"/>
          <w:i/>
          <w:iCs/>
          <w:sz w:val="20"/>
          <w:szCs w:val="20"/>
          <w:lang w:val="es-ES_tradnl"/>
        </w:rPr>
        <w:t xml:space="preserve">. </w:t>
      </w:r>
      <w:r w:rsidRPr="00FF1B07">
        <w:rPr>
          <w:rFonts w:asciiTheme="majorHAnsi" w:hAnsiTheme="majorHAnsi"/>
          <w:sz w:val="20"/>
          <w:szCs w:val="20"/>
          <w:lang w:val="es-ES_tradnl"/>
        </w:rPr>
        <w:t xml:space="preserve">En consecuencia, siguiendo la citada jurisprudencia, la Comisión considera que a efectos de determinar la admisibilidad de un asunto sobre esta temática debe determinar si la citada vía recursiva estuvo a disposición de las presuntas víctimas tras la emisión de su condena, y de ser este el supuesto, verificar si agotaron o no tal recurso. </w:t>
      </w:r>
    </w:p>
    <w:p w14:paraId="69103231"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Finalmente, a efectos del análisis de caracterización de las peticiones, la Comisión nota que la Corte Interamericana concluyó en la citada sentencia que no correspondía “</w:t>
      </w:r>
      <w:r w:rsidRPr="00FF1B07">
        <w:rPr>
          <w:rFonts w:asciiTheme="majorHAnsi" w:hAnsiTheme="majorHAnsi"/>
          <w:i/>
          <w:iCs/>
          <w:sz w:val="20"/>
          <w:szCs w:val="20"/>
          <w:lang w:val="es-ES_tradnl"/>
        </w:rPr>
        <w:t>declarar una violación al artículo 2 de la Convención Americana por la forma en que está regulado el sistema recursivo costarricense, ni por la forma en que dicho Estado atendió la situación de personas cuyas sentencias ya estaban en firme con anterioridad a la vigencia de las Leyes 8503 y 8837, ya que, a través de dichas reformas, subsanó las deficiencias en la aplicación de las normas recursivas</w:t>
      </w:r>
      <w:r w:rsidRPr="00FF1B07">
        <w:rPr>
          <w:rFonts w:asciiTheme="majorHAnsi" w:hAnsiTheme="majorHAnsi"/>
          <w:sz w:val="20"/>
          <w:szCs w:val="20"/>
          <w:lang w:val="es-ES_tradnl"/>
        </w:rPr>
        <w:t xml:space="preserve"> […]”</w:t>
      </w:r>
      <w:r w:rsidRPr="00FF1B07">
        <w:rPr>
          <w:rStyle w:val="FootnoteReference"/>
          <w:rFonts w:asciiTheme="majorHAnsi" w:hAnsiTheme="majorHAnsi"/>
          <w:sz w:val="20"/>
          <w:szCs w:val="20"/>
        </w:rPr>
        <w:footnoteReference w:id="9"/>
      </w:r>
      <w:r w:rsidRPr="00FF1B07">
        <w:rPr>
          <w:rFonts w:asciiTheme="majorHAnsi" w:hAnsiTheme="majorHAnsi"/>
          <w:sz w:val="20"/>
          <w:szCs w:val="20"/>
          <w:lang w:val="es-ES_tradnl"/>
        </w:rPr>
        <w:t xml:space="preserve">. Asimismo, recuerda que en la resolución de supervisión de cumplimiento del 22 de noviembre de 2010 del caso </w:t>
      </w:r>
      <w:r w:rsidRPr="00FF1B07">
        <w:rPr>
          <w:rFonts w:asciiTheme="majorHAnsi" w:hAnsiTheme="majorHAnsi"/>
          <w:i/>
          <w:iCs/>
          <w:sz w:val="20"/>
          <w:szCs w:val="20"/>
          <w:lang w:val="es-ES_tradnl"/>
        </w:rPr>
        <w:t xml:space="preserve">Herrera Ulloa vs. Costa Rica, </w:t>
      </w:r>
      <w:r w:rsidRPr="00FF1B07">
        <w:rPr>
          <w:rFonts w:asciiTheme="majorHAnsi" w:hAnsiTheme="majorHAnsi"/>
          <w:sz w:val="20"/>
          <w:szCs w:val="20"/>
          <w:lang w:val="es-ES_tradnl"/>
        </w:rPr>
        <w:t>el Tribunal valoró positivamente las reformas introducidas en la legislación procesal penal; y en virtud de tales modificaciones concluyó que “</w:t>
      </w:r>
      <w:r w:rsidRPr="00FF1B07">
        <w:rPr>
          <w:rFonts w:asciiTheme="majorHAnsi" w:hAnsiTheme="majorHAnsi"/>
          <w:i/>
          <w:iCs/>
          <w:sz w:val="20"/>
          <w:szCs w:val="20"/>
          <w:lang w:val="es-ES_tradnl"/>
        </w:rPr>
        <w:t>al garantizar la posibilidad de un amplio control de la sentencia emitida por un tribunal de juicio en materia penal a nivel interno</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0"/>
      </w:r>
      <w:r w:rsidRPr="00FF1B07">
        <w:rPr>
          <w:rFonts w:asciiTheme="majorHAnsi" w:hAnsiTheme="majorHAnsi"/>
          <w:sz w:val="20"/>
          <w:szCs w:val="20"/>
          <w:lang w:val="es-ES_tradnl"/>
        </w:rPr>
        <w:t xml:space="preserve">, Costa Rica había cumplido con adecuar su legislación interna. </w:t>
      </w:r>
    </w:p>
    <w:p w14:paraId="2D62666E" w14:textId="77777777" w:rsidR="00CD17F6" w:rsidRPr="00FF1B07"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240" w:after="240"/>
        <w:jc w:val="both"/>
        <w:rPr>
          <w:rFonts w:asciiTheme="majorHAnsi" w:hAnsiTheme="majorHAnsi"/>
          <w:sz w:val="20"/>
          <w:szCs w:val="20"/>
          <w:lang w:val="es-ES_tradnl"/>
        </w:rPr>
      </w:pPr>
      <w:r w:rsidRPr="00FF1B07">
        <w:rPr>
          <w:rFonts w:asciiTheme="majorHAnsi" w:hAnsiTheme="majorHAnsi"/>
          <w:sz w:val="20"/>
          <w:szCs w:val="20"/>
          <w:lang w:val="es-ES_tradnl"/>
        </w:rPr>
        <w:t>Sin perjuicio de ello, la Comisión destaca que las citadas normas</w:t>
      </w:r>
      <w:r w:rsidRPr="00FF1B07">
        <w:rPr>
          <w:rFonts w:asciiTheme="majorHAnsi" w:hAnsiTheme="majorHAnsi" w:cs="Calibri"/>
          <w:sz w:val="20"/>
          <w:szCs w:val="20"/>
          <w:lang w:val="es-ES_tradnl"/>
        </w:rPr>
        <w:t xml:space="preserve"> reconocieron a aquellas personas cuyas sentencias condenatorias ya habían adquirido calidad de cosa juzgada la posibilidad de interponer un procedimiento de revisión, aunque supeditado al cumplimiento de ciertos requisitos. En el caso de la ley 8503, la Comisión destaca que se exigía que el recurrente invoque en su presentación “</w:t>
      </w:r>
      <w:r w:rsidRPr="00FF1B07">
        <w:rPr>
          <w:rFonts w:asciiTheme="majorHAnsi" w:hAnsiTheme="majorHAnsi" w:cs="Calibri"/>
          <w:i/>
          <w:iCs/>
          <w:sz w:val="20"/>
          <w:szCs w:val="20"/>
          <w:lang w:val="es-ES_tradnl"/>
        </w:rPr>
        <w:t>el agravio y los aspectos de hecho y derecho que no fueron posibles de conocer en casación</w:t>
      </w:r>
      <w:r w:rsidRPr="00FF1B07">
        <w:rPr>
          <w:rFonts w:asciiTheme="majorHAnsi" w:hAnsiTheme="majorHAnsi" w:cs="Calibri"/>
          <w:sz w:val="20"/>
          <w:szCs w:val="20"/>
          <w:lang w:val="es-ES_tradnl"/>
        </w:rPr>
        <w:t>”. Por su parte, el Transitorio III de la ley 8837 demandaba para la procedencia del procedimiento de revisión que el condenado “</w:t>
      </w:r>
      <w:r w:rsidRPr="00FF1B07">
        <w:rPr>
          <w:rFonts w:asciiTheme="majorHAnsi" w:hAnsiTheme="majorHAnsi" w:cs="Calibri"/>
          <w:i/>
          <w:iCs/>
          <w:sz w:val="20"/>
          <w:szCs w:val="20"/>
          <w:lang w:val="es-ES_tradnl"/>
        </w:rPr>
        <w:t>haya alegado con anterioridad la vulneración del artículo 8.2.h de la Convención</w:t>
      </w:r>
      <w:r w:rsidRPr="00FF1B07">
        <w:rPr>
          <w:rFonts w:asciiTheme="majorHAnsi" w:hAnsiTheme="majorHAnsi" w:cs="Calibri"/>
          <w:sz w:val="20"/>
          <w:szCs w:val="20"/>
          <w:lang w:val="es-ES_tradnl"/>
        </w:rPr>
        <w:t xml:space="preserve">”.   </w:t>
      </w:r>
    </w:p>
    <w:p w14:paraId="330061A1" w14:textId="77777777" w:rsidR="00CD17F6" w:rsidRPr="00FF1B07"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cs="Calibri"/>
          <w:sz w:val="20"/>
          <w:szCs w:val="20"/>
          <w:lang w:val="es-ES_tradnl"/>
        </w:rPr>
        <w:t>En tal sentido, la Comisión reafirma que la manera en que se encontraba regulado el procedimiento de revisión establecido por el Transitorio I de la ley 8503 podía generar limitaciones en términos de la accesibilidad del recurso, y, en consecuencia, no garantiza en sí mismo el derecho a la revisión integral del fallo condenatorio a todos aquellos que fueron condenados durante la vigencia del texto originario del Código Procesal Penal</w:t>
      </w:r>
      <w:r w:rsidRPr="00FF1B07">
        <w:rPr>
          <w:rStyle w:val="FootnoteReference"/>
          <w:rFonts w:asciiTheme="majorHAnsi" w:hAnsiTheme="majorHAnsi" w:cs="Calibri"/>
          <w:sz w:val="20"/>
          <w:szCs w:val="20"/>
        </w:rPr>
        <w:footnoteReference w:id="11"/>
      </w:r>
      <w:r w:rsidRPr="00FF1B07">
        <w:rPr>
          <w:rFonts w:asciiTheme="majorHAnsi" w:hAnsiTheme="majorHAnsi" w:cs="Calibri"/>
          <w:sz w:val="20"/>
          <w:szCs w:val="20"/>
          <w:lang w:val="es-ES_tradnl"/>
        </w:rPr>
        <w:t xml:space="preserve">. Idéntica conclusión cabe realizar respecto del recurso de revisión consagrado en </w:t>
      </w:r>
      <w:r w:rsidRPr="00FF1B07">
        <w:rPr>
          <w:rFonts w:asciiTheme="majorHAnsi" w:hAnsiTheme="majorHAnsi" w:cs="Calibri"/>
          <w:sz w:val="20"/>
          <w:szCs w:val="20"/>
          <w:lang w:val="es-ES_tradnl"/>
        </w:rPr>
        <w:lastRenderedPageBreak/>
        <w:t xml:space="preserve">el Transitorio III de la ley 8837, toda vez que la norma incluía la exigencia de haber alegado previamente la vulneración del derecho al recurso como un requisito de procedibilidad del recurso de revisión. </w:t>
      </w:r>
    </w:p>
    <w:p w14:paraId="30AE24E5" w14:textId="77777777" w:rsidR="00CD17F6" w:rsidRPr="00FF1B07"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23CA4301" w14:textId="77777777" w:rsidR="00CD17F6" w:rsidRPr="00FF1B07"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No obstante, la Comisión reconoce, en primer término, que la Sala Constitucional de la Corte Suprema de Justicia de Costa Rica se refirió en reiterados pronunciamientos a la necesidad de “</w:t>
      </w:r>
      <w:r w:rsidRPr="00FF1B07">
        <w:rPr>
          <w:rFonts w:asciiTheme="majorHAnsi" w:hAnsiTheme="majorHAnsi"/>
          <w:i/>
          <w:iCs/>
          <w:sz w:val="20"/>
          <w:szCs w:val="20"/>
          <w:lang w:val="es-ES_tradnl"/>
        </w:rPr>
        <w:t>asegurar el derecho al recurso, excluyendo formalismos que impidieran la revisión de las sentencias de condena, a fin de satisfacer lo dispuesto por el artículo 8.2.h de la Convención</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2"/>
      </w:r>
      <w:r w:rsidRPr="00FF1B07">
        <w:rPr>
          <w:rFonts w:asciiTheme="majorHAnsi" w:hAnsiTheme="majorHAnsi"/>
          <w:sz w:val="20"/>
          <w:szCs w:val="20"/>
          <w:lang w:val="es-ES_tradnl"/>
        </w:rPr>
        <w:t>.</w:t>
      </w:r>
    </w:p>
    <w:p w14:paraId="217940BA" w14:textId="77777777" w:rsidR="00CD17F6" w:rsidRPr="00FF1B07"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3B4DE5C" w14:textId="77777777" w:rsidR="00CD17F6" w:rsidRPr="00FF1B07"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 xml:space="preserve">Asimismo, la CIDH considera que, a pesar de los obstáculos a la procedencia del recurso incorporados en la redacción del Transitorio I de la ley 8503, el recurso de revisión allí reconocido significó una oportunidad adicional al recurso de casación para que una persona condenada pudiera obtener una revisión integral de su sentencia. Dicha revisión integral dependía, en esencia, de la forma en que los jueces de los tribunales de alzada interpretaban las normas procesales vigentes a la luz de la jurisprudencia de la Sala Constitucional de la Corte Suprema de Justicia de Costa Rica, del artículo 8.2.h de la Convención Americana y de lo decidido por la Corte IDH en el caso </w:t>
      </w:r>
      <w:r w:rsidRPr="00FF1B07">
        <w:rPr>
          <w:rFonts w:asciiTheme="majorHAnsi" w:hAnsiTheme="majorHAnsi"/>
          <w:i/>
          <w:iCs/>
          <w:sz w:val="20"/>
          <w:szCs w:val="20"/>
          <w:lang w:val="es-ES_tradnl"/>
        </w:rPr>
        <w:t>Herrera Ulloa</w:t>
      </w:r>
      <w:r w:rsidRPr="00FF1B07">
        <w:rPr>
          <w:rFonts w:asciiTheme="majorHAnsi" w:hAnsiTheme="majorHAnsi"/>
          <w:sz w:val="20"/>
          <w:szCs w:val="20"/>
          <w:lang w:val="es-ES_tradnl"/>
        </w:rPr>
        <w:t xml:space="preserve">. </w:t>
      </w:r>
    </w:p>
    <w:p w14:paraId="0CC35182" w14:textId="77777777" w:rsidR="00CD17F6" w:rsidRPr="00FF1B07"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3C1A92C9" w14:textId="77777777" w:rsidR="00CD17F6" w:rsidRPr="00FF1B07" w:rsidRDefault="00CD17F6" w:rsidP="00CD17F6">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r w:rsidRPr="00FF1B07">
        <w:rPr>
          <w:rFonts w:asciiTheme="majorHAnsi" w:hAnsiTheme="majorHAnsi"/>
          <w:sz w:val="20"/>
          <w:szCs w:val="20"/>
          <w:lang w:val="es-ES_tradnl"/>
        </w:rPr>
        <w:t>En particular, y en línea con lo decidido por la Corte, la Comisión observa que, teniendo en cuenta que tales modificaciones legislativas al sistema recursivo costarricense fueron adoptadas como resultado de los pronunciamientos de los órganos del Sistema Interamericano de derechos humanos, resulta razonable como causal de admisibilidad del recurso que los interesados deban invocar los posibles errores que hubiera podido cometer el juez o tribunal de la instancia inferior.</w:t>
      </w:r>
    </w:p>
    <w:p w14:paraId="627E0973" w14:textId="77777777" w:rsidR="00CD17F6" w:rsidRPr="00FF1B07" w:rsidRDefault="00CD17F6" w:rsidP="00CD17F6">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Theme="majorHAnsi" w:hAnsiTheme="majorHAnsi"/>
          <w:sz w:val="20"/>
          <w:szCs w:val="20"/>
          <w:lang w:val="es-ES_tradnl"/>
        </w:rPr>
      </w:pPr>
    </w:p>
    <w:p w14:paraId="401CE00D" w14:textId="744DC604" w:rsidR="00D96818" w:rsidRPr="00CD17F6" w:rsidRDefault="00CD17F6" w:rsidP="00CD17F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AR"/>
        </w:rPr>
      </w:pPr>
      <w:r w:rsidRPr="00FF1B07">
        <w:rPr>
          <w:rFonts w:asciiTheme="majorHAnsi" w:hAnsiTheme="majorHAnsi"/>
          <w:sz w:val="20"/>
          <w:szCs w:val="20"/>
          <w:lang w:val="es-ES_tradnl"/>
        </w:rPr>
        <w:t>En consecuencia, teniendo en cuenta las especificidades existentes respecto de este tema en el sistema costarricense, como resultado de las sentencias dictadas por el Sistema Interamericano, y concretamente con lo señalado por la Corte IDH en el caso “Amrhein”, la Comisión considera que no resulta apropiado realizar una evaluación en abstracto de cada uno de los recursos disponibles en la legislación procesal penal, sino que se debe efectuar “</w:t>
      </w:r>
      <w:r w:rsidRPr="00FF1B07">
        <w:rPr>
          <w:rFonts w:asciiTheme="majorHAnsi" w:hAnsiTheme="majorHAnsi"/>
          <w:i/>
          <w:iCs/>
          <w:sz w:val="20"/>
          <w:szCs w:val="20"/>
          <w:lang w:val="es-ES_tradnl"/>
        </w:rPr>
        <w:t>un análisis, caso por caso, de los recursos efectivamente interpuestos por las presuntas víctimas a fin de determinar si la forma en que éstos fueron resueltos en el sistema recursivo costarricense, tomando en cuenta sus reformas, respetaron el derecho de aquellas a una revisión integral de sus sentencias condenatorias</w:t>
      </w:r>
      <w:r w:rsidRPr="00FF1B07">
        <w:rPr>
          <w:rFonts w:asciiTheme="majorHAnsi" w:hAnsiTheme="majorHAnsi"/>
          <w:sz w:val="20"/>
          <w:szCs w:val="20"/>
          <w:lang w:val="es-ES_tradnl"/>
        </w:rPr>
        <w:t>”</w:t>
      </w:r>
      <w:r w:rsidRPr="00FF1B07">
        <w:rPr>
          <w:rStyle w:val="FootnoteReference"/>
          <w:rFonts w:asciiTheme="majorHAnsi" w:hAnsiTheme="majorHAnsi"/>
          <w:sz w:val="20"/>
          <w:szCs w:val="20"/>
        </w:rPr>
        <w:footnoteReference w:id="13"/>
      </w:r>
      <w:r w:rsidRPr="00FF1B07">
        <w:rPr>
          <w:rFonts w:asciiTheme="majorHAnsi" w:hAnsiTheme="majorHAnsi"/>
          <w:sz w:val="20"/>
          <w:szCs w:val="20"/>
          <w:lang w:val="es-ES_tradnl"/>
        </w:rPr>
        <w:t xml:space="preserve">. Lo que en principio requiere de un análisis de fondo por parte de la CIDH, salvo que de la información de las partes se observe que los hechos planteados por el peticionario no caractericen </w:t>
      </w:r>
      <w:r w:rsidRPr="00FF1B07">
        <w:rPr>
          <w:rFonts w:asciiTheme="majorHAnsi" w:hAnsiTheme="majorHAnsi"/>
          <w:i/>
          <w:iCs/>
          <w:sz w:val="20"/>
          <w:szCs w:val="20"/>
          <w:lang w:val="es-ES_tradnl"/>
        </w:rPr>
        <w:t>prima facie</w:t>
      </w:r>
      <w:r w:rsidRPr="00FF1B07">
        <w:rPr>
          <w:rFonts w:asciiTheme="majorHAnsi" w:hAnsiTheme="majorHAnsi"/>
          <w:sz w:val="20"/>
          <w:szCs w:val="20"/>
          <w:lang w:val="es-ES_tradnl"/>
        </w:rPr>
        <w:t xml:space="preserve"> violaciones a la Convención Americana, en los términos de su artículo 47.</w:t>
      </w:r>
    </w:p>
    <w:p w14:paraId="6F4D4171" w14:textId="3C426640" w:rsidR="003239B8" w:rsidRPr="00E64C3D" w:rsidRDefault="00D96818" w:rsidP="003239B8">
      <w:pPr>
        <w:spacing w:before="240" w:after="240"/>
        <w:ind w:firstLine="720"/>
        <w:jc w:val="both"/>
        <w:rPr>
          <w:rFonts w:ascii="Cambria" w:hAnsi="Cambria"/>
          <w:sz w:val="20"/>
          <w:szCs w:val="20"/>
          <w:lang w:val="es-UY"/>
        </w:rPr>
      </w:pPr>
      <w:r>
        <w:rPr>
          <w:rFonts w:asciiTheme="majorHAnsi" w:eastAsia="Cambria" w:hAnsiTheme="majorHAnsi" w:cs="Cambria"/>
          <w:b/>
          <w:bCs/>
          <w:color w:val="000000"/>
          <w:sz w:val="20"/>
          <w:szCs w:val="20"/>
          <w:u w:color="000000"/>
          <w:lang w:val="es-ES" w:eastAsia="es-ES"/>
        </w:rPr>
        <w:t>VI</w:t>
      </w:r>
      <w:r w:rsidR="00DD26B2">
        <w:rPr>
          <w:rFonts w:asciiTheme="majorHAnsi" w:eastAsia="Cambria" w:hAnsiTheme="majorHAnsi" w:cs="Cambria"/>
          <w:b/>
          <w:bCs/>
          <w:color w:val="000000"/>
          <w:sz w:val="20"/>
          <w:szCs w:val="20"/>
          <w:u w:color="000000"/>
          <w:lang w:val="es-ES" w:eastAsia="es-ES"/>
        </w:rPr>
        <w:t>I</w:t>
      </w:r>
      <w:r>
        <w:rPr>
          <w:rFonts w:asciiTheme="majorHAnsi" w:eastAsia="Cambria" w:hAnsiTheme="majorHAnsi" w:cs="Cambria"/>
          <w:b/>
          <w:bCs/>
          <w:color w:val="000000"/>
          <w:sz w:val="20"/>
          <w:szCs w:val="20"/>
          <w:u w:color="000000"/>
          <w:lang w:val="es-ES" w:eastAsia="es-ES"/>
        </w:rPr>
        <w:t xml:space="preserve">. </w:t>
      </w:r>
      <w:r w:rsidR="00E6378C">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4130AD8B" w14:textId="33B203F6" w:rsidR="004B62AD" w:rsidRPr="004B62AD" w:rsidRDefault="00031C09" w:rsidP="004B62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US"/>
        </w:rPr>
      </w:pPr>
      <w:r>
        <w:rPr>
          <w:rFonts w:ascii="Cambria" w:hAnsi="Cambria"/>
          <w:sz w:val="20"/>
          <w:szCs w:val="20"/>
          <w:lang w:val="es-ES"/>
        </w:rPr>
        <w:t>L</w:t>
      </w:r>
      <w:r w:rsidRPr="00D83253">
        <w:rPr>
          <w:rFonts w:ascii="Cambria" w:hAnsi="Cambria"/>
          <w:sz w:val="20"/>
          <w:szCs w:val="20"/>
          <w:lang w:val="es-ES"/>
        </w:rPr>
        <w:t xml:space="preserve">a Comisión observa que </w:t>
      </w:r>
      <w:r w:rsidR="004B62AD">
        <w:rPr>
          <w:rFonts w:ascii="Cambria" w:hAnsi="Cambria"/>
          <w:sz w:val="20"/>
          <w:szCs w:val="20"/>
          <w:lang w:val="es-AR"/>
        </w:rPr>
        <w:t>el 16 de marzo de 2007 el Tribunal de Casación Penal</w:t>
      </w:r>
      <w:r w:rsidRPr="00D83253">
        <w:rPr>
          <w:rFonts w:ascii="Cambria" w:hAnsi="Cambria"/>
          <w:sz w:val="20"/>
          <w:szCs w:val="20"/>
          <w:lang w:val="es-AR"/>
        </w:rPr>
        <w:t xml:space="preserve"> rechazó el recurso de casación presentado por la presunta víctima contra su sentencia condenatoria de primera instancia. Tras ello, </w:t>
      </w:r>
      <w:r>
        <w:rPr>
          <w:rFonts w:ascii="Cambria" w:hAnsi="Cambria"/>
          <w:sz w:val="20"/>
          <w:szCs w:val="20"/>
          <w:lang w:val="es-AR"/>
        </w:rPr>
        <w:t xml:space="preserve">la Comisión destaca que </w:t>
      </w:r>
      <w:r w:rsidRPr="00D83253">
        <w:rPr>
          <w:rFonts w:ascii="Cambria" w:hAnsi="Cambria"/>
          <w:sz w:val="20"/>
          <w:szCs w:val="20"/>
          <w:lang w:val="es-AR"/>
        </w:rPr>
        <w:t xml:space="preserve">el señor </w:t>
      </w:r>
      <w:r w:rsidR="004B62AD">
        <w:rPr>
          <w:rFonts w:ascii="Cambria" w:hAnsi="Cambria"/>
          <w:sz w:val="20"/>
          <w:szCs w:val="20"/>
          <w:lang w:val="es-AR"/>
        </w:rPr>
        <w:t>Vargas González</w:t>
      </w:r>
      <w:r w:rsidRPr="00D83253">
        <w:rPr>
          <w:rFonts w:ascii="Cambria" w:hAnsi="Cambria"/>
          <w:sz w:val="20"/>
          <w:szCs w:val="20"/>
          <w:lang w:val="es-AR"/>
        </w:rPr>
        <w:t xml:space="preserve"> </w:t>
      </w:r>
      <w:r>
        <w:rPr>
          <w:rFonts w:ascii="Cambria" w:hAnsi="Cambria"/>
          <w:sz w:val="20"/>
          <w:szCs w:val="20"/>
          <w:lang w:val="es-AR"/>
        </w:rPr>
        <w:t>presentó</w:t>
      </w:r>
      <w:r w:rsidR="004B62AD">
        <w:rPr>
          <w:rFonts w:ascii="Cambria" w:hAnsi="Cambria"/>
          <w:sz w:val="20"/>
          <w:szCs w:val="20"/>
          <w:lang w:val="es-AR"/>
        </w:rPr>
        <w:t xml:space="preserve"> tanto un procedimiento de revisión, como una acción de amparo, </w:t>
      </w:r>
      <w:r>
        <w:rPr>
          <w:rFonts w:ascii="Cambria" w:hAnsi="Cambria"/>
          <w:sz w:val="20"/>
          <w:szCs w:val="20"/>
          <w:lang w:val="es-AR"/>
        </w:rPr>
        <w:t>cuestionando aspectos relacionados con su derecho a recurrir el fallo condenatori</w:t>
      </w:r>
      <w:r w:rsidR="004B62AD">
        <w:rPr>
          <w:rFonts w:ascii="Cambria" w:hAnsi="Cambria"/>
          <w:sz w:val="20"/>
          <w:szCs w:val="20"/>
          <w:lang w:val="es-AR"/>
        </w:rPr>
        <w:t xml:space="preserve">o, pero tanto el Tribunal de Casación Penal del Tercer Circuito Judicial de Alajuela como la Sala Tercera de la Corte Suprema rechazaron estas acciones el 30 de noviembre de 2007 y </w:t>
      </w:r>
      <w:r w:rsidR="004B62AD" w:rsidRPr="004B62AD">
        <w:rPr>
          <w:rFonts w:ascii="Cambria" w:hAnsi="Cambria"/>
          <w:sz w:val="20"/>
          <w:szCs w:val="20"/>
          <w:lang w:val="es-AR"/>
        </w:rPr>
        <w:t>el 8 de marzo de 2011</w:t>
      </w:r>
      <w:r w:rsidR="004B62AD">
        <w:rPr>
          <w:rFonts w:ascii="Cambria" w:hAnsi="Cambria"/>
          <w:sz w:val="20"/>
          <w:szCs w:val="20"/>
          <w:lang w:val="es-AR"/>
        </w:rPr>
        <w:t xml:space="preserve">, respectivamente. </w:t>
      </w:r>
    </w:p>
    <w:p w14:paraId="3D39C709" w14:textId="2A62E30D" w:rsidR="00031C09" w:rsidRPr="00031C09" w:rsidRDefault="00031C09" w:rsidP="009771AA">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sidRPr="00CA3AEC">
        <w:rPr>
          <w:rFonts w:ascii="Cambria" w:hAnsi="Cambria"/>
          <w:sz w:val="20"/>
          <w:szCs w:val="20"/>
          <w:lang w:val="es-ES_tradnl"/>
        </w:rPr>
        <w:t xml:space="preserve">En consecuencia, </w:t>
      </w:r>
      <w:r w:rsidR="009771AA">
        <w:rPr>
          <w:rFonts w:ascii="Cambria" w:hAnsi="Cambria"/>
          <w:sz w:val="20"/>
          <w:szCs w:val="20"/>
          <w:lang w:val="es-ES_tradnl"/>
        </w:rPr>
        <w:t>toda vez que Costa Rica no cuestiona el agotamiento de los recursos internos respecto a este extremo de la petición, la Comisión considera que las autoridades internas tuvieron</w:t>
      </w:r>
      <w:r w:rsidRPr="00CA3AEC">
        <w:rPr>
          <w:rFonts w:ascii="Cambria" w:hAnsi="Cambria"/>
          <w:sz w:val="20"/>
          <w:szCs w:val="20"/>
          <w:lang w:val="es-ES_tradnl"/>
        </w:rPr>
        <w:t xml:space="preserve"> la oportunidad de solven</w:t>
      </w:r>
      <w:r w:rsidRPr="004E5DA7">
        <w:rPr>
          <w:rFonts w:ascii="Cambria" w:hAnsi="Cambria"/>
          <w:sz w:val="20"/>
          <w:szCs w:val="20"/>
          <w:lang w:val="es-ES_tradnl"/>
        </w:rPr>
        <w:t>tar la situación denunciada mediante sus mecanismos internos y, por ende, se cumple el requisito previsto en el artículo 46.1.a) de la Convención Americana. Asimismo, dado que la resolución de</w:t>
      </w:r>
      <w:r>
        <w:rPr>
          <w:rFonts w:ascii="Cambria" w:hAnsi="Cambria"/>
          <w:sz w:val="20"/>
          <w:szCs w:val="20"/>
          <w:lang w:val="es-ES_tradnl"/>
        </w:rPr>
        <w:t xml:space="preserve">l </w:t>
      </w:r>
      <w:r w:rsidRPr="004E5DA7">
        <w:rPr>
          <w:rFonts w:ascii="Cambria" w:hAnsi="Cambria"/>
          <w:sz w:val="20"/>
          <w:szCs w:val="20"/>
          <w:lang w:val="es-ES_tradnl"/>
        </w:rPr>
        <w:t xml:space="preserve">recurso de </w:t>
      </w:r>
      <w:r>
        <w:rPr>
          <w:rFonts w:ascii="Cambria" w:hAnsi="Cambria"/>
          <w:sz w:val="20"/>
          <w:szCs w:val="20"/>
          <w:lang w:val="es-ES_tradnl"/>
        </w:rPr>
        <w:t>amparo</w:t>
      </w:r>
      <w:r w:rsidRPr="004E5DA7">
        <w:rPr>
          <w:rFonts w:ascii="Cambria" w:hAnsi="Cambria"/>
          <w:sz w:val="20"/>
          <w:szCs w:val="20"/>
          <w:lang w:val="es-ES_tradnl"/>
        </w:rPr>
        <w:t xml:space="preserve"> se produjo cuando el presente asunto se encontraba bajo estudio de admisibilidad, la Comisión concluye que también se cumple el requisito de plazo previsto en el artículo 46.1.b) de la Convención.</w:t>
      </w:r>
    </w:p>
    <w:p w14:paraId="16CC0E4A" w14:textId="0D53A4EA" w:rsidR="00031C09" w:rsidRPr="00C27964" w:rsidRDefault="00031C09" w:rsidP="00031C09">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sz w:val="20"/>
          <w:szCs w:val="20"/>
          <w:lang w:val="es-ES"/>
        </w:rPr>
      </w:pPr>
      <w:r>
        <w:rPr>
          <w:rFonts w:ascii="Cambria" w:hAnsi="Cambria"/>
          <w:sz w:val="20"/>
          <w:szCs w:val="20"/>
          <w:lang w:val="es-ES"/>
        </w:rPr>
        <w:t xml:space="preserve">Finalmente, en relación con los alegatos referidos a un presunto riesgo a </w:t>
      </w:r>
      <w:r w:rsidR="00F14F2E">
        <w:rPr>
          <w:rFonts w:ascii="Cambria" w:hAnsi="Cambria"/>
          <w:sz w:val="20"/>
          <w:szCs w:val="20"/>
          <w:lang w:val="es-ES"/>
        </w:rPr>
        <w:t>la</w:t>
      </w:r>
      <w:r>
        <w:rPr>
          <w:rFonts w:ascii="Cambria" w:hAnsi="Cambria"/>
          <w:sz w:val="20"/>
          <w:szCs w:val="20"/>
          <w:lang w:val="es-ES"/>
        </w:rPr>
        <w:t xml:space="preserve"> integridad personal</w:t>
      </w:r>
      <w:r w:rsidR="00F14F2E">
        <w:rPr>
          <w:rFonts w:ascii="Cambria" w:hAnsi="Cambria"/>
          <w:sz w:val="20"/>
          <w:szCs w:val="20"/>
          <w:lang w:val="es-ES"/>
        </w:rPr>
        <w:t xml:space="preserve"> del señor Vargas González</w:t>
      </w:r>
      <w:r>
        <w:rPr>
          <w:rFonts w:ascii="Cambria" w:hAnsi="Cambria"/>
          <w:sz w:val="20"/>
          <w:szCs w:val="20"/>
          <w:lang w:val="es-ES"/>
        </w:rPr>
        <w:t xml:space="preserve">, la Comisión nota que la parte peticionaria no informa </w:t>
      </w:r>
      <w:r w:rsidR="00F14F2E">
        <w:rPr>
          <w:rFonts w:ascii="Cambria" w:hAnsi="Cambria"/>
          <w:sz w:val="20"/>
          <w:szCs w:val="20"/>
          <w:lang w:val="es-ES"/>
        </w:rPr>
        <w:t>que la presunta víctima haya</w:t>
      </w:r>
      <w:r>
        <w:rPr>
          <w:rFonts w:ascii="Cambria" w:hAnsi="Cambria"/>
          <w:sz w:val="20"/>
          <w:szCs w:val="20"/>
          <w:lang w:val="es-ES"/>
        </w:rPr>
        <w:t xml:space="preserve"> </w:t>
      </w:r>
      <w:r>
        <w:rPr>
          <w:rFonts w:ascii="Cambria" w:hAnsi="Cambria"/>
          <w:sz w:val="20"/>
          <w:szCs w:val="20"/>
          <w:lang w:val="es-ES"/>
        </w:rPr>
        <w:lastRenderedPageBreak/>
        <w:t>utilizado alguna vía para cuestionar tal situación ni tampoco alega que aplique alguna excepción al requisito del previo agotamiento de la jurisdicción interna. Por ende, la Comisión considera que el presente extremo de la petición no cumple el requisito previsto en el artículo 46.1.a) de la Convención.</w:t>
      </w:r>
    </w:p>
    <w:p w14:paraId="4FFBE378" w14:textId="4370AB24" w:rsidR="003239B8" w:rsidRDefault="003239B8" w:rsidP="00DD26B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UY"/>
        </w:rPr>
      </w:pPr>
      <w:r w:rsidRPr="00E64C3D">
        <w:rPr>
          <w:rFonts w:asciiTheme="majorHAnsi" w:hAnsiTheme="majorHAnsi"/>
          <w:b/>
          <w:bCs/>
          <w:sz w:val="20"/>
          <w:szCs w:val="20"/>
          <w:lang w:val="es-ES"/>
        </w:rPr>
        <w:t>VI</w:t>
      </w:r>
      <w:r w:rsidR="00DD26B2">
        <w:rPr>
          <w:rFonts w:asciiTheme="majorHAnsi" w:hAnsiTheme="majorHAnsi"/>
          <w:b/>
          <w:bCs/>
          <w:sz w:val="20"/>
          <w:szCs w:val="20"/>
          <w:lang w:val="es-ES"/>
        </w:rPr>
        <w:t>I</w:t>
      </w:r>
      <w:r w:rsidRPr="00E64C3D">
        <w:rPr>
          <w:rFonts w:asciiTheme="majorHAnsi" w:hAnsiTheme="majorHAnsi"/>
          <w:b/>
          <w:bCs/>
          <w:sz w:val="20"/>
          <w:szCs w:val="20"/>
          <w:lang w:val="es-ES"/>
        </w:rPr>
        <w:t>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3744E2EE" w14:textId="77777777" w:rsidR="00B115D6" w:rsidRDefault="00B115D6" w:rsidP="00B115D6">
      <w:pPr>
        <w:pStyle w:val="ListParagraph"/>
        <w:numPr>
          <w:ilvl w:val="0"/>
          <w:numId w:val="103"/>
        </w:numPr>
        <w:jc w:val="both"/>
        <w:rPr>
          <w:sz w:val="20"/>
          <w:szCs w:val="20"/>
          <w:lang w:val="es-AR"/>
        </w:rPr>
      </w:pPr>
      <w:r>
        <w:rPr>
          <w:sz w:val="20"/>
          <w:szCs w:val="20"/>
          <w:lang w:val="es-ES"/>
        </w:rPr>
        <w:t>L</w:t>
      </w:r>
      <w:r w:rsidRPr="009C29A0">
        <w:rPr>
          <w:sz w:val="20"/>
          <w:szCs w:val="20"/>
          <w:lang w:val="es-AR"/>
        </w:rPr>
        <w:t>a Comisión recuerda que el derecho a recurrir el fallo ante un juez o tribunal distinto y de superior jerarquía es una de las garantías mínimas que tiene toda persona sometida a una investigación y proceso penal. Su finalidad es asegurar la revisión de una sentencia adversa de manera tal de que se tenga la posibilidad de corregir decisiones judiciales contrarias a derecho y evitar que una decisión injusta adquiera calidad de cosa juzgada</w:t>
      </w:r>
      <w:r w:rsidRPr="009C29A0">
        <w:rPr>
          <w:sz w:val="20"/>
          <w:szCs w:val="20"/>
          <w:vertAlign w:val="superscript"/>
          <w:lang w:val="es-AR"/>
        </w:rPr>
        <w:footnoteReference w:id="14"/>
      </w:r>
      <w:r w:rsidRPr="009C29A0">
        <w:rPr>
          <w:sz w:val="20"/>
          <w:szCs w:val="20"/>
          <w:lang w:val="es-AR"/>
        </w:rPr>
        <w:t>. En esa línea, la Comisión reitera que resulta irrelevante para el derecho internacional de los derechos humanos la denominación o el nombre con el que se designe el recurso disponible</w:t>
      </w:r>
      <w:r w:rsidRPr="009C29A0">
        <w:rPr>
          <w:sz w:val="20"/>
          <w:szCs w:val="20"/>
          <w:vertAlign w:val="superscript"/>
          <w:lang w:val="es-AR"/>
        </w:rPr>
        <w:footnoteReference w:id="15"/>
      </w:r>
      <w:r w:rsidRPr="009C29A0">
        <w:rPr>
          <w:sz w:val="20"/>
          <w:szCs w:val="20"/>
          <w:lang w:val="es-AR"/>
        </w:rPr>
        <w:t>. Lo importante es que el recurso contemplado en la normativa interna satisfaga una serie de estándares y, en tal sentido, cumpla con ser oportuno</w:t>
      </w:r>
      <w:r w:rsidRPr="009C29A0">
        <w:rPr>
          <w:rStyle w:val="FootnoteReference"/>
          <w:sz w:val="20"/>
          <w:szCs w:val="20"/>
          <w:lang w:val="es-AR"/>
        </w:rPr>
        <w:footnoteReference w:id="16"/>
      </w:r>
      <w:r w:rsidRPr="009C29A0">
        <w:rPr>
          <w:sz w:val="20"/>
          <w:szCs w:val="20"/>
          <w:lang w:val="es-AR"/>
        </w:rPr>
        <w:t>, accesible</w:t>
      </w:r>
      <w:r w:rsidRPr="009C29A0">
        <w:rPr>
          <w:rStyle w:val="FootnoteReference"/>
          <w:sz w:val="20"/>
          <w:szCs w:val="20"/>
          <w:lang w:val="es-AR"/>
        </w:rPr>
        <w:footnoteReference w:id="17"/>
      </w:r>
      <w:r w:rsidRPr="009C29A0">
        <w:rPr>
          <w:sz w:val="20"/>
          <w:szCs w:val="20"/>
          <w:lang w:val="es-AR"/>
        </w:rPr>
        <w:t>, eficaz</w:t>
      </w:r>
      <w:r w:rsidRPr="009C29A0">
        <w:rPr>
          <w:rStyle w:val="FootnoteReference"/>
          <w:sz w:val="20"/>
          <w:szCs w:val="20"/>
          <w:lang w:val="es-AR"/>
        </w:rPr>
        <w:footnoteReference w:id="18"/>
      </w:r>
      <w:r w:rsidRPr="009C29A0">
        <w:rPr>
          <w:sz w:val="20"/>
          <w:szCs w:val="20"/>
          <w:lang w:val="es-AR"/>
        </w:rPr>
        <w:t xml:space="preserve"> y, en particular, que permita la revisión i</w:t>
      </w:r>
      <w:r w:rsidRPr="0043155D">
        <w:rPr>
          <w:sz w:val="20"/>
          <w:szCs w:val="20"/>
          <w:lang w:val="es-AR"/>
        </w:rPr>
        <w:t>ntegral de la condena</w:t>
      </w:r>
      <w:r>
        <w:rPr>
          <w:rStyle w:val="FootnoteReference"/>
          <w:sz w:val="20"/>
          <w:szCs w:val="20"/>
          <w:lang w:val="es-AR"/>
        </w:rPr>
        <w:footnoteReference w:id="19"/>
      </w:r>
      <w:r>
        <w:rPr>
          <w:sz w:val="20"/>
          <w:szCs w:val="20"/>
          <w:lang w:val="es-AR"/>
        </w:rPr>
        <w:t>.</w:t>
      </w:r>
    </w:p>
    <w:p w14:paraId="68C286FF" w14:textId="77777777" w:rsidR="00B115D6" w:rsidRDefault="00B115D6" w:rsidP="00B115D6">
      <w:pPr>
        <w:pStyle w:val="ListParagraph"/>
        <w:jc w:val="both"/>
        <w:rPr>
          <w:sz w:val="20"/>
          <w:szCs w:val="20"/>
          <w:lang w:val="es-AR"/>
        </w:rPr>
      </w:pPr>
    </w:p>
    <w:p w14:paraId="09C1C9DE" w14:textId="77777777" w:rsidR="00B115D6" w:rsidRPr="004931E2" w:rsidRDefault="00B115D6" w:rsidP="00B115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contextualSpacing/>
        <w:jc w:val="both"/>
        <w:rPr>
          <w:rFonts w:ascii="Cambria" w:eastAsia="Cambria" w:hAnsi="Cambria" w:cs="Cambria"/>
          <w:color w:val="000000"/>
          <w:sz w:val="20"/>
          <w:szCs w:val="20"/>
          <w:u w:color="000000"/>
          <w:lang w:val="es-ES" w:eastAsia="es-ES"/>
        </w:rPr>
      </w:pPr>
      <w:r w:rsidRPr="004931E2">
        <w:rPr>
          <w:rFonts w:ascii="Cambria" w:eastAsia="Cambria" w:hAnsi="Cambria" w:cs="Cambria"/>
          <w:color w:val="000000"/>
          <w:sz w:val="20"/>
          <w:szCs w:val="20"/>
          <w:u w:color="000000"/>
          <w:lang w:val="es-ES" w:eastAsia="es-ES"/>
        </w:rPr>
        <w:t xml:space="preserve">En torno a este </w:t>
      </w:r>
      <w:r>
        <w:rPr>
          <w:rFonts w:ascii="Cambria" w:eastAsia="Cambria" w:hAnsi="Cambria" w:cs="Cambria"/>
          <w:color w:val="000000"/>
          <w:sz w:val="20"/>
          <w:szCs w:val="20"/>
          <w:u w:color="000000"/>
          <w:lang w:val="es-ES" w:eastAsia="es-ES"/>
        </w:rPr>
        <w:t xml:space="preserve">último </w:t>
      </w:r>
      <w:r w:rsidRPr="004931E2">
        <w:rPr>
          <w:rFonts w:ascii="Cambria" w:eastAsia="Cambria" w:hAnsi="Cambria" w:cs="Cambria"/>
          <w:color w:val="000000"/>
          <w:sz w:val="20"/>
          <w:szCs w:val="20"/>
          <w:u w:color="000000"/>
          <w:lang w:val="es-ES" w:eastAsia="es-ES"/>
        </w:rPr>
        <w:t xml:space="preserve">punto, la Comisión Interamericana indicó en el caso Abella respecto de Argentina: </w:t>
      </w:r>
    </w:p>
    <w:p w14:paraId="6A6A0C55" w14:textId="77777777" w:rsidR="00B115D6" w:rsidRPr="004931E2" w:rsidRDefault="00B115D6" w:rsidP="00B115D6">
      <w:pPr>
        <w:tabs>
          <w:tab w:val="left" w:pos="567"/>
        </w:tabs>
        <w:ind w:left="720"/>
        <w:jc w:val="both"/>
        <w:rPr>
          <w:rFonts w:ascii="Cambria" w:eastAsia="Cambria" w:hAnsi="Cambria" w:cs="Cambria"/>
          <w:color w:val="000000"/>
          <w:sz w:val="20"/>
          <w:szCs w:val="20"/>
          <w:u w:color="000000"/>
          <w:lang w:val="es-ES" w:eastAsia="es-ES"/>
        </w:rPr>
      </w:pPr>
    </w:p>
    <w:p w14:paraId="01680C0C" w14:textId="77777777" w:rsidR="00B115D6" w:rsidRPr="002433B3" w:rsidRDefault="00B115D6" w:rsidP="00B115D6">
      <w:pPr>
        <w:tabs>
          <w:tab w:val="left" w:pos="567"/>
        </w:tabs>
        <w:ind w:left="709" w:right="798"/>
        <w:jc w:val="both"/>
        <w:rPr>
          <w:rFonts w:ascii="Cambria" w:hAnsi="Cambria"/>
          <w:sz w:val="18"/>
          <w:szCs w:val="18"/>
          <w:lang w:val="es-ES"/>
        </w:rPr>
      </w:pPr>
      <w:r w:rsidRPr="002433B3">
        <w:rPr>
          <w:rFonts w:ascii="Cambria" w:hAnsi="Cambria"/>
          <w:sz w:val="18"/>
          <w:szCs w:val="18"/>
          <w:lang w:val="es-ES"/>
        </w:rPr>
        <w:t>[E]l artículo 8.2.h se refiere a las características mínimas de un recurso que controle la corrección del fallo tanto material como formal. En este sentido, desde un punto de vista formal, el derecho de recurrir el fallo ante un juez o tribunal superior, a que se refiere la Convención Americana, debe en primer lugar proceder [...] con la finalidad de examinar la aplicación indebida, la falta de aplicación o errónea interpretación, de normas de Derecho que determinen la parte resolutiva de la sentencia. La Comisión considera, además, que, para garantizar el pleno derecho de defensa, dicho recurso debe incluir una revisión material en relación a la interpretación de las normas procesales que hubieran influido en la decisión de la causa, cuando hayan producido nulidad insanable o provocado indefensión, así́ como la interpretación de las normas referentes a la valoración de las pruebas, siempre que hayan conducido a una equivocada aplicación o a la no aplicación de las mismas</w:t>
      </w:r>
      <w:r w:rsidRPr="002433B3">
        <w:rPr>
          <w:rFonts w:ascii="Cambria" w:hAnsi="Cambria"/>
          <w:sz w:val="18"/>
          <w:szCs w:val="18"/>
          <w:vertAlign w:val="superscript"/>
          <w:lang w:val="es-ES"/>
        </w:rPr>
        <w:footnoteReference w:id="20"/>
      </w:r>
      <w:r w:rsidRPr="002433B3">
        <w:rPr>
          <w:rFonts w:ascii="Cambria" w:hAnsi="Cambria"/>
          <w:sz w:val="18"/>
          <w:szCs w:val="18"/>
          <w:lang w:val="es-ES"/>
        </w:rPr>
        <w:t xml:space="preserve">. </w:t>
      </w:r>
    </w:p>
    <w:p w14:paraId="0FA2E2CF" w14:textId="77777777" w:rsidR="00B115D6" w:rsidRPr="004931E2" w:rsidRDefault="00B115D6" w:rsidP="00B115D6">
      <w:pPr>
        <w:tabs>
          <w:tab w:val="left" w:pos="567"/>
        </w:tabs>
        <w:ind w:right="798"/>
        <w:jc w:val="both"/>
        <w:rPr>
          <w:rFonts w:ascii="Cambria" w:hAnsi="Cambria"/>
          <w:sz w:val="20"/>
          <w:szCs w:val="20"/>
          <w:lang w:val="es-ES"/>
        </w:rPr>
      </w:pPr>
    </w:p>
    <w:p w14:paraId="76E3C663" w14:textId="77777777" w:rsidR="00B115D6" w:rsidRDefault="00B115D6" w:rsidP="00B115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contextualSpacing/>
        <w:jc w:val="both"/>
        <w:rPr>
          <w:rFonts w:ascii="Cambria" w:eastAsia="Cambria" w:hAnsi="Cambria" w:cs="Cambria"/>
          <w:color w:val="000000"/>
          <w:sz w:val="20"/>
          <w:szCs w:val="20"/>
          <w:u w:color="000000"/>
          <w:lang w:val="es-ES" w:eastAsia="es-ES"/>
        </w:rPr>
      </w:pPr>
      <w:r>
        <w:rPr>
          <w:rFonts w:ascii="Cambria" w:eastAsia="Cambria" w:hAnsi="Cambria" w:cs="Cambria"/>
          <w:color w:val="000000"/>
          <w:sz w:val="20"/>
          <w:szCs w:val="20"/>
          <w:u w:color="000000"/>
          <w:lang w:val="es-ES" w:eastAsia="es-ES"/>
        </w:rPr>
        <w:t>En esa línea, l</w:t>
      </w:r>
      <w:r w:rsidRPr="004931E2">
        <w:rPr>
          <w:rFonts w:ascii="Cambria" w:eastAsia="Cambria" w:hAnsi="Cambria" w:cs="Cambria"/>
          <w:color w:val="000000"/>
          <w:sz w:val="20"/>
          <w:szCs w:val="20"/>
          <w:u w:color="000000"/>
          <w:lang w:val="es-ES" w:eastAsia="es-ES"/>
        </w:rPr>
        <w:t>a CIDH ha destacado que, si bien el derecho a recurrir no implica necesariamente un nuevo juicio o una nueva audiencia, siempre que el tribunal que realiza la revisión no esté impedido de estudiar los hechos de la causa, resulta necesario a la luz del artículo 8.2.h de la Convención que exista la posibilidad de señalar y obtener respuesta sobre errores que hubiera podido cometer el juez o tribunal de la instancia inferior. Ello significa que no resulta posible excluir del ámbito del recurso ciertas categorías como las cuestiones de índole fácticas, la manera en que se incorporaron de las pruebas al proceso y la valoración que los magistrados de la instancia inferior hicieron de ellas. La forma y los medios a través de los cuales se realice la revisión dependerán de la naturaleza de las cuestiones en debate, así como de las particularidades del sistema procesal penal de los respectivos Estados</w:t>
      </w:r>
      <w:r w:rsidRPr="004931E2">
        <w:rPr>
          <w:rFonts w:ascii="Cambria" w:eastAsia="Cambria" w:hAnsi="Cambria" w:cs="Cambria"/>
          <w:color w:val="000000"/>
          <w:sz w:val="20"/>
          <w:szCs w:val="20"/>
          <w:u w:color="000000"/>
          <w:vertAlign w:val="superscript"/>
          <w:lang w:val="es-ES" w:eastAsia="es-ES"/>
        </w:rPr>
        <w:footnoteReference w:id="21"/>
      </w:r>
      <w:r w:rsidRPr="004931E2">
        <w:rPr>
          <w:rFonts w:ascii="Cambria" w:eastAsia="Cambria" w:hAnsi="Cambria" w:cs="Cambria"/>
          <w:color w:val="000000"/>
          <w:sz w:val="20"/>
          <w:szCs w:val="20"/>
          <w:u w:color="000000"/>
          <w:lang w:val="es-ES" w:eastAsia="es-ES"/>
        </w:rPr>
        <w:t xml:space="preserve">. </w:t>
      </w:r>
    </w:p>
    <w:p w14:paraId="1B3EA93C" w14:textId="77777777" w:rsidR="00B115D6" w:rsidRDefault="00B115D6" w:rsidP="00B115D6">
      <w:p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567"/>
        </w:tabs>
        <w:ind w:left="720"/>
        <w:contextualSpacing/>
        <w:jc w:val="both"/>
        <w:rPr>
          <w:rFonts w:ascii="Cambria" w:eastAsia="Cambria" w:hAnsi="Cambria" w:cs="Cambria"/>
          <w:color w:val="000000"/>
          <w:sz w:val="20"/>
          <w:szCs w:val="20"/>
          <w:u w:color="000000"/>
          <w:lang w:val="es-ES" w:eastAsia="es-ES"/>
        </w:rPr>
      </w:pPr>
    </w:p>
    <w:p w14:paraId="4DEF15D3" w14:textId="355BB2A3" w:rsidR="00B115D6" w:rsidRPr="000C5A15" w:rsidRDefault="00B115D6" w:rsidP="000C5A15">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i/>
          <w:iCs/>
          <w:sz w:val="20"/>
          <w:szCs w:val="20"/>
          <w:lang w:val="es-AR"/>
        </w:rPr>
      </w:pPr>
      <w:r w:rsidRPr="00F0440A">
        <w:rPr>
          <w:rFonts w:asciiTheme="majorHAnsi" w:hAnsiTheme="majorHAnsi"/>
          <w:sz w:val="20"/>
          <w:szCs w:val="20"/>
          <w:lang w:val="es-AR"/>
        </w:rPr>
        <w:lastRenderedPageBreak/>
        <w:t xml:space="preserve">Con base en las citadas consideraciones, </w:t>
      </w:r>
      <w:r>
        <w:rPr>
          <w:rFonts w:asciiTheme="majorHAnsi" w:hAnsiTheme="majorHAnsi"/>
          <w:sz w:val="20"/>
          <w:szCs w:val="20"/>
          <w:lang w:val="es-AR"/>
        </w:rPr>
        <w:t xml:space="preserve">en el presente asunto </w:t>
      </w:r>
      <w:r w:rsidRPr="00F0440A">
        <w:rPr>
          <w:rFonts w:asciiTheme="majorHAnsi" w:hAnsiTheme="majorHAnsi"/>
          <w:sz w:val="20"/>
          <w:szCs w:val="20"/>
          <w:lang w:val="es-AR"/>
        </w:rPr>
        <w:t>la Comisión observa que</w:t>
      </w:r>
      <w:r>
        <w:rPr>
          <w:rFonts w:asciiTheme="majorHAnsi" w:hAnsiTheme="majorHAnsi"/>
          <w:sz w:val="20"/>
          <w:szCs w:val="20"/>
          <w:lang w:val="es-AR"/>
        </w:rPr>
        <w:t xml:space="preserve"> el </w:t>
      </w:r>
      <w:r>
        <w:rPr>
          <w:rFonts w:ascii="Cambria" w:hAnsi="Cambria"/>
          <w:sz w:val="20"/>
          <w:szCs w:val="20"/>
          <w:lang w:val="es-AR"/>
        </w:rPr>
        <w:t>18 de diciembre de 2006 el Tribunal de Juicio del Primero Circuito Judicial de Alajuela</w:t>
      </w:r>
      <w:r w:rsidRPr="00DA3358">
        <w:rPr>
          <w:rFonts w:ascii="Cambria" w:hAnsi="Cambria"/>
          <w:sz w:val="20"/>
          <w:szCs w:val="20"/>
          <w:lang w:val="es-AR"/>
        </w:rPr>
        <w:t xml:space="preserve"> condenó a la presunta víctima</w:t>
      </w:r>
      <w:r>
        <w:rPr>
          <w:rFonts w:ascii="Cambria" w:hAnsi="Cambria"/>
          <w:sz w:val="20"/>
          <w:szCs w:val="20"/>
          <w:lang w:val="es-AR"/>
        </w:rPr>
        <w:t xml:space="preserve"> </w:t>
      </w:r>
      <w:r w:rsidRPr="00DA3358">
        <w:rPr>
          <w:rFonts w:ascii="Cambria" w:hAnsi="Cambria"/>
          <w:sz w:val="20"/>
          <w:szCs w:val="20"/>
          <w:lang w:val="es-AR"/>
        </w:rPr>
        <w:t xml:space="preserve">por </w:t>
      </w:r>
      <w:r w:rsidR="000C5A15">
        <w:rPr>
          <w:rFonts w:asciiTheme="majorHAnsi" w:hAnsiTheme="majorHAnsi"/>
          <w:sz w:val="20"/>
          <w:szCs w:val="20"/>
          <w:lang w:val="es-US"/>
        </w:rPr>
        <w:t>el</w:t>
      </w:r>
      <w:r>
        <w:rPr>
          <w:rFonts w:asciiTheme="majorHAnsi" w:hAnsiTheme="majorHAnsi"/>
          <w:sz w:val="20"/>
          <w:szCs w:val="20"/>
          <w:lang w:val="es-US"/>
        </w:rPr>
        <w:t xml:space="preserve"> delito de violación</w:t>
      </w:r>
      <w:r>
        <w:rPr>
          <w:rFonts w:ascii="Cambria" w:hAnsi="Cambria"/>
          <w:sz w:val="20"/>
          <w:szCs w:val="20"/>
          <w:lang w:val="es-AR"/>
        </w:rPr>
        <w:t>.</w:t>
      </w:r>
      <w:r>
        <w:rPr>
          <w:rFonts w:ascii="Cambria" w:hAnsi="Cambria"/>
          <w:i/>
          <w:iCs/>
          <w:sz w:val="20"/>
          <w:szCs w:val="20"/>
          <w:lang w:val="es-AR"/>
        </w:rPr>
        <w:t xml:space="preserve"> </w:t>
      </w:r>
      <w:r w:rsidRPr="005B7933">
        <w:rPr>
          <w:rFonts w:asciiTheme="majorHAnsi" w:hAnsiTheme="majorHAnsi"/>
          <w:sz w:val="20"/>
          <w:szCs w:val="20"/>
          <w:lang w:val="es-AR"/>
        </w:rPr>
        <w:t xml:space="preserve">Frente a ello, la presunta interpuso un recurso de casación, </w:t>
      </w:r>
      <w:r w:rsidR="000C5A15">
        <w:rPr>
          <w:rFonts w:ascii="Cambria" w:hAnsi="Cambria"/>
          <w:sz w:val="20"/>
          <w:szCs w:val="20"/>
          <w:lang w:val="es-AR"/>
        </w:rPr>
        <w:t>cuestionando que i) no se cumplió con realizar el examen mental obligatorio al señor Vargas González; y ii) que la sentencia no estaba adecuadamente fundamentada, pues contenía argumentos contradictorios. Sin embargo, el 16 de marzo de 2007 el Tribunal de Casación Penal</w:t>
      </w:r>
      <w:r w:rsidR="00A80CEB">
        <w:rPr>
          <w:rFonts w:ascii="Cambria" w:hAnsi="Cambria"/>
          <w:i/>
          <w:iCs/>
          <w:sz w:val="20"/>
          <w:szCs w:val="20"/>
          <w:lang w:val="es-AR"/>
        </w:rPr>
        <w:t xml:space="preserve"> </w:t>
      </w:r>
      <w:r w:rsidRPr="000C5A15">
        <w:rPr>
          <w:rFonts w:asciiTheme="majorHAnsi" w:hAnsiTheme="majorHAnsi"/>
          <w:sz w:val="20"/>
          <w:szCs w:val="20"/>
          <w:lang w:val="es-US"/>
        </w:rPr>
        <w:t>desestimó sus alegatos</w:t>
      </w:r>
      <w:r w:rsidRPr="000C5A15">
        <w:rPr>
          <w:rFonts w:ascii="Cambria" w:hAnsi="Cambria"/>
          <w:sz w:val="20"/>
          <w:szCs w:val="20"/>
          <w:lang w:val="es-AR"/>
        </w:rPr>
        <w:t>, al considerar que el fallo de primera instancia estuvo debidamente motivado.</w:t>
      </w:r>
    </w:p>
    <w:p w14:paraId="68250DE0" w14:textId="337DDA1A" w:rsidR="00B115D6" w:rsidRDefault="00B115D6" w:rsidP="00A80CEB">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597133">
        <w:rPr>
          <w:rFonts w:asciiTheme="majorHAnsi" w:hAnsiTheme="majorHAnsi"/>
          <w:sz w:val="20"/>
          <w:szCs w:val="20"/>
          <w:lang w:val="es-AR"/>
        </w:rPr>
        <w:t xml:space="preserve">Al respecto, </w:t>
      </w:r>
      <w:r>
        <w:rPr>
          <w:rFonts w:ascii="Cambria" w:hAnsi="Cambria"/>
          <w:sz w:val="20"/>
          <w:szCs w:val="20"/>
          <w:lang w:val="es-AR"/>
        </w:rPr>
        <w:t xml:space="preserve">a </w:t>
      </w:r>
      <w:r w:rsidRPr="00FE134D">
        <w:rPr>
          <w:rFonts w:ascii="Cambria" w:hAnsi="Cambria"/>
          <w:sz w:val="20"/>
          <w:szCs w:val="20"/>
          <w:lang w:val="es-ES"/>
        </w:rPr>
        <w:t>partir de la lectura del texto de</w:t>
      </w:r>
      <w:r>
        <w:rPr>
          <w:rFonts w:ascii="Cambria" w:hAnsi="Cambria"/>
          <w:sz w:val="20"/>
          <w:szCs w:val="20"/>
          <w:lang w:val="es-ES"/>
        </w:rPr>
        <w:t xml:space="preserve"> </w:t>
      </w:r>
      <w:r w:rsidRPr="00FE134D">
        <w:rPr>
          <w:rFonts w:ascii="Cambria" w:hAnsi="Cambria"/>
          <w:sz w:val="20"/>
          <w:szCs w:val="20"/>
          <w:lang w:val="es-ES"/>
        </w:rPr>
        <w:t>esta última resolución, la Comisión considera que</w:t>
      </w:r>
      <w:r>
        <w:rPr>
          <w:rFonts w:ascii="Cambria" w:hAnsi="Cambria"/>
          <w:sz w:val="20"/>
          <w:szCs w:val="20"/>
          <w:lang w:val="es-ES"/>
        </w:rPr>
        <w:t xml:space="preserve"> </w:t>
      </w:r>
      <w:r w:rsidR="00A80CEB">
        <w:rPr>
          <w:rFonts w:ascii="Cambria" w:hAnsi="Cambria"/>
          <w:sz w:val="20"/>
          <w:szCs w:val="20"/>
          <w:lang w:val="es-ES"/>
        </w:rPr>
        <w:t xml:space="preserve">el Tribunal de Casación Penal analizó detenidamente cuestionamientos de la presunta víctima y brindó una respuesta motivada respecto a cada uno. </w:t>
      </w:r>
      <w:r>
        <w:rPr>
          <w:rFonts w:ascii="Cambria" w:hAnsi="Cambria"/>
          <w:sz w:val="20"/>
          <w:szCs w:val="20"/>
          <w:lang w:val="es-ES"/>
        </w:rPr>
        <w:t>En ese sentido, la Comisión</w:t>
      </w:r>
      <w:r w:rsidRPr="00D4463C">
        <w:rPr>
          <w:rFonts w:ascii="Cambria" w:hAnsi="Cambria"/>
          <w:sz w:val="20"/>
          <w:szCs w:val="20"/>
          <w:lang w:val="es-ES"/>
        </w:rPr>
        <w:t xml:space="preserve"> aprecia que el tribunal ingresó </w:t>
      </w:r>
      <w:r w:rsidR="00A80CEB">
        <w:rPr>
          <w:rFonts w:ascii="Cambria" w:hAnsi="Cambria"/>
          <w:sz w:val="20"/>
          <w:szCs w:val="20"/>
          <w:lang w:val="es-ES"/>
        </w:rPr>
        <w:t xml:space="preserve">en el análisis de cuestiones probatorias y actividades procesales realizadas a lo largo del proceso, de acuerdo con lo solicitado por la defensa del señor Vargas González. </w:t>
      </w:r>
      <w:r>
        <w:rPr>
          <w:rFonts w:ascii="Cambria" w:hAnsi="Cambria"/>
          <w:sz w:val="20"/>
          <w:szCs w:val="20"/>
          <w:lang w:val="es-ES"/>
        </w:rPr>
        <w:t xml:space="preserve">Por ende, la Comisión considera que, </w:t>
      </w:r>
      <w:r>
        <w:rPr>
          <w:rFonts w:ascii="Cambria" w:hAnsi="Cambria"/>
          <w:i/>
          <w:iCs/>
          <w:sz w:val="20"/>
          <w:szCs w:val="20"/>
          <w:lang w:val="es-ES"/>
        </w:rPr>
        <w:t xml:space="preserve">prima facie, </w:t>
      </w:r>
      <w:r>
        <w:rPr>
          <w:rFonts w:ascii="Cambria" w:hAnsi="Cambria"/>
          <w:sz w:val="20"/>
          <w:szCs w:val="20"/>
          <w:lang w:val="es-ES"/>
        </w:rPr>
        <w:t>no se han presentado argumentos o pruebas que permitan identificar alguna restricción o limitación que hayan evitado un análisis integral de los cuestionamientos</w:t>
      </w:r>
      <w:r w:rsidRPr="00907EFB">
        <w:rPr>
          <w:rFonts w:ascii="Cambria" w:hAnsi="Cambria"/>
          <w:sz w:val="20"/>
          <w:szCs w:val="20"/>
          <w:lang w:val="es-ES"/>
        </w:rPr>
        <w:t xml:space="preserve"> planteados por </w:t>
      </w:r>
      <w:r w:rsidR="00A80CEB">
        <w:rPr>
          <w:rFonts w:ascii="Cambria" w:hAnsi="Cambria"/>
          <w:sz w:val="20"/>
          <w:szCs w:val="20"/>
          <w:lang w:val="es-ES"/>
        </w:rPr>
        <w:t>la presunta víctima</w:t>
      </w:r>
      <w:r w:rsidRPr="00907EFB">
        <w:rPr>
          <w:rFonts w:ascii="Cambria" w:hAnsi="Cambria"/>
          <w:sz w:val="20"/>
          <w:szCs w:val="20"/>
          <w:lang w:val="es-ES"/>
        </w:rPr>
        <w:t xml:space="preserve"> contra su fallo condenatorio de primera instancia. </w:t>
      </w:r>
    </w:p>
    <w:p w14:paraId="19074861" w14:textId="6BC0E08E" w:rsidR="00F26172" w:rsidRPr="00B115D6" w:rsidRDefault="00B115D6" w:rsidP="00B115D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7A491C">
        <w:rPr>
          <w:rFonts w:ascii="Cambria" w:hAnsi="Cambria"/>
          <w:sz w:val="20"/>
          <w:szCs w:val="20"/>
          <w:lang w:val="es-ES"/>
        </w:rPr>
        <w:t>Sin perjuicio de ello, la Comisión nota que, a partir de la interposición de un procedimiento de revisión</w:t>
      </w:r>
      <w:r>
        <w:rPr>
          <w:rFonts w:ascii="Cambria" w:hAnsi="Cambria"/>
          <w:sz w:val="20"/>
          <w:szCs w:val="20"/>
          <w:lang w:val="es-ES"/>
        </w:rPr>
        <w:t xml:space="preserve">, la presunta víctima volvió cuestionar la valoración probatoria utilizada para condenarlo, provocando que </w:t>
      </w:r>
      <w:r>
        <w:rPr>
          <w:rFonts w:ascii="Cambria" w:hAnsi="Cambria"/>
          <w:sz w:val="20"/>
          <w:szCs w:val="20"/>
          <w:lang w:val="es-AR"/>
        </w:rPr>
        <w:t>el Tribunal de Casación Penal del Tercer Circuito Judicial de Alajuela</w:t>
      </w:r>
      <w:r>
        <w:rPr>
          <w:rFonts w:ascii="Cambria" w:hAnsi="Cambria"/>
          <w:sz w:val="20"/>
          <w:szCs w:val="20"/>
          <w:lang w:val="es-ES"/>
        </w:rPr>
        <w:t xml:space="preserve"> vuelva a analizar y desestimar este reclamo. En tal sentido, a juicio de la Comisión, este mecanismo brindó una segunda oportunidad al señor Vargas</w:t>
      </w:r>
      <w:r w:rsidR="00A80CEB">
        <w:rPr>
          <w:rFonts w:ascii="Cambria" w:hAnsi="Cambria"/>
          <w:sz w:val="20"/>
          <w:szCs w:val="20"/>
          <w:lang w:val="es-ES"/>
        </w:rPr>
        <w:t xml:space="preserve"> Gonzalez</w:t>
      </w:r>
      <w:r>
        <w:rPr>
          <w:rFonts w:ascii="Cambria" w:hAnsi="Cambria"/>
          <w:sz w:val="20"/>
          <w:szCs w:val="20"/>
          <w:lang w:val="es-ES"/>
        </w:rPr>
        <w:t xml:space="preserve"> para que se puedan analizar debidamente sus reclamos, sin que se aprecie la presencia de algún error o limitación en el examen realizado por este tribunal en la resolución del procedimiento de revisión.</w:t>
      </w:r>
      <w:r w:rsidRPr="00740443">
        <w:rPr>
          <w:rFonts w:ascii="Cambria" w:hAnsi="Cambria"/>
          <w:sz w:val="20"/>
          <w:szCs w:val="20"/>
          <w:lang w:val="es-ES"/>
        </w:rPr>
        <w:t xml:space="preserve"> </w:t>
      </w:r>
      <w:r w:rsidRPr="00740443">
        <w:rPr>
          <w:rFonts w:ascii="Cambria" w:hAnsi="Cambria"/>
          <w:sz w:val="20"/>
          <w:szCs w:val="20"/>
          <w:lang w:val="es-AR"/>
        </w:rPr>
        <w:t xml:space="preserve">Por consiguiente, </w:t>
      </w:r>
      <w:r w:rsidRPr="00740443">
        <w:rPr>
          <w:rFonts w:ascii="Cambria" w:hAnsi="Cambria"/>
          <w:sz w:val="20"/>
          <w:szCs w:val="20"/>
          <w:lang w:val="es-ES"/>
        </w:rPr>
        <w:t xml:space="preserve">la CIDH concluye que, </w:t>
      </w:r>
      <w:r w:rsidRPr="00740443">
        <w:rPr>
          <w:rFonts w:ascii="Cambria" w:hAnsi="Cambria"/>
          <w:i/>
          <w:iCs/>
          <w:sz w:val="20"/>
          <w:szCs w:val="20"/>
          <w:lang w:val="es-ES"/>
        </w:rPr>
        <w:t xml:space="preserve">prima facie, </w:t>
      </w:r>
      <w:r w:rsidRPr="00740443">
        <w:rPr>
          <w:rFonts w:ascii="Cambria" w:hAnsi="Cambria"/>
          <w:sz w:val="20"/>
          <w:szCs w:val="20"/>
          <w:lang w:val="es-ES"/>
        </w:rPr>
        <w:t>no se han aportado elementos que permitan identificar una posible vulneración al derecho contemplado en el artículo 8.2.h) de la Convención.</w:t>
      </w:r>
    </w:p>
    <w:p w14:paraId="378F2698" w14:textId="1EE39578" w:rsidR="00C27964" w:rsidRPr="00C27964" w:rsidRDefault="00B115D6" w:rsidP="00450BF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Pr>
          <w:rFonts w:asciiTheme="majorHAnsi" w:hAnsiTheme="majorHAnsi"/>
          <w:b/>
          <w:bCs/>
          <w:sz w:val="20"/>
          <w:szCs w:val="20"/>
          <w:lang w:val="es-ES"/>
        </w:rPr>
        <w:t>IX</w:t>
      </w:r>
      <w:r w:rsidR="003239B8" w:rsidRPr="00F26172">
        <w:rPr>
          <w:rFonts w:asciiTheme="majorHAnsi" w:hAnsiTheme="majorHAnsi"/>
          <w:b/>
          <w:bCs/>
          <w:sz w:val="20"/>
          <w:szCs w:val="20"/>
          <w:lang w:val="es-ES"/>
        </w:rPr>
        <w:t xml:space="preserve">. </w:t>
      </w:r>
      <w:r w:rsidR="003239B8" w:rsidRPr="00F26172">
        <w:rPr>
          <w:rFonts w:asciiTheme="majorHAnsi" w:hAnsiTheme="majorHAnsi"/>
          <w:b/>
          <w:bCs/>
          <w:sz w:val="20"/>
          <w:szCs w:val="20"/>
          <w:lang w:val="es-ES"/>
        </w:rPr>
        <w:tab/>
        <w:t>DECISIÓN</w:t>
      </w:r>
    </w:p>
    <w:p w14:paraId="570DA61C" w14:textId="6A55D282" w:rsidR="000419AD" w:rsidRPr="001C7D5F" w:rsidRDefault="000419AD" w:rsidP="000419AD">
      <w:pPr>
        <w:pStyle w:val="ListParagraph"/>
        <w:numPr>
          <w:ilvl w:val="0"/>
          <w:numId w:val="109"/>
        </w:numPr>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Declar</w:t>
      </w:r>
      <w:r w:rsidRPr="001C7D5F">
        <w:rPr>
          <w:rFonts w:eastAsia="Arial Unicode MS" w:cs="Times New Roman"/>
          <w:color w:val="auto"/>
          <w:sz w:val="20"/>
          <w:szCs w:val="20"/>
          <w:lang w:val="es-ES" w:eastAsia="en-US"/>
        </w:rPr>
        <w:t>ar inadmisible la presente petición</w:t>
      </w:r>
      <w:r w:rsidR="00A758AA" w:rsidRPr="001C7D5F">
        <w:rPr>
          <w:rFonts w:eastAsia="Arial Unicode MS" w:cs="Times New Roman"/>
          <w:color w:val="auto"/>
          <w:sz w:val="20"/>
          <w:szCs w:val="20"/>
          <w:lang w:val="es-ES" w:eastAsia="en-US"/>
        </w:rPr>
        <w:t>;</w:t>
      </w:r>
      <w:r w:rsidR="004A6A54" w:rsidRPr="001C7D5F">
        <w:rPr>
          <w:rFonts w:eastAsia="Arial Unicode MS" w:cs="Times New Roman"/>
          <w:color w:val="auto"/>
          <w:sz w:val="20"/>
          <w:szCs w:val="20"/>
          <w:lang w:val="es-ES" w:eastAsia="en-US"/>
        </w:rPr>
        <w:t xml:space="preserve"> y</w:t>
      </w:r>
    </w:p>
    <w:p w14:paraId="41AA5BF6" w14:textId="77777777" w:rsidR="000419AD" w:rsidRPr="001C7D5F" w:rsidRDefault="000419AD" w:rsidP="000419AD">
      <w:pPr>
        <w:pStyle w:val="ListParagraph"/>
        <w:rPr>
          <w:rFonts w:eastAsia="Arial Unicode MS" w:cs="Times New Roman"/>
          <w:color w:val="auto"/>
          <w:sz w:val="20"/>
          <w:szCs w:val="20"/>
          <w:lang w:val="es-ES" w:eastAsia="en-US"/>
        </w:rPr>
      </w:pPr>
    </w:p>
    <w:p w14:paraId="12A7002C" w14:textId="4A2FE7A8" w:rsidR="004A6A54" w:rsidRDefault="004A6A54" w:rsidP="004A6A54">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1C7D5F">
        <w:rPr>
          <w:rFonts w:asciiTheme="majorHAnsi" w:hAnsiTheme="majorHAnsi"/>
          <w:sz w:val="20"/>
          <w:szCs w:val="20"/>
          <w:lang w:val="es-ES"/>
        </w:rPr>
        <w:t>Notificar a las partes la p</w:t>
      </w:r>
      <w:r w:rsidRPr="009B7794">
        <w:rPr>
          <w:rFonts w:asciiTheme="majorHAnsi" w:hAnsiTheme="majorHAnsi"/>
          <w:sz w:val="20"/>
          <w:szCs w:val="20"/>
          <w:lang w:val="es-ES"/>
        </w:rPr>
        <w:t>resente decisión; y publicar esta decisión e incluirla en su Informe Anual a la Asamblea General de la Organización de los Estados Americanos.</w:t>
      </w:r>
    </w:p>
    <w:p w14:paraId="5CCD3130" w14:textId="23F29598" w:rsidR="001C7D5F" w:rsidRPr="00084AAE" w:rsidRDefault="001C7D5F" w:rsidP="00084AAE">
      <w:pPr>
        <w:pStyle w:val="paragraph"/>
        <w:spacing w:before="0" w:beforeAutospacing="0" w:after="0" w:afterAutospacing="0"/>
        <w:ind w:firstLine="720"/>
        <w:jc w:val="both"/>
        <w:textAlignment w:val="baseline"/>
        <w:rPr>
          <w:rFonts w:ascii="Segoe UI" w:hAnsi="Segoe UI" w:cs="Segoe UI"/>
          <w:sz w:val="18"/>
          <w:szCs w:val="18"/>
          <w:lang w:val="es-ES"/>
        </w:rPr>
      </w:pPr>
      <w:r>
        <w:rPr>
          <w:rStyle w:val="normaltextrun"/>
          <w:rFonts w:ascii="Cambria" w:hAnsi="Cambria" w:cs="Segoe UI"/>
          <w:sz w:val="20"/>
          <w:szCs w:val="20"/>
          <w:lang w:val="es-CL"/>
        </w:rPr>
        <w:t xml:space="preserve">Aprobado por la Comisión Interamericana de Derechos Humanos a los 8 días del mes de diciembre de 2023.  (Firmado): Esmeralda Arosemena de Troitiño, Primera Vicepresidenta; Julissa Mantilla Falcón, Stuardo Ralón Orellana, Carlos Bernal Pulido y </w:t>
      </w:r>
      <w:r w:rsidRPr="005D270A">
        <w:rPr>
          <w:rStyle w:val="normaltextrun"/>
          <w:rFonts w:ascii="Cambria" w:hAnsi="Cambria" w:cs="Segoe UI"/>
          <w:sz w:val="20"/>
          <w:szCs w:val="20"/>
          <w:lang w:val="es-CL"/>
        </w:rPr>
        <w:t>José Luis Caballero Ochoa</w:t>
      </w:r>
      <w:r>
        <w:rPr>
          <w:rStyle w:val="normaltextrun"/>
          <w:rFonts w:ascii="Cambria" w:hAnsi="Cambria" w:cs="Segoe UI"/>
          <w:sz w:val="20"/>
          <w:szCs w:val="20"/>
          <w:lang w:val="es-CL"/>
        </w:rPr>
        <w:t xml:space="preserve">, </w:t>
      </w:r>
      <w:r w:rsidR="00084AAE">
        <w:rPr>
          <w:rStyle w:val="normaltextrun"/>
          <w:rFonts w:ascii="Cambria" w:hAnsi="Cambria" w:cs="Segoe UI"/>
          <w:sz w:val="20"/>
          <w:szCs w:val="20"/>
          <w:lang w:val="es-CL"/>
        </w:rPr>
        <w:t>m</w:t>
      </w:r>
      <w:r>
        <w:rPr>
          <w:rStyle w:val="normaltextrun"/>
          <w:rFonts w:ascii="Cambria" w:hAnsi="Cambria" w:cs="Segoe UI"/>
          <w:sz w:val="20"/>
          <w:szCs w:val="20"/>
          <w:lang w:val="es-CL"/>
        </w:rPr>
        <w:t>iembros de la Comisión.</w:t>
      </w:r>
    </w:p>
    <w:p w14:paraId="2AD6FC93" w14:textId="77777777" w:rsidR="001C7D5F" w:rsidRPr="009B7794" w:rsidRDefault="001C7D5F" w:rsidP="001C7D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p>
    <w:p w14:paraId="6AC80CA6" w14:textId="7E25C16E" w:rsidR="00722C9F" w:rsidRPr="00974491" w:rsidRDefault="00722C9F" w:rsidP="00974491">
      <w:pPr>
        <w:rPr>
          <w:rFonts w:ascii="Cambria" w:hAnsi="Cambria" w:cs="Calibri"/>
          <w:sz w:val="20"/>
          <w:szCs w:val="20"/>
          <w:lang w:val="es-ES"/>
        </w:rPr>
      </w:pPr>
    </w:p>
    <w:sectPr w:rsidR="00722C9F" w:rsidRPr="00974491"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9673CA" w14:textId="77777777" w:rsidR="00431239" w:rsidRDefault="00431239">
      <w:r>
        <w:separator/>
      </w:r>
    </w:p>
  </w:endnote>
  <w:endnote w:type="continuationSeparator" w:id="0">
    <w:p w14:paraId="71F35845" w14:textId="77777777" w:rsidR="00431239" w:rsidRDefault="00431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29E243E2" w14:textId="25B7F19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38F9">
          <w:rPr>
            <w:noProof/>
            <w:sz w:val="16"/>
            <w:szCs w:val="22"/>
          </w:rPr>
          <w:t>2</w:t>
        </w:r>
        <w:r w:rsidRPr="00934A2C">
          <w:rPr>
            <w:noProof/>
            <w:sz w:val="16"/>
            <w:szCs w:val="22"/>
          </w:rPr>
          <w:fldChar w:fldCharType="end"/>
        </w:r>
      </w:p>
    </w:sdtContent>
  </w:sdt>
  <w:p w14:paraId="68530E6A"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930AF9" w14:textId="77777777" w:rsidR="00431239" w:rsidRPr="000F35ED" w:rsidRDefault="0043123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9CFB7E0" w14:textId="77777777" w:rsidR="00431239" w:rsidRPr="000F35ED" w:rsidRDefault="00431239" w:rsidP="000F35ED">
      <w:pPr>
        <w:rPr>
          <w:rFonts w:asciiTheme="majorHAnsi" w:hAnsiTheme="majorHAnsi"/>
          <w:sz w:val="16"/>
          <w:szCs w:val="16"/>
        </w:rPr>
      </w:pPr>
      <w:r w:rsidRPr="000F35ED">
        <w:rPr>
          <w:rFonts w:asciiTheme="majorHAnsi" w:hAnsiTheme="majorHAnsi"/>
          <w:sz w:val="16"/>
          <w:szCs w:val="16"/>
        </w:rPr>
        <w:separator/>
      </w:r>
    </w:p>
    <w:p w14:paraId="10CDF820" w14:textId="77777777" w:rsidR="00431239" w:rsidRPr="000F35ED" w:rsidRDefault="00431239"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543AC4ED" w14:textId="77777777" w:rsidR="00431239" w:rsidRPr="000F35ED" w:rsidRDefault="00431239"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3153C417" w14:textId="77777777" w:rsidR="0061609D" w:rsidRPr="00916C1D" w:rsidRDefault="0061609D" w:rsidP="0061609D">
      <w:pPr>
        <w:pStyle w:val="FootnoteText"/>
        <w:ind w:firstLine="720"/>
        <w:jc w:val="both"/>
        <w:rPr>
          <w:lang w:val="es-US"/>
        </w:rPr>
      </w:pPr>
      <w:r w:rsidRPr="00916C1D">
        <w:rPr>
          <w:rStyle w:val="FootnoteReference"/>
          <w:rFonts w:asciiTheme="majorHAnsi" w:hAnsiTheme="majorHAnsi"/>
          <w:sz w:val="16"/>
          <w:szCs w:val="16"/>
        </w:rPr>
        <w:footnoteRef/>
      </w:r>
      <w:r w:rsidRPr="00916C1D">
        <w:rPr>
          <w:rFonts w:asciiTheme="majorHAnsi" w:hAnsiTheme="majorHAnsi"/>
          <w:sz w:val="16"/>
          <w:szCs w:val="16"/>
          <w:lang w:val="es-US"/>
        </w:rPr>
        <w:t xml:space="preserve"> En adelante, “la Convención Americana” o “la Convención”</w:t>
      </w:r>
    </w:p>
  </w:footnote>
  <w:footnote w:id="3">
    <w:p w14:paraId="79F07139" w14:textId="77777777" w:rsidR="008E3BFE" w:rsidRPr="00537490" w:rsidRDefault="008E3BFE" w:rsidP="000337EF">
      <w:pPr>
        <w:pStyle w:val="FootnoteText"/>
        <w:spacing w:after="120"/>
        <w:ind w:firstLine="720"/>
        <w:jc w:val="both"/>
        <w:rPr>
          <w:rFonts w:ascii="Cambria" w:hAnsi="Cambria"/>
          <w:sz w:val="16"/>
          <w:szCs w:val="16"/>
          <w:lang w:val="es-ES"/>
        </w:rPr>
      </w:pPr>
      <w:r w:rsidRPr="00537490">
        <w:rPr>
          <w:rStyle w:val="FootnoteReference"/>
          <w:rFonts w:ascii="Cambria" w:hAnsi="Cambria"/>
          <w:sz w:val="16"/>
          <w:szCs w:val="16"/>
        </w:rPr>
        <w:footnoteRef/>
      </w:r>
      <w:r w:rsidRPr="00537490">
        <w:rPr>
          <w:rFonts w:ascii="Cambria" w:hAnsi="Cambria"/>
          <w:sz w:val="16"/>
          <w:szCs w:val="16"/>
          <w:lang w:val="es-ES"/>
        </w:rPr>
        <w:t xml:space="preserve"> </w:t>
      </w:r>
      <w:r>
        <w:rPr>
          <w:rFonts w:ascii="Cambria" w:hAnsi="Cambria"/>
          <w:sz w:val="16"/>
          <w:szCs w:val="16"/>
          <w:lang w:val="es-ES"/>
        </w:rPr>
        <w:t>Las observaciones de cada parte fueron debidamente trasladadas a la parte contraria.</w:t>
      </w:r>
    </w:p>
  </w:footnote>
  <w:footnote w:id="4">
    <w:p w14:paraId="09399DFD" w14:textId="77777777" w:rsidR="00CD17F6" w:rsidRPr="00EA3787" w:rsidRDefault="00CD17F6" w:rsidP="00CD17F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es-US"/>
        </w:rPr>
        <w:t xml:space="preserve"> En adelante, la “Corte Interamericana” o la “Corte IDH”.</w:t>
      </w:r>
    </w:p>
  </w:footnote>
  <w:footnote w:id="5">
    <w:p w14:paraId="026EBBBF" w14:textId="77777777" w:rsidR="00CD17F6" w:rsidRPr="004D0E62" w:rsidRDefault="00CD17F6" w:rsidP="00CD17F6">
      <w:pPr>
        <w:pStyle w:val="FootnoteText"/>
        <w:ind w:firstLine="720"/>
        <w:jc w:val="both"/>
        <w:rPr>
          <w:rFonts w:asciiTheme="majorHAnsi" w:hAnsiTheme="majorHAnsi"/>
          <w:sz w:val="16"/>
          <w:szCs w:val="16"/>
          <w:lang w:val="es-US"/>
        </w:rPr>
      </w:pPr>
      <w:r w:rsidRPr="00EA3787">
        <w:rPr>
          <w:rStyle w:val="FootnoteReference"/>
          <w:rFonts w:asciiTheme="majorHAnsi" w:hAnsiTheme="majorHAnsi"/>
          <w:sz w:val="16"/>
          <w:szCs w:val="16"/>
        </w:rPr>
        <w:footnoteRef/>
      </w:r>
      <w:r w:rsidRPr="00EA3787">
        <w:rPr>
          <w:rFonts w:asciiTheme="majorHAnsi" w:hAnsiTheme="majorHAnsi"/>
          <w:sz w:val="16"/>
          <w:szCs w:val="16"/>
          <w:lang w:val="pt-BR"/>
        </w:rPr>
        <w:t xml:space="preserve"> Corte IDH. Caso Herrera Ulloa Vs. </w:t>
      </w:r>
      <w:r w:rsidRPr="00EA3787">
        <w:rPr>
          <w:rFonts w:asciiTheme="majorHAnsi" w:hAnsiTheme="majorHAnsi"/>
          <w:sz w:val="16"/>
          <w:szCs w:val="16"/>
          <w:lang w:val="es-US"/>
        </w:rPr>
        <w:t xml:space="preserve">Costa Rica. Excepciones Preliminares, Fondo, Reparaciones y Costas. </w:t>
      </w:r>
      <w:r w:rsidRPr="004D0E62">
        <w:rPr>
          <w:rFonts w:asciiTheme="majorHAnsi" w:hAnsiTheme="majorHAnsi"/>
          <w:sz w:val="16"/>
          <w:szCs w:val="16"/>
          <w:lang w:val="es-US"/>
        </w:rPr>
        <w:t xml:space="preserve">Sentencia de 2 de julio de 2004. Serie C No. 107, párr. 167. </w:t>
      </w:r>
    </w:p>
  </w:footnote>
  <w:footnote w:id="6">
    <w:p w14:paraId="6D2530C7" w14:textId="77777777" w:rsidR="00CD17F6" w:rsidRPr="008A508D" w:rsidRDefault="00CD17F6" w:rsidP="00CD17F6">
      <w:pPr>
        <w:pStyle w:val="FootnoteText"/>
        <w:ind w:firstLine="720"/>
        <w:jc w:val="both"/>
        <w:rPr>
          <w:lang w:val="es-US"/>
        </w:rPr>
      </w:pPr>
      <w:r w:rsidRPr="004D0E62">
        <w:rPr>
          <w:rStyle w:val="FootnoteReference"/>
          <w:rFonts w:asciiTheme="majorHAnsi" w:hAnsiTheme="majorHAnsi"/>
          <w:sz w:val="16"/>
          <w:szCs w:val="16"/>
        </w:rPr>
        <w:footnoteRef/>
      </w:r>
      <w:r w:rsidRPr="00181284">
        <w:rPr>
          <w:rFonts w:asciiTheme="majorHAnsi" w:hAnsiTheme="majorHAnsi"/>
          <w:sz w:val="16"/>
          <w:szCs w:val="16"/>
          <w:lang w:val="es-ES"/>
        </w:rPr>
        <w:t xml:space="preserve"> Corte IDH. Caso Herrera Ulloa Vs. </w:t>
      </w:r>
      <w:r w:rsidRPr="004D0E62">
        <w:rPr>
          <w:rFonts w:asciiTheme="majorHAnsi" w:hAnsiTheme="majorHAnsi"/>
          <w:sz w:val="16"/>
          <w:szCs w:val="16"/>
          <w:lang w:val="es-US"/>
        </w:rPr>
        <w:t xml:space="preserve">Costa Rica. Excepciones Preliminares, Fondo, Reparaciones y Costas. </w:t>
      </w:r>
      <w:r w:rsidRPr="003869D1">
        <w:rPr>
          <w:rFonts w:asciiTheme="majorHAnsi" w:hAnsiTheme="majorHAnsi"/>
          <w:sz w:val="16"/>
          <w:szCs w:val="16"/>
          <w:lang w:val="es-ES"/>
        </w:rPr>
        <w:t>Sentencia de 2 de julio de 2004. Serie C No. 107, párr. 198.</w:t>
      </w:r>
    </w:p>
  </w:footnote>
  <w:footnote w:id="7">
    <w:p w14:paraId="46CD2A72" w14:textId="77777777" w:rsidR="00CD17F6" w:rsidRPr="00565232" w:rsidRDefault="00CD17F6" w:rsidP="00CD17F6">
      <w:pPr>
        <w:pStyle w:val="FootnoteText"/>
        <w:ind w:firstLine="720"/>
        <w:jc w:val="both"/>
        <w:rPr>
          <w:rFonts w:asciiTheme="majorHAnsi" w:hAnsiTheme="majorHAnsi"/>
          <w:sz w:val="16"/>
          <w:szCs w:val="16"/>
          <w:lang w:val="es-US"/>
        </w:rPr>
      </w:pPr>
      <w:r w:rsidRPr="006A7DCD">
        <w:rPr>
          <w:rStyle w:val="FootnoteReference"/>
          <w:rFonts w:asciiTheme="majorHAnsi" w:hAnsiTheme="majorHAnsi"/>
          <w:sz w:val="16"/>
          <w:szCs w:val="16"/>
        </w:rPr>
        <w:footnoteRef/>
      </w:r>
      <w:r w:rsidRPr="006A7DCD">
        <w:rPr>
          <w:rFonts w:asciiTheme="majorHAnsi" w:hAnsiTheme="majorHAnsi"/>
          <w:sz w:val="16"/>
          <w:szCs w:val="16"/>
          <w:lang w:val="es-US"/>
        </w:rPr>
        <w:t xml:space="preserve"> Corte IDH. Caso Amrhein y otros Vs. Costa Rica. Excepciones Preliminares, Fondo, Reparaciones y Costas. Sentencia de 25 de abril de 2018. Serie C No. 354, párr. 262.</w:t>
      </w:r>
    </w:p>
  </w:footnote>
  <w:footnote w:id="8">
    <w:p w14:paraId="47E23466" w14:textId="77777777" w:rsidR="00CD17F6" w:rsidRPr="004D0E62" w:rsidRDefault="00CD17F6" w:rsidP="00CD17F6">
      <w:pPr>
        <w:pStyle w:val="FootnoteText"/>
        <w:ind w:firstLine="720"/>
        <w:jc w:val="both"/>
        <w:rPr>
          <w:rFonts w:asciiTheme="majorHAnsi" w:hAnsiTheme="majorHAnsi"/>
          <w:sz w:val="16"/>
          <w:szCs w:val="16"/>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 párr. 48. </w:t>
      </w:r>
    </w:p>
  </w:footnote>
  <w:footnote w:id="9">
    <w:p w14:paraId="4C0116DA" w14:textId="77777777" w:rsidR="00CD17F6" w:rsidRPr="008A508D" w:rsidRDefault="00CD17F6" w:rsidP="00CD17F6">
      <w:pPr>
        <w:pStyle w:val="FootnoteText"/>
        <w:ind w:firstLine="720"/>
        <w:jc w:val="both"/>
        <w:rPr>
          <w:lang w:val="es-US"/>
        </w:rPr>
      </w:pPr>
      <w:r w:rsidRPr="004D0E62">
        <w:rPr>
          <w:rStyle w:val="FootnoteReference"/>
          <w:rFonts w:asciiTheme="majorHAnsi" w:hAnsiTheme="majorHAnsi"/>
          <w:sz w:val="16"/>
          <w:szCs w:val="16"/>
        </w:rPr>
        <w:footnoteRef/>
      </w:r>
      <w:r w:rsidRPr="004D0E62">
        <w:rPr>
          <w:rFonts w:asciiTheme="majorHAnsi" w:hAnsiTheme="majorHAnsi"/>
          <w:sz w:val="16"/>
          <w:szCs w:val="16"/>
          <w:lang w:val="es-US"/>
        </w:rPr>
        <w:t xml:space="preserve"> Corte IDH. Caso Amrhein y otros Vs. Costa Rica. Excepciones Preliminares, Fondo, Reparaciones y Costas. Sentencia de 25 de abril de 2018. Serie C No. 354</w:t>
      </w:r>
      <w:r>
        <w:rPr>
          <w:rFonts w:asciiTheme="majorHAnsi" w:hAnsiTheme="majorHAnsi"/>
          <w:sz w:val="16"/>
          <w:szCs w:val="16"/>
          <w:lang w:val="es-US"/>
        </w:rPr>
        <w:t xml:space="preserve">, párr. 265. </w:t>
      </w:r>
    </w:p>
  </w:footnote>
  <w:footnote w:id="10">
    <w:p w14:paraId="60D69551" w14:textId="77777777" w:rsidR="00CD17F6" w:rsidRPr="00EE7817" w:rsidRDefault="00CD17F6" w:rsidP="00CD17F6">
      <w:pPr>
        <w:pStyle w:val="FootnoteText"/>
        <w:ind w:firstLine="720"/>
        <w:jc w:val="both"/>
        <w:rPr>
          <w:rFonts w:asciiTheme="majorHAnsi" w:hAnsiTheme="majorHAnsi"/>
          <w:sz w:val="16"/>
          <w:szCs w:val="16"/>
          <w:lang w:val="es-US"/>
        </w:rPr>
      </w:pPr>
      <w:r w:rsidRPr="00EE7817">
        <w:rPr>
          <w:rStyle w:val="FootnoteReference"/>
          <w:rFonts w:asciiTheme="majorHAnsi" w:hAnsiTheme="majorHAnsi"/>
          <w:sz w:val="16"/>
          <w:szCs w:val="16"/>
        </w:rPr>
        <w:footnoteRef/>
      </w:r>
      <w:r w:rsidRPr="00181284">
        <w:rPr>
          <w:rFonts w:asciiTheme="majorHAnsi" w:hAnsiTheme="majorHAnsi"/>
          <w:sz w:val="16"/>
          <w:szCs w:val="16"/>
          <w:lang w:val="es-US"/>
        </w:rPr>
        <w:t xml:space="preserve"> Corte IDH. Caso Herrera Ulloa Vs. </w:t>
      </w:r>
      <w:r w:rsidRPr="00EE7817">
        <w:rPr>
          <w:rFonts w:asciiTheme="majorHAnsi" w:hAnsiTheme="majorHAnsi"/>
          <w:sz w:val="16"/>
          <w:szCs w:val="16"/>
          <w:lang w:val="es-US"/>
        </w:rPr>
        <w:t>Costa Rica. Supervisión de Cumplimiento de Sentencia. Resolución de la Corte Interamericana de Derechos Humanos de 22 de noviembre de 2010</w:t>
      </w:r>
      <w:r>
        <w:rPr>
          <w:rFonts w:asciiTheme="majorHAnsi" w:hAnsiTheme="majorHAnsi"/>
          <w:sz w:val="16"/>
          <w:szCs w:val="16"/>
          <w:lang w:val="es-US"/>
        </w:rPr>
        <w:t xml:space="preserve">, párr. 16. </w:t>
      </w:r>
    </w:p>
  </w:footnote>
  <w:footnote w:id="11">
    <w:p w14:paraId="232B2263" w14:textId="77777777" w:rsidR="00CD17F6" w:rsidRPr="00735708" w:rsidRDefault="00CD17F6" w:rsidP="00CD17F6">
      <w:pPr>
        <w:pStyle w:val="FootnoteText"/>
        <w:ind w:firstLine="720"/>
        <w:jc w:val="both"/>
        <w:rPr>
          <w:rFonts w:ascii="Cambria" w:hAnsi="Cambria"/>
          <w:sz w:val="16"/>
          <w:szCs w:val="16"/>
          <w:lang w:val="es-AR"/>
        </w:rPr>
      </w:pPr>
      <w:r w:rsidRPr="00FA73F6">
        <w:rPr>
          <w:rStyle w:val="FootnoteReference"/>
          <w:rFonts w:ascii="Cambria" w:hAnsi="Cambria"/>
          <w:sz w:val="16"/>
          <w:szCs w:val="16"/>
        </w:rPr>
        <w:footnoteRef/>
      </w:r>
      <w:r w:rsidRPr="00FA73F6">
        <w:rPr>
          <w:rFonts w:ascii="Cambria" w:hAnsi="Cambria"/>
          <w:sz w:val="16"/>
          <w:szCs w:val="16"/>
          <w:lang w:val="es-US"/>
        </w:rPr>
        <w:t xml:space="preserve"> </w:t>
      </w:r>
      <w:r w:rsidRPr="00FA73F6">
        <w:rPr>
          <w:rFonts w:ascii="Cambria" w:hAnsi="Cambria"/>
          <w:sz w:val="16"/>
          <w:szCs w:val="16"/>
          <w:lang w:val="es-ES"/>
        </w:rPr>
        <w:t xml:space="preserve">CIDH. Informe No. 33/14. Caso 12.820. Fondo. Manfred Amrhein y otros. Costa Rica. 4 de abril de 2014. Párr. 217 a 220. </w:t>
      </w:r>
    </w:p>
  </w:footnote>
  <w:footnote w:id="12">
    <w:p w14:paraId="48D30143" w14:textId="77777777" w:rsidR="00CD17F6" w:rsidRPr="00CE3C79" w:rsidRDefault="00CD17F6" w:rsidP="00CD17F6">
      <w:pPr>
        <w:pStyle w:val="FootnoteText"/>
        <w:ind w:firstLine="720"/>
        <w:jc w:val="both"/>
        <w:rPr>
          <w:sz w:val="16"/>
          <w:szCs w:val="16"/>
          <w:lang w:val="es-US"/>
        </w:rPr>
      </w:pPr>
      <w:r w:rsidRPr="00FA73F6">
        <w:rPr>
          <w:rStyle w:val="FootnoteReference"/>
          <w:rFonts w:ascii="Cambria" w:hAnsi="Cambria"/>
          <w:sz w:val="16"/>
          <w:szCs w:val="16"/>
        </w:rPr>
        <w:footnoteRef/>
      </w:r>
      <w:r w:rsidRPr="00735708">
        <w:rPr>
          <w:rFonts w:ascii="Cambria" w:hAnsi="Cambria"/>
          <w:sz w:val="16"/>
          <w:szCs w:val="16"/>
          <w:lang w:val="es-AR"/>
        </w:rPr>
        <w:t xml:space="preserve"> </w:t>
      </w:r>
      <w:r w:rsidRPr="00FA73F6">
        <w:rPr>
          <w:rFonts w:ascii="Cambria" w:hAnsi="Cambria"/>
          <w:bCs/>
          <w:sz w:val="16"/>
          <w:szCs w:val="16"/>
          <w:shd w:val="clear" w:color="auto" w:fill="FFFFFF"/>
          <w:lang w:val="es-ES"/>
        </w:rPr>
        <w:t xml:space="preserve">Corte IDH. </w:t>
      </w:r>
      <w:r w:rsidRPr="00FA73F6">
        <w:rPr>
          <w:rFonts w:ascii="Cambria" w:hAnsi="Cambria"/>
          <w:bCs/>
          <w:i/>
          <w:sz w:val="16"/>
          <w:szCs w:val="16"/>
          <w:shd w:val="clear" w:color="auto" w:fill="FFFFFF"/>
          <w:lang w:val="es-ES"/>
        </w:rPr>
        <w:t>Caso Amrhein y otros Vs. Costa Rica</w:t>
      </w:r>
      <w:r w:rsidRPr="00FA73F6">
        <w:rPr>
          <w:rFonts w:ascii="Cambria" w:hAnsi="Cambria"/>
          <w:bCs/>
          <w:sz w:val="16"/>
          <w:szCs w:val="16"/>
          <w:shd w:val="clear" w:color="auto" w:fill="FFFFFF"/>
          <w:lang w:val="es-ES"/>
        </w:rPr>
        <w:t xml:space="preserve">. Excepciones Preliminares, Fondo, Reparaciones y Costas. </w:t>
      </w:r>
      <w:r w:rsidRPr="00CE3C79">
        <w:rPr>
          <w:rFonts w:ascii="Cambria" w:hAnsi="Cambria"/>
          <w:bCs/>
          <w:sz w:val="16"/>
          <w:szCs w:val="16"/>
          <w:shd w:val="clear" w:color="auto" w:fill="FFFFFF"/>
          <w:lang w:val="es-US"/>
        </w:rPr>
        <w:t>Sentencia de 25 de abril de 2018. Serie C No. 354. Párr. 260.</w:t>
      </w:r>
    </w:p>
  </w:footnote>
  <w:footnote w:id="13">
    <w:p w14:paraId="61E44440" w14:textId="77777777" w:rsidR="00CD17F6" w:rsidRPr="00C70A03" w:rsidRDefault="00CD17F6" w:rsidP="00CD17F6">
      <w:pPr>
        <w:pStyle w:val="FootnoteText"/>
        <w:ind w:firstLine="720"/>
        <w:jc w:val="both"/>
        <w:rPr>
          <w:rFonts w:asciiTheme="majorHAnsi" w:hAnsiTheme="majorHAnsi"/>
          <w:color w:val="auto"/>
          <w:sz w:val="16"/>
          <w:szCs w:val="16"/>
          <w:lang w:val="es-US"/>
        </w:rPr>
      </w:pPr>
      <w:r w:rsidRPr="00534D20">
        <w:rPr>
          <w:rStyle w:val="FootnoteReference"/>
          <w:rFonts w:ascii="Cambria" w:hAnsi="Cambria"/>
          <w:sz w:val="16"/>
          <w:szCs w:val="16"/>
          <w:lang w:val="es-ES"/>
        </w:rPr>
        <w:footnoteRef/>
      </w:r>
      <w:r w:rsidRPr="00534D20">
        <w:rPr>
          <w:rFonts w:ascii="Cambria" w:hAnsi="Cambria"/>
          <w:sz w:val="16"/>
          <w:szCs w:val="16"/>
          <w:lang w:val="es-ES"/>
        </w:rPr>
        <w:t xml:space="preserve"> </w:t>
      </w:r>
      <w:r w:rsidRPr="00534D20">
        <w:rPr>
          <w:rFonts w:ascii="Cambria" w:hAnsi="Cambria"/>
          <w:bCs/>
          <w:sz w:val="16"/>
          <w:szCs w:val="16"/>
          <w:shd w:val="clear" w:color="auto" w:fill="FFFFFF"/>
          <w:lang w:val="es-ES"/>
        </w:rPr>
        <w:t xml:space="preserve">Corte IDH. </w:t>
      </w:r>
      <w:r w:rsidRPr="00534D20">
        <w:rPr>
          <w:rFonts w:ascii="Cambria" w:hAnsi="Cambria"/>
          <w:bCs/>
          <w:i/>
          <w:sz w:val="16"/>
          <w:szCs w:val="16"/>
          <w:shd w:val="clear" w:color="auto" w:fill="FFFFFF"/>
          <w:lang w:val="es-ES"/>
        </w:rPr>
        <w:t>Caso Amrhein y otros Vs. Costa Rica</w:t>
      </w:r>
      <w:r w:rsidRPr="00534D20">
        <w:rPr>
          <w:rFonts w:ascii="Cambria" w:hAnsi="Cambria"/>
          <w:bCs/>
          <w:sz w:val="16"/>
          <w:szCs w:val="16"/>
          <w:shd w:val="clear" w:color="auto" w:fill="FFFFFF"/>
          <w:lang w:val="es-ES"/>
        </w:rPr>
        <w:t xml:space="preserve">. Excepciones Preliminares, Fondo, Reparaciones y Costas. Sentencia de 25 de abril de </w:t>
      </w:r>
      <w:r w:rsidRPr="00090967">
        <w:rPr>
          <w:rFonts w:ascii="Cambria" w:hAnsi="Cambria"/>
          <w:bCs/>
          <w:sz w:val="16"/>
          <w:szCs w:val="16"/>
          <w:shd w:val="clear" w:color="auto" w:fill="FFFFFF"/>
          <w:lang w:val="es-ES"/>
        </w:rPr>
        <w:t xml:space="preserve">2018. Serie </w:t>
      </w:r>
      <w:r w:rsidRPr="0013395A">
        <w:rPr>
          <w:rFonts w:asciiTheme="majorHAnsi" w:hAnsiTheme="majorHAnsi"/>
          <w:bCs/>
          <w:sz w:val="16"/>
          <w:szCs w:val="16"/>
          <w:shd w:val="clear" w:color="auto" w:fill="FFFFFF"/>
          <w:lang w:val="es-ES"/>
        </w:rPr>
        <w:t xml:space="preserve">C No. 354. Párr. </w:t>
      </w:r>
      <w:r w:rsidRPr="00C70A03">
        <w:rPr>
          <w:rFonts w:asciiTheme="majorHAnsi" w:hAnsiTheme="majorHAnsi"/>
          <w:bCs/>
          <w:color w:val="auto"/>
          <w:sz w:val="16"/>
          <w:szCs w:val="16"/>
          <w:shd w:val="clear" w:color="auto" w:fill="FFFFFF"/>
          <w:lang w:val="es-ES"/>
        </w:rPr>
        <w:t xml:space="preserve">266. </w:t>
      </w:r>
    </w:p>
  </w:footnote>
  <w:footnote w:id="14">
    <w:p w14:paraId="352779C0" w14:textId="77777777" w:rsidR="00B115D6" w:rsidRPr="001272CB" w:rsidRDefault="00B115D6" w:rsidP="00B115D6">
      <w:pPr>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14690A">
        <w:rPr>
          <w:rFonts w:asciiTheme="majorHAnsi" w:hAnsiTheme="majorHAnsi"/>
          <w:sz w:val="16"/>
          <w:szCs w:val="16"/>
          <w:lang w:val="es-US"/>
        </w:rPr>
        <w:t xml:space="preserve"> </w:t>
      </w:r>
      <w:r w:rsidRPr="0014690A">
        <w:rPr>
          <w:rFonts w:asciiTheme="majorHAnsi" w:hAnsiTheme="majorHAnsi"/>
          <w:bCs/>
          <w:sz w:val="16"/>
          <w:szCs w:val="16"/>
          <w:shd w:val="clear" w:color="auto" w:fill="FFFFFF"/>
          <w:lang w:val="es-US"/>
        </w:rPr>
        <w:t xml:space="preserve">Corte IDH. Caso Herrera Ulloa Vs. </w:t>
      </w:r>
      <w:r w:rsidRPr="001272CB">
        <w:rPr>
          <w:rFonts w:asciiTheme="majorHAnsi" w:hAnsiTheme="majorHAnsi"/>
          <w:bCs/>
          <w:sz w:val="16"/>
          <w:szCs w:val="16"/>
          <w:shd w:val="clear" w:color="auto" w:fill="FFFFFF"/>
          <w:lang w:val="es-PE"/>
        </w:rPr>
        <w:t xml:space="preserve">Costa Rica. Excepciones Preliminares, Fondo, Reparaciones y Costas. Sentencia de 2 de julio de 2004. Serie C No. 107. Párr. 158 a 161; Corte IDH. Caso Mendoza y otros Vs. Argentina. Excepciones Preliminares, Fondo y Reparaciones. Sentencia de 14 de mayo de 2013. Serie C No. 260. Párr. 242. </w:t>
      </w:r>
      <w:r w:rsidRPr="001272CB">
        <w:rPr>
          <w:rFonts w:asciiTheme="majorHAnsi" w:hAnsiTheme="majorHAnsi"/>
          <w:sz w:val="16"/>
          <w:szCs w:val="16"/>
          <w:lang w:val="es-PE"/>
        </w:rPr>
        <w:t xml:space="preserve"> </w:t>
      </w:r>
    </w:p>
  </w:footnote>
  <w:footnote w:id="15">
    <w:p w14:paraId="46769BC8" w14:textId="77777777" w:rsidR="00B115D6" w:rsidRPr="001272CB" w:rsidRDefault="00B115D6" w:rsidP="00B115D6">
      <w:pPr>
        <w:pStyle w:val="NormalWeb"/>
        <w:spacing w:before="0" w:beforeAutospacing="0" w:after="0" w:afterAutospacing="0"/>
        <w:ind w:firstLine="720"/>
        <w:jc w:val="both"/>
        <w:rPr>
          <w:rFonts w:asciiTheme="majorHAnsi" w:hAnsiTheme="majorHAnsi"/>
          <w:sz w:val="16"/>
          <w:szCs w:val="16"/>
          <w:lang w:val="es-PE"/>
        </w:rPr>
      </w:pPr>
      <w:r w:rsidRPr="001272CB">
        <w:rPr>
          <w:rStyle w:val="FootnoteReference"/>
          <w:rFonts w:asciiTheme="majorHAnsi" w:eastAsia="Trebuchet MS" w:hAnsiTheme="majorHAnsi"/>
          <w:sz w:val="16"/>
          <w:szCs w:val="16"/>
          <w:lang w:val="es-PE"/>
        </w:rPr>
        <w:footnoteRef/>
      </w:r>
      <w:r w:rsidRPr="001272CB">
        <w:rPr>
          <w:rFonts w:asciiTheme="majorHAnsi" w:hAnsiTheme="majorHAnsi"/>
          <w:sz w:val="16"/>
          <w:szCs w:val="16"/>
          <w:lang w:val="es-PE"/>
        </w:rPr>
        <w:t xml:space="preserve"> </w:t>
      </w:r>
      <w:r w:rsidRPr="001272CB">
        <w:rPr>
          <w:rFonts w:asciiTheme="majorHAnsi" w:hAnsiTheme="majorHAnsi" w:cs="Calibri"/>
          <w:sz w:val="16"/>
          <w:szCs w:val="16"/>
          <w:lang w:val="es-PE"/>
        </w:rPr>
        <w:t xml:space="preserve">Corte IDH., </w:t>
      </w:r>
      <w:r w:rsidRPr="001272CB">
        <w:rPr>
          <w:rFonts w:asciiTheme="majorHAnsi" w:hAnsiTheme="majorHAnsi" w:cs="Calibri"/>
          <w:iCs/>
          <w:sz w:val="16"/>
          <w:szCs w:val="16"/>
          <w:lang w:val="es-PE"/>
        </w:rPr>
        <w:t>Caso Herrera Ulloa Vs. Costa Rica</w:t>
      </w:r>
      <w:r w:rsidRPr="001272CB">
        <w:rPr>
          <w:rFonts w:asciiTheme="majorHAnsi" w:hAnsiTheme="majorHAnsi" w:cs="Calibri"/>
          <w:sz w:val="16"/>
          <w:szCs w:val="16"/>
          <w:lang w:val="es-PE"/>
        </w:rPr>
        <w:t xml:space="preserve">. Sentencia de Excepciones Preliminares, Fondo, Reparaciones y Costas. 2 de julio de 2004. Serie C No. 107, párr. 165; ONU, Comité́ de Derechos Humanos. </w:t>
      </w:r>
      <w:r w:rsidRPr="001272CB">
        <w:rPr>
          <w:rFonts w:asciiTheme="majorHAnsi" w:hAnsiTheme="majorHAnsi" w:cs="Calibri"/>
          <w:iCs/>
          <w:sz w:val="16"/>
          <w:szCs w:val="16"/>
          <w:lang w:val="es-PE"/>
        </w:rPr>
        <w:t>Gómez Vázquez v. España</w:t>
      </w:r>
      <w:r w:rsidRPr="001272CB">
        <w:rPr>
          <w:rFonts w:asciiTheme="majorHAnsi" w:hAnsiTheme="majorHAnsi" w:cs="Calibri"/>
          <w:sz w:val="16"/>
          <w:szCs w:val="16"/>
          <w:lang w:val="es-PE"/>
        </w:rPr>
        <w:t xml:space="preserve">. Comunicación No. 701/1996. Decisión de 11 de agosto de 2000, párr. 11.1. </w:t>
      </w:r>
    </w:p>
  </w:footnote>
  <w:footnote w:id="16">
    <w:p w14:paraId="4F432A1D" w14:textId="77777777" w:rsidR="00B115D6" w:rsidRPr="001272CB" w:rsidRDefault="00B115D6" w:rsidP="00B115D6">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181284">
        <w:rPr>
          <w:rFonts w:asciiTheme="majorHAnsi" w:hAnsiTheme="majorHAnsi"/>
          <w:sz w:val="16"/>
          <w:szCs w:val="16"/>
          <w:lang w:val="es-ES"/>
        </w:rPr>
        <w:t xml:space="preserve"> Corte IDH., </w:t>
      </w:r>
      <w:r w:rsidRPr="00181284">
        <w:rPr>
          <w:rFonts w:asciiTheme="majorHAnsi" w:hAnsiTheme="majorHAnsi"/>
          <w:iCs/>
          <w:sz w:val="16"/>
          <w:szCs w:val="16"/>
          <w:lang w:val="es-ES"/>
        </w:rPr>
        <w:t xml:space="preserve">Caso Herrera Ulloa Vs. </w:t>
      </w:r>
      <w:r w:rsidRPr="001272CB">
        <w:rPr>
          <w:rFonts w:asciiTheme="majorHAnsi" w:hAnsiTheme="majorHAnsi"/>
          <w:iCs/>
          <w:sz w:val="16"/>
          <w:szCs w:val="16"/>
          <w:lang w:val="es-PE"/>
        </w:rPr>
        <w:t>Costa Rica</w:t>
      </w:r>
      <w:r w:rsidRPr="001272CB">
        <w:rPr>
          <w:rFonts w:asciiTheme="majorHAnsi" w:hAnsiTheme="majorHAnsi"/>
          <w:sz w:val="16"/>
          <w:szCs w:val="16"/>
          <w:lang w:val="es-PE"/>
        </w:rPr>
        <w:t>. Sentencia de Excepciones Preliminares, Fondo, Reparaciones y Costas. 2 de julio de 2004. Serie C No. 107, párr. 158</w:t>
      </w:r>
    </w:p>
  </w:footnote>
  <w:footnote w:id="17">
    <w:p w14:paraId="5EB367EF" w14:textId="77777777" w:rsidR="00B115D6" w:rsidRPr="001272CB" w:rsidRDefault="00B115D6" w:rsidP="00B115D6">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181284">
        <w:rPr>
          <w:rFonts w:asciiTheme="majorHAnsi" w:hAnsiTheme="majorHAnsi"/>
          <w:sz w:val="16"/>
          <w:szCs w:val="16"/>
          <w:lang w:val="es-PE"/>
        </w:rPr>
        <w:t xml:space="preserve"> Corte IDH. </w:t>
      </w:r>
      <w:r w:rsidRPr="00181284">
        <w:rPr>
          <w:rFonts w:asciiTheme="majorHAnsi" w:hAnsiTheme="majorHAnsi"/>
          <w:iCs/>
          <w:sz w:val="16"/>
          <w:szCs w:val="16"/>
          <w:lang w:val="es-PE"/>
        </w:rPr>
        <w:t xml:space="preserve">Caso Barreto Leiva Vs. </w:t>
      </w:r>
      <w:r w:rsidRPr="001272CB">
        <w:rPr>
          <w:rFonts w:asciiTheme="majorHAnsi" w:hAnsiTheme="majorHAnsi"/>
          <w:iCs/>
          <w:sz w:val="16"/>
          <w:szCs w:val="16"/>
          <w:lang w:val="es-PE"/>
        </w:rPr>
        <w:t xml:space="preserve">Venezuela. </w:t>
      </w:r>
      <w:r w:rsidRPr="001272CB">
        <w:rPr>
          <w:rFonts w:asciiTheme="majorHAnsi" w:hAnsiTheme="majorHAnsi"/>
          <w:sz w:val="16"/>
          <w:szCs w:val="16"/>
          <w:lang w:val="es-PE"/>
        </w:rPr>
        <w:t>Sentencia de Fondo, Reparaciones y Costas 17 de noviembre de 2009. Serie C No. 206</w:t>
      </w:r>
      <w:r w:rsidRPr="001272CB">
        <w:rPr>
          <w:rFonts w:asciiTheme="majorHAnsi" w:hAnsiTheme="majorHAnsi"/>
          <w:iCs/>
          <w:sz w:val="16"/>
          <w:szCs w:val="16"/>
          <w:lang w:val="es-PE"/>
        </w:rPr>
        <w:t xml:space="preserve">, </w:t>
      </w:r>
      <w:r w:rsidRPr="001272CB">
        <w:rPr>
          <w:rFonts w:asciiTheme="majorHAnsi" w:hAnsiTheme="majorHAnsi"/>
          <w:sz w:val="16"/>
          <w:szCs w:val="16"/>
          <w:lang w:val="es-PE"/>
        </w:rPr>
        <w:t>párr. 90.</w:t>
      </w:r>
    </w:p>
  </w:footnote>
  <w:footnote w:id="18">
    <w:p w14:paraId="23A72E04" w14:textId="77777777" w:rsidR="00B115D6" w:rsidRPr="001272CB" w:rsidRDefault="00B115D6" w:rsidP="00B115D6">
      <w:pPr>
        <w:pStyle w:val="FootnoteText"/>
        <w:ind w:firstLine="720"/>
        <w:jc w:val="both"/>
        <w:rPr>
          <w:rFonts w:asciiTheme="majorHAnsi" w:hAnsiTheme="majorHAnsi"/>
          <w:sz w:val="16"/>
          <w:szCs w:val="16"/>
          <w:lang w:val="es-PE"/>
        </w:rPr>
      </w:pPr>
      <w:r w:rsidRPr="001272CB">
        <w:rPr>
          <w:rStyle w:val="FootnoteReference"/>
          <w:rFonts w:asciiTheme="majorHAnsi" w:hAnsiTheme="majorHAnsi"/>
          <w:sz w:val="16"/>
          <w:szCs w:val="16"/>
          <w:lang w:val="es-PE"/>
        </w:rPr>
        <w:footnoteRef/>
      </w:r>
      <w:r w:rsidRPr="001272CB">
        <w:rPr>
          <w:rFonts w:asciiTheme="majorHAnsi" w:hAnsiTheme="majorHAnsi"/>
          <w:sz w:val="16"/>
          <w:szCs w:val="16"/>
          <w:lang w:val="es-PE"/>
        </w:rPr>
        <w:t xml:space="preserve"> </w:t>
      </w:r>
      <w:r w:rsidRPr="002433B3">
        <w:rPr>
          <w:rStyle w:val="Strong"/>
          <w:rFonts w:asciiTheme="majorHAnsi" w:eastAsia="Cambria" w:hAnsiTheme="majorHAnsi"/>
          <w:b w:val="0"/>
          <w:bCs w:val="0"/>
          <w:sz w:val="16"/>
          <w:szCs w:val="16"/>
          <w:shd w:val="clear" w:color="auto" w:fill="FFFFFF"/>
          <w:lang w:val="es-PE"/>
        </w:rPr>
        <w:t>Corte IDH.</w:t>
      </w:r>
      <w:r w:rsidRPr="001272CB">
        <w:rPr>
          <w:rStyle w:val="Strong"/>
          <w:rFonts w:asciiTheme="majorHAnsi" w:eastAsia="Cambria" w:hAnsiTheme="majorHAnsi"/>
          <w:sz w:val="16"/>
          <w:szCs w:val="16"/>
          <w:shd w:val="clear" w:color="auto" w:fill="FFFFFF"/>
          <w:lang w:val="es-PE"/>
        </w:rPr>
        <w:t xml:space="preserve"> </w:t>
      </w:r>
      <w:r w:rsidRPr="001272CB">
        <w:rPr>
          <w:rFonts w:asciiTheme="majorHAnsi" w:hAnsiTheme="majorHAnsi"/>
          <w:sz w:val="16"/>
          <w:szCs w:val="16"/>
          <w:shd w:val="clear" w:color="auto" w:fill="FFFFFF"/>
          <w:lang w:val="es-PE"/>
        </w:rPr>
        <w:t>Caso Amrhein y otros Vs. Costa Rica. Excepciones Preliminares, Fondo, Reparaciones y Costas. Sentencia de 25 de abril de 2018. Serie C No. 354. Párr. 272 a 274.</w:t>
      </w:r>
    </w:p>
  </w:footnote>
  <w:footnote w:id="19">
    <w:p w14:paraId="5F9D2266" w14:textId="77777777" w:rsidR="00B115D6" w:rsidRPr="002433B3" w:rsidRDefault="00B115D6" w:rsidP="00B115D6">
      <w:pPr>
        <w:pStyle w:val="FootnoteText"/>
        <w:ind w:firstLine="720"/>
        <w:jc w:val="both"/>
        <w:rPr>
          <w:b/>
          <w:bCs/>
          <w:sz w:val="16"/>
          <w:szCs w:val="16"/>
          <w:lang w:val="es-US"/>
        </w:rPr>
      </w:pPr>
      <w:r w:rsidRPr="002433B3">
        <w:rPr>
          <w:rStyle w:val="FootnoteReference"/>
          <w:rFonts w:asciiTheme="majorHAnsi" w:hAnsiTheme="majorHAnsi"/>
          <w:b/>
          <w:bCs/>
          <w:sz w:val="16"/>
          <w:szCs w:val="16"/>
          <w:lang w:val="es-PE"/>
        </w:rPr>
        <w:footnoteRef/>
      </w:r>
      <w:r w:rsidRPr="002433B3">
        <w:rPr>
          <w:rFonts w:asciiTheme="majorHAnsi" w:hAnsiTheme="majorHAnsi"/>
          <w:b/>
          <w:bCs/>
          <w:sz w:val="16"/>
          <w:szCs w:val="16"/>
          <w:lang w:val="es-PE"/>
        </w:rPr>
        <w:t xml:space="preserve"> </w:t>
      </w:r>
      <w:r w:rsidRPr="002433B3">
        <w:rPr>
          <w:rStyle w:val="Strong"/>
          <w:rFonts w:asciiTheme="majorHAnsi" w:eastAsia="Cambria" w:hAnsiTheme="majorHAnsi"/>
          <w:b w:val="0"/>
          <w:bCs w:val="0"/>
          <w:sz w:val="16"/>
          <w:szCs w:val="16"/>
          <w:shd w:val="clear" w:color="auto" w:fill="FFFFFF"/>
          <w:lang w:val="es-PE"/>
        </w:rPr>
        <w:t xml:space="preserve">Corte IDH. Caso Norín Catrimán y otros (Dirigentes, Miembros y Activista del Pueblo Indígena Mapuche) Vs. Chile. Fondo, Reparaciones y Costas. Sentencia de 29 de mayo de 2014. Serie C No. 279. Párr. 270. </w:t>
      </w:r>
      <w:r w:rsidRPr="002433B3">
        <w:rPr>
          <w:rFonts w:asciiTheme="majorHAnsi" w:hAnsiTheme="majorHAnsi"/>
          <w:b/>
          <w:bCs/>
          <w:sz w:val="16"/>
          <w:szCs w:val="16"/>
          <w:lang w:val="es-PE"/>
        </w:rPr>
        <w:t xml:space="preserve">  </w:t>
      </w:r>
    </w:p>
  </w:footnote>
  <w:footnote w:id="20">
    <w:p w14:paraId="2A3D7FD1" w14:textId="77777777" w:rsidR="00B115D6" w:rsidRPr="001272CB" w:rsidRDefault="00B115D6" w:rsidP="00B115D6">
      <w:pPr>
        <w:pStyle w:val="FootnoteText"/>
        <w:ind w:firstLine="720"/>
        <w:jc w:val="both"/>
        <w:rPr>
          <w:rFonts w:ascii="Cambria" w:hAnsi="Cambria"/>
          <w:sz w:val="16"/>
          <w:szCs w:val="16"/>
          <w:lang w:val="es-AR"/>
        </w:rPr>
      </w:pPr>
      <w:r w:rsidRPr="001272CB">
        <w:rPr>
          <w:rStyle w:val="FootnoteReference"/>
          <w:rFonts w:ascii="Cambria" w:hAnsi="Cambria"/>
          <w:sz w:val="16"/>
          <w:szCs w:val="16"/>
        </w:rPr>
        <w:footnoteRef/>
      </w:r>
      <w:r w:rsidRPr="001272CB">
        <w:rPr>
          <w:rFonts w:ascii="Cambria" w:hAnsi="Cambria"/>
          <w:sz w:val="16"/>
          <w:szCs w:val="16"/>
          <w:lang w:val="es-AR"/>
        </w:rPr>
        <w:t xml:space="preserve"> CIDH. Informe No. 55/97. Caso 11.137. Fondo. Juan Carlos Abella. Argentina. 18 de noviembre de 1997. Párr. 261. </w:t>
      </w:r>
    </w:p>
  </w:footnote>
  <w:footnote w:id="21">
    <w:p w14:paraId="145D49D3" w14:textId="77777777" w:rsidR="00B115D6" w:rsidRPr="008B0B56" w:rsidRDefault="00B115D6" w:rsidP="00B115D6">
      <w:pPr>
        <w:pStyle w:val="NormalWeb"/>
        <w:spacing w:before="0" w:beforeAutospacing="0" w:after="0" w:afterAutospacing="0"/>
        <w:ind w:firstLine="720"/>
        <w:jc w:val="both"/>
        <w:rPr>
          <w:rFonts w:ascii="Cambria" w:hAnsi="Cambria"/>
          <w:sz w:val="16"/>
          <w:szCs w:val="16"/>
          <w:lang w:val="es-ES"/>
        </w:rPr>
      </w:pPr>
      <w:r w:rsidRPr="001272CB">
        <w:rPr>
          <w:rStyle w:val="FootnoteReference"/>
          <w:rFonts w:ascii="Cambria" w:eastAsia="Trebuchet MS" w:hAnsi="Cambria"/>
          <w:sz w:val="16"/>
          <w:szCs w:val="16"/>
          <w:lang w:val="es-ES"/>
        </w:rPr>
        <w:footnoteRef/>
      </w:r>
      <w:r w:rsidRPr="001272CB">
        <w:rPr>
          <w:rFonts w:ascii="Cambria" w:hAnsi="Cambria"/>
          <w:sz w:val="16"/>
          <w:szCs w:val="16"/>
          <w:lang w:val="es-ES"/>
        </w:rPr>
        <w:t xml:space="preserve"> </w:t>
      </w:r>
      <w:r w:rsidRPr="001272CB">
        <w:rPr>
          <w:rFonts w:ascii="Cambria" w:hAnsi="Cambria" w:cs="Calibri"/>
          <w:sz w:val="16"/>
          <w:szCs w:val="16"/>
          <w:lang w:val="es-ES"/>
        </w:rPr>
        <w:t xml:space="preserve">CIDH, Informe No. 172/10, Caso 12.561, Fondo, César Alberto Mendoza y otros (Prisión y reclusión perpetuas de adolescentes), Argentina, 2 de noviembre de 2010, párr. 189.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401BB" w14:textId="77777777" w:rsidR="00A50FCF" w:rsidRDefault="00A50FCF" w:rsidP="00A50FCF">
    <w:pPr>
      <w:pStyle w:val="Header"/>
      <w:tabs>
        <w:tab w:val="clear" w:pos="4320"/>
        <w:tab w:val="clear" w:pos="8640"/>
      </w:tabs>
      <w:jc w:val="center"/>
      <w:rPr>
        <w:sz w:val="22"/>
        <w:szCs w:val="22"/>
      </w:rPr>
    </w:pPr>
    <w:r>
      <w:rPr>
        <w:noProof/>
        <w:sz w:val="22"/>
        <w:szCs w:val="22"/>
        <w:lang w:val="es-419" w:eastAsia="es-419"/>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DC3C8E"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BDC6D77E"/>
    <w:lvl w:ilvl="0" w:tplc="7D6E4100">
      <w:start w:val="1"/>
      <w:numFmt w:val="decimal"/>
      <w:lvlText w:val="%1."/>
      <w:lvlJc w:val="left"/>
      <w:pPr>
        <w:tabs>
          <w:tab w:val="num" w:pos="720"/>
        </w:tabs>
        <w:ind w:left="0" w:firstLine="720"/>
      </w:pPr>
      <w:rPr>
        <w:rFonts w:hint="default"/>
        <w:b w:val="0"/>
        <w:bCs w:val="0"/>
        <w:i w:val="0"/>
        <w:iCs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2065057153">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16cid:durableId="299000730">
    <w:abstractNumId w:val="5"/>
  </w:num>
  <w:num w:numId="3" w16cid:durableId="1377241164">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16cid:durableId="274292859">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16cid:durableId="1420520311">
    <w:abstractNumId w:val="7"/>
  </w:num>
  <w:num w:numId="6" w16cid:durableId="233206698">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16cid:durableId="1713266273">
    <w:abstractNumId w:val="60"/>
  </w:num>
  <w:num w:numId="8" w16cid:durableId="2068602545">
    <w:abstractNumId w:val="23"/>
  </w:num>
  <w:num w:numId="9" w16cid:durableId="1616525600">
    <w:abstractNumId w:val="51"/>
  </w:num>
  <w:num w:numId="10" w16cid:durableId="1097168266">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16cid:durableId="1902403871">
    <w:abstractNumId w:val="29"/>
  </w:num>
  <w:num w:numId="12" w16cid:durableId="998582662">
    <w:abstractNumId w:val="58"/>
  </w:num>
  <w:num w:numId="13" w16cid:durableId="117527065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16cid:durableId="1940526860">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16cid:durableId="163363596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16cid:durableId="144973994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16cid:durableId="140590903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16cid:durableId="1889141467">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16cid:durableId="1174995086">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16cid:durableId="2142066646">
    <w:abstractNumId w:val="8"/>
  </w:num>
  <w:num w:numId="21" w16cid:durableId="954404290">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16cid:durableId="1398673481">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16cid:durableId="2031177379">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16cid:durableId="225145085">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16cid:durableId="341274347">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16cid:durableId="1828008149">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16cid:durableId="242109799">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16cid:durableId="663240565">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16cid:durableId="1622682712">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16cid:durableId="914515378">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16cid:durableId="1658193735">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16cid:durableId="524832573">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16cid:durableId="366488650">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16cid:durableId="750809682">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16cid:durableId="1861747358">
    <w:abstractNumId w:val="19"/>
  </w:num>
  <w:num w:numId="36" w16cid:durableId="480005394">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16cid:durableId="902371158">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16cid:durableId="1294868507">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16cid:durableId="1129207172">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16cid:durableId="2027058377">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16cid:durableId="1688628619">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16cid:durableId="1025256902">
    <w:abstractNumId w:val="41"/>
  </w:num>
  <w:num w:numId="43" w16cid:durableId="738096386">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16cid:durableId="1205827895">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16cid:durableId="615064692">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16cid:durableId="1737630465">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16cid:durableId="1133913171">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16cid:durableId="1797291766">
    <w:abstractNumId w:val="66"/>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16cid:durableId="1587574653">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16cid:durableId="1448817741">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16cid:durableId="102886926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16cid:durableId="1866940441">
    <w:abstractNumId w:val="45"/>
  </w:num>
  <w:num w:numId="53" w16cid:durableId="251017014">
    <w:abstractNumId w:val="0"/>
  </w:num>
  <w:num w:numId="54" w16cid:durableId="2134210098">
    <w:abstractNumId w:val="40"/>
  </w:num>
  <w:num w:numId="55" w16cid:durableId="608663301">
    <w:abstractNumId w:val="41"/>
  </w:num>
  <w:num w:numId="56" w16cid:durableId="255601910">
    <w:abstractNumId w:val="47"/>
  </w:num>
  <w:num w:numId="57" w16cid:durableId="1761757703">
    <w:abstractNumId w:val="1"/>
  </w:num>
  <w:num w:numId="58" w16cid:durableId="1186796706">
    <w:abstractNumId w:val="2"/>
  </w:num>
  <w:num w:numId="59" w16cid:durableId="1606693034">
    <w:abstractNumId w:val="9"/>
  </w:num>
  <w:num w:numId="60" w16cid:durableId="1738476247">
    <w:abstractNumId w:val="10"/>
  </w:num>
  <w:num w:numId="61" w16cid:durableId="1484001738">
    <w:abstractNumId w:val="11"/>
  </w:num>
  <w:num w:numId="62" w16cid:durableId="866941465">
    <w:abstractNumId w:val="12"/>
  </w:num>
  <w:num w:numId="63" w16cid:durableId="891114917">
    <w:abstractNumId w:val="13"/>
  </w:num>
  <w:num w:numId="64" w16cid:durableId="1852600886">
    <w:abstractNumId w:val="15"/>
  </w:num>
  <w:num w:numId="65" w16cid:durableId="925655403">
    <w:abstractNumId w:val="16"/>
  </w:num>
  <w:num w:numId="66" w16cid:durableId="1122456303">
    <w:abstractNumId w:val="17"/>
  </w:num>
  <w:num w:numId="67" w16cid:durableId="2034264947">
    <w:abstractNumId w:val="18"/>
  </w:num>
  <w:num w:numId="68" w16cid:durableId="943655646">
    <w:abstractNumId w:val="20"/>
  </w:num>
  <w:num w:numId="69" w16cid:durableId="48573556">
    <w:abstractNumId w:val="21"/>
  </w:num>
  <w:num w:numId="70" w16cid:durableId="1714845553">
    <w:abstractNumId w:val="24"/>
  </w:num>
  <w:num w:numId="71" w16cid:durableId="43258639">
    <w:abstractNumId w:val="25"/>
  </w:num>
  <w:num w:numId="72" w16cid:durableId="1533766946">
    <w:abstractNumId w:val="26"/>
  </w:num>
  <w:num w:numId="73" w16cid:durableId="1375960398">
    <w:abstractNumId w:val="28"/>
  </w:num>
  <w:num w:numId="74" w16cid:durableId="142351334">
    <w:abstractNumId w:val="30"/>
  </w:num>
  <w:num w:numId="75" w16cid:durableId="179467967">
    <w:abstractNumId w:val="32"/>
  </w:num>
  <w:num w:numId="76" w16cid:durableId="1445685242">
    <w:abstractNumId w:val="33"/>
  </w:num>
  <w:num w:numId="77" w16cid:durableId="2049792361">
    <w:abstractNumId w:val="34"/>
  </w:num>
  <w:num w:numId="78" w16cid:durableId="1766075673">
    <w:abstractNumId w:val="35"/>
  </w:num>
  <w:num w:numId="79" w16cid:durableId="1193613694">
    <w:abstractNumId w:val="36"/>
  </w:num>
  <w:num w:numId="80" w16cid:durableId="1731923604">
    <w:abstractNumId w:val="37"/>
  </w:num>
  <w:num w:numId="81" w16cid:durableId="1266036850">
    <w:abstractNumId w:val="38"/>
  </w:num>
  <w:num w:numId="82" w16cid:durableId="1881671385">
    <w:abstractNumId w:val="42"/>
  </w:num>
  <w:num w:numId="83" w16cid:durableId="1301611395">
    <w:abstractNumId w:val="43"/>
  </w:num>
  <w:num w:numId="84" w16cid:durableId="1131166778">
    <w:abstractNumId w:val="49"/>
  </w:num>
  <w:num w:numId="85" w16cid:durableId="507405131">
    <w:abstractNumId w:val="52"/>
  </w:num>
  <w:num w:numId="86" w16cid:durableId="147091870">
    <w:abstractNumId w:val="55"/>
  </w:num>
  <w:num w:numId="87" w16cid:durableId="655454458">
    <w:abstractNumId w:val="57"/>
  </w:num>
  <w:num w:numId="88" w16cid:durableId="1812089391">
    <w:abstractNumId w:val="59"/>
  </w:num>
  <w:num w:numId="89" w16cid:durableId="515115365">
    <w:abstractNumId w:val="61"/>
  </w:num>
  <w:num w:numId="90" w16cid:durableId="1221944455">
    <w:abstractNumId w:val="62"/>
  </w:num>
  <w:num w:numId="91" w16cid:durableId="908535618">
    <w:abstractNumId w:val="63"/>
  </w:num>
  <w:num w:numId="92" w16cid:durableId="825898735">
    <w:abstractNumId w:val="64"/>
  </w:num>
  <w:num w:numId="93" w16cid:durableId="49690932">
    <w:abstractNumId w:val="66"/>
  </w:num>
  <w:num w:numId="94" w16cid:durableId="2095399920">
    <w:abstractNumId w:val="22"/>
  </w:num>
  <w:num w:numId="95" w16cid:durableId="1435326325">
    <w:abstractNumId w:val="44"/>
  </w:num>
  <w:num w:numId="96" w16cid:durableId="935866318">
    <w:abstractNumId w:val="56"/>
  </w:num>
  <w:num w:numId="97" w16cid:durableId="2089502159">
    <w:abstractNumId w:val="53"/>
  </w:num>
  <w:num w:numId="98" w16cid:durableId="749347125">
    <w:abstractNumId w:val="48"/>
  </w:num>
  <w:num w:numId="99" w16cid:durableId="456994649">
    <w:abstractNumId w:val="39"/>
  </w:num>
  <w:num w:numId="100" w16cid:durableId="378870339">
    <w:abstractNumId w:val="3"/>
  </w:num>
  <w:num w:numId="101" w16cid:durableId="1289773468">
    <w:abstractNumId w:val="27"/>
  </w:num>
  <w:num w:numId="102" w16cid:durableId="1186287539">
    <w:abstractNumId w:val="50"/>
  </w:num>
  <w:num w:numId="103" w16cid:durableId="1458334191">
    <w:abstractNumId w:val="6"/>
  </w:num>
  <w:num w:numId="104" w16cid:durableId="913318813">
    <w:abstractNumId w:val="65"/>
  </w:num>
  <w:num w:numId="105" w16cid:durableId="589050340">
    <w:abstractNumId w:val="54"/>
  </w:num>
  <w:num w:numId="106" w16cid:durableId="836576904">
    <w:abstractNumId w:val="4"/>
  </w:num>
  <w:num w:numId="107" w16cid:durableId="1173912010">
    <w:abstractNumId w:val="31"/>
  </w:num>
  <w:num w:numId="108" w16cid:durableId="2116440378">
    <w:abstractNumId w:val="14"/>
  </w:num>
  <w:num w:numId="109" w16cid:durableId="1694842942">
    <w:abstractNumId w:val="46"/>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D5C"/>
    <w:rsid w:val="0000036F"/>
    <w:rsid w:val="00000CDA"/>
    <w:rsid w:val="00005412"/>
    <w:rsid w:val="00006E1F"/>
    <w:rsid w:val="000070D7"/>
    <w:rsid w:val="0001788C"/>
    <w:rsid w:val="00031C09"/>
    <w:rsid w:val="000337EF"/>
    <w:rsid w:val="00033A10"/>
    <w:rsid w:val="00040C3A"/>
    <w:rsid w:val="000419AD"/>
    <w:rsid w:val="000433C9"/>
    <w:rsid w:val="00045B52"/>
    <w:rsid w:val="000560E8"/>
    <w:rsid w:val="00056686"/>
    <w:rsid w:val="00067EFC"/>
    <w:rsid w:val="000716C5"/>
    <w:rsid w:val="00075E23"/>
    <w:rsid w:val="00084AAE"/>
    <w:rsid w:val="000869F7"/>
    <w:rsid w:val="00087200"/>
    <w:rsid w:val="0009344A"/>
    <w:rsid w:val="00096DCD"/>
    <w:rsid w:val="000A392E"/>
    <w:rsid w:val="000A575F"/>
    <w:rsid w:val="000B062C"/>
    <w:rsid w:val="000B239D"/>
    <w:rsid w:val="000B2D1A"/>
    <w:rsid w:val="000B795A"/>
    <w:rsid w:val="000B7BDE"/>
    <w:rsid w:val="000C2AA0"/>
    <w:rsid w:val="000C5A15"/>
    <w:rsid w:val="000C6B62"/>
    <w:rsid w:val="000D05CB"/>
    <w:rsid w:val="000D10DB"/>
    <w:rsid w:val="000E372B"/>
    <w:rsid w:val="000E4267"/>
    <w:rsid w:val="000E5EB5"/>
    <w:rsid w:val="000E6646"/>
    <w:rsid w:val="000F06B5"/>
    <w:rsid w:val="000F21CE"/>
    <w:rsid w:val="000F35ED"/>
    <w:rsid w:val="000F553A"/>
    <w:rsid w:val="001006EF"/>
    <w:rsid w:val="001056E4"/>
    <w:rsid w:val="00106252"/>
    <w:rsid w:val="00106DC8"/>
    <w:rsid w:val="00107131"/>
    <w:rsid w:val="0010736F"/>
    <w:rsid w:val="00113F73"/>
    <w:rsid w:val="00121CC2"/>
    <w:rsid w:val="00131425"/>
    <w:rsid w:val="001328BB"/>
    <w:rsid w:val="00133EE5"/>
    <w:rsid w:val="0014690A"/>
    <w:rsid w:val="00146B41"/>
    <w:rsid w:val="00147573"/>
    <w:rsid w:val="00154B81"/>
    <w:rsid w:val="00167A34"/>
    <w:rsid w:val="0017094D"/>
    <w:rsid w:val="00172250"/>
    <w:rsid w:val="001753AB"/>
    <w:rsid w:val="00181284"/>
    <w:rsid w:val="001A3700"/>
    <w:rsid w:val="001A7870"/>
    <w:rsid w:val="001B3A00"/>
    <w:rsid w:val="001C1B41"/>
    <w:rsid w:val="001C2C15"/>
    <w:rsid w:val="001C7D5F"/>
    <w:rsid w:val="001D65EF"/>
    <w:rsid w:val="001D7945"/>
    <w:rsid w:val="001E49E7"/>
    <w:rsid w:val="001F5511"/>
    <w:rsid w:val="001F659C"/>
    <w:rsid w:val="001F7201"/>
    <w:rsid w:val="0020204D"/>
    <w:rsid w:val="00210B73"/>
    <w:rsid w:val="00223A29"/>
    <w:rsid w:val="002250A3"/>
    <w:rsid w:val="00235217"/>
    <w:rsid w:val="002433B3"/>
    <w:rsid w:val="00244286"/>
    <w:rsid w:val="002469D2"/>
    <w:rsid w:val="00246D1F"/>
    <w:rsid w:val="00247403"/>
    <w:rsid w:val="00247542"/>
    <w:rsid w:val="00247FAA"/>
    <w:rsid w:val="002534DA"/>
    <w:rsid w:val="00254798"/>
    <w:rsid w:val="0026020D"/>
    <w:rsid w:val="00263E66"/>
    <w:rsid w:val="00265738"/>
    <w:rsid w:val="00266B61"/>
    <w:rsid w:val="0026712A"/>
    <w:rsid w:val="00267436"/>
    <w:rsid w:val="002704DB"/>
    <w:rsid w:val="002866C1"/>
    <w:rsid w:val="002868AD"/>
    <w:rsid w:val="00286EA9"/>
    <w:rsid w:val="00291293"/>
    <w:rsid w:val="002956AC"/>
    <w:rsid w:val="002A0AAE"/>
    <w:rsid w:val="002A2297"/>
    <w:rsid w:val="002A5820"/>
    <w:rsid w:val="002B2AB9"/>
    <w:rsid w:val="002B4563"/>
    <w:rsid w:val="002B6ED0"/>
    <w:rsid w:val="002B75EB"/>
    <w:rsid w:val="002D2B26"/>
    <w:rsid w:val="002D7EA2"/>
    <w:rsid w:val="002E03D9"/>
    <w:rsid w:val="002E187C"/>
    <w:rsid w:val="002E2EBB"/>
    <w:rsid w:val="002E3D1B"/>
    <w:rsid w:val="002E5381"/>
    <w:rsid w:val="002F1096"/>
    <w:rsid w:val="002F1716"/>
    <w:rsid w:val="002F414A"/>
    <w:rsid w:val="00302733"/>
    <w:rsid w:val="00303948"/>
    <w:rsid w:val="003075BE"/>
    <w:rsid w:val="00310356"/>
    <w:rsid w:val="00314078"/>
    <w:rsid w:val="0031535D"/>
    <w:rsid w:val="003239B8"/>
    <w:rsid w:val="00331632"/>
    <w:rsid w:val="0033169F"/>
    <w:rsid w:val="00342AF9"/>
    <w:rsid w:val="00344977"/>
    <w:rsid w:val="00346C95"/>
    <w:rsid w:val="00356185"/>
    <w:rsid w:val="00360380"/>
    <w:rsid w:val="00365E63"/>
    <w:rsid w:val="00371F31"/>
    <w:rsid w:val="00372151"/>
    <w:rsid w:val="0037519E"/>
    <w:rsid w:val="003770EE"/>
    <w:rsid w:val="00377313"/>
    <w:rsid w:val="003855D2"/>
    <w:rsid w:val="00386CF0"/>
    <w:rsid w:val="00391A9E"/>
    <w:rsid w:val="003A0035"/>
    <w:rsid w:val="003A0966"/>
    <w:rsid w:val="003A2583"/>
    <w:rsid w:val="003B0026"/>
    <w:rsid w:val="003B1A05"/>
    <w:rsid w:val="003B3458"/>
    <w:rsid w:val="003B70FB"/>
    <w:rsid w:val="003C0AE7"/>
    <w:rsid w:val="003C507B"/>
    <w:rsid w:val="003C676B"/>
    <w:rsid w:val="003D3BC2"/>
    <w:rsid w:val="003E6CA1"/>
    <w:rsid w:val="003E74F8"/>
    <w:rsid w:val="003F63AD"/>
    <w:rsid w:val="00405F9C"/>
    <w:rsid w:val="004065A8"/>
    <w:rsid w:val="004159DE"/>
    <w:rsid w:val="004165C2"/>
    <w:rsid w:val="00431239"/>
    <w:rsid w:val="00441524"/>
    <w:rsid w:val="00441E0D"/>
    <w:rsid w:val="00441ECB"/>
    <w:rsid w:val="004445EF"/>
    <w:rsid w:val="00445193"/>
    <w:rsid w:val="00450BFA"/>
    <w:rsid w:val="0046105F"/>
    <w:rsid w:val="00462C1B"/>
    <w:rsid w:val="00462DD6"/>
    <w:rsid w:val="00465CCE"/>
    <w:rsid w:val="00466DB2"/>
    <w:rsid w:val="00467B7E"/>
    <w:rsid w:val="00472E35"/>
    <w:rsid w:val="00473BB4"/>
    <w:rsid w:val="00477592"/>
    <w:rsid w:val="00481037"/>
    <w:rsid w:val="00486F1C"/>
    <w:rsid w:val="0048719B"/>
    <w:rsid w:val="0049419D"/>
    <w:rsid w:val="004A0CC6"/>
    <w:rsid w:val="004A5246"/>
    <w:rsid w:val="004A6A54"/>
    <w:rsid w:val="004B62AD"/>
    <w:rsid w:val="004B6C88"/>
    <w:rsid w:val="004C20D2"/>
    <w:rsid w:val="004C2312"/>
    <w:rsid w:val="004C2E3B"/>
    <w:rsid w:val="004C4B62"/>
    <w:rsid w:val="004C54C9"/>
    <w:rsid w:val="004D11C3"/>
    <w:rsid w:val="004D4ABA"/>
    <w:rsid w:val="004D51FD"/>
    <w:rsid w:val="004D6025"/>
    <w:rsid w:val="004E2649"/>
    <w:rsid w:val="004F23B8"/>
    <w:rsid w:val="004F43FC"/>
    <w:rsid w:val="004F626F"/>
    <w:rsid w:val="00501399"/>
    <w:rsid w:val="0050496D"/>
    <w:rsid w:val="00505F53"/>
    <w:rsid w:val="0050633D"/>
    <w:rsid w:val="005063AF"/>
    <w:rsid w:val="00507BC4"/>
    <w:rsid w:val="005128E4"/>
    <w:rsid w:val="005133DB"/>
    <w:rsid w:val="00514504"/>
    <w:rsid w:val="00522C3B"/>
    <w:rsid w:val="00525560"/>
    <w:rsid w:val="00543DAB"/>
    <w:rsid w:val="00544C49"/>
    <w:rsid w:val="00545FB2"/>
    <w:rsid w:val="00546BED"/>
    <w:rsid w:val="0055061C"/>
    <w:rsid w:val="005516A1"/>
    <w:rsid w:val="005524D6"/>
    <w:rsid w:val="00552E25"/>
    <w:rsid w:val="005559EF"/>
    <w:rsid w:val="005564B7"/>
    <w:rsid w:val="00563557"/>
    <w:rsid w:val="0057402A"/>
    <w:rsid w:val="005771D0"/>
    <w:rsid w:val="00590911"/>
    <w:rsid w:val="0059191A"/>
    <w:rsid w:val="005921FF"/>
    <w:rsid w:val="00596F59"/>
    <w:rsid w:val="005A24ED"/>
    <w:rsid w:val="005A254F"/>
    <w:rsid w:val="005A6D0E"/>
    <w:rsid w:val="005B52B0"/>
    <w:rsid w:val="005B6806"/>
    <w:rsid w:val="005C4225"/>
    <w:rsid w:val="005C794E"/>
    <w:rsid w:val="005D38F9"/>
    <w:rsid w:val="005D73F7"/>
    <w:rsid w:val="005E0795"/>
    <w:rsid w:val="005E1653"/>
    <w:rsid w:val="005F0DAD"/>
    <w:rsid w:val="005F0F33"/>
    <w:rsid w:val="005F1B57"/>
    <w:rsid w:val="005F327D"/>
    <w:rsid w:val="005F4A6C"/>
    <w:rsid w:val="005F6BF4"/>
    <w:rsid w:val="006004C1"/>
    <w:rsid w:val="00600DEB"/>
    <w:rsid w:val="0061609D"/>
    <w:rsid w:val="00627C9F"/>
    <w:rsid w:val="006311E9"/>
    <w:rsid w:val="00632354"/>
    <w:rsid w:val="00635421"/>
    <w:rsid w:val="006416A3"/>
    <w:rsid w:val="00642810"/>
    <w:rsid w:val="00652333"/>
    <w:rsid w:val="00652D51"/>
    <w:rsid w:val="00666CC8"/>
    <w:rsid w:val="006671FF"/>
    <w:rsid w:val="006723A4"/>
    <w:rsid w:val="00672AA1"/>
    <w:rsid w:val="00676AEE"/>
    <w:rsid w:val="0068009E"/>
    <w:rsid w:val="00686356"/>
    <w:rsid w:val="00692219"/>
    <w:rsid w:val="00694A9E"/>
    <w:rsid w:val="006A17D2"/>
    <w:rsid w:val="006A6369"/>
    <w:rsid w:val="006A6A5C"/>
    <w:rsid w:val="006A73E6"/>
    <w:rsid w:val="006B0AE2"/>
    <w:rsid w:val="006B2D5C"/>
    <w:rsid w:val="006C0D4C"/>
    <w:rsid w:val="006C3484"/>
    <w:rsid w:val="006C4877"/>
    <w:rsid w:val="006C4EB1"/>
    <w:rsid w:val="006C7BD9"/>
    <w:rsid w:val="006D1946"/>
    <w:rsid w:val="006D5B19"/>
    <w:rsid w:val="006E0166"/>
    <w:rsid w:val="006E2FFB"/>
    <w:rsid w:val="006E7B34"/>
    <w:rsid w:val="006F2C73"/>
    <w:rsid w:val="006F3857"/>
    <w:rsid w:val="007022DE"/>
    <w:rsid w:val="007067B6"/>
    <w:rsid w:val="007068EB"/>
    <w:rsid w:val="0070697F"/>
    <w:rsid w:val="0072199C"/>
    <w:rsid w:val="007219D6"/>
    <w:rsid w:val="00722C9F"/>
    <w:rsid w:val="007253B8"/>
    <w:rsid w:val="0073741F"/>
    <w:rsid w:val="007405F6"/>
    <w:rsid w:val="007410F1"/>
    <w:rsid w:val="0074293C"/>
    <w:rsid w:val="007513A7"/>
    <w:rsid w:val="00761282"/>
    <w:rsid w:val="007613FE"/>
    <w:rsid w:val="00765E3B"/>
    <w:rsid w:val="0076643F"/>
    <w:rsid w:val="00766E19"/>
    <w:rsid w:val="007705D7"/>
    <w:rsid w:val="007714AC"/>
    <w:rsid w:val="007775C5"/>
    <w:rsid w:val="00777F63"/>
    <w:rsid w:val="007810CA"/>
    <w:rsid w:val="00790210"/>
    <w:rsid w:val="00791760"/>
    <w:rsid w:val="00791949"/>
    <w:rsid w:val="007950F0"/>
    <w:rsid w:val="007A1C02"/>
    <w:rsid w:val="007A3237"/>
    <w:rsid w:val="007A5817"/>
    <w:rsid w:val="007B05C4"/>
    <w:rsid w:val="007B1DBC"/>
    <w:rsid w:val="007B2EF6"/>
    <w:rsid w:val="007B60E9"/>
    <w:rsid w:val="007B6CC3"/>
    <w:rsid w:val="007B76D3"/>
    <w:rsid w:val="007C1952"/>
    <w:rsid w:val="007C3334"/>
    <w:rsid w:val="007C6416"/>
    <w:rsid w:val="007D2B98"/>
    <w:rsid w:val="007D35F1"/>
    <w:rsid w:val="007E21BC"/>
    <w:rsid w:val="007E3F0D"/>
    <w:rsid w:val="007E7C82"/>
    <w:rsid w:val="007F1004"/>
    <w:rsid w:val="007F2AA1"/>
    <w:rsid w:val="007F588D"/>
    <w:rsid w:val="00803F1C"/>
    <w:rsid w:val="0080600E"/>
    <w:rsid w:val="00806934"/>
    <w:rsid w:val="00813FBD"/>
    <w:rsid w:val="00814688"/>
    <w:rsid w:val="00817612"/>
    <w:rsid w:val="00817D5C"/>
    <w:rsid w:val="00820A55"/>
    <w:rsid w:val="008220E8"/>
    <w:rsid w:val="00826661"/>
    <w:rsid w:val="008338A4"/>
    <w:rsid w:val="00834D49"/>
    <w:rsid w:val="008359DB"/>
    <w:rsid w:val="00836F55"/>
    <w:rsid w:val="00837C45"/>
    <w:rsid w:val="00840D88"/>
    <w:rsid w:val="008439E2"/>
    <w:rsid w:val="00844730"/>
    <w:rsid w:val="008457C2"/>
    <w:rsid w:val="008462EE"/>
    <w:rsid w:val="00854698"/>
    <w:rsid w:val="00857A82"/>
    <w:rsid w:val="008672A7"/>
    <w:rsid w:val="00867314"/>
    <w:rsid w:val="00873836"/>
    <w:rsid w:val="0087414F"/>
    <w:rsid w:val="00875668"/>
    <w:rsid w:val="00877FA5"/>
    <w:rsid w:val="00881118"/>
    <w:rsid w:val="00884F29"/>
    <w:rsid w:val="00885737"/>
    <w:rsid w:val="0088784D"/>
    <w:rsid w:val="00890650"/>
    <w:rsid w:val="00897E12"/>
    <w:rsid w:val="008A1119"/>
    <w:rsid w:val="008A18FC"/>
    <w:rsid w:val="008A7E0F"/>
    <w:rsid w:val="008B12F5"/>
    <w:rsid w:val="008B1438"/>
    <w:rsid w:val="008C5E2D"/>
    <w:rsid w:val="008D03E9"/>
    <w:rsid w:val="008D768D"/>
    <w:rsid w:val="008E3587"/>
    <w:rsid w:val="008E3759"/>
    <w:rsid w:val="008E3BFE"/>
    <w:rsid w:val="008F1912"/>
    <w:rsid w:val="008F6691"/>
    <w:rsid w:val="0090270B"/>
    <w:rsid w:val="009039C9"/>
    <w:rsid w:val="00903BC3"/>
    <w:rsid w:val="009041DC"/>
    <w:rsid w:val="00905E69"/>
    <w:rsid w:val="00917B5A"/>
    <w:rsid w:val="00920A58"/>
    <w:rsid w:val="00920A8C"/>
    <w:rsid w:val="00923D7C"/>
    <w:rsid w:val="00934A2C"/>
    <w:rsid w:val="00935053"/>
    <w:rsid w:val="0094185A"/>
    <w:rsid w:val="0095542E"/>
    <w:rsid w:val="00960011"/>
    <w:rsid w:val="0096317E"/>
    <w:rsid w:val="0096351A"/>
    <w:rsid w:val="009662E4"/>
    <w:rsid w:val="0096706E"/>
    <w:rsid w:val="00974491"/>
    <w:rsid w:val="00974946"/>
    <w:rsid w:val="00975C4E"/>
    <w:rsid w:val="009771AA"/>
    <w:rsid w:val="009812D1"/>
    <w:rsid w:val="00981FBA"/>
    <w:rsid w:val="00985B21"/>
    <w:rsid w:val="009973D7"/>
    <w:rsid w:val="00997BC5"/>
    <w:rsid w:val="009A0667"/>
    <w:rsid w:val="009A0DA4"/>
    <w:rsid w:val="009A12E3"/>
    <w:rsid w:val="009A4F41"/>
    <w:rsid w:val="009A7EE9"/>
    <w:rsid w:val="009B381B"/>
    <w:rsid w:val="009B4C8F"/>
    <w:rsid w:val="009C30CA"/>
    <w:rsid w:val="009D1753"/>
    <w:rsid w:val="009D7611"/>
    <w:rsid w:val="009D769D"/>
    <w:rsid w:val="009E0B61"/>
    <w:rsid w:val="009E2847"/>
    <w:rsid w:val="009E53DE"/>
    <w:rsid w:val="009F5F8F"/>
    <w:rsid w:val="009F65A1"/>
    <w:rsid w:val="00A00331"/>
    <w:rsid w:val="00A02FCB"/>
    <w:rsid w:val="00A10DAF"/>
    <w:rsid w:val="00A11212"/>
    <w:rsid w:val="00A11E44"/>
    <w:rsid w:val="00A1795B"/>
    <w:rsid w:val="00A17F92"/>
    <w:rsid w:val="00A23907"/>
    <w:rsid w:val="00A27C34"/>
    <w:rsid w:val="00A27FDD"/>
    <w:rsid w:val="00A30100"/>
    <w:rsid w:val="00A328B3"/>
    <w:rsid w:val="00A459F6"/>
    <w:rsid w:val="00A47ED2"/>
    <w:rsid w:val="00A50FCF"/>
    <w:rsid w:val="00A528D1"/>
    <w:rsid w:val="00A534E3"/>
    <w:rsid w:val="00A610CD"/>
    <w:rsid w:val="00A758AA"/>
    <w:rsid w:val="00A77BF5"/>
    <w:rsid w:val="00A80CEB"/>
    <w:rsid w:val="00A87662"/>
    <w:rsid w:val="00AA09A2"/>
    <w:rsid w:val="00AA4AD8"/>
    <w:rsid w:val="00AA7996"/>
    <w:rsid w:val="00AC19CB"/>
    <w:rsid w:val="00AC1C04"/>
    <w:rsid w:val="00AD2910"/>
    <w:rsid w:val="00AE255F"/>
    <w:rsid w:val="00AE5488"/>
    <w:rsid w:val="00AE6F91"/>
    <w:rsid w:val="00AF1D78"/>
    <w:rsid w:val="00AF5571"/>
    <w:rsid w:val="00AF578C"/>
    <w:rsid w:val="00AF620C"/>
    <w:rsid w:val="00B045EA"/>
    <w:rsid w:val="00B07341"/>
    <w:rsid w:val="00B115D6"/>
    <w:rsid w:val="00B21C69"/>
    <w:rsid w:val="00B2483A"/>
    <w:rsid w:val="00B30539"/>
    <w:rsid w:val="00B3079F"/>
    <w:rsid w:val="00B314DB"/>
    <w:rsid w:val="00B34216"/>
    <w:rsid w:val="00B343AD"/>
    <w:rsid w:val="00B361F2"/>
    <w:rsid w:val="00B3718B"/>
    <w:rsid w:val="00B3745F"/>
    <w:rsid w:val="00B44F15"/>
    <w:rsid w:val="00B4632A"/>
    <w:rsid w:val="00B472EC"/>
    <w:rsid w:val="00B530F1"/>
    <w:rsid w:val="00B5490A"/>
    <w:rsid w:val="00B67DB0"/>
    <w:rsid w:val="00B764C3"/>
    <w:rsid w:val="00BA0C51"/>
    <w:rsid w:val="00BA237E"/>
    <w:rsid w:val="00BA276C"/>
    <w:rsid w:val="00BB306F"/>
    <w:rsid w:val="00BB527E"/>
    <w:rsid w:val="00BC4593"/>
    <w:rsid w:val="00BC563B"/>
    <w:rsid w:val="00BD46CB"/>
    <w:rsid w:val="00BD4B89"/>
    <w:rsid w:val="00BD5922"/>
    <w:rsid w:val="00BD592F"/>
    <w:rsid w:val="00BE7EE2"/>
    <w:rsid w:val="00BF02CB"/>
    <w:rsid w:val="00BF0C2A"/>
    <w:rsid w:val="00BF6FD8"/>
    <w:rsid w:val="00C03680"/>
    <w:rsid w:val="00C054DF"/>
    <w:rsid w:val="00C133B9"/>
    <w:rsid w:val="00C13AB2"/>
    <w:rsid w:val="00C20721"/>
    <w:rsid w:val="00C21762"/>
    <w:rsid w:val="00C21FEF"/>
    <w:rsid w:val="00C23BA4"/>
    <w:rsid w:val="00C24543"/>
    <w:rsid w:val="00C256A2"/>
    <w:rsid w:val="00C25ADB"/>
    <w:rsid w:val="00C27964"/>
    <w:rsid w:val="00C34D18"/>
    <w:rsid w:val="00C4761A"/>
    <w:rsid w:val="00C51515"/>
    <w:rsid w:val="00C53ACF"/>
    <w:rsid w:val="00C5660B"/>
    <w:rsid w:val="00C56E24"/>
    <w:rsid w:val="00C6033E"/>
    <w:rsid w:val="00C66B72"/>
    <w:rsid w:val="00C741C1"/>
    <w:rsid w:val="00C74333"/>
    <w:rsid w:val="00C87AC4"/>
    <w:rsid w:val="00C87E9B"/>
    <w:rsid w:val="00C9230A"/>
    <w:rsid w:val="00C9392A"/>
    <w:rsid w:val="00C93E9A"/>
    <w:rsid w:val="00C9567A"/>
    <w:rsid w:val="00C95E53"/>
    <w:rsid w:val="00C96DAA"/>
    <w:rsid w:val="00CB212D"/>
    <w:rsid w:val="00CB2660"/>
    <w:rsid w:val="00CC4BCF"/>
    <w:rsid w:val="00CC576F"/>
    <w:rsid w:val="00CC5E90"/>
    <w:rsid w:val="00CD046C"/>
    <w:rsid w:val="00CD17F6"/>
    <w:rsid w:val="00CD4E1F"/>
    <w:rsid w:val="00CD659C"/>
    <w:rsid w:val="00CE076C"/>
    <w:rsid w:val="00CE13B3"/>
    <w:rsid w:val="00CE5199"/>
    <w:rsid w:val="00CE66D5"/>
    <w:rsid w:val="00CF192A"/>
    <w:rsid w:val="00CF637A"/>
    <w:rsid w:val="00CF6971"/>
    <w:rsid w:val="00D00DB2"/>
    <w:rsid w:val="00D059DE"/>
    <w:rsid w:val="00D05ABD"/>
    <w:rsid w:val="00D07DB0"/>
    <w:rsid w:val="00D13FCE"/>
    <w:rsid w:val="00D154D8"/>
    <w:rsid w:val="00D26859"/>
    <w:rsid w:val="00D2705D"/>
    <w:rsid w:val="00D273DE"/>
    <w:rsid w:val="00D306D1"/>
    <w:rsid w:val="00D30800"/>
    <w:rsid w:val="00D34786"/>
    <w:rsid w:val="00D37340"/>
    <w:rsid w:val="00D37BFC"/>
    <w:rsid w:val="00D47A8E"/>
    <w:rsid w:val="00D52D14"/>
    <w:rsid w:val="00D55E0D"/>
    <w:rsid w:val="00D600AA"/>
    <w:rsid w:val="00D658F9"/>
    <w:rsid w:val="00D712D3"/>
    <w:rsid w:val="00D71422"/>
    <w:rsid w:val="00D72DC6"/>
    <w:rsid w:val="00D7558D"/>
    <w:rsid w:val="00D81D92"/>
    <w:rsid w:val="00D850DE"/>
    <w:rsid w:val="00D876F9"/>
    <w:rsid w:val="00D90A07"/>
    <w:rsid w:val="00D93A77"/>
    <w:rsid w:val="00D96818"/>
    <w:rsid w:val="00DA7B5F"/>
    <w:rsid w:val="00DB0C88"/>
    <w:rsid w:val="00DC11E7"/>
    <w:rsid w:val="00DC24E3"/>
    <w:rsid w:val="00DC3C8E"/>
    <w:rsid w:val="00DC64EA"/>
    <w:rsid w:val="00DC7023"/>
    <w:rsid w:val="00DC769A"/>
    <w:rsid w:val="00DD0D97"/>
    <w:rsid w:val="00DD26B2"/>
    <w:rsid w:val="00DD3D86"/>
    <w:rsid w:val="00DD4AD2"/>
    <w:rsid w:val="00DF142E"/>
    <w:rsid w:val="00DF1EC4"/>
    <w:rsid w:val="00DF5CFB"/>
    <w:rsid w:val="00E00EA2"/>
    <w:rsid w:val="00E0340B"/>
    <w:rsid w:val="00E04A90"/>
    <w:rsid w:val="00E0551F"/>
    <w:rsid w:val="00E14045"/>
    <w:rsid w:val="00E155D2"/>
    <w:rsid w:val="00E15B69"/>
    <w:rsid w:val="00E171C8"/>
    <w:rsid w:val="00E219C7"/>
    <w:rsid w:val="00E22E9B"/>
    <w:rsid w:val="00E271F8"/>
    <w:rsid w:val="00E3211E"/>
    <w:rsid w:val="00E4118C"/>
    <w:rsid w:val="00E43157"/>
    <w:rsid w:val="00E44BB5"/>
    <w:rsid w:val="00E461CE"/>
    <w:rsid w:val="00E573E4"/>
    <w:rsid w:val="00E6378C"/>
    <w:rsid w:val="00E64C3D"/>
    <w:rsid w:val="00E720CA"/>
    <w:rsid w:val="00E82DDC"/>
    <w:rsid w:val="00E84EB5"/>
    <w:rsid w:val="00E85662"/>
    <w:rsid w:val="00E86058"/>
    <w:rsid w:val="00E86FFA"/>
    <w:rsid w:val="00E874E8"/>
    <w:rsid w:val="00E8789F"/>
    <w:rsid w:val="00E97B71"/>
    <w:rsid w:val="00EA3D34"/>
    <w:rsid w:val="00EB1459"/>
    <w:rsid w:val="00EB454D"/>
    <w:rsid w:val="00EB5D32"/>
    <w:rsid w:val="00EC1BB7"/>
    <w:rsid w:val="00ED2E67"/>
    <w:rsid w:val="00ED36EA"/>
    <w:rsid w:val="00ED549D"/>
    <w:rsid w:val="00ED7651"/>
    <w:rsid w:val="00ED76BE"/>
    <w:rsid w:val="00EE00E9"/>
    <w:rsid w:val="00EE4A80"/>
    <w:rsid w:val="00EE68D5"/>
    <w:rsid w:val="00EF1AAA"/>
    <w:rsid w:val="00EF619B"/>
    <w:rsid w:val="00F00B55"/>
    <w:rsid w:val="00F02AD1"/>
    <w:rsid w:val="00F14F2E"/>
    <w:rsid w:val="00F24B14"/>
    <w:rsid w:val="00F253CC"/>
    <w:rsid w:val="00F26172"/>
    <w:rsid w:val="00F278C3"/>
    <w:rsid w:val="00F347FB"/>
    <w:rsid w:val="00F348FD"/>
    <w:rsid w:val="00F37106"/>
    <w:rsid w:val="00F44E25"/>
    <w:rsid w:val="00F519CF"/>
    <w:rsid w:val="00F54050"/>
    <w:rsid w:val="00F56652"/>
    <w:rsid w:val="00F56BA5"/>
    <w:rsid w:val="00F57F5D"/>
    <w:rsid w:val="00F60E22"/>
    <w:rsid w:val="00F64B3C"/>
    <w:rsid w:val="00F724F7"/>
    <w:rsid w:val="00F737E8"/>
    <w:rsid w:val="00F81395"/>
    <w:rsid w:val="00F81BB8"/>
    <w:rsid w:val="00F8343E"/>
    <w:rsid w:val="00F86F28"/>
    <w:rsid w:val="00F90C64"/>
    <w:rsid w:val="00F917D1"/>
    <w:rsid w:val="00F94115"/>
    <w:rsid w:val="00F955E7"/>
    <w:rsid w:val="00F9653B"/>
    <w:rsid w:val="00FB62CF"/>
    <w:rsid w:val="00FD0710"/>
    <w:rsid w:val="00FD2E8A"/>
    <w:rsid w:val="00FD3C3B"/>
    <w:rsid w:val="00FE07DD"/>
    <w:rsid w:val="00FE6B45"/>
    <w:rsid w:val="00FF07FD"/>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FootnotesrefssChar1Ch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61609D"/>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styleId="NormalWeb">
    <w:name w:val="Normal (Web)"/>
    <w:basedOn w:val="Normal"/>
    <w:uiPriority w:val="99"/>
    <w:unhideWhenUsed/>
    <w:rsid w:val="00CD17F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uiPriority w:val="34"/>
    <w:locked/>
    <w:rsid w:val="00CD17F6"/>
    <w:rPr>
      <w:rFonts w:ascii="Cambria" w:eastAsia="Cambria" w:hAnsi="Cambria" w:cs="Cambria"/>
      <w:color w:val="000000"/>
      <w:sz w:val="24"/>
      <w:szCs w:val="24"/>
      <w:u w:color="000000"/>
      <w:lang w:val="en-US"/>
    </w:rPr>
  </w:style>
  <w:style w:type="character" w:styleId="Strong">
    <w:name w:val="Strong"/>
    <w:uiPriority w:val="22"/>
    <w:qFormat/>
    <w:rsid w:val="00C20721"/>
    <w:rPr>
      <w:b/>
      <w:bC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qFormat/>
    <w:rsid w:val="00806934"/>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 w:type="paragraph" w:customStyle="1" w:styleId="paragraph">
    <w:name w:val="paragraph"/>
    <w:basedOn w:val="Normal"/>
    <w:rsid w:val="001C7D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1C7D5F"/>
  </w:style>
  <w:style w:type="character" w:customStyle="1" w:styleId="eop">
    <w:name w:val="eop"/>
    <w:basedOn w:val="DefaultParagraphFont"/>
    <w:rsid w:val="001C7D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145D3B"/>
    <w:rsid w:val="00200821"/>
    <w:rsid w:val="00201CE6"/>
    <w:rsid w:val="0025245B"/>
    <w:rsid w:val="002A3923"/>
    <w:rsid w:val="00394049"/>
    <w:rsid w:val="004B5BBB"/>
    <w:rsid w:val="004F2DF8"/>
    <w:rsid w:val="006971F7"/>
    <w:rsid w:val="006C4C47"/>
    <w:rsid w:val="006D27A2"/>
    <w:rsid w:val="006F24A1"/>
    <w:rsid w:val="007079C8"/>
    <w:rsid w:val="009A261B"/>
    <w:rsid w:val="00A4418E"/>
    <w:rsid w:val="00AA2E17"/>
    <w:rsid w:val="00AC15A4"/>
    <w:rsid w:val="00B0336C"/>
    <w:rsid w:val="00B30277"/>
    <w:rsid w:val="00C22FD3"/>
    <w:rsid w:val="00D241E9"/>
    <w:rsid w:val="00D7750D"/>
    <w:rsid w:val="00F00D2F"/>
    <w:rsid w:val="00F128D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126BE-6309-409F-9A97-9BD99ECB8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3744</Words>
  <Characters>21342</Characters>
  <Application>Microsoft Office Word</Application>
  <DocSecurity>0</DocSecurity>
  <Lines>177</Lines>
  <Paragraphs>50</Paragraphs>
  <ScaleCrop>false</ScaleCrop>
  <Company/>
  <LinksUpToDate>false</LinksUpToDate>
  <CharactersWithSpaces>25036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2024-01-18T15:43:00Z</dcterms:created>
  <dcterms:modified xsi:type="dcterms:W3CDTF">2024-01-18T15:43:00Z</dcterms:modified>
</cp:coreProperties>
</file>