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168E7" w:rsidRDefault="00D306D1" w:rsidP="00627C9F">
      <w:pPr>
        <w:jc w:val="both"/>
        <w:rPr>
          <w:rFonts w:asciiTheme="majorHAnsi" w:hAnsiTheme="majorHAnsi" w:cs="Univers"/>
          <w:b/>
          <w:bCs/>
          <w:sz w:val="22"/>
          <w:szCs w:val="22"/>
          <w:lang w:val="es-ES"/>
        </w:rPr>
      </w:pPr>
      <w:r w:rsidRPr="004168E7">
        <w:rPr>
          <w:rFonts w:asciiTheme="majorHAnsi" w:hAnsiTheme="majorHAnsi"/>
          <w:noProof/>
          <w:sz w:val="22"/>
          <w:szCs w:val="22"/>
          <w:lang w:val="es-ES"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8B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168E7">
        <w:rPr>
          <w:rFonts w:asciiTheme="majorHAnsi" w:hAnsiTheme="majorHAnsi"/>
          <w:noProof/>
          <w:sz w:val="22"/>
          <w:szCs w:val="22"/>
          <w:lang w:val="es-ES"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168E7"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168E7"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168E7" w:rsidRDefault="005128E4" w:rsidP="00040C3A">
      <w:pPr>
        <w:tabs>
          <w:tab w:val="center" w:pos="5400"/>
        </w:tabs>
        <w:suppressAutoHyphens/>
        <w:rPr>
          <w:rFonts w:asciiTheme="majorHAnsi" w:hAnsiTheme="majorHAnsi"/>
          <w:sz w:val="22"/>
          <w:szCs w:val="22"/>
          <w:lang w:val="es-ES"/>
        </w:rPr>
      </w:pPr>
    </w:p>
    <w:p w14:paraId="12A36B24" w14:textId="77777777" w:rsidR="005128E4" w:rsidRPr="004168E7" w:rsidRDefault="005128E4" w:rsidP="00040C3A">
      <w:pPr>
        <w:tabs>
          <w:tab w:val="center" w:pos="5400"/>
        </w:tabs>
        <w:suppressAutoHyphens/>
        <w:rPr>
          <w:rFonts w:asciiTheme="majorHAnsi" w:hAnsiTheme="majorHAnsi"/>
          <w:sz w:val="22"/>
          <w:szCs w:val="22"/>
          <w:lang w:val="es-ES"/>
        </w:rPr>
      </w:pPr>
    </w:p>
    <w:p w14:paraId="2252093D" w14:textId="77777777" w:rsidR="005128E4" w:rsidRPr="004168E7" w:rsidRDefault="005128E4" w:rsidP="00040C3A">
      <w:pPr>
        <w:tabs>
          <w:tab w:val="center" w:pos="5400"/>
        </w:tabs>
        <w:suppressAutoHyphens/>
        <w:rPr>
          <w:rFonts w:asciiTheme="majorHAnsi" w:hAnsiTheme="majorHAnsi"/>
          <w:sz w:val="22"/>
          <w:szCs w:val="22"/>
          <w:lang w:val="es-ES"/>
        </w:rPr>
      </w:pPr>
    </w:p>
    <w:p w14:paraId="403935BD" w14:textId="77777777" w:rsidR="00040C3A" w:rsidRPr="004168E7"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168E7"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168E7"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168E7"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168E7"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168E7" w:rsidRDefault="003D3BC2" w:rsidP="00040C3A">
      <w:pPr>
        <w:tabs>
          <w:tab w:val="center" w:pos="5400"/>
        </w:tabs>
        <w:suppressAutoHyphens/>
        <w:jc w:val="center"/>
        <w:rPr>
          <w:rFonts w:asciiTheme="majorHAnsi" w:hAnsiTheme="majorHAnsi"/>
          <w:sz w:val="22"/>
          <w:szCs w:val="22"/>
          <w:lang w:val="es-ES"/>
        </w:rPr>
      </w:pPr>
      <w:r w:rsidRPr="004168E7">
        <w:rPr>
          <w:rFonts w:asciiTheme="majorHAnsi" w:hAnsiTheme="majorHAnsi"/>
          <w:noProof/>
          <w:sz w:val="22"/>
          <w:szCs w:val="22"/>
          <w:lang w:val="es-ES"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D5ED0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6B34">
                              <w:rPr>
                                <w:rFonts w:asciiTheme="majorHAnsi" w:hAnsiTheme="majorHAnsi" w:cs="Arial"/>
                                <w:b/>
                                <w:bCs/>
                                <w:color w:val="0D0D0D" w:themeColor="text1" w:themeTint="F2"/>
                                <w:sz w:val="36"/>
                                <w:szCs w:val="22"/>
                                <w:lang w:val="es-ES_tradnl"/>
                              </w:rPr>
                              <w:t>347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74AE0F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1A58AC">
                              <w:rPr>
                                <w:rFonts w:asciiTheme="majorHAnsi" w:hAnsiTheme="majorHAnsi" w:cs="Arial"/>
                                <w:b/>
                                <w:color w:val="0D0D0D" w:themeColor="text1" w:themeTint="F2"/>
                                <w:sz w:val="36"/>
                                <w:szCs w:val="22"/>
                                <w:lang w:val="es-ES_tradnl"/>
                              </w:rPr>
                              <w:t>39</w:t>
                            </w:r>
                            <w:r w:rsidR="003579E8">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1A58AC">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75FBA62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050ED4C" w:rsidR="005B52B0" w:rsidRPr="001A58AC" w:rsidRDefault="001A58AC" w:rsidP="00997BC5">
                            <w:pPr>
                              <w:spacing w:line="276" w:lineRule="auto"/>
                              <w:rPr>
                                <w:rFonts w:asciiTheme="majorHAnsi" w:hAnsiTheme="majorHAnsi" w:cs="Arial"/>
                                <w:color w:val="0D0D0D" w:themeColor="text1" w:themeTint="F2"/>
                                <w:szCs w:val="22"/>
                                <w:lang w:val="pt-BR"/>
                              </w:rPr>
                            </w:pPr>
                            <w:r w:rsidRPr="001A58AC">
                              <w:rPr>
                                <w:rFonts w:asciiTheme="majorHAnsi" w:hAnsiTheme="majorHAnsi" w:cs="Arial"/>
                                <w:color w:val="0D0D0D" w:themeColor="text1" w:themeTint="F2"/>
                                <w:szCs w:val="22"/>
                                <w:lang w:val="pt-BR"/>
                              </w:rPr>
                              <w:t>MAXIMINO MILAGRO DE JESÚS GÓM</w:t>
                            </w:r>
                            <w:r>
                              <w:rPr>
                                <w:rFonts w:asciiTheme="majorHAnsi" w:hAnsiTheme="majorHAnsi" w:cs="Arial"/>
                                <w:color w:val="0D0D0D" w:themeColor="text1" w:themeTint="F2"/>
                                <w:szCs w:val="22"/>
                                <w:lang w:val="pt-BR"/>
                              </w:rPr>
                              <w:t>EZ SERRANO</w:t>
                            </w:r>
                          </w:p>
                          <w:bookmarkEnd w:id="0"/>
                          <w:p w14:paraId="575DFD52" w14:textId="3FEF645B" w:rsidR="005B52B0" w:rsidRDefault="00E32FBA" w:rsidP="007A5817">
                            <w:pPr>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GUATEMALA</w:t>
                            </w:r>
                          </w:p>
                          <w:p w14:paraId="6AE0BD2D" w14:textId="77777777" w:rsidR="00E32FBA" w:rsidRPr="001A58AC" w:rsidRDefault="00E32FBA"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D5ED0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6B34">
                        <w:rPr>
                          <w:rFonts w:asciiTheme="majorHAnsi" w:hAnsiTheme="majorHAnsi" w:cs="Arial"/>
                          <w:b/>
                          <w:bCs/>
                          <w:color w:val="0D0D0D" w:themeColor="text1" w:themeTint="F2"/>
                          <w:sz w:val="36"/>
                          <w:szCs w:val="22"/>
                          <w:lang w:val="es-ES_tradnl"/>
                        </w:rPr>
                        <w:t>347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74AE0F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1A58AC">
                        <w:rPr>
                          <w:rFonts w:asciiTheme="majorHAnsi" w:hAnsiTheme="majorHAnsi" w:cs="Arial"/>
                          <w:b/>
                          <w:color w:val="0D0D0D" w:themeColor="text1" w:themeTint="F2"/>
                          <w:sz w:val="36"/>
                          <w:szCs w:val="22"/>
                          <w:lang w:val="es-ES_tradnl"/>
                        </w:rPr>
                        <w:t>39</w:t>
                      </w:r>
                      <w:r w:rsidR="003579E8">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1A58AC">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75FBA62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050ED4C" w:rsidR="005B52B0" w:rsidRPr="001A58AC" w:rsidRDefault="001A58AC" w:rsidP="00997BC5">
                      <w:pPr>
                        <w:spacing w:line="276" w:lineRule="auto"/>
                        <w:rPr>
                          <w:rFonts w:asciiTheme="majorHAnsi" w:hAnsiTheme="majorHAnsi" w:cs="Arial"/>
                          <w:color w:val="0D0D0D" w:themeColor="text1" w:themeTint="F2"/>
                          <w:szCs w:val="22"/>
                          <w:lang w:val="pt-BR"/>
                        </w:rPr>
                      </w:pPr>
                      <w:r w:rsidRPr="001A58AC">
                        <w:rPr>
                          <w:rFonts w:asciiTheme="majorHAnsi" w:hAnsiTheme="majorHAnsi" w:cs="Arial"/>
                          <w:color w:val="0D0D0D" w:themeColor="text1" w:themeTint="F2"/>
                          <w:szCs w:val="22"/>
                          <w:lang w:val="pt-BR"/>
                        </w:rPr>
                        <w:t>MAXIMINO MILAGRO DE JESÚS GÓM</w:t>
                      </w:r>
                      <w:r>
                        <w:rPr>
                          <w:rFonts w:asciiTheme="majorHAnsi" w:hAnsiTheme="majorHAnsi" w:cs="Arial"/>
                          <w:color w:val="0D0D0D" w:themeColor="text1" w:themeTint="F2"/>
                          <w:szCs w:val="22"/>
                          <w:lang w:val="pt-BR"/>
                        </w:rPr>
                        <w:t>EZ SERRANO</w:t>
                      </w:r>
                    </w:p>
                    <w:bookmarkEnd w:id="1"/>
                    <w:p w14:paraId="575DFD52" w14:textId="3FEF645B" w:rsidR="005B52B0" w:rsidRDefault="00E32FBA" w:rsidP="007A5817">
                      <w:pPr>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GUATEMALA</w:t>
                      </w:r>
                    </w:p>
                    <w:p w14:paraId="6AE0BD2D" w14:textId="77777777" w:rsidR="00E32FBA" w:rsidRPr="001A58AC" w:rsidRDefault="00E32FBA" w:rsidP="007A5817">
                      <w:pPr>
                        <w:rPr>
                          <w:color w:val="0D0D0D" w:themeColor="text1" w:themeTint="F2"/>
                          <w:lang w:val="pt-BR"/>
                        </w:rPr>
                      </w:pPr>
                    </w:p>
                  </w:txbxContent>
                </v:textbox>
              </v:shape>
            </w:pict>
          </mc:Fallback>
        </mc:AlternateContent>
      </w:r>
      <w:r w:rsidR="004E2649" w:rsidRPr="004168E7">
        <w:rPr>
          <w:rFonts w:asciiTheme="majorHAnsi" w:hAnsiTheme="majorHAnsi"/>
          <w:noProof/>
          <w:sz w:val="22"/>
          <w:szCs w:val="22"/>
          <w:lang w:val="es-ES"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6643FD9" w:rsidR="00627C9F" w:rsidRPr="009161E0" w:rsidRDefault="00834D49" w:rsidP="007A5817">
                            <w:pPr>
                              <w:spacing w:line="276" w:lineRule="auto"/>
                              <w:jc w:val="right"/>
                              <w:rPr>
                                <w:rFonts w:asciiTheme="minorHAnsi" w:hAnsiTheme="minorHAnsi"/>
                                <w:color w:val="FFFFFF" w:themeColor="background1"/>
                                <w:sz w:val="22"/>
                                <w:lang w:val="es-AR"/>
                              </w:rPr>
                            </w:pPr>
                            <w:r w:rsidRPr="009161E0">
                              <w:rPr>
                                <w:rFonts w:asciiTheme="minorHAnsi" w:hAnsiTheme="minorHAnsi"/>
                                <w:color w:val="FFFFFF" w:themeColor="background1"/>
                                <w:sz w:val="22"/>
                                <w:lang w:val="es-AR"/>
                              </w:rPr>
                              <w:t>OEA/Ser.L/V/II</w:t>
                            </w:r>
                          </w:p>
                          <w:p w14:paraId="6A41611B" w14:textId="6DA887D5" w:rsidR="00627C9F" w:rsidRPr="009161E0" w:rsidRDefault="00627C9F" w:rsidP="007A5817">
                            <w:pPr>
                              <w:spacing w:line="276" w:lineRule="auto"/>
                              <w:jc w:val="right"/>
                              <w:rPr>
                                <w:rFonts w:asciiTheme="minorHAnsi" w:hAnsiTheme="minorHAnsi"/>
                                <w:color w:val="FFFFFF" w:themeColor="background1"/>
                                <w:sz w:val="22"/>
                                <w:lang w:val="es-AR"/>
                              </w:rPr>
                            </w:pPr>
                            <w:r w:rsidRPr="009161E0">
                              <w:rPr>
                                <w:rFonts w:asciiTheme="minorHAnsi" w:hAnsiTheme="minorHAnsi"/>
                                <w:color w:val="FFFFFF" w:themeColor="background1"/>
                                <w:sz w:val="22"/>
                                <w:lang w:val="es-AR"/>
                              </w:rPr>
                              <w:t xml:space="preserve">Doc. </w:t>
                            </w:r>
                            <w:r w:rsidR="00CA6B34" w:rsidRPr="009161E0">
                              <w:rPr>
                                <w:rFonts w:asciiTheme="minorHAnsi" w:hAnsiTheme="minorHAnsi"/>
                                <w:color w:val="FFFFFF" w:themeColor="background1"/>
                                <w:sz w:val="22"/>
                                <w:lang w:val="es-AR"/>
                              </w:rPr>
                              <w:t>373</w:t>
                            </w:r>
                          </w:p>
                          <w:p w14:paraId="69373ED2" w14:textId="0D0AF839" w:rsidR="00627C9F" w:rsidRPr="00C25ADB" w:rsidRDefault="00CA6B3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6643FD9" w:rsidR="00627C9F" w:rsidRPr="009161E0" w:rsidRDefault="00834D49" w:rsidP="007A5817">
                      <w:pPr>
                        <w:spacing w:line="276" w:lineRule="auto"/>
                        <w:jc w:val="right"/>
                        <w:rPr>
                          <w:rFonts w:asciiTheme="minorHAnsi" w:hAnsiTheme="minorHAnsi"/>
                          <w:color w:val="FFFFFF" w:themeColor="background1"/>
                          <w:sz w:val="22"/>
                          <w:lang w:val="es-AR"/>
                        </w:rPr>
                      </w:pPr>
                      <w:r w:rsidRPr="009161E0">
                        <w:rPr>
                          <w:rFonts w:asciiTheme="minorHAnsi" w:hAnsiTheme="minorHAnsi"/>
                          <w:color w:val="FFFFFF" w:themeColor="background1"/>
                          <w:sz w:val="22"/>
                          <w:lang w:val="es-AR"/>
                        </w:rPr>
                        <w:t>OEA/Ser.L/V/II</w:t>
                      </w:r>
                    </w:p>
                    <w:p w14:paraId="6A41611B" w14:textId="6DA887D5" w:rsidR="00627C9F" w:rsidRPr="009161E0" w:rsidRDefault="00627C9F" w:rsidP="007A5817">
                      <w:pPr>
                        <w:spacing w:line="276" w:lineRule="auto"/>
                        <w:jc w:val="right"/>
                        <w:rPr>
                          <w:rFonts w:asciiTheme="minorHAnsi" w:hAnsiTheme="minorHAnsi"/>
                          <w:color w:val="FFFFFF" w:themeColor="background1"/>
                          <w:sz w:val="22"/>
                          <w:lang w:val="es-AR"/>
                        </w:rPr>
                      </w:pPr>
                      <w:r w:rsidRPr="009161E0">
                        <w:rPr>
                          <w:rFonts w:asciiTheme="minorHAnsi" w:hAnsiTheme="minorHAnsi"/>
                          <w:color w:val="FFFFFF" w:themeColor="background1"/>
                          <w:sz w:val="22"/>
                          <w:lang w:val="es-AR"/>
                        </w:rPr>
                        <w:t xml:space="preserve">Doc. </w:t>
                      </w:r>
                      <w:r w:rsidR="00CA6B34" w:rsidRPr="009161E0">
                        <w:rPr>
                          <w:rFonts w:asciiTheme="minorHAnsi" w:hAnsiTheme="minorHAnsi"/>
                          <w:color w:val="FFFFFF" w:themeColor="background1"/>
                          <w:sz w:val="22"/>
                          <w:lang w:val="es-AR"/>
                        </w:rPr>
                        <w:t>373</w:t>
                      </w:r>
                    </w:p>
                    <w:p w14:paraId="69373ED2" w14:textId="0D0AF839" w:rsidR="00627C9F" w:rsidRPr="00C25ADB" w:rsidRDefault="00CA6B3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168E7"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168E7"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168E7"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168E7"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168E7"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168E7"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168E7" w:rsidRDefault="0090270B" w:rsidP="00040C3A">
      <w:pPr>
        <w:tabs>
          <w:tab w:val="center" w:pos="5400"/>
        </w:tabs>
        <w:suppressAutoHyphens/>
        <w:jc w:val="center"/>
        <w:rPr>
          <w:rFonts w:asciiTheme="majorHAnsi" w:hAnsiTheme="majorHAnsi"/>
          <w:sz w:val="18"/>
          <w:szCs w:val="22"/>
          <w:lang w:val="es-ES"/>
        </w:rPr>
      </w:pPr>
      <w:r w:rsidRPr="004168E7">
        <w:rPr>
          <w:rFonts w:asciiTheme="majorHAnsi" w:hAnsiTheme="majorHAnsi"/>
          <w:noProof/>
          <w:sz w:val="22"/>
          <w:szCs w:val="22"/>
          <w:lang w:val="es-ES"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FFF49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6B3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A6B3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A6B3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FFF49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6B3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A6B3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A6B3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168E7" w:rsidRDefault="0090270B" w:rsidP="00040C3A">
      <w:pPr>
        <w:tabs>
          <w:tab w:val="center" w:pos="5400"/>
        </w:tabs>
        <w:suppressAutoHyphens/>
        <w:jc w:val="center"/>
        <w:rPr>
          <w:rFonts w:asciiTheme="majorHAnsi" w:hAnsiTheme="majorHAnsi"/>
          <w:sz w:val="18"/>
          <w:szCs w:val="22"/>
          <w:lang w:val="es-ES"/>
        </w:rPr>
      </w:pPr>
      <w:r w:rsidRPr="004168E7">
        <w:rPr>
          <w:rFonts w:asciiTheme="majorHAnsi" w:hAnsiTheme="majorHAnsi"/>
          <w:noProof/>
          <w:sz w:val="18"/>
          <w:szCs w:val="22"/>
          <w:lang w:val="es-ES"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B12DAD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6B34" w:rsidRPr="00FE4531">
                              <w:rPr>
                                <w:rFonts w:asciiTheme="majorHAnsi" w:hAnsiTheme="majorHAnsi"/>
                                <w:color w:val="595959" w:themeColor="text1" w:themeTint="A6"/>
                                <w:sz w:val="18"/>
                                <w:szCs w:val="18"/>
                                <w:lang w:val="pt-BR"/>
                              </w:rPr>
                              <w:t>347</w:t>
                            </w:r>
                            <w:r w:rsidR="007B05C4" w:rsidRPr="00FE4531">
                              <w:rPr>
                                <w:rFonts w:asciiTheme="majorHAnsi" w:hAnsiTheme="majorHAnsi"/>
                                <w:color w:val="595959" w:themeColor="text1" w:themeTint="A6"/>
                                <w:sz w:val="18"/>
                                <w:szCs w:val="18"/>
                                <w:lang w:val="pt-BR"/>
                              </w:rPr>
                              <w:t>/</w:t>
                            </w:r>
                            <w:r w:rsidR="00CA6B34" w:rsidRPr="00FE4531">
                              <w:rPr>
                                <w:rFonts w:asciiTheme="majorHAnsi" w:hAnsiTheme="majorHAnsi"/>
                                <w:color w:val="595959" w:themeColor="text1" w:themeTint="A6"/>
                                <w:sz w:val="18"/>
                                <w:szCs w:val="18"/>
                                <w:lang w:val="pt-BR"/>
                              </w:rPr>
                              <w:t>23</w:t>
                            </w:r>
                            <w:r w:rsidRPr="00FE453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w:t>
                            </w:r>
                            <w:r w:rsidR="001B38F9">
                              <w:rPr>
                                <w:rFonts w:asciiTheme="majorHAnsi" w:hAnsiTheme="majorHAnsi"/>
                                <w:color w:val="595959" w:themeColor="text1" w:themeTint="A6"/>
                                <w:sz w:val="18"/>
                                <w:szCs w:val="18"/>
                                <w:lang w:val="es-ES"/>
                              </w:rPr>
                              <w:t>39</w:t>
                            </w:r>
                            <w:r w:rsidR="003579E8">
                              <w:rPr>
                                <w:rFonts w:asciiTheme="majorHAnsi" w:hAnsiTheme="majorHAnsi"/>
                                <w:color w:val="595959" w:themeColor="text1" w:themeTint="A6"/>
                                <w:sz w:val="18"/>
                                <w:szCs w:val="18"/>
                                <w:lang w:val="es-ES"/>
                              </w:rPr>
                              <w:t>5</w:t>
                            </w:r>
                            <w:r w:rsidR="002A104F">
                              <w:rPr>
                                <w:rFonts w:asciiTheme="majorHAnsi" w:hAnsiTheme="majorHAnsi"/>
                                <w:color w:val="595959" w:themeColor="text1" w:themeTint="A6"/>
                                <w:sz w:val="18"/>
                                <w:szCs w:val="18"/>
                                <w:lang w:val="es-ES"/>
                              </w:rPr>
                              <w:t>-1</w:t>
                            </w:r>
                            <w:r w:rsidR="001B38F9">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B38F9">
                              <w:rPr>
                                <w:rFonts w:asciiTheme="majorHAnsi" w:hAnsiTheme="majorHAnsi"/>
                                <w:color w:val="595959" w:themeColor="text1" w:themeTint="A6"/>
                                <w:sz w:val="18"/>
                                <w:szCs w:val="18"/>
                                <w:lang w:val="es-ES_tradnl"/>
                              </w:rPr>
                              <w:t>Maximino Milagro de Jes</w:t>
                            </w:r>
                            <w:r w:rsidR="00CA6B34">
                              <w:rPr>
                                <w:rFonts w:asciiTheme="majorHAnsi" w:hAnsiTheme="majorHAnsi"/>
                                <w:color w:val="595959" w:themeColor="text1" w:themeTint="A6"/>
                                <w:sz w:val="18"/>
                                <w:szCs w:val="18"/>
                                <w:lang w:val="es-ES_tradnl"/>
                              </w:rPr>
                              <w:t>ú</w:t>
                            </w:r>
                            <w:r w:rsidR="001B38F9">
                              <w:rPr>
                                <w:rFonts w:asciiTheme="majorHAnsi" w:hAnsiTheme="majorHAnsi"/>
                                <w:color w:val="595959" w:themeColor="text1" w:themeTint="A6"/>
                                <w:sz w:val="18"/>
                                <w:szCs w:val="18"/>
                                <w:lang w:val="es-ES_tradnl"/>
                              </w:rPr>
                              <w:t>s Gómez Serrano</w:t>
                            </w:r>
                            <w:r w:rsidRPr="00890650">
                              <w:rPr>
                                <w:rFonts w:asciiTheme="majorHAnsi" w:hAnsiTheme="majorHAnsi"/>
                                <w:color w:val="595959" w:themeColor="text1" w:themeTint="A6"/>
                                <w:sz w:val="18"/>
                                <w:szCs w:val="18"/>
                                <w:lang w:val="es-ES_tradnl"/>
                              </w:rPr>
                              <w:t xml:space="preserve">. </w:t>
                            </w:r>
                            <w:r w:rsidR="00A436F8">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E4531">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B12DAD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6B34" w:rsidRPr="00FE4531">
                        <w:rPr>
                          <w:rFonts w:asciiTheme="majorHAnsi" w:hAnsiTheme="majorHAnsi"/>
                          <w:color w:val="595959" w:themeColor="text1" w:themeTint="A6"/>
                          <w:sz w:val="18"/>
                          <w:szCs w:val="18"/>
                          <w:lang w:val="pt-BR"/>
                        </w:rPr>
                        <w:t>347</w:t>
                      </w:r>
                      <w:r w:rsidR="007B05C4" w:rsidRPr="00FE4531">
                        <w:rPr>
                          <w:rFonts w:asciiTheme="majorHAnsi" w:hAnsiTheme="majorHAnsi"/>
                          <w:color w:val="595959" w:themeColor="text1" w:themeTint="A6"/>
                          <w:sz w:val="18"/>
                          <w:szCs w:val="18"/>
                          <w:lang w:val="pt-BR"/>
                        </w:rPr>
                        <w:t>/</w:t>
                      </w:r>
                      <w:r w:rsidR="00CA6B34" w:rsidRPr="00FE4531">
                        <w:rPr>
                          <w:rFonts w:asciiTheme="majorHAnsi" w:hAnsiTheme="majorHAnsi"/>
                          <w:color w:val="595959" w:themeColor="text1" w:themeTint="A6"/>
                          <w:sz w:val="18"/>
                          <w:szCs w:val="18"/>
                          <w:lang w:val="pt-BR"/>
                        </w:rPr>
                        <w:t>23</w:t>
                      </w:r>
                      <w:r w:rsidRPr="00FE453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w:t>
                      </w:r>
                      <w:r w:rsidR="001B38F9">
                        <w:rPr>
                          <w:rFonts w:asciiTheme="majorHAnsi" w:hAnsiTheme="majorHAnsi"/>
                          <w:color w:val="595959" w:themeColor="text1" w:themeTint="A6"/>
                          <w:sz w:val="18"/>
                          <w:szCs w:val="18"/>
                          <w:lang w:val="es-ES"/>
                        </w:rPr>
                        <w:t>39</w:t>
                      </w:r>
                      <w:r w:rsidR="003579E8">
                        <w:rPr>
                          <w:rFonts w:asciiTheme="majorHAnsi" w:hAnsiTheme="majorHAnsi"/>
                          <w:color w:val="595959" w:themeColor="text1" w:themeTint="A6"/>
                          <w:sz w:val="18"/>
                          <w:szCs w:val="18"/>
                          <w:lang w:val="es-ES"/>
                        </w:rPr>
                        <w:t>5</w:t>
                      </w:r>
                      <w:r w:rsidR="002A104F">
                        <w:rPr>
                          <w:rFonts w:asciiTheme="majorHAnsi" w:hAnsiTheme="majorHAnsi"/>
                          <w:color w:val="595959" w:themeColor="text1" w:themeTint="A6"/>
                          <w:sz w:val="18"/>
                          <w:szCs w:val="18"/>
                          <w:lang w:val="es-ES"/>
                        </w:rPr>
                        <w:t>-1</w:t>
                      </w:r>
                      <w:r w:rsidR="001B38F9">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B38F9">
                        <w:rPr>
                          <w:rFonts w:asciiTheme="majorHAnsi" w:hAnsiTheme="majorHAnsi"/>
                          <w:color w:val="595959" w:themeColor="text1" w:themeTint="A6"/>
                          <w:sz w:val="18"/>
                          <w:szCs w:val="18"/>
                          <w:lang w:val="es-ES_tradnl"/>
                        </w:rPr>
                        <w:t>Maximino Milagro de Jes</w:t>
                      </w:r>
                      <w:r w:rsidR="00CA6B34">
                        <w:rPr>
                          <w:rFonts w:asciiTheme="majorHAnsi" w:hAnsiTheme="majorHAnsi"/>
                          <w:color w:val="595959" w:themeColor="text1" w:themeTint="A6"/>
                          <w:sz w:val="18"/>
                          <w:szCs w:val="18"/>
                          <w:lang w:val="es-ES_tradnl"/>
                        </w:rPr>
                        <w:t>ú</w:t>
                      </w:r>
                      <w:r w:rsidR="001B38F9">
                        <w:rPr>
                          <w:rFonts w:asciiTheme="majorHAnsi" w:hAnsiTheme="majorHAnsi"/>
                          <w:color w:val="595959" w:themeColor="text1" w:themeTint="A6"/>
                          <w:sz w:val="18"/>
                          <w:szCs w:val="18"/>
                          <w:lang w:val="es-ES_tradnl"/>
                        </w:rPr>
                        <w:t>s Gómez Serrano</w:t>
                      </w:r>
                      <w:r w:rsidRPr="00890650">
                        <w:rPr>
                          <w:rFonts w:asciiTheme="majorHAnsi" w:hAnsiTheme="majorHAnsi"/>
                          <w:color w:val="595959" w:themeColor="text1" w:themeTint="A6"/>
                          <w:sz w:val="18"/>
                          <w:szCs w:val="18"/>
                          <w:lang w:val="es-ES_tradnl"/>
                        </w:rPr>
                        <w:t xml:space="preserve">. </w:t>
                      </w:r>
                      <w:r w:rsidR="00A436F8">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E4531">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168E7"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168E7" w:rsidRDefault="00D306D1" w:rsidP="005516A1">
      <w:pPr>
        <w:tabs>
          <w:tab w:val="center" w:pos="5400"/>
        </w:tabs>
        <w:suppressAutoHyphens/>
        <w:jc w:val="center"/>
        <w:rPr>
          <w:rFonts w:asciiTheme="majorHAnsi" w:hAnsiTheme="majorHAnsi"/>
          <w:b/>
          <w:sz w:val="20"/>
          <w:lang w:val="es-ES"/>
        </w:rPr>
      </w:pPr>
      <w:r w:rsidRPr="004168E7">
        <w:rPr>
          <w:rFonts w:asciiTheme="majorHAnsi" w:hAnsiTheme="majorHAnsi"/>
          <w:noProof/>
          <w:sz w:val="18"/>
          <w:szCs w:val="22"/>
          <w:lang w:val="es-ES"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B73D98E" w:rsidR="00D72DC6" w:rsidRPr="00D72DC6" w:rsidRDefault="00B25322" w:rsidP="00F02AD1">
                            <w:pPr>
                              <w:rPr>
                                <w:color w:val="FFFFFF" w:themeColor="background1"/>
                                <w14:textFill>
                                  <w14:noFill/>
                                </w14:textFill>
                              </w:rPr>
                            </w:pPr>
                            <w:r>
                              <w:rPr>
                                <w:noProof/>
                                <w:color w:val="FFFFFF" w:themeColor="background1"/>
                              </w:rPr>
                              <w:drawing>
                                <wp:inline distT="0" distB="0" distL="0" distR="0" wp14:anchorId="066DFA06" wp14:editId="441D7F1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B73D98E" w:rsidR="00D72DC6" w:rsidRPr="00D72DC6" w:rsidRDefault="00B25322" w:rsidP="00F02AD1">
                      <w:pPr>
                        <w:rPr>
                          <w:color w:val="FFFFFF" w:themeColor="background1"/>
                          <w14:textFill>
                            <w14:noFill/>
                          </w14:textFill>
                        </w:rPr>
                      </w:pPr>
                      <w:r>
                        <w:rPr>
                          <w:noProof/>
                          <w:color w:val="FFFFFF" w:themeColor="background1"/>
                        </w:rPr>
                        <w:drawing>
                          <wp:inline distT="0" distB="0" distL="0" distR="0" wp14:anchorId="066DFA06" wp14:editId="441D7F1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168E7">
        <w:rPr>
          <w:rFonts w:asciiTheme="majorHAnsi" w:hAnsiTheme="majorHAnsi"/>
          <w:noProof/>
          <w:sz w:val="22"/>
          <w:szCs w:val="22"/>
          <w:lang w:val="es-ES"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168E7" w:rsidRDefault="004A6A54" w:rsidP="005516A1">
      <w:pPr>
        <w:tabs>
          <w:tab w:val="center" w:pos="5400"/>
        </w:tabs>
        <w:suppressAutoHyphens/>
        <w:jc w:val="center"/>
        <w:rPr>
          <w:rFonts w:asciiTheme="majorHAnsi" w:hAnsiTheme="majorHAnsi"/>
          <w:b/>
          <w:sz w:val="20"/>
          <w:lang w:val="es-ES"/>
        </w:rPr>
        <w:sectPr w:rsidR="0070697F" w:rsidRPr="004168E7" w:rsidSect="006E4D7C">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168E7">
        <w:rPr>
          <w:rFonts w:asciiTheme="majorHAnsi" w:hAnsiTheme="majorHAnsi"/>
          <w:b/>
          <w:sz w:val="20"/>
          <w:lang w:val="es-ES"/>
        </w:rPr>
        <w:tab/>
      </w:r>
    </w:p>
    <w:p w14:paraId="376DDC8B" w14:textId="77777777" w:rsidR="003239B8" w:rsidRPr="004168E7" w:rsidRDefault="003239B8" w:rsidP="004A6A54">
      <w:pPr>
        <w:spacing w:after="240"/>
        <w:ind w:firstLine="720"/>
        <w:jc w:val="both"/>
        <w:rPr>
          <w:rFonts w:asciiTheme="majorHAnsi" w:hAnsiTheme="majorHAnsi"/>
          <w:b/>
          <w:bCs/>
          <w:sz w:val="20"/>
          <w:szCs w:val="20"/>
          <w:lang w:val="es-ES"/>
        </w:rPr>
      </w:pPr>
      <w:r w:rsidRPr="004168E7">
        <w:rPr>
          <w:rFonts w:asciiTheme="majorHAnsi" w:hAnsiTheme="majorHAnsi"/>
          <w:b/>
          <w:bCs/>
          <w:sz w:val="20"/>
          <w:szCs w:val="20"/>
          <w:lang w:val="es-ES"/>
        </w:rPr>
        <w:lastRenderedPageBreak/>
        <w:t>I.</w:t>
      </w:r>
      <w:r w:rsidRPr="004168E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F583F" w:rsidRPr="009161E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EF583F" w:rsidRPr="004168E7" w:rsidRDefault="00EF583F" w:rsidP="00EF583F">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Parte peticionaria:</w:t>
            </w:r>
          </w:p>
        </w:tc>
        <w:tc>
          <w:tcPr>
            <w:tcW w:w="5760" w:type="dxa"/>
            <w:vAlign w:val="center"/>
          </w:tcPr>
          <w:p w14:paraId="3C5315D8" w14:textId="4336E363" w:rsidR="00EF583F" w:rsidRPr="004168E7" w:rsidRDefault="00EF583F" w:rsidP="00EF583F">
            <w:pPr>
              <w:jc w:val="both"/>
              <w:rPr>
                <w:rFonts w:ascii="Cambria" w:hAnsi="Cambria"/>
                <w:bCs/>
                <w:sz w:val="20"/>
                <w:szCs w:val="20"/>
                <w:lang w:val="pt-BR"/>
              </w:rPr>
            </w:pPr>
            <w:r w:rsidRPr="004168E7">
              <w:rPr>
                <w:rFonts w:ascii="Cambria" w:hAnsi="Cambria"/>
                <w:bCs/>
                <w:sz w:val="20"/>
                <w:szCs w:val="20"/>
                <w:lang w:val="pt-BR"/>
              </w:rPr>
              <w:t>Maximino Milagro de Jesús Gómez Serrano</w:t>
            </w:r>
          </w:p>
        </w:tc>
      </w:tr>
      <w:tr w:rsidR="00EF583F" w:rsidRPr="009161E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EF583F" w:rsidRPr="004168E7" w:rsidRDefault="00CA7697" w:rsidP="00EF583F">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A42F851447044847966677DF77D1D77E"/>
                </w:placeholder>
                <w:dropDownList>
                  <w:listItem w:value="Choose an item."/>
                  <w:listItem w:displayText="Presunta víctima" w:value="Presunta víctima"/>
                  <w:listItem w:displayText="Presuntas víctimas" w:value="Presuntas víctimas"/>
                </w:dropDownList>
              </w:sdtPr>
              <w:sdtEndPr/>
              <w:sdtContent>
                <w:r w:rsidR="00EF583F" w:rsidRPr="004168E7">
                  <w:rPr>
                    <w:rFonts w:ascii="Cambria" w:hAnsi="Cambria"/>
                    <w:b/>
                    <w:bCs/>
                    <w:color w:val="FFFFFF" w:themeColor="background1"/>
                    <w:sz w:val="20"/>
                    <w:szCs w:val="20"/>
                    <w:lang w:val="es-ES"/>
                  </w:rPr>
                  <w:t>Presunta víctima</w:t>
                </w:r>
              </w:sdtContent>
            </w:sdt>
            <w:r w:rsidR="00EF583F" w:rsidRPr="004168E7">
              <w:rPr>
                <w:rFonts w:ascii="Cambria" w:hAnsi="Cambria"/>
                <w:b/>
                <w:bCs/>
                <w:color w:val="FFFFFF" w:themeColor="background1"/>
                <w:sz w:val="20"/>
                <w:szCs w:val="20"/>
                <w:lang w:val="es-ES"/>
              </w:rPr>
              <w:t>:</w:t>
            </w:r>
          </w:p>
        </w:tc>
        <w:tc>
          <w:tcPr>
            <w:tcW w:w="5760" w:type="dxa"/>
            <w:vAlign w:val="center"/>
          </w:tcPr>
          <w:p w14:paraId="4AEBF59E" w14:textId="0B4036A5" w:rsidR="00EF583F" w:rsidRPr="004168E7" w:rsidRDefault="00EF583F" w:rsidP="00EF583F">
            <w:pPr>
              <w:jc w:val="both"/>
              <w:rPr>
                <w:rFonts w:ascii="Cambria" w:hAnsi="Cambria"/>
                <w:bCs/>
                <w:sz w:val="20"/>
                <w:szCs w:val="20"/>
                <w:lang w:val="pt-BR"/>
              </w:rPr>
            </w:pPr>
            <w:r w:rsidRPr="004168E7">
              <w:rPr>
                <w:rFonts w:ascii="Cambria" w:hAnsi="Cambria"/>
                <w:bCs/>
                <w:sz w:val="20"/>
                <w:szCs w:val="20"/>
                <w:lang w:val="pt-BR"/>
              </w:rPr>
              <w:t>Maximino Milagro de Jesús Gómez Serrano</w:t>
            </w:r>
          </w:p>
        </w:tc>
      </w:tr>
      <w:tr w:rsidR="00EF583F" w:rsidRPr="004168E7"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EF583F" w:rsidRPr="004168E7" w:rsidRDefault="00EF583F" w:rsidP="00EF583F">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Estado denunciado:</w:t>
            </w:r>
          </w:p>
        </w:tc>
        <w:tc>
          <w:tcPr>
            <w:tcW w:w="5760" w:type="dxa"/>
            <w:vAlign w:val="center"/>
          </w:tcPr>
          <w:p w14:paraId="274C8A50" w14:textId="73D3AD0F" w:rsidR="00EF583F" w:rsidRPr="004168E7" w:rsidRDefault="00EF583F" w:rsidP="00EF583F">
            <w:pPr>
              <w:jc w:val="both"/>
              <w:rPr>
                <w:rFonts w:ascii="Cambria" w:hAnsi="Cambria"/>
                <w:bCs/>
                <w:sz w:val="20"/>
                <w:szCs w:val="20"/>
                <w:lang w:val="es-ES"/>
              </w:rPr>
            </w:pPr>
            <w:r w:rsidRPr="004168E7">
              <w:rPr>
                <w:rFonts w:ascii="Cambria" w:hAnsi="Cambria"/>
                <w:bCs/>
                <w:sz w:val="20"/>
                <w:szCs w:val="20"/>
                <w:lang w:val="es-ES"/>
              </w:rPr>
              <w:t>Guatemala</w:t>
            </w:r>
            <w:r w:rsidR="00021B20">
              <w:rPr>
                <w:rStyle w:val="FootnoteReference"/>
                <w:rFonts w:ascii="Cambria" w:hAnsi="Cambria"/>
                <w:bCs/>
                <w:sz w:val="20"/>
                <w:szCs w:val="20"/>
                <w:lang w:val="es-ES"/>
              </w:rPr>
              <w:footnoteReference w:id="2"/>
            </w:r>
          </w:p>
        </w:tc>
      </w:tr>
      <w:tr w:rsidR="00EF583F" w:rsidRPr="009161E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EF583F" w:rsidRPr="004168E7" w:rsidRDefault="00EF583F" w:rsidP="00EF583F">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Derechos invocados:</w:t>
            </w:r>
          </w:p>
        </w:tc>
        <w:tc>
          <w:tcPr>
            <w:tcW w:w="5760" w:type="dxa"/>
            <w:vAlign w:val="center"/>
          </w:tcPr>
          <w:p w14:paraId="6DEE1EEB" w14:textId="63C79407" w:rsidR="00EF583F" w:rsidRPr="004168E7" w:rsidRDefault="00876F8B" w:rsidP="00EF583F">
            <w:pPr>
              <w:jc w:val="both"/>
              <w:rPr>
                <w:rFonts w:ascii="Cambria" w:hAnsi="Cambria"/>
                <w:bCs/>
                <w:sz w:val="20"/>
                <w:szCs w:val="20"/>
                <w:lang w:val="es-ES"/>
              </w:rPr>
            </w:pPr>
            <w:r w:rsidRPr="004168E7">
              <w:rPr>
                <w:rFonts w:ascii="Cambria" w:hAnsi="Cambria"/>
                <w:bCs/>
                <w:sz w:val="20"/>
                <w:szCs w:val="20"/>
                <w:lang w:val="es-ES"/>
              </w:rPr>
              <w:t>El peticionario no indica normas específicas, pero del relato se puede entender que se refiere a los</w:t>
            </w:r>
            <w:r w:rsidR="00385312" w:rsidRPr="004168E7">
              <w:rPr>
                <w:rFonts w:ascii="Cambria" w:hAnsi="Cambria"/>
                <w:bCs/>
                <w:sz w:val="20"/>
                <w:szCs w:val="20"/>
                <w:lang w:val="es-ES"/>
              </w:rPr>
              <w:t xml:space="preserve"> derechos establecidos en los</w:t>
            </w:r>
            <w:r w:rsidRPr="004168E7">
              <w:rPr>
                <w:rFonts w:ascii="Cambria" w:hAnsi="Cambria"/>
                <w:bCs/>
                <w:sz w:val="20"/>
                <w:szCs w:val="20"/>
                <w:lang w:val="es-ES"/>
              </w:rPr>
              <w:t xml:space="preserve"> a</w:t>
            </w:r>
            <w:r w:rsidR="00EF583F" w:rsidRPr="004168E7">
              <w:rPr>
                <w:rFonts w:ascii="Cambria" w:hAnsi="Cambria"/>
                <w:bCs/>
                <w:sz w:val="20"/>
                <w:szCs w:val="20"/>
                <w:lang w:val="es-ES"/>
              </w:rPr>
              <w:t xml:space="preserve">rtículos </w:t>
            </w:r>
            <w:r w:rsidRPr="004168E7">
              <w:rPr>
                <w:rFonts w:ascii="Cambria" w:hAnsi="Cambria"/>
                <w:bCs/>
                <w:sz w:val="20"/>
                <w:szCs w:val="20"/>
                <w:lang w:val="es-ES"/>
              </w:rPr>
              <w:t xml:space="preserve">5 (integridad personal), 7 (libertad personal), 8 (garantías judiciales) y 25 (protección judicial) </w:t>
            </w:r>
            <w:r w:rsidR="00EF583F" w:rsidRPr="004168E7">
              <w:rPr>
                <w:rFonts w:ascii="Cambria" w:hAnsi="Cambria"/>
                <w:bCs/>
                <w:sz w:val="20"/>
                <w:szCs w:val="20"/>
                <w:lang w:val="es-ES"/>
              </w:rPr>
              <w:t>de la Convención Americana sobre Derechos Humanos</w:t>
            </w:r>
            <w:r w:rsidR="00EF583F" w:rsidRPr="004168E7">
              <w:rPr>
                <w:rStyle w:val="FootnoteReference"/>
                <w:rFonts w:ascii="Cambria" w:hAnsi="Cambria"/>
                <w:bCs/>
                <w:sz w:val="20"/>
                <w:szCs w:val="20"/>
                <w:lang w:val="es-ES"/>
              </w:rPr>
              <w:footnoteReference w:id="3"/>
            </w:r>
          </w:p>
        </w:tc>
      </w:tr>
    </w:tbl>
    <w:p w14:paraId="20263696" w14:textId="77777777" w:rsidR="003239B8" w:rsidRPr="004168E7" w:rsidRDefault="003239B8" w:rsidP="003239B8">
      <w:pPr>
        <w:spacing w:before="240" w:after="240"/>
        <w:ind w:firstLine="720"/>
        <w:jc w:val="both"/>
        <w:rPr>
          <w:rFonts w:asciiTheme="majorHAnsi" w:hAnsiTheme="majorHAnsi"/>
          <w:b/>
          <w:bCs/>
          <w:sz w:val="20"/>
          <w:szCs w:val="20"/>
          <w:lang w:val="es-ES"/>
        </w:rPr>
      </w:pPr>
      <w:r w:rsidRPr="004168E7">
        <w:rPr>
          <w:rFonts w:asciiTheme="majorHAnsi" w:hAnsiTheme="majorHAnsi"/>
          <w:b/>
          <w:bCs/>
          <w:sz w:val="20"/>
          <w:szCs w:val="20"/>
          <w:lang w:val="es-ES"/>
        </w:rPr>
        <w:t>II.</w:t>
      </w:r>
      <w:r w:rsidRPr="004168E7">
        <w:rPr>
          <w:rFonts w:asciiTheme="majorHAnsi" w:hAnsiTheme="majorHAnsi"/>
          <w:b/>
          <w:bCs/>
          <w:sz w:val="20"/>
          <w:szCs w:val="20"/>
          <w:lang w:val="es-ES"/>
        </w:rPr>
        <w:tab/>
        <w:t>TRÁMITE ANTE LA CIDH</w:t>
      </w:r>
      <w:r w:rsidR="008E3BFE" w:rsidRPr="004168E7">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168E7"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168E7" w:rsidRDefault="004A6A54" w:rsidP="004A6A54">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P</w:t>
            </w:r>
            <w:r w:rsidR="004C2312" w:rsidRPr="004168E7">
              <w:rPr>
                <w:rFonts w:ascii="Cambria" w:hAnsi="Cambria"/>
                <w:b/>
                <w:bCs/>
                <w:color w:val="FFFFFF" w:themeColor="background1"/>
                <w:sz w:val="20"/>
                <w:szCs w:val="20"/>
                <w:lang w:val="es-ES"/>
              </w:rPr>
              <w:t>resentación de la petición:</w:t>
            </w:r>
          </w:p>
        </w:tc>
        <w:tc>
          <w:tcPr>
            <w:tcW w:w="5760" w:type="dxa"/>
            <w:vAlign w:val="center"/>
          </w:tcPr>
          <w:p w14:paraId="6E579153" w14:textId="543D912D" w:rsidR="004C2312" w:rsidRPr="004168E7" w:rsidRDefault="00C540AD" w:rsidP="002625EA">
            <w:pPr>
              <w:jc w:val="both"/>
              <w:rPr>
                <w:rFonts w:ascii="Cambria" w:hAnsi="Cambria"/>
                <w:bCs/>
                <w:sz w:val="20"/>
                <w:szCs w:val="20"/>
                <w:lang w:val="es-ES"/>
              </w:rPr>
            </w:pPr>
            <w:r w:rsidRPr="004168E7">
              <w:rPr>
                <w:rFonts w:ascii="Cambria" w:hAnsi="Cambria"/>
                <w:bCs/>
                <w:sz w:val="20"/>
                <w:szCs w:val="20"/>
                <w:lang w:val="es-ES"/>
              </w:rPr>
              <w:t>13 de noviembre de 2017</w:t>
            </w:r>
          </w:p>
        </w:tc>
      </w:tr>
      <w:tr w:rsidR="008A3C34" w:rsidRPr="009161E0"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Pr="004168E7" w:rsidRDefault="00067CA6" w:rsidP="004A6A54">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Información adicional recibida durante la etapa de estudio:</w:t>
            </w:r>
          </w:p>
        </w:tc>
        <w:tc>
          <w:tcPr>
            <w:tcW w:w="5760" w:type="dxa"/>
            <w:vAlign w:val="center"/>
          </w:tcPr>
          <w:p w14:paraId="5EF0A986" w14:textId="4F5E13D3" w:rsidR="008A3C34" w:rsidRPr="004168E7" w:rsidRDefault="00C540AD" w:rsidP="002625EA">
            <w:pPr>
              <w:jc w:val="both"/>
              <w:rPr>
                <w:rFonts w:ascii="Cambria" w:hAnsi="Cambria"/>
                <w:bCs/>
                <w:sz w:val="20"/>
                <w:szCs w:val="20"/>
                <w:lang w:val="es-ES"/>
              </w:rPr>
            </w:pPr>
            <w:r w:rsidRPr="004168E7">
              <w:rPr>
                <w:rFonts w:ascii="Cambria" w:hAnsi="Cambria"/>
                <w:bCs/>
                <w:sz w:val="20"/>
                <w:szCs w:val="20"/>
                <w:lang w:val="es-ES"/>
              </w:rPr>
              <w:t xml:space="preserve">9 de </w:t>
            </w:r>
            <w:r w:rsidR="006B5D5F" w:rsidRPr="004168E7">
              <w:rPr>
                <w:rFonts w:ascii="Cambria" w:hAnsi="Cambria"/>
                <w:bCs/>
                <w:sz w:val="20"/>
                <w:szCs w:val="20"/>
                <w:lang w:val="es-ES"/>
              </w:rPr>
              <w:t>octubre de 2019 y 10 de junio de 2020</w:t>
            </w:r>
          </w:p>
        </w:tc>
      </w:tr>
      <w:tr w:rsidR="004C2312" w:rsidRPr="004168E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168E7" w:rsidRDefault="004A6A54" w:rsidP="004A6A54">
            <w:pPr>
              <w:jc w:val="center"/>
              <w:rPr>
                <w:rFonts w:ascii="Cambria" w:hAnsi="Cambria"/>
                <w:b/>
                <w:bCs/>
                <w:color w:val="FFFFFF" w:themeColor="background1"/>
                <w:sz w:val="20"/>
                <w:szCs w:val="20"/>
                <w:lang w:val="es-ES"/>
              </w:rPr>
            </w:pPr>
            <w:r w:rsidRPr="004168E7">
              <w:rPr>
                <w:rFonts w:ascii="Cambria" w:hAnsi="Cambria"/>
                <w:b/>
                <w:color w:val="FFFFFF" w:themeColor="background1"/>
                <w:sz w:val="20"/>
                <w:szCs w:val="20"/>
                <w:lang w:val="es-ES"/>
              </w:rPr>
              <w:t>N</w:t>
            </w:r>
            <w:r w:rsidR="004C2312" w:rsidRPr="004168E7">
              <w:rPr>
                <w:rFonts w:ascii="Cambria" w:hAnsi="Cambria"/>
                <w:b/>
                <w:color w:val="FFFFFF" w:themeColor="background1"/>
                <w:sz w:val="20"/>
                <w:szCs w:val="20"/>
                <w:lang w:val="es-ES"/>
              </w:rPr>
              <w:t>otificación de la petición al Estado:</w:t>
            </w:r>
          </w:p>
        </w:tc>
        <w:tc>
          <w:tcPr>
            <w:tcW w:w="5760" w:type="dxa"/>
            <w:vAlign w:val="center"/>
          </w:tcPr>
          <w:p w14:paraId="1519DA6A" w14:textId="54E1C7F3" w:rsidR="004C2312" w:rsidRPr="004168E7" w:rsidRDefault="006B5D5F" w:rsidP="008D2290">
            <w:pPr>
              <w:jc w:val="both"/>
              <w:rPr>
                <w:rFonts w:ascii="Cambria" w:hAnsi="Cambria"/>
                <w:bCs/>
                <w:sz w:val="20"/>
                <w:szCs w:val="20"/>
                <w:lang w:val="es-ES"/>
              </w:rPr>
            </w:pPr>
            <w:r w:rsidRPr="004168E7">
              <w:rPr>
                <w:rFonts w:ascii="Cambria" w:hAnsi="Cambria"/>
                <w:bCs/>
                <w:sz w:val="20"/>
                <w:szCs w:val="20"/>
                <w:lang w:val="es-ES"/>
              </w:rPr>
              <w:t>26 de julio de 2021</w:t>
            </w:r>
          </w:p>
        </w:tc>
      </w:tr>
      <w:tr w:rsidR="004C2312" w:rsidRPr="004168E7"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168E7" w:rsidRDefault="004A6A54" w:rsidP="004A6A54">
            <w:pPr>
              <w:jc w:val="center"/>
              <w:rPr>
                <w:rFonts w:ascii="Cambria" w:hAnsi="Cambria"/>
                <w:b/>
                <w:bCs/>
                <w:color w:val="FFFFFF" w:themeColor="background1"/>
                <w:sz w:val="20"/>
                <w:szCs w:val="20"/>
                <w:lang w:val="es-ES"/>
              </w:rPr>
            </w:pPr>
            <w:r w:rsidRPr="004168E7">
              <w:rPr>
                <w:rFonts w:ascii="Cambria" w:hAnsi="Cambria"/>
                <w:b/>
                <w:color w:val="FFFFFF" w:themeColor="background1"/>
                <w:sz w:val="20"/>
                <w:szCs w:val="20"/>
                <w:lang w:val="es-ES"/>
              </w:rPr>
              <w:t>P</w:t>
            </w:r>
            <w:r w:rsidR="004C2312" w:rsidRPr="004168E7">
              <w:rPr>
                <w:rFonts w:ascii="Cambria" w:hAnsi="Cambria"/>
                <w:b/>
                <w:color w:val="FFFFFF" w:themeColor="background1"/>
                <w:sz w:val="20"/>
                <w:szCs w:val="20"/>
                <w:lang w:val="es-ES"/>
              </w:rPr>
              <w:t>rimera respuesta del Estado:</w:t>
            </w:r>
          </w:p>
        </w:tc>
        <w:tc>
          <w:tcPr>
            <w:tcW w:w="5760" w:type="dxa"/>
            <w:vAlign w:val="center"/>
          </w:tcPr>
          <w:p w14:paraId="1972B99E" w14:textId="095081F6" w:rsidR="004C2312" w:rsidRPr="004168E7" w:rsidRDefault="005D5A92" w:rsidP="008D2290">
            <w:pPr>
              <w:jc w:val="both"/>
              <w:rPr>
                <w:rFonts w:ascii="Cambria" w:hAnsi="Cambria"/>
                <w:bCs/>
                <w:sz w:val="20"/>
                <w:szCs w:val="20"/>
                <w:lang w:val="es-ES"/>
              </w:rPr>
            </w:pPr>
            <w:r w:rsidRPr="004168E7">
              <w:rPr>
                <w:rFonts w:ascii="Cambria" w:hAnsi="Cambria"/>
                <w:bCs/>
                <w:sz w:val="20"/>
                <w:szCs w:val="20"/>
                <w:lang w:val="es-ES"/>
              </w:rPr>
              <w:t>27 de octubre de 2021</w:t>
            </w:r>
          </w:p>
        </w:tc>
      </w:tr>
    </w:tbl>
    <w:p w14:paraId="21DAA666" w14:textId="77777777" w:rsidR="003239B8" w:rsidRPr="004168E7" w:rsidRDefault="003239B8" w:rsidP="003239B8">
      <w:pPr>
        <w:spacing w:before="240" w:after="240"/>
        <w:ind w:firstLine="720"/>
        <w:jc w:val="both"/>
        <w:rPr>
          <w:rFonts w:asciiTheme="majorHAnsi" w:hAnsiTheme="majorHAnsi"/>
          <w:b/>
          <w:bCs/>
          <w:sz w:val="20"/>
          <w:szCs w:val="20"/>
          <w:lang w:val="es-ES"/>
        </w:rPr>
      </w:pPr>
      <w:r w:rsidRPr="004168E7">
        <w:rPr>
          <w:rFonts w:asciiTheme="majorHAnsi" w:hAnsiTheme="majorHAnsi"/>
          <w:b/>
          <w:bCs/>
          <w:sz w:val="20"/>
          <w:szCs w:val="20"/>
          <w:lang w:val="es-ES"/>
        </w:rPr>
        <w:t xml:space="preserve">III. </w:t>
      </w:r>
      <w:r w:rsidRPr="004168E7">
        <w:rPr>
          <w:rFonts w:asciiTheme="majorHAnsi" w:hAnsiTheme="majorHAnsi"/>
          <w:b/>
          <w:bCs/>
          <w:sz w:val="20"/>
          <w:szCs w:val="20"/>
          <w:lang w:val="es-ES"/>
        </w:rPr>
        <w:tab/>
        <w:t>COMPETENCIA</w:t>
      </w:r>
      <w:r w:rsidR="00EE00E9" w:rsidRPr="004168E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168E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168E7" w:rsidRDefault="003239B8" w:rsidP="008D2290">
            <w:pPr>
              <w:jc w:val="center"/>
              <w:rPr>
                <w:rFonts w:ascii="Cambria" w:hAnsi="Cambria"/>
                <w:b/>
                <w:bCs/>
                <w:i/>
                <w:color w:val="FFFFFF" w:themeColor="background1"/>
                <w:sz w:val="20"/>
                <w:szCs w:val="20"/>
                <w:lang w:val="es-ES"/>
              </w:rPr>
            </w:pPr>
            <w:r w:rsidRPr="004168E7">
              <w:rPr>
                <w:rFonts w:ascii="Cambria" w:hAnsi="Cambria"/>
                <w:b/>
                <w:bCs/>
                <w:color w:val="FFFFFF" w:themeColor="background1"/>
                <w:sz w:val="20"/>
                <w:szCs w:val="20"/>
                <w:lang w:val="es-ES"/>
              </w:rPr>
              <w:t>Competencia</w:t>
            </w:r>
            <w:r w:rsidRPr="004168E7">
              <w:rPr>
                <w:rFonts w:ascii="Cambria" w:hAnsi="Cambria"/>
                <w:b/>
                <w:bCs/>
                <w:i/>
                <w:color w:val="FFFFFF" w:themeColor="background1"/>
                <w:sz w:val="20"/>
                <w:szCs w:val="20"/>
                <w:lang w:val="es-ES"/>
              </w:rPr>
              <w:t xml:space="preserve"> Ratione personae:</w:t>
            </w:r>
          </w:p>
        </w:tc>
        <w:tc>
          <w:tcPr>
            <w:tcW w:w="5760" w:type="dxa"/>
            <w:vAlign w:val="center"/>
          </w:tcPr>
          <w:p w14:paraId="7707F3E9" w14:textId="018D5870" w:rsidR="003239B8" w:rsidRPr="004168E7" w:rsidRDefault="003467A3" w:rsidP="008D2290">
            <w:pPr>
              <w:rPr>
                <w:rFonts w:ascii="Cambria" w:hAnsi="Cambria"/>
                <w:bCs/>
                <w:sz w:val="20"/>
                <w:szCs w:val="20"/>
                <w:lang w:val="es-ES"/>
              </w:rPr>
            </w:pPr>
            <w:r w:rsidRPr="004168E7">
              <w:rPr>
                <w:rFonts w:ascii="Cambria" w:hAnsi="Cambria"/>
                <w:bCs/>
                <w:sz w:val="20"/>
                <w:szCs w:val="20"/>
                <w:lang w:val="es-ES"/>
              </w:rPr>
              <w:t>Sí</w:t>
            </w:r>
          </w:p>
        </w:tc>
      </w:tr>
      <w:tr w:rsidR="003239B8" w:rsidRPr="004168E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4168E7" w:rsidRDefault="003239B8"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Competencia</w:t>
            </w:r>
            <w:r w:rsidRPr="004168E7">
              <w:rPr>
                <w:rFonts w:ascii="Cambria" w:hAnsi="Cambria"/>
                <w:b/>
                <w:bCs/>
                <w:i/>
                <w:color w:val="FFFFFF" w:themeColor="background1"/>
                <w:sz w:val="20"/>
                <w:szCs w:val="20"/>
                <w:lang w:val="es-ES"/>
              </w:rPr>
              <w:t xml:space="preserve"> Ratione loci</w:t>
            </w:r>
            <w:r w:rsidRPr="004168E7">
              <w:rPr>
                <w:rFonts w:ascii="Cambria" w:hAnsi="Cambria"/>
                <w:b/>
                <w:bCs/>
                <w:color w:val="FFFFFF" w:themeColor="background1"/>
                <w:sz w:val="20"/>
                <w:szCs w:val="20"/>
                <w:lang w:val="es-ES"/>
              </w:rPr>
              <w:t>:</w:t>
            </w:r>
          </w:p>
        </w:tc>
        <w:tc>
          <w:tcPr>
            <w:tcW w:w="5760" w:type="dxa"/>
            <w:vAlign w:val="center"/>
          </w:tcPr>
          <w:p w14:paraId="12C931CB" w14:textId="268684B9" w:rsidR="003239B8" w:rsidRPr="004168E7" w:rsidRDefault="003467A3" w:rsidP="008D2290">
            <w:pPr>
              <w:rPr>
                <w:rFonts w:ascii="Cambria" w:hAnsi="Cambria"/>
                <w:bCs/>
                <w:sz w:val="20"/>
                <w:szCs w:val="20"/>
                <w:lang w:val="es-ES"/>
              </w:rPr>
            </w:pPr>
            <w:r w:rsidRPr="004168E7">
              <w:rPr>
                <w:rFonts w:ascii="Cambria" w:hAnsi="Cambria"/>
                <w:bCs/>
                <w:sz w:val="20"/>
                <w:szCs w:val="20"/>
                <w:lang w:val="es-ES"/>
              </w:rPr>
              <w:t>Sí</w:t>
            </w:r>
          </w:p>
        </w:tc>
      </w:tr>
      <w:tr w:rsidR="003239B8" w:rsidRPr="004168E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4168E7" w:rsidRDefault="003239B8"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Competencia</w:t>
            </w:r>
            <w:r w:rsidRPr="004168E7">
              <w:rPr>
                <w:rFonts w:ascii="Cambria" w:hAnsi="Cambria"/>
                <w:b/>
                <w:bCs/>
                <w:i/>
                <w:color w:val="FFFFFF" w:themeColor="background1"/>
                <w:sz w:val="20"/>
                <w:szCs w:val="20"/>
                <w:lang w:val="es-ES"/>
              </w:rPr>
              <w:t xml:space="preserve"> Ratione temporis</w:t>
            </w:r>
            <w:r w:rsidRPr="004168E7">
              <w:rPr>
                <w:rFonts w:ascii="Cambria" w:hAnsi="Cambria"/>
                <w:b/>
                <w:bCs/>
                <w:color w:val="FFFFFF" w:themeColor="background1"/>
                <w:sz w:val="20"/>
                <w:szCs w:val="20"/>
                <w:lang w:val="es-ES"/>
              </w:rPr>
              <w:t>:</w:t>
            </w:r>
          </w:p>
        </w:tc>
        <w:tc>
          <w:tcPr>
            <w:tcW w:w="5760" w:type="dxa"/>
            <w:vAlign w:val="center"/>
          </w:tcPr>
          <w:p w14:paraId="6F8B059B" w14:textId="4E0F5275" w:rsidR="003239B8" w:rsidRPr="004168E7" w:rsidRDefault="007C27E5" w:rsidP="008D2290">
            <w:pPr>
              <w:rPr>
                <w:rFonts w:ascii="Cambria" w:hAnsi="Cambria"/>
                <w:bCs/>
                <w:sz w:val="20"/>
                <w:szCs w:val="20"/>
                <w:lang w:val="es-ES"/>
              </w:rPr>
            </w:pPr>
            <w:r w:rsidRPr="004168E7">
              <w:rPr>
                <w:rFonts w:ascii="Cambria" w:hAnsi="Cambria"/>
                <w:bCs/>
                <w:sz w:val="20"/>
                <w:szCs w:val="20"/>
                <w:lang w:val="es-ES"/>
              </w:rPr>
              <w:t>Sí</w:t>
            </w:r>
          </w:p>
        </w:tc>
      </w:tr>
      <w:tr w:rsidR="003239B8" w:rsidRPr="009161E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4168E7" w:rsidRDefault="003239B8"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Competencia</w:t>
            </w:r>
            <w:r w:rsidRPr="004168E7">
              <w:rPr>
                <w:rFonts w:ascii="Cambria" w:hAnsi="Cambria"/>
                <w:b/>
                <w:bCs/>
                <w:i/>
                <w:color w:val="FFFFFF" w:themeColor="background1"/>
                <w:sz w:val="20"/>
                <w:szCs w:val="20"/>
                <w:lang w:val="es-ES"/>
              </w:rPr>
              <w:t xml:space="preserve"> Ratione materia</w:t>
            </w:r>
            <w:r w:rsidR="00EE00E9" w:rsidRPr="004168E7">
              <w:rPr>
                <w:rFonts w:ascii="Cambria" w:hAnsi="Cambria"/>
                <w:b/>
                <w:bCs/>
                <w:i/>
                <w:color w:val="FFFFFF" w:themeColor="background1"/>
                <w:sz w:val="20"/>
                <w:szCs w:val="20"/>
                <w:lang w:val="es-ES"/>
              </w:rPr>
              <w:t>e</w:t>
            </w:r>
            <w:r w:rsidRPr="004168E7">
              <w:rPr>
                <w:rFonts w:ascii="Cambria" w:hAnsi="Cambria"/>
                <w:b/>
                <w:bCs/>
                <w:color w:val="FFFFFF" w:themeColor="background1"/>
                <w:sz w:val="20"/>
                <w:szCs w:val="20"/>
                <w:lang w:val="es-ES"/>
              </w:rPr>
              <w:t>:</w:t>
            </w:r>
          </w:p>
        </w:tc>
        <w:tc>
          <w:tcPr>
            <w:tcW w:w="5760" w:type="dxa"/>
            <w:vAlign w:val="center"/>
          </w:tcPr>
          <w:p w14:paraId="0C122F44" w14:textId="6191B446" w:rsidR="003239B8" w:rsidRPr="004168E7" w:rsidRDefault="003467A3" w:rsidP="008D2290">
            <w:pPr>
              <w:jc w:val="both"/>
              <w:rPr>
                <w:rFonts w:ascii="Cambria" w:hAnsi="Cambria"/>
                <w:bCs/>
                <w:sz w:val="20"/>
                <w:szCs w:val="20"/>
                <w:lang w:val="es-ES"/>
              </w:rPr>
            </w:pPr>
            <w:r w:rsidRPr="004168E7">
              <w:rPr>
                <w:rFonts w:ascii="Cambria" w:hAnsi="Cambria"/>
                <w:bCs/>
                <w:sz w:val="20"/>
                <w:szCs w:val="20"/>
                <w:lang w:val="es-ES"/>
              </w:rPr>
              <w:t>Sí, Convención Americana (depósito del instrumento de ratificación realizado el 8 de septiembre de 1977)</w:t>
            </w:r>
          </w:p>
        </w:tc>
      </w:tr>
    </w:tbl>
    <w:p w14:paraId="4E92C444" w14:textId="140CB1E7" w:rsidR="003239B8" w:rsidRPr="004168E7" w:rsidRDefault="003239B8" w:rsidP="003239B8">
      <w:pPr>
        <w:spacing w:before="240" w:after="240"/>
        <w:ind w:firstLine="720"/>
        <w:jc w:val="both"/>
        <w:rPr>
          <w:rFonts w:asciiTheme="majorHAnsi" w:hAnsiTheme="majorHAnsi"/>
          <w:b/>
          <w:bCs/>
          <w:sz w:val="20"/>
          <w:szCs w:val="20"/>
          <w:lang w:val="es-ES"/>
        </w:rPr>
      </w:pPr>
      <w:r w:rsidRPr="004168E7">
        <w:rPr>
          <w:rFonts w:asciiTheme="majorHAnsi" w:hAnsiTheme="majorHAnsi"/>
          <w:b/>
          <w:bCs/>
          <w:sz w:val="20"/>
          <w:szCs w:val="20"/>
          <w:lang w:val="es-ES"/>
        </w:rPr>
        <w:t xml:space="preserve">IV. </w:t>
      </w:r>
      <w:r w:rsidRPr="004168E7">
        <w:rPr>
          <w:rFonts w:asciiTheme="majorHAnsi" w:hAnsiTheme="majorHAnsi"/>
          <w:b/>
          <w:bCs/>
          <w:sz w:val="20"/>
          <w:szCs w:val="20"/>
          <w:lang w:val="es-ES"/>
        </w:rPr>
        <w:tab/>
      </w:r>
      <w:r w:rsidR="00EE00E9" w:rsidRPr="004168E7">
        <w:rPr>
          <w:rFonts w:asciiTheme="majorHAnsi" w:hAnsiTheme="majorHAnsi"/>
          <w:b/>
          <w:bCs/>
          <w:sz w:val="20"/>
          <w:szCs w:val="20"/>
          <w:lang w:val="es-ES"/>
        </w:rPr>
        <w:t>DUPLICACIÓN</w:t>
      </w:r>
      <w:r w:rsidR="00EE00E9" w:rsidRPr="004168E7">
        <w:rPr>
          <w:rFonts w:asciiTheme="majorHAnsi" w:hAnsiTheme="majorHAnsi"/>
          <w:b/>
          <w:bCs/>
          <w:color w:val="FFFFFF" w:themeColor="background1"/>
          <w:sz w:val="20"/>
          <w:szCs w:val="20"/>
          <w:lang w:val="es-ES"/>
        </w:rPr>
        <w:t xml:space="preserve"> </w:t>
      </w:r>
      <w:r w:rsidR="00EE00E9" w:rsidRPr="004168E7">
        <w:rPr>
          <w:rFonts w:asciiTheme="majorHAnsi" w:hAnsiTheme="majorHAnsi"/>
          <w:b/>
          <w:bCs/>
          <w:sz w:val="20"/>
          <w:szCs w:val="20"/>
          <w:lang w:val="es-ES"/>
        </w:rPr>
        <w:t>DE PROCEDIMIENTOS Y COSA JUZGADA</w:t>
      </w:r>
      <w:r w:rsidR="00EE00E9" w:rsidRPr="004168E7">
        <w:rPr>
          <w:rFonts w:asciiTheme="majorHAnsi" w:hAnsiTheme="majorHAnsi"/>
          <w:b/>
          <w:bCs/>
          <w:i/>
          <w:sz w:val="20"/>
          <w:szCs w:val="20"/>
          <w:lang w:val="es-ES"/>
        </w:rPr>
        <w:t xml:space="preserve"> </w:t>
      </w:r>
      <w:r w:rsidR="00EE00E9" w:rsidRPr="004168E7">
        <w:rPr>
          <w:rFonts w:asciiTheme="majorHAnsi" w:hAnsiTheme="majorHAnsi"/>
          <w:b/>
          <w:bCs/>
          <w:sz w:val="20"/>
          <w:szCs w:val="20"/>
          <w:lang w:val="es-ES"/>
        </w:rPr>
        <w:t>INTERNACIONAL</w:t>
      </w:r>
      <w:r w:rsidR="005D38F9" w:rsidRPr="004168E7">
        <w:rPr>
          <w:rFonts w:asciiTheme="majorHAnsi" w:hAnsiTheme="majorHAnsi"/>
          <w:b/>
          <w:bCs/>
          <w:sz w:val="20"/>
          <w:szCs w:val="20"/>
          <w:lang w:val="es-ES"/>
        </w:rPr>
        <w:t>,</w:t>
      </w:r>
      <w:r w:rsidRPr="004168E7">
        <w:rPr>
          <w:rFonts w:asciiTheme="majorHAnsi" w:hAnsiTheme="majorHAnsi"/>
          <w:b/>
          <w:bCs/>
          <w:sz w:val="20"/>
          <w:szCs w:val="20"/>
          <w:lang w:val="es-ES"/>
        </w:rPr>
        <w:t xml:space="preserve"> CARACTERIZACIÓN, </w:t>
      </w:r>
      <w:r w:rsidRPr="004168E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168E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4168E7" w:rsidRDefault="00EE00E9"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1BC4538" w:rsidR="00EE00E9" w:rsidRPr="004168E7" w:rsidRDefault="00876F8B" w:rsidP="008D2290">
            <w:pPr>
              <w:jc w:val="both"/>
              <w:rPr>
                <w:rFonts w:ascii="Cambria" w:hAnsi="Cambria"/>
                <w:bCs/>
                <w:sz w:val="20"/>
                <w:szCs w:val="20"/>
                <w:lang w:val="es-ES"/>
              </w:rPr>
            </w:pPr>
            <w:r w:rsidRPr="004168E7">
              <w:rPr>
                <w:rFonts w:ascii="Cambria" w:hAnsi="Cambria"/>
                <w:bCs/>
                <w:sz w:val="20"/>
                <w:szCs w:val="20"/>
                <w:lang w:val="es-ES"/>
              </w:rPr>
              <w:t>No</w:t>
            </w:r>
          </w:p>
        </w:tc>
      </w:tr>
      <w:tr w:rsidR="003239B8" w:rsidRPr="009161E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168E7" w:rsidRDefault="003239B8" w:rsidP="008D2290">
            <w:pPr>
              <w:jc w:val="center"/>
              <w:rPr>
                <w:rFonts w:ascii="Cambria" w:hAnsi="Cambria"/>
                <w:b/>
                <w:bCs/>
                <w:i/>
                <w:color w:val="FFFFFF" w:themeColor="background1"/>
                <w:sz w:val="20"/>
                <w:szCs w:val="20"/>
                <w:lang w:val="es-ES"/>
              </w:rPr>
            </w:pPr>
            <w:r w:rsidRPr="004168E7">
              <w:rPr>
                <w:rFonts w:ascii="Cambria" w:hAnsi="Cambria"/>
                <w:b/>
                <w:bCs/>
                <w:color w:val="FFFFFF" w:themeColor="background1"/>
                <w:sz w:val="20"/>
                <w:szCs w:val="20"/>
                <w:lang w:val="es-ES"/>
              </w:rPr>
              <w:t>Derechos declarados admisibles</w:t>
            </w:r>
            <w:r w:rsidRPr="004168E7">
              <w:rPr>
                <w:rFonts w:ascii="Cambria" w:hAnsi="Cambria"/>
                <w:b/>
                <w:bCs/>
                <w:i/>
                <w:color w:val="FFFFFF" w:themeColor="background1"/>
                <w:sz w:val="20"/>
                <w:szCs w:val="20"/>
                <w:lang w:val="es-ES"/>
              </w:rPr>
              <w:t>:</w:t>
            </w:r>
          </w:p>
        </w:tc>
        <w:tc>
          <w:tcPr>
            <w:tcW w:w="5760" w:type="dxa"/>
            <w:vAlign w:val="center"/>
          </w:tcPr>
          <w:p w14:paraId="6310C8F7" w14:textId="2F49978E" w:rsidR="003239B8" w:rsidRPr="004168E7" w:rsidRDefault="00876F8B" w:rsidP="008D2290">
            <w:pPr>
              <w:jc w:val="both"/>
              <w:rPr>
                <w:rFonts w:ascii="Cambria" w:hAnsi="Cambria"/>
                <w:bCs/>
                <w:sz w:val="20"/>
                <w:szCs w:val="20"/>
                <w:lang w:val="es-ES"/>
              </w:rPr>
            </w:pPr>
            <w:r w:rsidRPr="004168E7">
              <w:rPr>
                <w:rFonts w:ascii="Cambria" w:hAnsi="Cambria"/>
                <w:bCs/>
                <w:sz w:val="20"/>
                <w:szCs w:val="20"/>
                <w:lang w:val="es-ES"/>
              </w:rPr>
              <w:t>5 (integridad personal), 7 (libertad personal), 8 (garantías judiciales) y 25 (protección judicial) de la Convención Americana</w:t>
            </w:r>
            <w:r w:rsidR="000A5559" w:rsidRPr="004168E7">
              <w:rPr>
                <w:rFonts w:ascii="Cambria" w:hAnsi="Cambria"/>
                <w:bCs/>
                <w:sz w:val="20"/>
                <w:szCs w:val="20"/>
                <w:lang w:val="es-ES"/>
              </w:rPr>
              <w:t xml:space="preserve">, en relación </w:t>
            </w:r>
            <w:r w:rsidR="00A46230">
              <w:rPr>
                <w:rFonts w:ascii="Cambria" w:hAnsi="Cambria"/>
                <w:bCs/>
                <w:sz w:val="20"/>
                <w:szCs w:val="20"/>
                <w:lang w:val="es-ES"/>
              </w:rPr>
              <w:t xml:space="preserve">con </w:t>
            </w:r>
            <w:r w:rsidR="00B25755" w:rsidRPr="004168E7">
              <w:rPr>
                <w:rFonts w:ascii="Cambria" w:hAnsi="Cambria"/>
                <w:bCs/>
                <w:sz w:val="20"/>
                <w:szCs w:val="20"/>
                <w:lang w:val="es-ES"/>
              </w:rPr>
              <w:t>sus artículos 1.1 (obligación de respetar los derechos) y 2 (deber de adoptar disposiciones de derecho interno)</w:t>
            </w:r>
          </w:p>
        </w:tc>
      </w:tr>
      <w:tr w:rsidR="003239B8" w:rsidRPr="009161E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4168E7" w:rsidRDefault="003239B8"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Agotamiento de recursos internos</w:t>
            </w:r>
            <w:r w:rsidR="00EE00E9" w:rsidRPr="004168E7">
              <w:rPr>
                <w:rFonts w:ascii="Cambria" w:hAnsi="Cambria"/>
                <w:b/>
                <w:bCs/>
                <w:color w:val="FFFFFF" w:themeColor="background1"/>
                <w:sz w:val="20"/>
                <w:szCs w:val="20"/>
                <w:lang w:val="es-ES"/>
              </w:rPr>
              <w:t xml:space="preserve"> o procedencia de una excepción</w:t>
            </w:r>
            <w:r w:rsidRPr="004168E7">
              <w:rPr>
                <w:rFonts w:ascii="Cambria" w:hAnsi="Cambria"/>
                <w:b/>
                <w:bCs/>
                <w:color w:val="FFFFFF" w:themeColor="background1"/>
                <w:sz w:val="20"/>
                <w:szCs w:val="20"/>
                <w:lang w:val="es-ES"/>
              </w:rPr>
              <w:t>:</w:t>
            </w:r>
          </w:p>
        </w:tc>
        <w:tc>
          <w:tcPr>
            <w:tcW w:w="5760" w:type="dxa"/>
            <w:vAlign w:val="center"/>
          </w:tcPr>
          <w:p w14:paraId="69C53E8A" w14:textId="37DC1ADB" w:rsidR="003239B8" w:rsidRPr="004168E7" w:rsidRDefault="00876F8B" w:rsidP="008D2290">
            <w:pPr>
              <w:rPr>
                <w:rFonts w:ascii="Cambria" w:hAnsi="Cambria"/>
                <w:bCs/>
                <w:sz w:val="20"/>
                <w:szCs w:val="20"/>
                <w:lang w:val="es-ES"/>
              </w:rPr>
            </w:pPr>
            <w:r w:rsidRPr="004168E7">
              <w:rPr>
                <w:rFonts w:ascii="Cambria" w:hAnsi="Cambria"/>
                <w:bCs/>
                <w:sz w:val="20"/>
                <w:szCs w:val="20"/>
                <w:lang w:val="es-ES"/>
              </w:rPr>
              <w:t>Sí, en los términos de la sección VI</w:t>
            </w:r>
          </w:p>
        </w:tc>
      </w:tr>
      <w:tr w:rsidR="003239B8" w:rsidRPr="009161E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4168E7" w:rsidRDefault="003239B8" w:rsidP="008D2290">
            <w:pPr>
              <w:jc w:val="center"/>
              <w:rPr>
                <w:rFonts w:ascii="Cambria" w:hAnsi="Cambria"/>
                <w:b/>
                <w:bCs/>
                <w:color w:val="FFFFFF" w:themeColor="background1"/>
                <w:sz w:val="20"/>
                <w:szCs w:val="20"/>
                <w:lang w:val="es-ES"/>
              </w:rPr>
            </w:pPr>
            <w:r w:rsidRPr="004168E7">
              <w:rPr>
                <w:rFonts w:ascii="Cambria" w:hAnsi="Cambria"/>
                <w:b/>
                <w:bCs/>
                <w:color w:val="FFFFFF" w:themeColor="background1"/>
                <w:sz w:val="20"/>
                <w:szCs w:val="20"/>
                <w:lang w:val="es-ES"/>
              </w:rPr>
              <w:t>Presentación dentro de plazo:</w:t>
            </w:r>
          </w:p>
        </w:tc>
        <w:tc>
          <w:tcPr>
            <w:tcW w:w="5760" w:type="dxa"/>
            <w:vAlign w:val="center"/>
          </w:tcPr>
          <w:p w14:paraId="4A2A4569" w14:textId="7F744DA0" w:rsidR="003239B8" w:rsidRPr="004168E7" w:rsidRDefault="00876F8B" w:rsidP="008D2290">
            <w:pPr>
              <w:rPr>
                <w:rFonts w:ascii="Cambria" w:hAnsi="Cambria"/>
                <w:bCs/>
                <w:sz w:val="20"/>
                <w:szCs w:val="20"/>
                <w:lang w:val="es-ES"/>
              </w:rPr>
            </w:pPr>
            <w:r w:rsidRPr="004168E7">
              <w:rPr>
                <w:rFonts w:ascii="Cambria" w:hAnsi="Cambria"/>
                <w:bCs/>
                <w:sz w:val="20"/>
                <w:szCs w:val="20"/>
                <w:lang w:val="es-ES"/>
              </w:rPr>
              <w:t>Sí, en los términos de la sección VI</w:t>
            </w:r>
          </w:p>
        </w:tc>
      </w:tr>
    </w:tbl>
    <w:p w14:paraId="0FA0DBD0" w14:textId="77777777" w:rsidR="00A270A3" w:rsidRDefault="00A270A3" w:rsidP="00823D62">
      <w:pPr>
        <w:spacing w:before="240" w:after="240"/>
        <w:ind w:firstLine="720"/>
        <w:jc w:val="both"/>
        <w:rPr>
          <w:rFonts w:asciiTheme="majorHAnsi" w:hAnsiTheme="majorHAnsi"/>
          <w:b/>
          <w:sz w:val="20"/>
          <w:szCs w:val="20"/>
          <w:lang w:val="es-ES"/>
        </w:rPr>
      </w:pPr>
    </w:p>
    <w:p w14:paraId="68B74B71" w14:textId="77777777" w:rsidR="00A270A3" w:rsidRDefault="00A270A3" w:rsidP="00823D62">
      <w:pPr>
        <w:spacing w:before="240" w:after="240"/>
        <w:ind w:firstLine="720"/>
        <w:jc w:val="both"/>
        <w:rPr>
          <w:rFonts w:asciiTheme="majorHAnsi" w:hAnsiTheme="majorHAnsi"/>
          <w:b/>
          <w:sz w:val="20"/>
          <w:szCs w:val="20"/>
          <w:lang w:val="es-ES"/>
        </w:rPr>
      </w:pPr>
    </w:p>
    <w:p w14:paraId="626C2B4E" w14:textId="77777777" w:rsidR="00A270A3" w:rsidRDefault="00A270A3" w:rsidP="00823D62">
      <w:pPr>
        <w:spacing w:before="240" w:after="240"/>
        <w:ind w:firstLine="720"/>
        <w:jc w:val="both"/>
        <w:rPr>
          <w:rFonts w:asciiTheme="majorHAnsi" w:hAnsiTheme="majorHAnsi"/>
          <w:b/>
          <w:sz w:val="20"/>
          <w:szCs w:val="20"/>
          <w:lang w:val="es-ES"/>
        </w:rPr>
      </w:pPr>
    </w:p>
    <w:p w14:paraId="18E6423B" w14:textId="5AD61839" w:rsidR="003239B8" w:rsidRPr="00823D62" w:rsidRDefault="00223A29" w:rsidP="00823D62">
      <w:pPr>
        <w:spacing w:before="240" w:after="240"/>
        <w:ind w:firstLine="720"/>
        <w:jc w:val="both"/>
        <w:rPr>
          <w:rFonts w:asciiTheme="majorHAnsi" w:hAnsiTheme="majorHAnsi"/>
          <w:b/>
          <w:sz w:val="20"/>
          <w:szCs w:val="20"/>
          <w:lang w:val="es-ES"/>
        </w:rPr>
      </w:pPr>
      <w:r w:rsidRPr="004168E7">
        <w:rPr>
          <w:rFonts w:asciiTheme="majorHAnsi" w:hAnsiTheme="majorHAnsi"/>
          <w:b/>
          <w:sz w:val="20"/>
          <w:szCs w:val="20"/>
          <w:lang w:val="es-ES"/>
        </w:rPr>
        <w:lastRenderedPageBreak/>
        <w:t xml:space="preserve">V. </w:t>
      </w:r>
      <w:r w:rsidRPr="004168E7">
        <w:rPr>
          <w:rFonts w:asciiTheme="majorHAnsi" w:hAnsiTheme="majorHAnsi"/>
          <w:b/>
          <w:sz w:val="20"/>
          <w:szCs w:val="20"/>
          <w:lang w:val="es-ES"/>
        </w:rPr>
        <w:tab/>
      </w:r>
      <w:r w:rsidR="00867314" w:rsidRPr="00823D62">
        <w:rPr>
          <w:rFonts w:asciiTheme="majorHAnsi" w:hAnsiTheme="majorHAnsi"/>
          <w:b/>
          <w:sz w:val="20"/>
          <w:szCs w:val="20"/>
          <w:lang w:val="es-ES"/>
        </w:rPr>
        <w:t>POSICIÓN DE LAS PARTES</w:t>
      </w:r>
    </w:p>
    <w:p w14:paraId="6A391280" w14:textId="177F9331" w:rsidR="00EF583F" w:rsidRPr="00823D62" w:rsidRDefault="00AF101C" w:rsidP="00823D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
        </w:rPr>
      </w:pPr>
      <w:r w:rsidRPr="00823D62">
        <w:rPr>
          <w:rFonts w:asciiTheme="majorHAnsi" w:hAnsiTheme="majorHAnsi"/>
          <w:i/>
          <w:iCs/>
          <w:sz w:val="20"/>
          <w:szCs w:val="20"/>
          <w:lang w:val="es-ES"/>
        </w:rPr>
        <w:t>Alegatos de la parte peticionaria</w:t>
      </w:r>
    </w:p>
    <w:p w14:paraId="6ED090DA" w14:textId="18F3598A" w:rsidR="003F7BE1" w:rsidRPr="00823D62" w:rsidRDefault="003F7BE1"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La presente petición se refiere a la privación de la libertad durante ocho años del Sr. </w:t>
      </w:r>
      <w:r w:rsidRPr="00823D62">
        <w:rPr>
          <w:rFonts w:asciiTheme="majorHAnsi" w:hAnsiTheme="majorHAnsi"/>
          <w:bCs/>
          <w:sz w:val="20"/>
          <w:szCs w:val="20"/>
          <w:lang w:val="es-ES"/>
        </w:rPr>
        <w:t>Maximino Milagro de Jesús Gómez Serrano</w:t>
      </w:r>
      <w:r w:rsidR="0073448A" w:rsidRPr="00823D62">
        <w:rPr>
          <w:rFonts w:asciiTheme="majorHAnsi" w:hAnsiTheme="majorHAnsi"/>
          <w:bCs/>
          <w:sz w:val="20"/>
          <w:szCs w:val="20"/>
          <w:lang w:val="es-ES"/>
        </w:rPr>
        <w:t>,</w:t>
      </w:r>
      <w:r w:rsidRPr="00823D62">
        <w:rPr>
          <w:rFonts w:asciiTheme="majorHAnsi" w:hAnsiTheme="majorHAnsi"/>
          <w:bCs/>
          <w:sz w:val="20"/>
          <w:szCs w:val="20"/>
          <w:lang w:val="es-ES"/>
        </w:rPr>
        <w:t xml:space="preserve"> en el marco de un proceso penal que se ha</w:t>
      </w:r>
      <w:r w:rsidR="0073448A" w:rsidRPr="00823D62">
        <w:rPr>
          <w:rFonts w:asciiTheme="majorHAnsi" w:hAnsiTheme="majorHAnsi"/>
          <w:bCs/>
          <w:sz w:val="20"/>
          <w:szCs w:val="20"/>
          <w:lang w:val="es-ES"/>
        </w:rPr>
        <w:t>bría</w:t>
      </w:r>
      <w:r w:rsidRPr="00823D62">
        <w:rPr>
          <w:rFonts w:asciiTheme="majorHAnsi" w:hAnsiTheme="majorHAnsi"/>
          <w:bCs/>
          <w:sz w:val="20"/>
          <w:szCs w:val="20"/>
          <w:lang w:val="es-ES"/>
        </w:rPr>
        <w:t xml:space="preserve"> prolongado excesivamente</w:t>
      </w:r>
      <w:r w:rsidR="00B35696" w:rsidRPr="00823D62">
        <w:rPr>
          <w:rFonts w:asciiTheme="majorHAnsi" w:hAnsiTheme="majorHAnsi"/>
          <w:bCs/>
          <w:sz w:val="20"/>
          <w:szCs w:val="20"/>
          <w:lang w:val="es-ES"/>
        </w:rPr>
        <w:t>, a</w:t>
      </w:r>
      <w:r w:rsidRPr="00823D62">
        <w:rPr>
          <w:rFonts w:asciiTheme="majorHAnsi" w:hAnsiTheme="majorHAnsi"/>
          <w:bCs/>
          <w:sz w:val="20"/>
          <w:szCs w:val="20"/>
          <w:lang w:val="es-ES"/>
        </w:rPr>
        <w:t>demás</w:t>
      </w:r>
      <w:r w:rsidR="00B35696" w:rsidRPr="00823D62">
        <w:rPr>
          <w:rFonts w:asciiTheme="majorHAnsi" w:hAnsiTheme="majorHAnsi"/>
          <w:bCs/>
          <w:sz w:val="20"/>
          <w:szCs w:val="20"/>
          <w:lang w:val="es-ES"/>
        </w:rPr>
        <w:t xml:space="preserve"> de </w:t>
      </w:r>
      <w:r w:rsidRPr="00823D62">
        <w:rPr>
          <w:rFonts w:asciiTheme="majorHAnsi" w:hAnsiTheme="majorHAnsi"/>
          <w:bCs/>
          <w:sz w:val="20"/>
          <w:szCs w:val="20"/>
          <w:lang w:val="es-ES"/>
        </w:rPr>
        <w:t>alega</w:t>
      </w:r>
      <w:r w:rsidR="00B35696" w:rsidRPr="00823D62">
        <w:rPr>
          <w:rFonts w:asciiTheme="majorHAnsi" w:hAnsiTheme="majorHAnsi"/>
          <w:bCs/>
          <w:sz w:val="20"/>
          <w:szCs w:val="20"/>
          <w:lang w:val="es-ES"/>
        </w:rPr>
        <w:t>r</w:t>
      </w:r>
      <w:r w:rsidRPr="00823D62">
        <w:rPr>
          <w:rFonts w:asciiTheme="majorHAnsi" w:hAnsiTheme="majorHAnsi"/>
          <w:bCs/>
          <w:sz w:val="20"/>
          <w:szCs w:val="20"/>
          <w:lang w:val="es-ES"/>
        </w:rPr>
        <w:t xml:space="preserve"> haber sufrido malos tratos durante su detención.</w:t>
      </w:r>
    </w:p>
    <w:p w14:paraId="51F2D00A" w14:textId="4ABED255" w:rsidR="00E32FBA" w:rsidRPr="00823D62" w:rsidRDefault="00851809"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E</w:t>
      </w:r>
      <w:r w:rsidR="00E32FBA" w:rsidRPr="00823D62">
        <w:rPr>
          <w:rFonts w:asciiTheme="majorHAnsi" w:hAnsiTheme="majorHAnsi"/>
          <w:sz w:val="20"/>
          <w:szCs w:val="20"/>
          <w:lang w:val="es-ES"/>
        </w:rPr>
        <w:t>l Sr. Maximino Gómez trabajaba en el Congreso de la República</w:t>
      </w:r>
      <w:r w:rsidR="0073448A" w:rsidRPr="00823D62">
        <w:rPr>
          <w:rFonts w:asciiTheme="majorHAnsi" w:hAnsiTheme="majorHAnsi"/>
          <w:sz w:val="20"/>
          <w:szCs w:val="20"/>
          <w:lang w:val="es-ES"/>
        </w:rPr>
        <w:t>,</w:t>
      </w:r>
      <w:r w:rsidR="00E32FBA" w:rsidRPr="00823D62">
        <w:rPr>
          <w:rFonts w:asciiTheme="majorHAnsi" w:hAnsiTheme="majorHAnsi"/>
          <w:sz w:val="20"/>
          <w:szCs w:val="20"/>
          <w:lang w:val="es-ES"/>
        </w:rPr>
        <w:t xml:space="preserve"> cuando </w:t>
      </w:r>
      <w:r w:rsidR="005F454D" w:rsidRPr="00823D62">
        <w:rPr>
          <w:rFonts w:asciiTheme="majorHAnsi" w:hAnsiTheme="majorHAnsi"/>
          <w:sz w:val="20"/>
          <w:szCs w:val="20"/>
          <w:lang w:val="es-ES"/>
        </w:rPr>
        <w:t xml:space="preserve">el 15 de julio de 2015 </w:t>
      </w:r>
      <w:r w:rsidR="00E32FBA" w:rsidRPr="00823D62">
        <w:rPr>
          <w:rFonts w:asciiTheme="majorHAnsi" w:hAnsiTheme="majorHAnsi"/>
          <w:sz w:val="20"/>
          <w:szCs w:val="20"/>
          <w:lang w:val="es-ES"/>
        </w:rPr>
        <w:t xml:space="preserve">fue notificado de una orden de aprehensión. </w:t>
      </w:r>
      <w:r w:rsidR="004C3344" w:rsidRPr="00823D62">
        <w:rPr>
          <w:rFonts w:asciiTheme="majorHAnsi" w:hAnsiTheme="majorHAnsi"/>
          <w:sz w:val="20"/>
          <w:szCs w:val="20"/>
          <w:lang w:val="es-ES"/>
        </w:rPr>
        <w:t xml:space="preserve">De manera voluntaria se presentó a una estación de policía, donde posteriormente fue trasladado a </w:t>
      </w:r>
      <w:r w:rsidR="005F454D" w:rsidRPr="00823D62">
        <w:rPr>
          <w:rFonts w:asciiTheme="majorHAnsi" w:hAnsiTheme="majorHAnsi"/>
          <w:sz w:val="20"/>
          <w:szCs w:val="20"/>
          <w:lang w:val="es-ES"/>
        </w:rPr>
        <w:t xml:space="preserve">la </w:t>
      </w:r>
      <w:r w:rsidR="00B35696" w:rsidRPr="00823D62">
        <w:rPr>
          <w:rFonts w:asciiTheme="majorHAnsi" w:hAnsiTheme="majorHAnsi"/>
          <w:sz w:val="20"/>
          <w:szCs w:val="20"/>
          <w:lang w:val="es-ES"/>
        </w:rPr>
        <w:t>T</w:t>
      </w:r>
      <w:r w:rsidR="004C3344" w:rsidRPr="00823D62">
        <w:rPr>
          <w:rFonts w:asciiTheme="majorHAnsi" w:hAnsiTheme="majorHAnsi"/>
          <w:sz w:val="20"/>
          <w:szCs w:val="20"/>
          <w:lang w:val="es-ES"/>
        </w:rPr>
        <w:t xml:space="preserve">orre de </w:t>
      </w:r>
      <w:r w:rsidR="00B35696" w:rsidRPr="00823D62">
        <w:rPr>
          <w:rFonts w:asciiTheme="majorHAnsi" w:hAnsiTheme="majorHAnsi"/>
          <w:sz w:val="20"/>
          <w:szCs w:val="20"/>
          <w:lang w:val="es-ES"/>
        </w:rPr>
        <w:t>T</w:t>
      </w:r>
      <w:r w:rsidR="004C3344" w:rsidRPr="00823D62">
        <w:rPr>
          <w:rFonts w:asciiTheme="majorHAnsi" w:hAnsiTheme="majorHAnsi"/>
          <w:sz w:val="20"/>
          <w:szCs w:val="20"/>
          <w:lang w:val="es-ES"/>
        </w:rPr>
        <w:t xml:space="preserve">ribunales del Departamento de Guatemala para escuchar sobre el motivo de su detención. </w:t>
      </w:r>
      <w:r w:rsidR="00E32FBA" w:rsidRPr="00823D62">
        <w:rPr>
          <w:rFonts w:asciiTheme="majorHAnsi" w:hAnsiTheme="majorHAnsi"/>
          <w:sz w:val="20"/>
          <w:szCs w:val="20"/>
          <w:lang w:val="es-ES"/>
        </w:rPr>
        <w:t xml:space="preserve"> </w:t>
      </w:r>
    </w:p>
    <w:p w14:paraId="48C9EDA2" w14:textId="14835591" w:rsidR="0091418A" w:rsidRPr="00823D62" w:rsidRDefault="004C3344"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Relata que previo a que le fuera manifestado el motivo de su detención por parte del juez competente, la Comisión Internacional contra la Impunidad en Guatemala (CICIG) junto con el Ministerio Público realizaron una rueda de prensa donde señalaron al Sr. Gómez de ser uno de los integrantes de una banda de crimen organizado. </w:t>
      </w:r>
      <w:r w:rsidR="0091418A" w:rsidRPr="00823D62">
        <w:rPr>
          <w:rFonts w:asciiTheme="majorHAnsi" w:hAnsiTheme="majorHAnsi"/>
          <w:sz w:val="20"/>
          <w:szCs w:val="20"/>
          <w:lang w:val="es-ES"/>
        </w:rPr>
        <w:t>Manifiesta que permaneció trece días encarcelado en el sótano de</w:t>
      </w:r>
      <w:r w:rsidR="005F454D" w:rsidRPr="00823D62">
        <w:rPr>
          <w:rFonts w:asciiTheme="majorHAnsi" w:hAnsiTheme="majorHAnsi"/>
          <w:sz w:val="20"/>
          <w:szCs w:val="20"/>
          <w:lang w:val="es-ES"/>
        </w:rPr>
        <w:t xml:space="preserve"> la </w:t>
      </w:r>
      <w:r w:rsidR="00713CCC" w:rsidRPr="00823D62">
        <w:rPr>
          <w:rFonts w:asciiTheme="majorHAnsi" w:hAnsiTheme="majorHAnsi"/>
          <w:sz w:val="20"/>
          <w:szCs w:val="20"/>
          <w:lang w:val="es-ES"/>
        </w:rPr>
        <w:t>t</w:t>
      </w:r>
      <w:r w:rsidR="005F454D" w:rsidRPr="00823D62">
        <w:rPr>
          <w:rFonts w:asciiTheme="majorHAnsi" w:hAnsiTheme="majorHAnsi"/>
          <w:sz w:val="20"/>
          <w:szCs w:val="20"/>
          <w:lang w:val="es-ES"/>
        </w:rPr>
        <w:t xml:space="preserve">orre de </w:t>
      </w:r>
      <w:r w:rsidR="00713CCC" w:rsidRPr="00823D62">
        <w:rPr>
          <w:rFonts w:asciiTheme="majorHAnsi" w:hAnsiTheme="majorHAnsi"/>
          <w:sz w:val="20"/>
          <w:szCs w:val="20"/>
          <w:lang w:val="es-ES"/>
        </w:rPr>
        <w:t>t</w:t>
      </w:r>
      <w:r w:rsidR="005F454D" w:rsidRPr="00823D62">
        <w:rPr>
          <w:rFonts w:asciiTheme="majorHAnsi" w:hAnsiTheme="majorHAnsi"/>
          <w:sz w:val="20"/>
          <w:szCs w:val="20"/>
          <w:lang w:val="es-ES"/>
        </w:rPr>
        <w:t xml:space="preserve">ribunales </w:t>
      </w:r>
      <w:r w:rsidR="0091418A" w:rsidRPr="00823D62">
        <w:rPr>
          <w:rFonts w:asciiTheme="majorHAnsi" w:hAnsiTheme="majorHAnsi"/>
          <w:sz w:val="20"/>
          <w:szCs w:val="20"/>
          <w:lang w:val="es-ES"/>
        </w:rPr>
        <w:t>en un espacio donde solo podía permanecer de pie y en condiciones inhumanas, además de no poder recibir visitas</w:t>
      </w:r>
      <w:r w:rsidR="009A74E2" w:rsidRPr="00823D62">
        <w:rPr>
          <w:rFonts w:asciiTheme="majorHAnsi" w:hAnsiTheme="majorHAnsi"/>
          <w:sz w:val="20"/>
          <w:szCs w:val="20"/>
          <w:lang w:val="es-ES"/>
        </w:rPr>
        <w:t xml:space="preserve"> de sus familiares </w:t>
      </w:r>
      <w:r w:rsidR="00C8237E">
        <w:rPr>
          <w:rFonts w:asciiTheme="majorHAnsi" w:hAnsiTheme="majorHAnsi"/>
          <w:sz w:val="20"/>
          <w:szCs w:val="20"/>
          <w:lang w:val="es-ES"/>
        </w:rPr>
        <w:t xml:space="preserve">sino </w:t>
      </w:r>
      <w:r w:rsidR="005F454D" w:rsidRPr="00823D62">
        <w:rPr>
          <w:rFonts w:asciiTheme="majorHAnsi" w:hAnsiTheme="majorHAnsi"/>
          <w:sz w:val="20"/>
          <w:szCs w:val="20"/>
          <w:lang w:val="es-ES"/>
        </w:rPr>
        <w:t xml:space="preserve">solo </w:t>
      </w:r>
      <w:r w:rsidR="00876F8B" w:rsidRPr="00823D62">
        <w:rPr>
          <w:rFonts w:asciiTheme="majorHAnsi" w:hAnsiTheme="majorHAnsi"/>
          <w:sz w:val="20"/>
          <w:szCs w:val="20"/>
          <w:lang w:val="es-ES"/>
        </w:rPr>
        <w:t>la de</w:t>
      </w:r>
      <w:r w:rsidR="009A74E2" w:rsidRPr="00823D62">
        <w:rPr>
          <w:rFonts w:asciiTheme="majorHAnsi" w:hAnsiTheme="majorHAnsi"/>
          <w:sz w:val="20"/>
          <w:szCs w:val="20"/>
          <w:lang w:val="es-ES"/>
        </w:rPr>
        <w:t xml:space="preserve"> su abogado</w:t>
      </w:r>
      <w:r w:rsidR="00863BAA">
        <w:rPr>
          <w:rFonts w:asciiTheme="majorHAnsi" w:hAnsiTheme="majorHAnsi"/>
          <w:sz w:val="20"/>
          <w:szCs w:val="20"/>
          <w:lang w:val="es-ES"/>
        </w:rPr>
        <w:t xml:space="preserve"> por</w:t>
      </w:r>
      <w:r w:rsidR="00C8237E">
        <w:rPr>
          <w:rFonts w:asciiTheme="majorHAnsi" w:hAnsiTheme="majorHAnsi"/>
          <w:sz w:val="20"/>
          <w:szCs w:val="20"/>
          <w:lang w:val="es-ES"/>
        </w:rPr>
        <w:t xml:space="preserve"> un lapso de </w:t>
      </w:r>
      <w:r w:rsidR="009A74E2" w:rsidRPr="00823D62">
        <w:rPr>
          <w:rFonts w:asciiTheme="majorHAnsi" w:hAnsiTheme="majorHAnsi"/>
          <w:sz w:val="20"/>
          <w:szCs w:val="20"/>
          <w:lang w:val="es-ES"/>
        </w:rPr>
        <w:t>cinco minutos.</w:t>
      </w:r>
      <w:r w:rsidR="005F454D" w:rsidRPr="00823D62">
        <w:rPr>
          <w:rFonts w:asciiTheme="majorHAnsi" w:hAnsiTheme="majorHAnsi"/>
          <w:sz w:val="20"/>
          <w:szCs w:val="20"/>
          <w:lang w:val="es-ES"/>
        </w:rPr>
        <w:t xml:space="preserve"> S</w:t>
      </w:r>
      <w:r w:rsidR="009A74E2" w:rsidRPr="00823D62">
        <w:rPr>
          <w:rFonts w:asciiTheme="majorHAnsi" w:hAnsiTheme="majorHAnsi"/>
          <w:sz w:val="20"/>
          <w:szCs w:val="20"/>
          <w:lang w:val="es-ES"/>
        </w:rPr>
        <w:t xml:space="preserve">eñala haber sufrido actos de tortura y daño psicológico. </w:t>
      </w:r>
    </w:p>
    <w:p w14:paraId="46353F59" w14:textId="742410DA" w:rsidR="009A74E2" w:rsidRPr="00823D62" w:rsidRDefault="00DD4265"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El 28 de julio de 2015 el Sr. Gómez fue </w:t>
      </w:r>
      <w:r w:rsidR="005F454D" w:rsidRPr="00823D62">
        <w:rPr>
          <w:rFonts w:asciiTheme="majorHAnsi" w:hAnsiTheme="majorHAnsi"/>
          <w:sz w:val="20"/>
          <w:szCs w:val="20"/>
          <w:lang w:val="es-ES"/>
        </w:rPr>
        <w:t>vinculado</w:t>
      </w:r>
      <w:r w:rsidRPr="00823D62">
        <w:rPr>
          <w:rFonts w:asciiTheme="majorHAnsi" w:hAnsiTheme="majorHAnsi"/>
          <w:sz w:val="20"/>
          <w:szCs w:val="20"/>
          <w:lang w:val="es-ES"/>
        </w:rPr>
        <w:t xml:space="preserve"> al proceso y enviado a prisión preventiva a la cárcel Pavoncito, en el municipio de Fraijanes</w:t>
      </w:r>
      <w:r w:rsidR="00071DD3" w:rsidRPr="00823D62">
        <w:rPr>
          <w:rFonts w:asciiTheme="majorHAnsi" w:hAnsiTheme="majorHAnsi"/>
          <w:sz w:val="20"/>
          <w:szCs w:val="20"/>
          <w:lang w:val="es-ES"/>
        </w:rPr>
        <w:t>, por el delito de asociación ilícita y cohecho activo.</w:t>
      </w:r>
      <w:r w:rsidR="002F5A1A" w:rsidRPr="00823D62">
        <w:rPr>
          <w:rFonts w:asciiTheme="majorHAnsi" w:hAnsiTheme="majorHAnsi"/>
          <w:sz w:val="20"/>
          <w:szCs w:val="20"/>
          <w:lang w:val="es-ES"/>
        </w:rPr>
        <w:t xml:space="preserve"> </w:t>
      </w:r>
      <w:r w:rsidR="00B35696" w:rsidRPr="00823D62">
        <w:rPr>
          <w:rFonts w:asciiTheme="majorHAnsi" w:hAnsiTheme="majorHAnsi"/>
          <w:sz w:val="20"/>
          <w:szCs w:val="20"/>
          <w:lang w:val="es-ES"/>
        </w:rPr>
        <w:t xml:space="preserve">Alega que </w:t>
      </w:r>
      <w:r w:rsidR="0070667B" w:rsidRPr="00823D62">
        <w:rPr>
          <w:rFonts w:asciiTheme="majorHAnsi" w:hAnsiTheme="majorHAnsi"/>
          <w:sz w:val="20"/>
          <w:szCs w:val="20"/>
          <w:lang w:val="es-ES"/>
        </w:rPr>
        <w:t>desde</w:t>
      </w:r>
      <w:r w:rsidR="002F5A1A" w:rsidRPr="00823D62">
        <w:rPr>
          <w:rFonts w:asciiTheme="majorHAnsi" w:hAnsiTheme="majorHAnsi"/>
          <w:sz w:val="20"/>
          <w:szCs w:val="20"/>
          <w:lang w:val="es-ES"/>
        </w:rPr>
        <w:t xml:space="preserve"> ese momento se encuentra detenido en prisión preventiva</w:t>
      </w:r>
      <w:r w:rsidR="0028757F" w:rsidRPr="00823D62">
        <w:rPr>
          <w:rFonts w:asciiTheme="majorHAnsi" w:hAnsiTheme="majorHAnsi"/>
          <w:sz w:val="20"/>
          <w:szCs w:val="20"/>
          <w:lang w:val="es-ES"/>
        </w:rPr>
        <w:t>.</w:t>
      </w:r>
    </w:p>
    <w:p w14:paraId="4CD9DD5F" w14:textId="229F2637" w:rsidR="009A74E2" w:rsidRPr="00823D62" w:rsidRDefault="0028757F"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El 4 de diciembre de 2015 a altas horas de la noche</w:t>
      </w:r>
      <w:r w:rsidR="00E35228" w:rsidRPr="00823D62">
        <w:rPr>
          <w:rFonts w:asciiTheme="majorHAnsi" w:hAnsiTheme="majorHAnsi"/>
          <w:sz w:val="20"/>
          <w:szCs w:val="20"/>
          <w:lang w:val="es-ES"/>
        </w:rPr>
        <w:t xml:space="preserve">, el Sr. Gómez </w:t>
      </w:r>
      <w:r w:rsidR="00480466" w:rsidRPr="00823D62">
        <w:rPr>
          <w:rFonts w:asciiTheme="majorHAnsi" w:hAnsiTheme="majorHAnsi"/>
          <w:sz w:val="20"/>
          <w:szCs w:val="20"/>
          <w:lang w:val="es-ES"/>
        </w:rPr>
        <w:t>habría sido</w:t>
      </w:r>
      <w:r w:rsidR="00E35228" w:rsidRPr="00823D62">
        <w:rPr>
          <w:rFonts w:asciiTheme="majorHAnsi" w:hAnsiTheme="majorHAnsi"/>
          <w:sz w:val="20"/>
          <w:szCs w:val="20"/>
          <w:lang w:val="es-ES"/>
        </w:rPr>
        <w:t xml:space="preserve"> encadenado de pies y manos y trasladado </w:t>
      </w:r>
      <w:r w:rsidR="00071DD3" w:rsidRPr="00823D62">
        <w:rPr>
          <w:rFonts w:asciiTheme="majorHAnsi" w:hAnsiTheme="majorHAnsi"/>
          <w:sz w:val="20"/>
          <w:szCs w:val="20"/>
          <w:lang w:val="es-ES"/>
        </w:rPr>
        <w:t>al Centro de Alta Seguridad Canad</w:t>
      </w:r>
      <w:r w:rsidR="00442086" w:rsidRPr="00823D62">
        <w:rPr>
          <w:rFonts w:asciiTheme="majorHAnsi" w:hAnsiTheme="majorHAnsi"/>
          <w:sz w:val="20"/>
          <w:szCs w:val="20"/>
          <w:lang w:val="es-ES"/>
        </w:rPr>
        <w:t>á</w:t>
      </w:r>
      <w:r w:rsidR="00071DD3" w:rsidRPr="00823D62">
        <w:rPr>
          <w:rFonts w:asciiTheme="majorHAnsi" w:hAnsiTheme="majorHAnsi"/>
          <w:sz w:val="20"/>
          <w:szCs w:val="20"/>
          <w:lang w:val="es-ES"/>
        </w:rPr>
        <w:t xml:space="preserve"> Escuintla</w:t>
      </w:r>
      <w:r w:rsidR="00E35228" w:rsidRPr="00823D62">
        <w:rPr>
          <w:rFonts w:asciiTheme="majorHAnsi" w:hAnsiTheme="majorHAnsi"/>
          <w:sz w:val="20"/>
          <w:szCs w:val="20"/>
          <w:lang w:val="es-ES"/>
        </w:rPr>
        <w:t>. Señala que durante su traslado tuvo una capucha negra en su cabeza, debía guardar silencio</w:t>
      </w:r>
      <w:r w:rsidR="005F454D" w:rsidRPr="00823D62">
        <w:rPr>
          <w:rFonts w:asciiTheme="majorHAnsi" w:hAnsiTheme="majorHAnsi"/>
          <w:sz w:val="20"/>
          <w:szCs w:val="20"/>
          <w:lang w:val="es-ES"/>
        </w:rPr>
        <w:t xml:space="preserve"> y </w:t>
      </w:r>
      <w:r w:rsidR="00E35228" w:rsidRPr="00823D62">
        <w:rPr>
          <w:rFonts w:asciiTheme="majorHAnsi" w:hAnsiTheme="majorHAnsi"/>
          <w:sz w:val="20"/>
          <w:szCs w:val="20"/>
          <w:lang w:val="es-ES"/>
        </w:rPr>
        <w:t xml:space="preserve">no le permitieron comunicarse con su familia. </w:t>
      </w:r>
      <w:r w:rsidR="003A27CB" w:rsidRPr="00823D62">
        <w:rPr>
          <w:rFonts w:asciiTheme="majorHAnsi" w:hAnsiTheme="majorHAnsi"/>
          <w:sz w:val="20"/>
          <w:szCs w:val="20"/>
          <w:lang w:val="es-ES"/>
        </w:rPr>
        <w:t>Una vez el peticionario llegó al Centro de Alta Seguridad</w:t>
      </w:r>
      <w:r w:rsidR="00E35228" w:rsidRPr="00823D62">
        <w:rPr>
          <w:rFonts w:asciiTheme="majorHAnsi" w:hAnsiTheme="majorHAnsi"/>
          <w:sz w:val="20"/>
          <w:szCs w:val="20"/>
          <w:lang w:val="es-ES"/>
        </w:rPr>
        <w:t xml:space="preserve"> fue ingresado al sector 4</w:t>
      </w:r>
      <w:r w:rsidR="006E34C5" w:rsidRPr="00823D62">
        <w:rPr>
          <w:rFonts w:asciiTheme="majorHAnsi" w:hAnsiTheme="majorHAnsi"/>
          <w:sz w:val="20"/>
          <w:szCs w:val="20"/>
          <w:lang w:val="es-ES"/>
        </w:rPr>
        <w:t>-</w:t>
      </w:r>
      <w:r w:rsidR="00E35228" w:rsidRPr="00823D62">
        <w:rPr>
          <w:rFonts w:asciiTheme="majorHAnsi" w:hAnsiTheme="majorHAnsi"/>
          <w:sz w:val="20"/>
          <w:szCs w:val="20"/>
          <w:lang w:val="es-ES"/>
        </w:rPr>
        <w:t xml:space="preserve">B donde fue torturado física y </w:t>
      </w:r>
      <w:r w:rsidR="006C0FD3" w:rsidRPr="00823D62">
        <w:rPr>
          <w:rFonts w:asciiTheme="majorHAnsi" w:hAnsiTheme="majorHAnsi"/>
          <w:sz w:val="20"/>
          <w:szCs w:val="20"/>
          <w:lang w:val="es-ES"/>
        </w:rPr>
        <w:t>psicológicamente. Indica que desde su llegada su hija solicit</w:t>
      </w:r>
      <w:r w:rsidR="003A27CB" w:rsidRPr="00823D62">
        <w:rPr>
          <w:rFonts w:asciiTheme="majorHAnsi" w:hAnsiTheme="majorHAnsi"/>
          <w:sz w:val="20"/>
          <w:szCs w:val="20"/>
          <w:lang w:val="es-ES"/>
        </w:rPr>
        <w:t>ó</w:t>
      </w:r>
      <w:r w:rsidR="006C0FD3" w:rsidRPr="00823D62">
        <w:rPr>
          <w:rFonts w:asciiTheme="majorHAnsi" w:hAnsiTheme="majorHAnsi"/>
          <w:sz w:val="20"/>
          <w:szCs w:val="20"/>
          <w:lang w:val="es-ES"/>
        </w:rPr>
        <w:t xml:space="preserve"> algunas exhibiciones personales</w:t>
      </w:r>
      <w:r w:rsidR="007B7A79" w:rsidRPr="00823D62">
        <w:rPr>
          <w:rFonts w:asciiTheme="majorHAnsi" w:hAnsiTheme="majorHAnsi"/>
          <w:sz w:val="20"/>
          <w:szCs w:val="20"/>
          <w:lang w:val="es-ES"/>
        </w:rPr>
        <w:t>,</w:t>
      </w:r>
      <w:r w:rsidR="003A27CB" w:rsidRPr="00823D62">
        <w:rPr>
          <w:rFonts w:asciiTheme="majorHAnsi" w:hAnsiTheme="majorHAnsi"/>
          <w:sz w:val="20"/>
          <w:szCs w:val="20"/>
          <w:lang w:val="es-ES"/>
        </w:rPr>
        <w:t xml:space="preserve"> </w:t>
      </w:r>
      <w:r w:rsidR="007B7A79" w:rsidRPr="00823D62">
        <w:rPr>
          <w:rFonts w:asciiTheme="majorHAnsi" w:hAnsiTheme="majorHAnsi"/>
          <w:sz w:val="20"/>
          <w:szCs w:val="20"/>
          <w:lang w:val="es-ES"/>
        </w:rPr>
        <w:t>a lo que</w:t>
      </w:r>
      <w:r w:rsidR="003A27CB" w:rsidRPr="00823D62">
        <w:rPr>
          <w:rFonts w:asciiTheme="majorHAnsi" w:hAnsiTheme="majorHAnsi"/>
          <w:sz w:val="20"/>
          <w:szCs w:val="20"/>
          <w:lang w:val="es-ES"/>
        </w:rPr>
        <w:t xml:space="preserve"> </w:t>
      </w:r>
      <w:r w:rsidR="006C0FD3" w:rsidRPr="00823D62">
        <w:rPr>
          <w:rFonts w:asciiTheme="majorHAnsi" w:hAnsiTheme="majorHAnsi"/>
          <w:sz w:val="20"/>
          <w:szCs w:val="20"/>
          <w:lang w:val="es-ES"/>
        </w:rPr>
        <w:t xml:space="preserve">el </w:t>
      </w:r>
      <w:r w:rsidR="00071DD3" w:rsidRPr="00823D62">
        <w:rPr>
          <w:rFonts w:asciiTheme="majorHAnsi" w:hAnsiTheme="majorHAnsi"/>
          <w:sz w:val="20"/>
          <w:szCs w:val="20"/>
          <w:lang w:val="es-ES"/>
        </w:rPr>
        <w:t xml:space="preserve">Juzgado de Primera Instancia Penal de Mayor Riesgo grupo “B” </w:t>
      </w:r>
      <w:r w:rsidR="007B7A79" w:rsidRPr="00823D62">
        <w:rPr>
          <w:rFonts w:asciiTheme="majorHAnsi" w:hAnsiTheme="majorHAnsi"/>
          <w:sz w:val="20"/>
          <w:szCs w:val="20"/>
          <w:lang w:val="es-ES"/>
        </w:rPr>
        <w:t xml:space="preserve">extendió, </w:t>
      </w:r>
      <w:r w:rsidR="00071DD3" w:rsidRPr="00823D62">
        <w:rPr>
          <w:rFonts w:asciiTheme="majorHAnsi" w:hAnsiTheme="majorHAnsi"/>
          <w:sz w:val="20"/>
          <w:szCs w:val="20"/>
          <w:lang w:val="es-ES"/>
        </w:rPr>
        <w:t>el 4 de diciembre de 2015</w:t>
      </w:r>
      <w:r w:rsidR="007B7A79" w:rsidRPr="00823D62">
        <w:rPr>
          <w:rFonts w:asciiTheme="majorHAnsi" w:hAnsiTheme="majorHAnsi"/>
          <w:sz w:val="20"/>
          <w:szCs w:val="20"/>
          <w:lang w:val="es-ES"/>
        </w:rPr>
        <w:t>,</w:t>
      </w:r>
      <w:r w:rsidR="006C0FD3" w:rsidRPr="00823D62">
        <w:rPr>
          <w:rFonts w:asciiTheme="majorHAnsi" w:hAnsiTheme="majorHAnsi"/>
          <w:sz w:val="20"/>
          <w:szCs w:val="20"/>
          <w:lang w:val="es-ES"/>
        </w:rPr>
        <w:t xml:space="preserve"> un documento en el que le </w:t>
      </w:r>
      <w:r w:rsidR="003A27CB" w:rsidRPr="00823D62">
        <w:rPr>
          <w:rFonts w:asciiTheme="majorHAnsi" w:hAnsiTheme="majorHAnsi"/>
          <w:sz w:val="20"/>
          <w:szCs w:val="20"/>
          <w:lang w:val="es-ES"/>
        </w:rPr>
        <w:t>ordenaba</w:t>
      </w:r>
      <w:r w:rsidR="006C0FD3" w:rsidRPr="00823D62">
        <w:rPr>
          <w:rFonts w:asciiTheme="majorHAnsi" w:hAnsiTheme="majorHAnsi"/>
          <w:sz w:val="20"/>
          <w:szCs w:val="20"/>
          <w:lang w:val="es-ES"/>
        </w:rPr>
        <w:t xml:space="preserve"> al Director del Sistema Penitenciario su traslado inmediato</w:t>
      </w:r>
      <w:r w:rsidR="00B35696" w:rsidRPr="00823D62">
        <w:rPr>
          <w:rFonts w:asciiTheme="majorHAnsi" w:hAnsiTheme="majorHAnsi"/>
          <w:sz w:val="20"/>
          <w:szCs w:val="20"/>
          <w:lang w:val="es-ES"/>
        </w:rPr>
        <w:t xml:space="preserve"> a la cárcel Pavoncito</w:t>
      </w:r>
      <w:r w:rsidR="006C0FD3" w:rsidRPr="00823D62">
        <w:rPr>
          <w:rFonts w:asciiTheme="majorHAnsi" w:hAnsiTheme="majorHAnsi"/>
          <w:sz w:val="20"/>
          <w:szCs w:val="20"/>
          <w:lang w:val="es-ES"/>
        </w:rPr>
        <w:t xml:space="preserve">, orden que fue </w:t>
      </w:r>
      <w:r w:rsidR="003E7988" w:rsidRPr="00823D62">
        <w:rPr>
          <w:rFonts w:asciiTheme="majorHAnsi" w:hAnsiTheme="majorHAnsi"/>
          <w:sz w:val="20"/>
          <w:szCs w:val="20"/>
          <w:lang w:val="es-ES"/>
        </w:rPr>
        <w:t>cumplida ocho días después.</w:t>
      </w:r>
      <w:r w:rsidR="006C0FD3" w:rsidRPr="00823D62">
        <w:rPr>
          <w:rFonts w:asciiTheme="majorHAnsi" w:hAnsiTheme="majorHAnsi"/>
          <w:sz w:val="20"/>
          <w:szCs w:val="20"/>
          <w:lang w:val="es-ES"/>
        </w:rPr>
        <w:t xml:space="preserve"> </w:t>
      </w:r>
      <w:r w:rsidR="003A27CB" w:rsidRPr="00823D62">
        <w:rPr>
          <w:rFonts w:asciiTheme="majorHAnsi" w:hAnsiTheme="majorHAnsi"/>
          <w:sz w:val="20"/>
          <w:szCs w:val="20"/>
          <w:lang w:val="es-ES"/>
        </w:rPr>
        <w:t>Posteriormente</w:t>
      </w:r>
      <w:r w:rsidR="004C3506" w:rsidRPr="00823D62">
        <w:rPr>
          <w:rFonts w:asciiTheme="majorHAnsi" w:hAnsiTheme="majorHAnsi"/>
          <w:sz w:val="20"/>
          <w:szCs w:val="20"/>
          <w:lang w:val="es-ES"/>
        </w:rPr>
        <w:t>,</w:t>
      </w:r>
      <w:r w:rsidR="006C0FD3" w:rsidRPr="00823D62">
        <w:rPr>
          <w:rFonts w:asciiTheme="majorHAnsi" w:hAnsiTheme="majorHAnsi"/>
          <w:sz w:val="20"/>
          <w:szCs w:val="20"/>
          <w:lang w:val="es-ES"/>
        </w:rPr>
        <w:t xml:space="preserve"> fue </w:t>
      </w:r>
      <w:r w:rsidR="003A27CB" w:rsidRPr="00823D62">
        <w:rPr>
          <w:rFonts w:asciiTheme="majorHAnsi" w:hAnsiTheme="majorHAnsi"/>
          <w:sz w:val="20"/>
          <w:szCs w:val="20"/>
          <w:lang w:val="es-ES"/>
        </w:rPr>
        <w:t>ingresado</w:t>
      </w:r>
      <w:r w:rsidR="006C0FD3" w:rsidRPr="00823D62">
        <w:rPr>
          <w:rFonts w:asciiTheme="majorHAnsi" w:hAnsiTheme="majorHAnsi"/>
          <w:sz w:val="20"/>
          <w:szCs w:val="20"/>
          <w:lang w:val="es-ES"/>
        </w:rPr>
        <w:t xml:space="preserve"> a un espacio reducido en el cual no podía estar sentado ni acostado y </w:t>
      </w:r>
      <w:r w:rsidR="00EC37F0" w:rsidRPr="00823D62">
        <w:rPr>
          <w:rFonts w:asciiTheme="majorHAnsi" w:hAnsiTheme="majorHAnsi"/>
          <w:sz w:val="20"/>
          <w:szCs w:val="20"/>
          <w:lang w:val="es-ES"/>
        </w:rPr>
        <w:t xml:space="preserve">solo </w:t>
      </w:r>
      <w:r w:rsidR="003E7988" w:rsidRPr="00823D62">
        <w:rPr>
          <w:rFonts w:asciiTheme="majorHAnsi" w:hAnsiTheme="majorHAnsi"/>
          <w:sz w:val="20"/>
          <w:szCs w:val="20"/>
          <w:lang w:val="es-ES"/>
        </w:rPr>
        <w:t>tenía</w:t>
      </w:r>
      <w:r w:rsidR="00EC37F0" w:rsidRPr="00823D62">
        <w:rPr>
          <w:rFonts w:asciiTheme="majorHAnsi" w:hAnsiTheme="majorHAnsi"/>
          <w:sz w:val="20"/>
          <w:szCs w:val="20"/>
          <w:lang w:val="es-ES"/>
        </w:rPr>
        <w:t xml:space="preserve"> derech</w:t>
      </w:r>
      <w:r w:rsidR="00555CC1" w:rsidRPr="00823D62">
        <w:rPr>
          <w:rFonts w:asciiTheme="majorHAnsi" w:hAnsiTheme="majorHAnsi"/>
          <w:sz w:val="20"/>
          <w:szCs w:val="20"/>
          <w:lang w:val="es-ES"/>
        </w:rPr>
        <w:t>o</w:t>
      </w:r>
      <w:r w:rsidR="006C0FD3" w:rsidRPr="00823D62">
        <w:rPr>
          <w:rFonts w:asciiTheme="majorHAnsi" w:hAnsiTheme="majorHAnsi"/>
          <w:sz w:val="20"/>
          <w:szCs w:val="20"/>
          <w:lang w:val="es-ES"/>
        </w:rPr>
        <w:t xml:space="preserve"> a cinco minutos de sol un día a la semana</w:t>
      </w:r>
      <w:r w:rsidR="003A27CB" w:rsidRPr="00823D62">
        <w:rPr>
          <w:rFonts w:asciiTheme="majorHAnsi" w:hAnsiTheme="majorHAnsi"/>
          <w:sz w:val="20"/>
          <w:szCs w:val="20"/>
          <w:lang w:val="es-ES"/>
        </w:rPr>
        <w:t>. P</w:t>
      </w:r>
      <w:r w:rsidR="006C0FD3" w:rsidRPr="00823D62">
        <w:rPr>
          <w:rFonts w:asciiTheme="majorHAnsi" w:hAnsiTheme="majorHAnsi"/>
          <w:sz w:val="20"/>
          <w:szCs w:val="20"/>
          <w:lang w:val="es-ES"/>
        </w:rPr>
        <w:t xml:space="preserve">or estas razones interpuso una denuncia ante la Oficina Nacional de Prevención contra la Tortura </w:t>
      </w:r>
      <w:r w:rsidR="003E7988" w:rsidRPr="00823D62">
        <w:rPr>
          <w:rFonts w:asciiTheme="majorHAnsi" w:hAnsiTheme="majorHAnsi"/>
          <w:sz w:val="20"/>
          <w:szCs w:val="20"/>
          <w:lang w:val="es-ES"/>
        </w:rPr>
        <w:t>el 4 de septiembre de 2019</w:t>
      </w:r>
      <w:r w:rsidR="00555CC1" w:rsidRPr="00823D62">
        <w:rPr>
          <w:rFonts w:asciiTheme="majorHAnsi" w:hAnsiTheme="majorHAnsi"/>
          <w:sz w:val="20"/>
          <w:szCs w:val="20"/>
          <w:lang w:val="es-ES"/>
        </w:rPr>
        <w:t>;</w:t>
      </w:r>
      <w:r w:rsidR="003E7988" w:rsidRPr="00823D62">
        <w:rPr>
          <w:rFonts w:asciiTheme="majorHAnsi" w:hAnsiTheme="majorHAnsi"/>
          <w:sz w:val="20"/>
          <w:szCs w:val="20"/>
          <w:lang w:val="es-ES"/>
        </w:rPr>
        <w:t xml:space="preserve"> </w:t>
      </w:r>
      <w:r w:rsidR="006C0FD3" w:rsidRPr="00823D62">
        <w:rPr>
          <w:rFonts w:asciiTheme="majorHAnsi" w:hAnsiTheme="majorHAnsi"/>
          <w:sz w:val="20"/>
          <w:szCs w:val="20"/>
          <w:lang w:val="es-ES"/>
        </w:rPr>
        <w:t xml:space="preserve">sin que a la fecha haya alguna respuesta. </w:t>
      </w:r>
    </w:p>
    <w:p w14:paraId="1D7A1C7B" w14:textId="0561FCB5" w:rsidR="00EC37F0" w:rsidRPr="00823D62" w:rsidRDefault="00EC37F0"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Señala </w:t>
      </w:r>
      <w:r w:rsidR="009161E0" w:rsidRPr="00823D62">
        <w:rPr>
          <w:rFonts w:asciiTheme="majorHAnsi" w:hAnsiTheme="majorHAnsi"/>
          <w:sz w:val="20"/>
          <w:szCs w:val="20"/>
          <w:lang w:val="es-ES"/>
        </w:rPr>
        <w:t>que,</w:t>
      </w:r>
      <w:r w:rsidRPr="00823D62">
        <w:rPr>
          <w:rFonts w:asciiTheme="majorHAnsi" w:hAnsiTheme="majorHAnsi"/>
          <w:sz w:val="20"/>
          <w:szCs w:val="20"/>
          <w:lang w:val="es-ES"/>
        </w:rPr>
        <w:t xml:space="preserve"> durante el 7, 8 y 9 de diciembre de 2015 fue visitado por un supuesto guardia del sistema penitenciario quien le dijo que podía convertirlo en un testigo protegido si declaraba en contra de los diputados que se encontraban </w:t>
      </w:r>
      <w:r w:rsidR="0072535D" w:rsidRPr="00823D62">
        <w:rPr>
          <w:rFonts w:asciiTheme="majorHAnsi" w:hAnsiTheme="majorHAnsi"/>
          <w:sz w:val="20"/>
          <w:szCs w:val="20"/>
          <w:lang w:val="es-ES"/>
        </w:rPr>
        <w:t xml:space="preserve">con él </w:t>
      </w:r>
      <w:r w:rsidRPr="00823D62">
        <w:rPr>
          <w:rFonts w:asciiTheme="majorHAnsi" w:hAnsiTheme="majorHAnsi"/>
          <w:sz w:val="20"/>
          <w:szCs w:val="20"/>
          <w:lang w:val="es-ES"/>
        </w:rPr>
        <w:t>en el proceso.</w:t>
      </w:r>
    </w:p>
    <w:p w14:paraId="780DAD04" w14:textId="0284BF57" w:rsidR="003376C7" w:rsidRPr="00823D62" w:rsidRDefault="003376C7"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Informa que en múltiples ocasiones se suspendieron y aplazaron las audiencias de acusación formal y no fue hasta mayo de 2016 que finalmente</w:t>
      </w:r>
      <w:r w:rsidR="004B215B">
        <w:rPr>
          <w:rFonts w:asciiTheme="majorHAnsi" w:hAnsiTheme="majorHAnsi"/>
          <w:sz w:val="20"/>
          <w:szCs w:val="20"/>
          <w:lang w:val="es-ES"/>
        </w:rPr>
        <w:t xml:space="preserve"> </w:t>
      </w:r>
      <w:r w:rsidRPr="00823D62">
        <w:rPr>
          <w:rFonts w:asciiTheme="majorHAnsi" w:hAnsiTheme="majorHAnsi"/>
          <w:sz w:val="20"/>
          <w:szCs w:val="20"/>
          <w:lang w:val="es-ES"/>
        </w:rPr>
        <w:t>se realizó</w:t>
      </w:r>
      <w:r w:rsidR="004B215B">
        <w:rPr>
          <w:rFonts w:asciiTheme="majorHAnsi" w:hAnsiTheme="majorHAnsi"/>
          <w:sz w:val="20"/>
          <w:szCs w:val="20"/>
          <w:lang w:val="es-ES"/>
        </w:rPr>
        <w:t xml:space="preserve">. </w:t>
      </w:r>
      <w:r w:rsidRPr="00823D62">
        <w:rPr>
          <w:rFonts w:asciiTheme="majorHAnsi" w:hAnsiTheme="majorHAnsi"/>
          <w:sz w:val="20"/>
          <w:szCs w:val="20"/>
          <w:lang w:val="es-ES"/>
        </w:rPr>
        <w:t>Posteriormente</w:t>
      </w:r>
      <w:r w:rsidR="00D96ECB" w:rsidRPr="00823D62">
        <w:rPr>
          <w:rFonts w:asciiTheme="majorHAnsi" w:hAnsiTheme="majorHAnsi"/>
          <w:sz w:val="20"/>
          <w:szCs w:val="20"/>
          <w:lang w:val="es-ES"/>
        </w:rPr>
        <w:t>,</w:t>
      </w:r>
      <w:r w:rsidRPr="00823D62">
        <w:rPr>
          <w:rFonts w:asciiTheme="majorHAnsi" w:hAnsiTheme="majorHAnsi"/>
          <w:sz w:val="20"/>
          <w:szCs w:val="20"/>
          <w:lang w:val="es-ES"/>
        </w:rPr>
        <w:t xml:space="preserve"> la audiencia de juicio se programó para el 14 de enero de 2019</w:t>
      </w:r>
      <w:r w:rsidR="0072535D" w:rsidRPr="00823D62">
        <w:rPr>
          <w:rFonts w:asciiTheme="majorHAnsi" w:hAnsiTheme="majorHAnsi"/>
          <w:sz w:val="20"/>
          <w:szCs w:val="20"/>
          <w:lang w:val="es-ES"/>
        </w:rPr>
        <w:t>,</w:t>
      </w:r>
      <w:r w:rsidR="003A27CB" w:rsidRPr="00823D62">
        <w:rPr>
          <w:rFonts w:asciiTheme="majorHAnsi" w:hAnsiTheme="majorHAnsi"/>
          <w:sz w:val="20"/>
          <w:szCs w:val="20"/>
          <w:lang w:val="es-ES"/>
        </w:rPr>
        <w:t xml:space="preserve"> correspondiéndole al Tribunal Primero de Sentencia Penal</w:t>
      </w:r>
      <w:r w:rsidR="00A32F1C" w:rsidRPr="00823D62">
        <w:rPr>
          <w:rFonts w:asciiTheme="majorHAnsi" w:hAnsiTheme="majorHAnsi"/>
          <w:sz w:val="20"/>
          <w:szCs w:val="20"/>
          <w:lang w:val="es-ES"/>
        </w:rPr>
        <w:t>,</w:t>
      </w:r>
      <w:r w:rsidR="003A27CB" w:rsidRPr="00823D62">
        <w:rPr>
          <w:rFonts w:asciiTheme="majorHAnsi" w:hAnsiTheme="majorHAnsi"/>
          <w:sz w:val="20"/>
          <w:szCs w:val="20"/>
          <w:lang w:val="es-ES"/>
        </w:rPr>
        <w:t xml:space="preserve"> Narcoactividad y Delitos contra el Ambiente</w:t>
      </w:r>
      <w:r w:rsidR="00B35696" w:rsidRPr="00823D62">
        <w:rPr>
          <w:rFonts w:asciiTheme="majorHAnsi" w:hAnsiTheme="majorHAnsi"/>
          <w:sz w:val="20"/>
          <w:szCs w:val="20"/>
          <w:lang w:val="es-ES"/>
        </w:rPr>
        <w:t xml:space="preserve"> de Mayor Riesgo “A”</w:t>
      </w:r>
      <w:r w:rsidR="003A27CB" w:rsidRPr="00823D62">
        <w:rPr>
          <w:rFonts w:asciiTheme="majorHAnsi" w:hAnsiTheme="majorHAnsi"/>
          <w:sz w:val="20"/>
          <w:szCs w:val="20"/>
          <w:lang w:val="es-ES"/>
        </w:rPr>
        <w:t>. N</w:t>
      </w:r>
      <w:r w:rsidRPr="00823D62">
        <w:rPr>
          <w:rFonts w:asciiTheme="majorHAnsi" w:hAnsiTheme="majorHAnsi"/>
          <w:sz w:val="20"/>
          <w:szCs w:val="20"/>
          <w:lang w:val="es-ES"/>
        </w:rPr>
        <w:t>o obstante</w:t>
      </w:r>
      <w:r w:rsidR="00A32F1C" w:rsidRPr="00823D62">
        <w:rPr>
          <w:rFonts w:asciiTheme="majorHAnsi" w:hAnsiTheme="majorHAnsi"/>
          <w:sz w:val="20"/>
          <w:szCs w:val="20"/>
          <w:lang w:val="es-ES"/>
        </w:rPr>
        <w:t>,</w:t>
      </w:r>
      <w:r w:rsidRPr="00823D62">
        <w:rPr>
          <w:rFonts w:asciiTheme="majorHAnsi" w:hAnsiTheme="majorHAnsi"/>
          <w:sz w:val="20"/>
          <w:szCs w:val="20"/>
          <w:lang w:val="es-ES"/>
        </w:rPr>
        <w:t xml:space="preserve"> por motivos de salud el Sr. Gómez no se pudo presentar</w:t>
      </w:r>
      <w:r w:rsidR="00B35696" w:rsidRPr="00823D62">
        <w:rPr>
          <w:rFonts w:asciiTheme="majorHAnsi" w:hAnsiTheme="majorHAnsi"/>
          <w:sz w:val="20"/>
          <w:szCs w:val="20"/>
          <w:lang w:val="es-ES"/>
        </w:rPr>
        <w:t xml:space="preserve"> a la audiencia</w:t>
      </w:r>
      <w:r w:rsidR="003A27CB" w:rsidRPr="00823D62">
        <w:rPr>
          <w:rFonts w:asciiTheme="majorHAnsi" w:hAnsiTheme="majorHAnsi"/>
          <w:sz w:val="20"/>
          <w:szCs w:val="20"/>
          <w:lang w:val="es-ES"/>
        </w:rPr>
        <w:t>, por lo que el 3 de junio de 2019 la</w:t>
      </w:r>
      <w:r w:rsidRPr="00823D62">
        <w:rPr>
          <w:rFonts w:asciiTheme="majorHAnsi" w:hAnsiTheme="majorHAnsi"/>
          <w:sz w:val="20"/>
          <w:szCs w:val="20"/>
          <w:lang w:val="es-ES"/>
        </w:rPr>
        <w:t xml:space="preserve"> </w:t>
      </w:r>
      <w:r w:rsidR="00B35696" w:rsidRPr="00823D62">
        <w:rPr>
          <w:rFonts w:asciiTheme="majorHAnsi" w:hAnsiTheme="majorHAnsi"/>
          <w:sz w:val="20"/>
          <w:szCs w:val="20"/>
          <w:lang w:val="es-ES"/>
        </w:rPr>
        <w:t>J</w:t>
      </w:r>
      <w:r w:rsidRPr="00823D62">
        <w:rPr>
          <w:rFonts w:asciiTheme="majorHAnsi" w:hAnsiTheme="majorHAnsi"/>
          <w:sz w:val="20"/>
          <w:szCs w:val="20"/>
          <w:lang w:val="es-ES"/>
        </w:rPr>
        <w:t>ueza</w:t>
      </w:r>
      <w:r w:rsidR="00B35696" w:rsidRPr="00823D62">
        <w:rPr>
          <w:rFonts w:asciiTheme="majorHAnsi" w:hAnsiTheme="majorHAnsi"/>
          <w:sz w:val="20"/>
          <w:szCs w:val="20"/>
          <w:lang w:val="es-ES"/>
        </w:rPr>
        <w:t xml:space="preserve"> </w:t>
      </w:r>
      <w:r w:rsidRPr="00823D62">
        <w:rPr>
          <w:rFonts w:asciiTheme="majorHAnsi" w:hAnsiTheme="majorHAnsi"/>
          <w:sz w:val="20"/>
          <w:szCs w:val="20"/>
          <w:lang w:val="es-ES"/>
        </w:rPr>
        <w:t>decidió separarlo del caso</w:t>
      </w:r>
      <w:r w:rsidR="003A27CB" w:rsidRPr="00823D62">
        <w:rPr>
          <w:rFonts w:asciiTheme="majorHAnsi" w:hAnsiTheme="majorHAnsi"/>
          <w:sz w:val="20"/>
          <w:szCs w:val="20"/>
          <w:lang w:val="es-ES"/>
        </w:rPr>
        <w:t xml:space="preserve"> </w:t>
      </w:r>
      <w:r w:rsidR="004B215B">
        <w:rPr>
          <w:rFonts w:asciiTheme="majorHAnsi" w:hAnsiTheme="majorHAnsi"/>
          <w:sz w:val="20"/>
          <w:szCs w:val="20"/>
          <w:lang w:val="es-ES"/>
        </w:rPr>
        <w:t>al ya haberse</w:t>
      </w:r>
      <w:r w:rsidR="003A27CB" w:rsidRPr="00823D62">
        <w:rPr>
          <w:rFonts w:asciiTheme="majorHAnsi" w:hAnsiTheme="majorHAnsi"/>
          <w:sz w:val="20"/>
          <w:szCs w:val="20"/>
          <w:lang w:val="es-ES"/>
        </w:rPr>
        <w:t xml:space="preserve"> dictado sentencia</w:t>
      </w:r>
      <w:r w:rsidR="002E37E5" w:rsidRPr="00823D62">
        <w:rPr>
          <w:rFonts w:asciiTheme="majorHAnsi" w:hAnsiTheme="majorHAnsi"/>
          <w:sz w:val="20"/>
          <w:szCs w:val="20"/>
          <w:lang w:val="es-ES"/>
        </w:rPr>
        <w:t>,</w:t>
      </w:r>
      <w:r w:rsidR="003A27CB" w:rsidRPr="00823D62">
        <w:rPr>
          <w:rFonts w:asciiTheme="majorHAnsi" w:hAnsiTheme="majorHAnsi"/>
          <w:sz w:val="20"/>
          <w:szCs w:val="20"/>
          <w:lang w:val="es-ES"/>
        </w:rPr>
        <w:t xml:space="preserve"> y ordenó enviar al </w:t>
      </w:r>
      <w:r w:rsidR="00820F74" w:rsidRPr="00823D62">
        <w:rPr>
          <w:rFonts w:asciiTheme="majorHAnsi" w:hAnsiTheme="majorHAnsi"/>
          <w:sz w:val="20"/>
          <w:szCs w:val="20"/>
          <w:lang w:val="es-ES"/>
        </w:rPr>
        <w:t>Sr. Gómez</w:t>
      </w:r>
      <w:r w:rsidRPr="00823D62">
        <w:rPr>
          <w:rFonts w:asciiTheme="majorHAnsi" w:hAnsiTheme="majorHAnsi"/>
          <w:sz w:val="20"/>
          <w:szCs w:val="20"/>
          <w:lang w:val="es-ES"/>
        </w:rPr>
        <w:t xml:space="preserve"> a otro juzgado para que conociera</w:t>
      </w:r>
      <w:r w:rsidR="00D82DFB" w:rsidRPr="00823D62">
        <w:rPr>
          <w:rFonts w:asciiTheme="majorHAnsi" w:hAnsiTheme="majorHAnsi"/>
          <w:sz w:val="20"/>
          <w:szCs w:val="20"/>
          <w:lang w:val="es-ES"/>
        </w:rPr>
        <w:t xml:space="preserve"> del proceso</w:t>
      </w:r>
      <w:r w:rsidR="00820F74" w:rsidRPr="00823D62">
        <w:rPr>
          <w:rFonts w:asciiTheme="majorHAnsi" w:hAnsiTheme="majorHAnsi"/>
          <w:sz w:val="20"/>
          <w:szCs w:val="20"/>
          <w:lang w:val="es-ES"/>
        </w:rPr>
        <w:t xml:space="preserve">. </w:t>
      </w:r>
    </w:p>
    <w:p w14:paraId="28BCF35D" w14:textId="05988DEB" w:rsidR="003376C7" w:rsidRPr="00823D62" w:rsidRDefault="003376C7"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El 3 de junio de 2019 le notificaron </w:t>
      </w:r>
      <w:r w:rsidR="00820F74" w:rsidRPr="00823D62">
        <w:rPr>
          <w:rFonts w:asciiTheme="majorHAnsi" w:hAnsiTheme="majorHAnsi"/>
          <w:sz w:val="20"/>
          <w:szCs w:val="20"/>
          <w:lang w:val="es-ES"/>
        </w:rPr>
        <w:t xml:space="preserve">al peticionario </w:t>
      </w:r>
      <w:r w:rsidRPr="00823D62">
        <w:rPr>
          <w:rFonts w:asciiTheme="majorHAnsi" w:hAnsiTheme="majorHAnsi"/>
          <w:sz w:val="20"/>
          <w:szCs w:val="20"/>
          <w:lang w:val="es-ES"/>
        </w:rPr>
        <w:t xml:space="preserve">que el </w:t>
      </w:r>
      <w:r w:rsidR="002E37E5" w:rsidRPr="00823D62">
        <w:rPr>
          <w:rFonts w:asciiTheme="majorHAnsi" w:hAnsiTheme="majorHAnsi"/>
          <w:sz w:val="20"/>
          <w:szCs w:val="20"/>
          <w:lang w:val="es-ES"/>
        </w:rPr>
        <w:t>t</w:t>
      </w:r>
      <w:r w:rsidRPr="00823D62">
        <w:rPr>
          <w:rFonts w:asciiTheme="majorHAnsi" w:hAnsiTheme="majorHAnsi"/>
          <w:sz w:val="20"/>
          <w:szCs w:val="20"/>
          <w:lang w:val="es-ES"/>
        </w:rPr>
        <w:t>ribunal ante el cual</w:t>
      </w:r>
      <w:r w:rsidR="00820F74" w:rsidRPr="00823D62">
        <w:rPr>
          <w:rFonts w:asciiTheme="majorHAnsi" w:hAnsiTheme="majorHAnsi"/>
          <w:sz w:val="20"/>
          <w:szCs w:val="20"/>
          <w:lang w:val="es-ES"/>
        </w:rPr>
        <w:t xml:space="preserve"> se</w:t>
      </w:r>
      <w:r w:rsidRPr="00823D62">
        <w:rPr>
          <w:rFonts w:asciiTheme="majorHAnsi" w:hAnsiTheme="majorHAnsi"/>
          <w:sz w:val="20"/>
          <w:szCs w:val="20"/>
          <w:lang w:val="es-ES"/>
        </w:rPr>
        <w:t xml:space="preserve"> </w:t>
      </w:r>
      <w:r w:rsidR="00820F74" w:rsidRPr="00823D62">
        <w:rPr>
          <w:rFonts w:asciiTheme="majorHAnsi" w:hAnsiTheme="majorHAnsi"/>
          <w:sz w:val="20"/>
          <w:szCs w:val="20"/>
          <w:lang w:val="es-ES"/>
        </w:rPr>
        <w:t>iba</w:t>
      </w:r>
      <w:r w:rsidRPr="00823D62">
        <w:rPr>
          <w:rFonts w:asciiTheme="majorHAnsi" w:hAnsiTheme="majorHAnsi"/>
          <w:sz w:val="20"/>
          <w:szCs w:val="20"/>
          <w:lang w:val="es-ES"/>
        </w:rPr>
        <w:t xml:space="preserve"> a</w:t>
      </w:r>
      <w:r w:rsidR="00820F74" w:rsidRPr="00823D62">
        <w:rPr>
          <w:rFonts w:asciiTheme="majorHAnsi" w:hAnsiTheme="majorHAnsi"/>
          <w:sz w:val="20"/>
          <w:szCs w:val="20"/>
          <w:lang w:val="es-ES"/>
        </w:rPr>
        <w:t xml:space="preserve"> desarrollar el debate oral y público</w:t>
      </w:r>
      <w:r w:rsidRPr="00823D62">
        <w:rPr>
          <w:rFonts w:asciiTheme="majorHAnsi" w:hAnsiTheme="majorHAnsi"/>
          <w:sz w:val="20"/>
          <w:szCs w:val="20"/>
          <w:lang w:val="es-ES"/>
        </w:rPr>
        <w:t xml:space="preserve"> e</w:t>
      </w:r>
      <w:r w:rsidR="00820F74" w:rsidRPr="00823D62">
        <w:rPr>
          <w:rFonts w:asciiTheme="majorHAnsi" w:hAnsiTheme="majorHAnsi"/>
          <w:sz w:val="20"/>
          <w:szCs w:val="20"/>
          <w:lang w:val="es-ES"/>
        </w:rPr>
        <w:t>ra el</w:t>
      </w:r>
      <w:r w:rsidRPr="00823D62">
        <w:rPr>
          <w:rFonts w:asciiTheme="majorHAnsi" w:hAnsiTheme="majorHAnsi"/>
          <w:sz w:val="20"/>
          <w:szCs w:val="20"/>
          <w:lang w:val="es-ES"/>
        </w:rPr>
        <w:t xml:space="preserve"> Tribunal Primero de Sentencia Penal, Narcoactividad y Delitos contra el Ambiente</w:t>
      </w:r>
      <w:r w:rsidR="00B35696" w:rsidRPr="00823D62">
        <w:rPr>
          <w:rFonts w:asciiTheme="majorHAnsi" w:hAnsiTheme="majorHAnsi"/>
          <w:sz w:val="20"/>
          <w:szCs w:val="20"/>
          <w:lang w:val="es-ES"/>
        </w:rPr>
        <w:t xml:space="preserve"> de Mayor Riesgo “E”</w:t>
      </w:r>
      <w:r w:rsidR="00820F74" w:rsidRPr="00823D62">
        <w:rPr>
          <w:rFonts w:asciiTheme="majorHAnsi" w:hAnsiTheme="majorHAnsi"/>
          <w:sz w:val="20"/>
          <w:szCs w:val="20"/>
          <w:lang w:val="es-ES"/>
        </w:rPr>
        <w:t xml:space="preserve">. </w:t>
      </w:r>
      <w:r w:rsidRPr="00823D62">
        <w:rPr>
          <w:rFonts w:asciiTheme="majorHAnsi" w:hAnsiTheme="majorHAnsi"/>
          <w:sz w:val="20"/>
          <w:szCs w:val="20"/>
          <w:lang w:val="es-ES"/>
        </w:rPr>
        <w:t xml:space="preserve">Posteriormente se le notificó que la apertura del juicio sería el 15 de mayo de 2020. Señala que su defensor ha solicitado en varias oportunidades la solicitud de medida </w:t>
      </w:r>
      <w:r w:rsidR="002F0E7F" w:rsidRPr="00823D62">
        <w:rPr>
          <w:rFonts w:asciiTheme="majorHAnsi" w:hAnsiTheme="majorHAnsi"/>
          <w:sz w:val="20"/>
          <w:szCs w:val="20"/>
          <w:lang w:val="es-ES"/>
        </w:rPr>
        <w:t>sustitutiva,</w:t>
      </w:r>
      <w:r w:rsidRPr="00823D62">
        <w:rPr>
          <w:rFonts w:asciiTheme="majorHAnsi" w:hAnsiTheme="majorHAnsi"/>
          <w:sz w:val="20"/>
          <w:szCs w:val="20"/>
          <w:lang w:val="es-ES"/>
        </w:rPr>
        <w:t xml:space="preserve"> pero esta ha sido negada. </w:t>
      </w:r>
    </w:p>
    <w:p w14:paraId="4A7A8946" w14:textId="7369E37C" w:rsidR="002F0E7F" w:rsidRPr="00823D62" w:rsidRDefault="00820F74"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lastRenderedPageBreak/>
        <w:t xml:space="preserve">Considera </w:t>
      </w:r>
      <w:r w:rsidR="002F0E7F" w:rsidRPr="00823D62">
        <w:rPr>
          <w:rFonts w:asciiTheme="majorHAnsi" w:hAnsiTheme="majorHAnsi"/>
          <w:sz w:val="20"/>
          <w:szCs w:val="20"/>
          <w:lang w:val="es-ES"/>
        </w:rPr>
        <w:t>que se ha vulnerado el debido proceso</w:t>
      </w:r>
      <w:r w:rsidR="00A56F9A" w:rsidRPr="00823D62">
        <w:rPr>
          <w:rFonts w:asciiTheme="majorHAnsi" w:hAnsiTheme="majorHAnsi"/>
          <w:sz w:val="20"/>
          <w:szCs w:val="20"/>
          <w:lang w:val="es-ES"/>
        </w:rPr>
        <w:t>,</w:t>
      </w:r>
      <w:r w:rsidR="002F0E7F" w:rsidRPr="00823D62">
        <w:rPr>
          <w:rFonts w:asciiTheme="majorHAnsi" w:hAnsiTheme="majorHAnsi"/>
          <w:sz w:val="20"/>
          <w:szCs w:val="20"/>
          <w:lang w:val="es-ES"/>
        </w:rPr>
        <w:t xml:space="preserve"> pues se encuentra recluido desde el 15 de julio de 2015, lo que ha conducido a que se haya perdido su fuente de ingreso económico al igual que no ha podido percibir su jubilación</w:t>
      </w:r>
      <w:r w:rsidRPr="00823D62">
        <w:rPr>
          <w:rFonts w:asciiTheme="majorHAnsi" w:hAnsiTheme="majorHAnsi"/>
          <w:sz w:val="20"/>
          <w:szCs w:val="20"/>
          <w:lang w:val="es-ES"/>
        </w:rPr>
        <w:t xml:space="preserve">, y no ha podido pasar </w:t>
      </w:r>
      <w:r w:rsidR="002F0E7F" w:rsidRPr="00823D62">
        <w:rPr>
          <w:rFonts w:asciiTheme="majorHAnsi" w:hAnsiTheme="majorHAnsi"/>
          <w:sz w:val="20"/>
          <w:szCs w:val="20"/>
          <w:lang w:val="es-ES"/>
        </w:rPr>
        <w:t xml:space="preserve">tiempo con su familia y amistades. También señala que el </w:t>
      </w:r>
      <w:r w:rsidRPr="00823D62">
        <w:rPr>
          <w:rFonts w:asciiTheme="majorHAnsi" w:hAnsiTheme="majorHAnsi"/>
          <w:sz w:val="20"/>
          <w:szCs w:val="20"/>
          <w:lang w:val="es-ES"/>
        </w:rPr>
        <w:t>artículo</w:t>
      </w:r>
      <w:r w:rsidR="002F0E7F" w:rsidRPr="00823D62">
        <w:rPr>
          <w:rFonts w:asciiTheme="majorHAnsi" w:hAnsiTheme="majorHAnsi"/>
          <w:sz w:val="20"/>
          <w:szCs w:val="20"/>
          <w:lang w:val="es-ES"/>
        </w:rPr>
        <w:t xml:space="preserve"> 268 del </w:t>
      </w:r>
      <w:r w:rsidRPr="00823D62">
        <w:rPr>
          <w:rFonts w:asciiTheme="majorHAnsi" w:hAnsiTheme="majorHAnsi"/>
          <w:sz w:val="20"/>
          <w:szCs w:val="20"/>
          <w:lang w:val="es-ES"/>
        </w:rPr>
        <w:t xml:space="preserve">Código Procesal Penal </w:t>
      </w:r>
      <w:r w:rsidR="002F0E7F" w:rsidRPr="00823D62">
        <w:rPr>
          <w:rFonts w:asciiTheme="majorHAnsi" w:hAnsiTheme="majorHAnsi"/>
          <w:sz w:val="20"/>
          <w:szCs w:val="20"/>
          <w:lang w:val="es-ES"/>
        </w:rPr>
        <w:t>de Guatemala es una disposición ambigua</w:t>
      </w:r>
      <w:r w:rsidR="000A5559" w:rsidRPr="00823D62">
        <w:rPr>
          <w:rFonts w:asciiTheme="majorHAnsi" w:hAnsiTheme="majorHAnsi"/>
          <w:sz w:val="20"/>
          <w:szCs w:val="20"/>
          <w:lang w:val="es-ES"/>
        </w:rPr>
        <w:t>,</w:t>
      </w:r>
      <w:r w:rsidR="002F0E7F" w:rsidRPr="00823D62">
        <w:rPr>
          <w:rFonts w:asciiTheme="majorHAnsi" w:hAnsiTheme="majorHAnsi"/>
          <w:sz w:val="20"/>
          <w:szCs w:val="20"/>
          <w:lang w:val="es-ES"/>
        </w:rPr>
        <w:t xml:space="preserve"> ya que el plazo máximo para la prisión preventiva es de un año</w:t>
      </w:r>
      <w:r w:rsidR="00F87CCF" w:rsidRPr="00823D62">
        <w:rPr>
          <w:rFonts w:asciiTheme="majorHAnsi" w:hAnsiTheme="majorHAnsi"/>
          <w:sz w:val="20"/>
          <w:szCs w:val="20"/>
          <w:lang w:val="es-ES"/>
        </w:rPr>
        <w:t>,</w:t>
      </w:r>
      <w:r w:rsidRPr="00823D62">
        <w:rPr>
          <w:rFonts w:asciiTheme="majorHAnsi" w:hAnsiTheme="majorHAnsi"/>
          <w:sz w:val="20"/>
          <w:szCs w:val="20"/>
          <w:lang w:val="es-ES"/>
        </w:rPr>
        <w:t xml:space="preserve"> el cual se </w:t>
      </w:r>
      <w:r w:rsidR="002F0E7F" w:rsidRPr="00823D62">
        <w:rPr>
          <w:rFonts w:asciiTheme="majorHAnsi" w:hAnsiTheme="majorHAnsi"/>
          <w:sz w:val="20"/>
          <w:szCs w:val="20"/>
          <w:lang w:val="es-ES"/>
        </w:rPr>
        <w:t>puede prorrogar las veces que sea necesaria, dejando la posibilidad de extenderla indefinidamente en el tiempo.</w:t>
      </w:r>
      <w:r w:rsidRPr="00823D62">
        <w:rPr>
          <w:rFonts w:asciiTheme="majorHAnsi" w:hAnsiTheme="majorHAnsi"/>
          <w:sz w:val="20"/>
          <w:szCs w:val="20"/>
          <w:lang w:val="es-ES"/>
        </w:rPr>
        <w:t xml:space="preserve"> </w:t>
      </w:r>
      <w:r w:rsidR="009161E0" w:rsidRPr="00823D62">
        <w:rPr>
          <w:rFonts w:asciiTheme="majorHAnsi" w:hAnsiTheme="majorHAnsi"/>
          <w:sz w:val="20"/>
          <w:szCs w:val="20"/>
          <w:lang w:val="es-ES"/>
        </w:rPr>
        <w:t>Además,</w:t>
      </w:r>
      <w:r w:rsidR="002F0E7F" w:rsidRPr="00823D62">
        <w:rPr>
          <w:rFonts w:asciiTheme="majorHAnsi" w:hAnsiTheme="majorHAnsi"/>
          <w:sz w:val="20"/>
          <w:szCs w:val="20"/>
          <w:lang w:val="es-ES"/>
        </w:rPr>
        <w:t xml:space="preserve"> indica que</w:t>
      </w:r>
      <w:r w:rsidRPr="00823D62">
        <w:rPr>
          <w:rFonts w:asciiTheme="majorHAnsi" w:hAnsiTheme="majorHAnsi"/>
          <w:sz w:val="20"/>
          <w:szCs w:val="20"/>
          <w:lang w:val="es-ES"/>
        </w:rPr>
        <w:t xml:space="preserve"> </w:t>
      </w:r>
      <w:r w:rsidR="002F0E7F" w:rsidRPr="00823D62">
        <w:rPr>
          <w:rFonts w:asciiTheme="majorHAnsi" w:hAnsiTheme="majorHAnsi"/>
          <w:sz w:val="20"/>
          <w:szCs w:val="20"/>
          <w:lang w:val="es-ES"/>
        </w:rPr>
        <w:t xml:space="preserve">sufre de hipertensión y de depresión, </w:t>
      </w:r>
      <w:r w:rsidRPr="00823D62">
        <w:rPr>
          <w:rFonts w:asciiTheme="majorHAnsi" w:hAnsiTheme="majorHAnsi"/>
          <w:sz w:val="20"/>
          <w:szCs w:val="20"/>
          <w:lang w:val="es-ES"/>
        </w:rPr>
        <w:t>y q</w:t>
      </w:r>
      <w:r w:rsidR="002F0E7F" w:rsidRPr="00823D62">
        <w:rPr>
          <w:rFonts w:asciiTheme="majorHAnsi" w:hAnsiTheme="majorHAnsi"/>
          <w:sz w:val="20"/>
          <w:szCs w:val="20"/>
          <w:lang w:val="es-ES"/>
        </w:rPr>
        <w:t xml:space="preserve">ue como consecuencia de los golpes recibidos tiene un problema de movilidad en </w:t>
      </w:r>
      <w:r w:rsidR="000A5559" w:rsidRPr="00823D62">
        <w:rPr>
          <w:rFonts w:asciiTheme="majorHAnsi" w:hAnsiTheme="majorHAnsi"/>
          <w:sz w:val="20"/>
          <w:szCs w:val="20"/>
          <w:lang w:val="es-ES"/>
        </w:rPr>
        <w:t>un</w:t>
      </w:r>
      <w:r w:rsidR="002F0E7F" w:rsidRPr="00823D62">
        <w:rPr>
          <w:rFonts w:asciiTheme="majorHAnsi" w:hAnsiTheme="majorHAnsi"/>
          <w:sz w:val="20"/>
          <w:szCs w:val="20"/>
          <w:lang w:val="es-ES"/>
        </w:rPr>
        <w:t xml:space="preserve"> brazo. </w:t>
      </w:r>
    </w:p>
    <w:p w14:paraId="18E73A2D" w14:textId="0A234433" w:rsidR="00820F74" w:rsidRPr="00823D62" w:rsidRDefault="00820F74" w:rsidP="00823D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
        </w:rPr>
      </w:pPr>
      <w:r w:rsidRPr="00823D62">
        <w:rPr>
          <w:rFonts w:asciiTheme="majorHAnsi" w:hAnsiTheme="majorHAnsi"/>
          <w:i/>
          <w:iCs/>
          <w:sz w:val="20"/>
          <w:szCs w:val="20"/>
          <w:lang w:val="es-ES"/>
        </w:rPr>
        <w:t>Posición del Estado guatemalteco</w:t>
      </w:r>
    </w:p>
    <w:p w14:paraId="0528A58B" w14:textId="727F981F" w:rsidR="008E7931" w:rsidRPr="00823D62" w:rsidRDefault="008E7931"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Por su parte</w:t>
      </w:r>
      <w:r w:rsidR="004A00EF" w:rsidRPr="00823D62">
        <w:rPr>
          <w:rFonts w:asciiTheme="majorHAnsi" w:hAnsiTheme="majorHAnsi"/>
          <w:sz w:val="20"/>
          <w:szCs w:val="20"/>
          <w:lang w:val="es-ES"/>
        </w:rPr>
        <w:t>,</w:t>
      </w:r>
      <w:r w:rsidRPr="00823D62">
        <w:rPr>
          <w:rFonts w:asciiTheme="majorHAnsi" w:hAnsiTheme="majorHAnsi"/>
          <w:sz w:val="20"/>
          <w:szCs w:val="20"/>
          <w:lang w:val="es-ES"/>
        </w:rPr>
        <w:t xml:space="preserve"> el Estado señala que los días 21, 22, 23, 24, 27 y 28 de julio de 2015 ante el Juez Primero de Primera Instancia Penal, Narcoactividad y Delitos contra el Ambiente de Mayor Riesgo grupo “B”</w:t>
      </w:r>
      <w:r w:rsidR="00820F74" w:rsidRPr="00823D62">
        <w:rPr>
          <w:rFonts w:asciiTheme="majorHAnsi" w:hAnsiTheme="majorHAnsi"/>
          <w:sz w:val="20"/>
          <w:szCs w:val="20"/>
          <w:lang w:val="es-ES"/>
        </w:rPr>
        <w:t xml:space="preserve">, </w:t>
      </w:r>
      <w:r w:rsidRPr="00823D62">
        <w:rPr>
          <w:rFonts w:asciiTheme="majorHAnsi" w:hAnsiTheme="majorHAnsi"/>
          <w:sz w:val="20"/>
          <w:szCs w:val="20"/>
          <w:lang w:val="es-ES"/>
        </w:rPr>
        <w:t xml:space="preserve">se desarrolló la audiencia de Primera Declaración en contra de la parte peticionaria dentro de la causa C-1070-2013-00401, en </w:t>
      </w:r>
      <w:r w:rsidR="00820F74" w:rsidRPr="00823D62">
        <w:rPr>
          <w:rFonts w:asciiTheme="majorHAnsi" w:hAnsiTheme="majorHAnsi"/>
          <w:sz w:val="20"/>
          <w:szCs w:val="20"/>
          <w:lang w:val="es-ES"/>
        </w:rPr>
        <w:t>la cual</w:t>
      </w:r>
      <w:r w:rsidRPr="00823D62">
        <w:rPr>
          <w:rFonts w:asciiTheme="majorHAnsi" w:hAnsiTheme="majorHAnsi"/>
          <w:sz w:val="20"/>
          <w:szCs w:val="20"/>
          <w:lang w:val="es-ES"/>
        </w:rPr>
        <w:t xml:space="preserve"> se decidió decretar auto de procesamiento en contra del peticionario </w:t>
      </w:r>
      <w:r w:rsidR="00820F74" w:rsidRPr="00823D62">
        <w:rPr>
          <w:rFonts w:asciiTheme="majorHAnsi" w:hAnsiTheme="majorHAnsi"/>
          <w:sz w:val="20"/>
          <w:szCs w:val="20"/>
          <w:lang w:val="es-ES"/>
        </w:rPr>
        <w:t>vinculándolo</w:t>
      </w:r>
      <w:r w:rsidRPr="00823D62">
        <w:rPr>
          <w:rFonts w:asciiTheme="majorHAnsi" w:hAnsiTheme="majorHAnsi"/>
          <w:sz w:val="20"/>
          <w:szCs w:val="20"/>
          <w:lang w:val="es-ES"/>
        </w:rPr>
        <w:t xml:space="preserve"> al proceso por los delitos de asociación ilícita y cohecho pasivo</w:t>
      </w:r>
      <w:r w:rsidR="00820F74" w:rsidRPr="00823D62">
        <w:rPr>
          <w:rFonts w:asciiTheme="majorHAnsi" w:hAnsiTheme="majorHAnsi"/>
          <w:sz w:val="20"/>
          <w:szCs w:val="20"/>
          <w:lang w:val="es-ES"/>
        </w:rPr>
        <w:t xml:space="preserve">. </w:t>
      </w:r>
      <w:r w:rsidR="009161E0" w:rsidRPr="00823D62">
        <w:rPr>
          <w:rFonts w:asciiTheme="majorHAnsi" w:hAnsiTheme="majorHAnsi"/>
          <w:sz w:val="20"/>
          <w:szCs w:val="20"/>
          <w:lang w:val="es-ES"/>
        </w:rPr>
        <w:t>Además,</w:t>
      </w:r>
      <w:r w:rsidRPr="00823D62">
        <w:rPr>
          <w:rFonts w:asciiTheme="majorHAnsi" w:hAnsiTheme="majorHAnsi"/>
          <w:sz w:val="20"/>
          <w:szCs w:val="20"/>
          <w:lang w:val="es-ES"/>
        </w:rPr>
        <w:t xml:space="preserve"> se decidió decretar prisión preventiva en contra del Sr. Gómez. </w:t>
      </w:r>
    </w:p>
    <w:p w14:paraId="3C25FF36" w14:textId="4D2829F2" w:rsidR="0076236F" w:rsidRPr="00823D62" w:rsidRDefault="0076236F"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Señala que el </w:t>
      </w:r>
      <w:r w:rsidR="00820F74" w:rsidRPr="00823D62">
        <w:rPr>
          <w:rFonts w:asciiTheme="majorHAnsi" w:hAnsiTheme="majorHAnsi"/>
          <w:sz w:val="20"/>
          <w:szCs w:val="20"/>
          <w:lang w:val="es-ES"/>
        </w:rPr>
        <w:t>defensor público</w:t>
      </w:r>
      <w:r w:rsidRPr="00823D62">
        <w:rPr>
          <w:rFonts w:asciiTheme="majorHAnsi" w:hAnsiTheme="majorHAnsi"/>
          <w:sz w:val="20"/>
          <w:szCs w:val="20"/>
          <w:lang w:val="es-ES"/>
        </w:rPr>
        <w:t xml:space="preserve"> entre el 10 de abril de 2018 hasta el 21 de febrero de 2020, tiempo en el cual presto sus servicios antes de ser sustituido por un defensor privado, solicitó cuatro audiencias de revisión de medidas de coerción, las cuales fueron negadas. </w:t>
      </w:r>
      <w:r w:rsidR="00820F74" w:rsidRPr="00823D62">
        <w:rPr>
          <w:rFonts w:asciiTheme="majorHAnsi" w:hAnsiTheme="majorHAnsi"/>
          <w:sz w:val="20"/>
          <w:szCs w:val="20"/>
          <w:lang w:val="es-ES"/>
        </w:rPr>
        <w:t>Adicionalmente, d</w:t>
      </w:r>
      <w:r w:rsidRPr="00823D62">
        <w:rPr>
          <w:rFonts w:asciiTheme="majorHAnsi" w:hAnsiTheme="majorHAnsi"/>
          <w:sz w:val="20"/>
          <w:szCs w:val="20"/>
          <w:lang w:val="es-ES"/>
        </w:rPr>
        <w:t>ebido a la crisis de salud generada por el COVID-19 se fijó como nueva fecha de audiencia de inicio de debate oral y público el 27 de agosto de 2020. Posteriormente</w:t>
      </w:r>
      <w:r w:rsidR="00FA60D6" w:rsidRPr="00823D62">
        <w:rPr>
          <w:rFonts w:asciiTheme="majorHAnsi" w:hAnsiTheme="majorHAnsi"/>
          <w:sz w:val="20"/>
          <w:szCs w:val="20"/>
          <w:lang w:val="es-ES"/>
        </w:rPr>
        <w:t>,</w:t>
      </w:r>
      <w:r w:rsidRPr="00823D62">
        <w:rPr>
          <w:rFonts w:asciiTheme="majorHAnsi" w:hAnsiTheme="majorHAnsi"/>
          <w:sz w:val="20"/>
          <w:szCs w:val="20"/>
          <w:lang w:val="es-ES"/>
        </w:rPr>
        <w:t xml:space="preserve"> el 14 de octubre de 2020 se emitió sentencia condenatoria contra el peticionario por la comisión de</w:t>
      </w:r>
      <w:r w:rsidR="007B771F" w:rsidRPr="00823D62">
        <w:rPr>
          <w:rFonts w:asciiTheme="majorHAnsi" w:hAnsiTheme="majorHAnsi"/>
          <w:sz w:val="20"/>
          <w:szCs w:val="20"/>
          <w:lang w:val="es-ES"/>
        </w:rPr>
        <w:t xml:space="preserve"> los</w:t>
      </w:r>
      <w:r w:rsidRPr="00823D62">
        <w:rPr>
          <w:rFonts w:asciiTheme="majorHAnsi" w:hAnsiTheme="majorHAnsi"/>
          <w:sz w:val="20"/>
          <w:szCs w:val="20"/>
          <w:lang w:val="es-ES"/>
        </w:rPr>
        <w:t xml:space="preserve"> delito</w:t>
      </w:r>
      <w:r w:rsidR="007B771F" w:rsidRPr="00823D62">
        <w:rPr>
          <w:rFonts w:asciiTheme="majorHAnsi" w:hAnsiTheme="majorHAnsi"/>
          <w:sz w:val="20"/>
          <w:szCs w:val="20"/>
          <w:lang w:val="es-ES"/>
        </w:rPr>
        <w:t>s</w:t>
      </w:r>
      <w:r w:rsidRPr="00823D62">
        <w:rPr>
          <w:rFonts w:asciiTheme="majorHAnsi" w:hAnsiTheme="majorHAnsi"/>
          <w:sz w:val="20"/>
          <w:szCs w:val="20"/>
          <w:lang w:val="es-ES"/>
        </w:rPr>
        <w:t xml:space="preserve"> de asociación ilícita</w:t>
      </w:r>
      <w:r w:rsidR="007B771F" w:rsidRPr="00823D62">
        <w:rPr>
          <w:rFonts w:asciiTheme="majorHAnsi" w:hAnsiTheme="majorHAnsi"/>
          <w:sz w:val="20"/>
          <w:szCs w:val="20"/>
          <w:lang w:val="es-ES"/>
        </w:rPr>
        <w:t xml:space="preserve"> y cohecho activo</w:t>
      </w:r>
      <w:r w:rsidRPr="00823D62">
        <w:rPr>
          <w:rFonts w:asciiTheme="majorHAnsi" w:hAnsiTheme="majorHAnsi"/>
          <w:sz w:val="20"/>
          <w:szCs w:val="20"/>
          <w:lang w:val="es-ES"/>
        </w:rPr>
        <w:t xml:space="preserve">, </w:t>
      </w:r>
      <w:r w:rsidR="00EF6D66" w:rsidRPr="00823D62">
        <w:rPr>
          <w:rFonts w:asciiTheme="majorHAnsi" w:hAnsiTheme="majorHAnsi"/>
          <w:sz w:val="20"/>
          <w:szCs w:val="20"/>
          <w:lang w:val="es-ES"/>
        </w:rPr>
        <w:t>imponiéndole</w:t>
      </w:r>
      <w:r w:rsidRPr="00823D62">
        <w:rPr>
          <w:rFonts w:asciiTheme="majorHAnsi" w:hAnsiTheme="majorHAnsi"/>
          <w:sz w:val="20"/>
          <w:szCs w:val="20"/>
          <w:lang w:val="es-ES"/>
        </w:rPr>
        <w:t xml:space="preserve"> la pena de s</w:t>
      </w:r>
      <w:r w:rsidR="007B771F" w:rsidRPr="00823D62">
        <w:rPr>
          <w:rFonts w:asciiTheme="majorHAnsi" w:hAnsiTheme="majorHAnsi"/>
          <w:sz w:val="20"/>
          <w:szCs w:val="20"/>
          <w:lang w:val="es-ES"/>
        </w:rPr>
        <w:t xml:space="preserve">iete años y seis meses para el primer delito y seis años y tres meses para el segundo, los cuales eran inconmutables. </w:t>
      </w:r>
    </w:p>
    <w:p w14:paraId="55C8372A" w14:textId="1C625F5D" w:rsidR="007B771F" w:rsidRPr="00823D62" w:rsidRDefault="007B771F"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El 13 de noviembre de 2020 se </w:t>
      </w:r>
      <w:r w:rsidR="00EF6D66" w:rsidRPr="00823D62">
        <w:rPr>
          <w:rFonts w:asciiTheme="majorHAnsi" w:hAnsiTheme="majorHAnsi"/>
          <w:sz w:val="20"/>
          <w:szCs w:val="20"/>
          <w:lang w:val="es-ES"/>
        </w:rPr>
        <w:t>inició</w:t>
      </w:r>
      <w:r w:rsidRPr="00823D62">
        <w:rPr>
          <w:rFonts w:asciiTheme="majorHAnsi" w:hAnsiTheme="majorHAnsi"/>
          <w:sz w:val="20"/>
          <w:szCs w:val="20"/>
          <w:lang w:val="es-ES"/>
        </w:rPr>
        <w:t xml:space="preserve"> tr</w:t>
      </w:r>
      <w:r w:rsidR="00EF6D66" w:rsidRPr="00823D62">
        <w:rPr>
          <w:rFonts w:asciiTheme="majorHAnsi" w:hAnsiTheme="majorHAnsi"/>
          <w:sz w:val="20"/>
          <w:szCs w:val="20"/>
          <w:lang w:val="es-ES"/>
        </w:rPr>
        <w:t>á</w:t>
      </w:r>
      <w:r w:rsidRPr="00823D62">
        <w:rPr>
          <w:rFonts w:asciiTheme="majorHAnsi" w:hAnsiTheme="majorHAnsi"/>
          <w:sz w:val="20"/>
          <w:szCs w:val="20"/>
          <w:lang w:val="es-ES"/>
        </w:rPr>
        <w:t xml:space="preserve">mite de apelación especial presentada por el peticionario, </w:t>
      </w:r>
      <w:r w:rsidR="00EF6D66" w:rsidRPr="00823D62">
        <w:rPr>
          <w:rFonts w:asciiTheme="majorHAnsi" w:hAnsiTheme="majorHAnsi"/>
          <w:sz w:val="20"/>
          <w:szCs w:val="20"/>
          <w:lang w:val="es-ES"/>
        </w:rPr>
        <w:t>el</w:t>
      </w:r>
      <w:r w:rsidRPr="00823D62">
        <w:rPr>
          <w:rFonts w:asciiTheme="majorHAnsi" w:hAnsiTheme="majorHAnsi"/>
          <w:sz w:val="20"/>
          <w:szCs w:val="20"/>
          <w:lang w:val="es-ES"/>
        </w:rPr>
        <w:t xml:space="preserve"> cual fue admitid</w:t>
      </w:r>
      <w:r w:rsidR="00EF6D66" w:rsidRPr="00823D62">
        <w:rPr>
          <w:rFonts w:asciiTheme="majorHAnsi" w:hAnsiTheme="majorHAnsi"/>
          <w:sz w:val="20"/>
          <w:szCs w:val="20"/>
          <w:lang w:val="es-ES"/>
        </w:rPr>
        <w:t xml:space="preserve">o </w:t>
      </w:r>
      <w:r w:rsidRPr="00823D62">
        <w:rPr>
          <w:rFonts w:asciiTheme="majorHAnsi" w:hAnsiTheme="majorHAnsi"/>
          <w:sz w:val="20"/>
          <w:szCs w:val="20"/>
          <w:lang w:val="es-ES"/>
        </w:rPr>
        <w:t xml:space="preserve">el 22 de junio de 2021 por la Sala Segunda de Mayor Riesgo. Señala que actualmente </w:t>
      </w:r>
      <w:r w:rsidR="00EF6D66" w:rsidRPr="00823D62">
        <w:rPr>
          <w:rFonts w:asciiTheme="majorHAnsi" w:hAnsiTheme="majorHAnsi"/>
          <w:sz w:val="20"/>
          <w:szCs w:val="20"/>
          <w:lang w:val="es-ES"/>
        </w:rPr>
        <w:t>está</w:t>
      </w:r>
      <w:r w:rsidRPr="00823D62">
        <w:rPr>
          <w:rFonts w:asciiTheme="majorHAnsi" w:hAnsiTheme="majorHAnsi"/>
          <w:sz w:val="20"/>
          <w:szCs w:val="20"/>
          <w:lang w:val="es-ES"/>
        </w:rPr>
        <w:t xml:space="preserve"> pendiente de ser notificada la resolución de segunda instancia. </w:t>
      </w:r>
    </w:p>
    <w:p w14:paraId="08215D98" w14:textId="0632A6B9" w:rsidR="007B771F" w:rsidRPr="00823D62" w:rsidRDefault="007B771F"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Alega la falta de competencia </w:t>
      </w:r>
      <w:r w:rsidRPr="00823D62">
        <w:rPr>
          <w:rFonts w:asciiTheme="majorHAnsi" w:hAnsiTheme="majorHAnsi"/>
          <w:i/>
          <w:iCs/>
          <w:sz w:val="20"/>
          <w:szCs w:val="20"/>
          <w:lang w:val="es-ES"/>
        </w:rPr>
        <w:t>ratione materiae</w:t>
      </w:r>
      <w:r w:rsidRPr="00823D62">
        <w:rPr>
          <w:rFonts w:asciiTheme="majorHAnsi" w:hAnsiTheme="majorHAnsi"/>
          <w:sz w:val="20"/>
          <w:szCs w:val="20"/>
          <w:lang w:val="es-ES"/>
        </w:rPr>
        <w:t xml:space="preserve"> de la Comisión respecto de </w:t>
      </w:r>
      <w:r w:rsidR="00EF6D66" w:rsidRPr="00823D62">
        <w:rPr>
          <w:rFonts w:asciiTheme="majorHAnsi" w:hAnsiTheme="majorHAnsi"/>
          <w:sz w:val="20"/>
          <w:szCs w:val="20"/>
          <w:lang w:val="es-ES"/>
        </w:rPr>
        <w:t xml:space="preserve">alegada violación de </w:t>
      </w:r>
      <w:r w:rsidRPr="00823D62">
        <w:rPr>
          <w:rFonts w:asciiTheme="majorHAnsi" w:hAnsiTheme="majorHAnsi"/>
          <w:sz w:val="20"/>
          <w:szCs w:val="20"/>
          <w:lang w:val="es-ES"/>
        </w:rPr>
        <w:t xml:space="preserve">la Declaración Universal de Derechos Humanos, Pacto Internacional sobre Derechos Civiles y Políticos, y las Reglas Mínimas de las Naciones Unidas para el Tratamiento de los Reclusos, sin perjuicio de que pueda recurrir a estos con el fin de interpretar normas de la convención en virtud del </w:t>
      </w:r>
      <w:r w:rsidR="00EF6D66" w:rsidRPr="00823D62">
        <w:rPr>
          <w:rFonts w:asciiTheme="majorHAnsi" w:hAnsiTheme="majorHAnsi"/>
          <w:sz w:val="20"/>
          <w:szCs w:val="20"/>
          <w:lang w:val="es-ES"/>
        </w:rPr>
        <w:t>artículo</w:t>
      </w:r>
      <w:r w:rsidRPr="00823D62">
        <w:rPr>
          <w:rFonts w:asciiTheme="majorHAnsi" w:hAnsiTheme="majorHAnsi"/>
          <w:sz w:val="20"/>
          <w:szCs w:val="20"/>
          <w:lang w:val="es-ES"/>
        </w:rPr>
        <w:t xml:space="preserve"> 29 del mismo instrumento. </w:t>
      </w:r>
    </w:p>
    <w:p w14:paraId="37750FAA" w14:textId="04BB4491" w:rsidR="007B771F" w:rsidRPr="00823D62" w:rsidRDefault="00876F8B"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Sostiene</w:t>
      </w:r>
      <w:r w:rsidR="007B771F" w:rsidRPr="00823D62">
        <w:rPr>
          <w:rFonts w:asciiTheme="majorHAnsi" w:hAnsiTheme="majorHAnsi"/>
          <w:sz w:val="20"/>
          <w:szCs w:val="20"/>
          <w:lang w:val="es-ES"/>
        </w:rPr>
        <w:t xml:space="preserve"> que el peticionario alega haber sido víctima de actos de tortura y maltrato </w:t>
      </w:r>
      <w:r w:rsidR="008231A8" w:rsidRPr="00823D62">
        <w:rPr>
          <w:rFonts w:asciiTheme="majorHAnsi" w:hAnsiTheme="majorHAnsi"/>
          <w:sz w:val="20"/>
          <w:szCs w:val="20"/>
          <w:lang w:val="es-ES"/>
        </w:rPr>
        <w:t xml:space="preserve">por parte del sistema penitenciario, no </w:t>
      </w:r>
      <w:r w:rsidR="009161E0" w:rsidRPr="00823D62">
        <w:rPr>
          <w:rFonts w:asciiTheme="majorHAnsi" w:hAnsiTheme="majorHAnsi"/>
          <w:sz w:val="20"/>
          <w:szCs w:val="20"/>
          <w:lang w:val="es-ES"/>
        </w:rPr>
        <w:t>obstante,</w:t>
      </w:r>
      <w:r w:rsidR="008231A8" w:rsidRPr="00823D62">
        <w:rPr>
          <w:rFonts w:asciiTheme="majorHAnsi" w:hAnsiTheme="majorHAnsi"/>
          <w:sz w:val="20"/>
          <w:szCs w:val="20"/>
          <w:lang w:val="es-ES"/>
        </w:rPr>
        <w:t xml:space="preserve"> en las actas de exhibición personal No. 01141-2015-0871 y No. 05027-2015-01661</w:t>
      </w:r>
      <w:r w:rsidR="009B7964" w:rsidRPr="00823D62">
        <w:rPr>
          <w:rFonts w:asciiTheme="majorHAnsi" w:hAnsiTheme="majorHAnsi"/>
          <w:sz w:val="20"/>
          <w:szCs w:val="20"/>
          <w:lang w:val="es-ES"/>
        </w:rPr>
        <w:t xml:space="preserve"> admitió no haber sido amenazado ni de haber sufrido de malos tratos. Adicionalmente</w:t>
      </w:r>
      <w:r w:rsidR="008B5391" w:rsidRPr="00823D62">
        <w:rPr>
          <w:rFonts w:asciiTheme="majorHAnsi" w:hAnsiTheme="majorHAnsi"/>
          <w:sz w:val="20"/>
          <w:szCs w:val="20"/>
          <w:lang w:val="es-ES"/>
        </w:rPr>
        <w:t>,</w:t>
      </w:r>
      <w:r w:rsidR="009B7964" w:rsidRPr="00823D62">
        <w:rPr>
          <w:rFonts w:asciiTheme="majorHAnsi" w:hAnsiTheme="majorHAnsi"/>
          <w:sz w:val="20"/>
          <w:szCs w:val="20"/>
          <w:lang w:val="es-ES"/>
        </w:rPr>
        <w:t xml:space="preserve"> dentro de las investigaciones por estos hechos el Ministerio Público dentro del expediente MP001-2019-81050 solicitó la desestimación del caso por falta de colaboración del peticionario. En ese sentido el Estado sostiene que es inconcebible que el peticionario afirme haber sido víctima de torturas y malos </w:t>
      </w:r>
      <w:r w:rsidR="00EF6D66" w:rsidRPr="00823D62">
        <w:rPr>
          <w:rFonts w:asciiTheme="majorHAnsi" w:hAnsiTheme="majorHAnsi"/>
          <w:sz w:val="20"/>
          <w:szCs w:val="20"/>
          <w:lang w:val="es-ES"/>
        </w:rPr>
        <w:t>tratos,</w:t>
      </w:r>
      <w:r w:rsidR="009B7964" w:rsidRPr="00823D62">
        <w:rPr>
          <w:rFonts w:asciiTheme="majorHAnsi" w:hAnsiTheme="majorHAnsi"/>
          <w:sz w:val="20"/>
          <w:szCs w:val="20"/>
          <w:lang w:val="es-ES"/>
        </w:rPr>
        <w:t xml:space="preserve"> </w:t>
      </w:r>
      <w:r w:rsidR="00CD7B1B" w:rsidRPr="00823D62">
        <w:rPr>
          <w:rFonts w:asciiTheme="majorHAnsi" w:hAnsiTheme="majorHAnsi"/>
          <w:sz w:val="20"/>
          <w:szCs w:val="20"/>
          <w:lang w:val="es-ES"/>
        </w:rPr>
        <w:t>y</w:t>
      </w:r>
      <w:r w:rsidR="009B7964" w:rsidRPr="00823D62">
        <w:rPr>
          <w:rFonts w:asciiTheme="majorHAnsi" w:hAnsiTheme="majorHAnsi"/>
          <w:sz w:val="20"/>
          <w:szCs w:val="20"/>
          <w:lang w:val="es-ES"/>
        </w:rPr>
        <w:t xml:space="preserve"> al mismo tiempo presente pruebas en las que declara ante el juez competente lo contrario.</w:t>
      </w:r>
    </w:p>
    <w:p w14:paraId="26970EBE" w14:textId="4E391415" w:rsidR="009B7964" w:rsidRPr="00823D62" w:rsidRDefault="00EF6D66"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Respecto</w:t>
      </w:r>
      <w:r w:rsidR="009B7964" w:rsidRPr="00823D62">
        <w:rPr>
          <w:rFonts w:asciiTheme="majorHAnsi" w:hAnsiTheme="majorHAnsi"/>
          <w:sz w:val="20"/>
          <w:szCs w:val="20"/>
          <w:lang w:val="es-ES"/>
        </w:rPr>
        <w:t xml:space="preserve"> de la </w:t>
      </w:r>
      <w:r w:rsidRPr="00823D62">
        <w:rPr>
          <w:rFonts w:asciiTheme="majorHAnsi" w:hAnsiTheme="majorHAnsi"/>
          <w:sz w:val="20"/>
          <w:szCs w:val="20"/>
          <w:lang w:val="es-ES"/>
        </w:rPr>
        <w:t xml:space="preserve">alegada </w:t>
      </w:r>
      <w:r w:rsidR="009B7964" w:rsidRPr="00823D62">
        <w:rPr>
          <w:rFonts w:asciiTheme="majorHAnsi" w:hAnsiTheme="majorHAnsi"/>
          <w:sz w:val="20"/>
          <w:szCs w:val="20"/>
          <w:lang w:val="es-ES"/>
        </w:rPr>
        <w:t xml:space="preserve">violación al derecho a la libertad personal </w:t>
      </w:r>
      <w:r w:rsidRPr="00823D62">
        <w:rPr>
          <w:rFonts w:asciiTheme="majorHAnsi" w:hAnsiTheme="majorHAnsi"/>
          <w:sz w:val="20"/>
          <w:szCs w:val="20"/>
          <w:lang w:val="es-ES"/>
        </w:rPr>
        <w:t xml:space="preserve">sostiene que </w:t>
      </w:r>
      <w:r w:rsidR="009B7964" w:rsidRPr="00823D62">
        <w:rPr>
          <w:rFonts w:asciiTheme="majorHAnsi" w:hAnsiTheme="majorHAnsi"/>
          <w:sz w:val="20"/>
          <w:szCs w:val="20"/>
          <w:lang w:val="es-ES"/>
        </w:rPr>
        <w:t xml:space="preserve">el peticionario no acreditó haber agotado los recursos judiciales disponibles, de modo que el </w:t>
      </w:r>
      <w:r w:rsidRPr="00823D62">
        <w:rPr>
          <w:rFonts w:asciiTheme="majorHAnsi" w:hAnsiTheme="majorHAnsi"/>
          <w:sz w:val="20"/>
          <w:szCs w:val="20"/>
          <w:lang w:val="es-ES"/>
        </w:rPr>
        <w:t>Sr. Gómez</w:t>
      </w:r>
      <w:r w:rsidR="009B7964" w:rsidRPr="00823D62">
        <w:rPr>
          <w:rFonts w:asciiTheme="majorHAnsi" w:hAnsiTheme="majorHAnsi"/>
          <w:sz w:val="20"/>
          <w:szCs w:val="20"/>
          <w:lang w:val="es-ES"/>
        </w:rPr>
        <w:t xml:space="preserve"> solicitó la audiencia de revisión de medidas de coerción solo cinco días antes de ser presentada su denuncia ante la CIDH. Lo anterior </w:t>
      </w:r>
      <w:r w:rsidRPr="00823D62">
        <w:rPr>
          <w:rFonts w:asciiTheme="majorHAnsi" w:hAnsiTheme="majorHAnsi"/>
          <w:sz w:val="20"/>
          <w:szCs w:val="20"/>
          <w:lang w:val="es-ES"/>
        </w:rPr>
        <w:t xml:space="preserve">a su juicio </w:t>
      </w:r>
      <w:r w:rsidR="009B7964" w:rsidRPr="00823D62">
        <w:rPr>
          <w:rFonts w:asciiTheme="majorHAnsi" w:hAnsiTheme="majorHAnsi"/>
          <w:sz w:val="20"/>
          <w:szCs w:val="20"/>
          <w:lang w:val="es-ES"/>
        </w:rPr>
        <w:t xml:space="preserve">demuestra que las circunstancias originales de la medida no variaron y que lo resuelto por el juez contralor estuvo respaldado por razones objetivas y justificadas. </w:t>
      </w:r>
      <w:r w:rsidRPr="00823D62">
        <w:rPr>
          <w:rFonts w:asciiTheme="majorHAnsi" w:hAnsiTheme="majorHAnsi"/>
          <w:sz w:val="20"/>
          <w:szCs w:val="20"/>
          <w:lang w:val="es-ES"/>
        </w:rPr>
        <w:t>En igual medida cuestiona el que</w:t>
      </w:r>
      <w:r w:rsidR="009B7964" w:rsidRPr="00823D62">
        <w:rPr>
          <w:rFonts w:asciiTheme="majorHAnsi" w:hAnsiTheme="majorHAnsi"/>
          <w:sz w:val="20"/>
          <w:szCs w:val="20"/>
          <w:lang w:val="es-ES"/>
        </w:rPr>
        <w:t xml:space="preserve"> el peticionario </w:t>
      </w:r>
      <w:r w:rsidRPr="00823D62">
        <w:rPr>
          <w:rFonts w:asciiTheme="majorHAnsi" w:hAnsiTheme="majorHAnsi"/>
          <w:sz w:val="20"/>
          <w:szCs w:val="20"/>
          <w:lang w:val="es-ES"/>
        </w:rPr>
        <w:t xml:space="preserve">no haya </w:t>
      </w:r>
      <w:r w:rsidR="009B7964" w:rsidRPr="00823D62">
        <w:rPr>
          <w:rFonts w:asciiTheme="majorHAnsi" w:hAnsiTheme="majorHAnsi"/>
          <w:sz w:val="20"/>
          <w:szCs w:val="20"/>
          <w:lang w:val="es-ES"/>
        </w:rPr>
        <w:t>recurri</w:t>
      </w:r>
      <w:r w:rsidRPr="00823D62">
        <w:rPr>
          <w:rFonts w:asciiTheme="majorHAnsi" w:hAnsiTheme="majorHAnsi"/>
          <w:sz w:val="20"/>
          <w:szCs w:val="20"/>
          <w:lang w:val="es-ES"/>
        </w:rPr>
        <w:t>do</w:t>
      </w:r>
      <w:r w:rsidR="009B7964" w:rsidRPr="00823D62">
        <w:rPr>
          <w:rFonts w:asciiTheme="majorHAnsi" w:hAnsiTheme="majorHAnsi"/>
          <w:sz w:val="20"/>
          <w:szCs w:val="20"/>
          <w:lang w:val="es-ES"/>
        </w:rPr>
        <w:t xml:space="preserve"> a la vía constitucional </w:t>
      </w:r>
      <w:r w:rsidRPr="00823D62">
        <w:rPr>
          <w:rFonts w:asciiTheme="majorHAnsi" w:hAnsiTheme="majorHAnsi"/>
          <w:sz w:val="20"/>
          <w:szCs w:val="20"/>
          <w:lang w:val="es-ES"/>
        </w:rPr>
        <w:t>para</w:t>
      </w:r>
      <w:r w:rsidR="009B7964" w:rsidRPr="00823D62">
        <w:rPr>
          <w:rFonts w:asciiTheme="majorHAnsi" w:hAnsiTheme="majorHAnsi"/>
          <w:sz w:val="20"/>
          <w:szCs w:val="20"/>
          <w:lang w:val="es-ES"/>
        </w:rPr>
        <w:t xml:space="preserve"> interp</w:t>
      </w:r>
      <w:r w:rsidRPr="00823D62">
        <w:rPr>
          <w:rFonts w:asciiTheme="majorHAnsi" w:hAnsiTheme="majorHAnsi"/>
          <w:sz w:val="20"/>
          <w:szCs w:val="20"/>
          <w:lang w:val="es-ES"/>
        </w:rPr>
        <w:t>oner</w:t>
      </w:r>
      <w:r w:rsidR="009B7964" w:rsidRPr="00823D62">
        <w:rPr>
          <w:rFonts w:asciiTheme="majorHAnsi" w:hAnsiTheme="majorHAnsi"/>
          <w:sz w:val="20"/>
          <w:szCs w:val="20"/>
          <w:lang w:val="es-ES"/>
        </w:rPr>
        <w:t xml:space="preserve"> un amparo.</w:t>
      </w:r>
    </w:p>
    <w:p w14:paraId="1A8F7E08" w14:textId="6A35E84E" w:rsidR="009B7964" w:rsidRPr="00823D62" w:rsidRDefault="00EF6D66"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Respecto</w:t>
      </w:r>
      <w:r w:rsidR="00CD7E3E" w:rsidRPr="00823D62">
        <w:rPr>
          <w:rFonts w:asciiTheme="majorHAnsi" w:hAnsiTheme="majorHAnsi"/>
          <w:sz w:val="20"/>
          <w:szCs w:val="20"/>
          <w:lang w:val="es-ES"/>
        </w:rPr>
        <w:t xml:space="preserve"> de la </w:t>
      </w:r>
      <w:r w:rsidRPr="00823D62">
        <w:rPr>
          <w:rFonts w:asciiTheme="majorHAnsi" w:hAnsiTheme="majorHAnsi"/>
          <w:sz w:val="20"/>
          <w:szCs w:val="20"/>
          <w:lang w:val="es-ES"/>
        </w:rPr>
        <w:t xml:space="preserve">presunta </w:t>
      </w:r>
      <w:r w:rsidR="00CD7E3E" w:rsidRPr="00823D62">
        <w:rPr>
          <w:rFonts w:asciiTheme="majorHAnsi" w:hAnsiTheme="majorHAnsi"/>
          <w:sz w:val="20"/>
          <w:szCs w:val="20"/>
          <w:lang w:val="es-ES"/>
        </w:rPr>
        <w:t>vulneración del derecho a la presunción de inocencia</w:t>
      </w:r>
      <w:r w:rsidRPr="00823D62">
        <w:rPr>
          <w:rFonts w:asciiTheme="majorHAnsi" w:hAnsiTheme="majorHAnsi"/>
          <w:sz w:val="20"/>
          <w:szCs w:val="20"/>
          <w:lang w:val="es-ES"/>
        </w:rPr>
        <w:t>, señala que</w:t>
      </w:r>
      <w:r w:rsidR="00CD7E3E" w:rsidRPr="00823D62">
        <w:rPr>
          <w:rFonts w:asciiTheme="majorHAnsi" w:hAnsiTheme="majorHAnsi"/>
          <w:sz w:val="20"/>
          <w:szCs w:val="20"/>
          <w:lang w:val="es-ES"/>
        </w:rPr>
        <w:t xml:space="preserve"> en la conferencia de prensa ante las autoridades del </w:t>
      </w:r>
      <w:r w:rsidRPr="00823D62">
        <w:rPr>
          <w:rFonts w:asciiTheme="majorHAnsi" w:hAnsiTheme="majorHAnsi"/>
          <w:sz w:val="20"/>
          <w:szCs w:val="20"/>
          <w:lang w:val="es-ES"/>
        </w:rPr>
        <w:t xml:space="preserve">Ministerio Público </w:t>
      </w:r>
      <w:r w:rsidR="00CD7E3E" w:rsidRPr="00823D62">
        <w:rPr>
          <w:rFonts w:asciiTheme="majorHAnsi" w:hAnsiTheme="majorHAnsi"/>
          <w:sz w:val="20"/>
          <w:szCs w:val="20"/>
          <w:lang w:val="es-ES"/>
        </w:rPr>
        <w:t xml:space="preserve">y la </w:t>
      </w:r>
      <w:r w:rsidRPr="00823D62">
        <w:rPr>
          <w:rFonts w:asciiTheme="majorHAnsi" w:hAnsiTheme="majorHAnsi"/>
          <w:sz w:val="20"/>
          <w:szCs w:val="20"/>
          <w:lang w:val="es-ES"/>
        </w:rPr>
        <w:t xml:space="preserve">Comisión Internacional Contra la Impunidad en </w:t>
      </w:r>
      <w:r w:rsidR="00CD7E3E" w:rsidRPr="00823D62">
        <w:rPr>
          <w:rFonts w:asciiTheme="majorHAnsi" w:hAnsiTheme="majorHAnsi"/>
          <w:sz w:val="20"/>
          <w:szCs w:val="20"/>
          <w:lang w:val="es-ES"/>
        </w:rPr>
        <w:t xml:space="preserve">Guatemala (CICIG) no se hizo una declaración en la que </w:t>
      </w:r>
      <w:r w:rsidRPr="00823D62">
        <w:rPr>
          <w:rFonts w:asciiTheme="majorHAnsi" w:hAnsiTheme="majorHAnsi"/>
          <w:sz w:val="20"/>
          <w:szCs w:val="20"/>
          <w:lang w:val="es-ES"/>
        </w:rPr>
        <w:t xml:space="preserve">se afirmara que </w:t>
      </w:r>
      <w:r w:rsidR="00CD7E3E" w:rsidRPr="00823D62">
        <w:rPr>
          <w:rFonts w:asciiTheme="majorHAnsi" w:hAnsiTheme="majorHAnsi"/>
          <w:sz w:val="20"/>
          <w:szCs w:val="20"/>
          <w:lang w:val="es-ES"/>
        </w:rPr>
        <w:t xml:space="preserve">la presunta víctima </w:t>
      </w:r>
      <w:r w:rsidRPr="00823D62">
        <w:rPr>
          <w:rFonts w:asciiTheme="majorHAnsi" w:hAnsiTheme="majorHAnsi"/>
          <w:sz w:val="20"/>
          <w:szCs w:val="20"/>
          <w:lang w:val="es-ES"/>
        </w:rPr>
        <w:t xml:space="preserve">fuera </w:t>
      </w:r>
      <w:r w:rsidR="00CD7E3E" w:rsidRPr="00823D62">
        <w:rPr>
          <w:rFonts w:asciiTheme="majorHAnsi" w:hAnsiTheme="majorHAnsi"/>
          <w:sz w:val="20"/>
          <w:szCs w:val="20"/>
          <w:lang w:val="es-ES"/>
        </w:rPr>
        <w:t xml:space="preserve">culpable, además en el desarrollo del proceso penal los órganos jurisdiccionales le garantizaron su tratamiento como inocente y </w:t>
      </w:r>
      <w:r w:rsidRPr="00823D62">
        <w:rPr>
          <w:rFonts w:asciiTheme="majorHAnsi" w:hAnsiTheme="majorHAnsi"/>
          <w:sz w:val="20"/>
          <w:szCs w:val="20"/>
          <w:lang w:val="es-ES"/>
        </w:rPr>
        <w:t>el</w:t>
      </w:r>
      <w:r w:rsidR="00CD7E3E" w:rsidRPr="00823D62">
        <w:rPr>
          <w:rFonts w:asciiTheme="majorHAnsi" w:hAnsiTheme="majorHAnsi"/>
          <w:sz w:val="20"/>
          <w:szCs w:val="20"/>
          <w:lang w:val="es-ES"/>
        </w:rPr>
        <w:t xml:space="preserve"> ejercicio de su derecho a la defensa. El </w:t>
      </w:r>
      <w:r w:rsidR="00693CBF" w:rsidRPr="00823D62">
        <w:rPr>
          <w:rFonts w:asciiTheme="majorHAnsi" w:hAnsiTheme="majorHAnsi"/>
          <w:sz w:val="20"/>
          <w:szCs w:val="20"/>
          <w:lang w:val="es-ES"/>
        </w:rPr>
        <w:t>E</w:t>
      </w:r>
      <w:r w:rsidR="00CD7E3E" w:rsidRPr="00823D62">
        <w:rPr>
          <w:rFonts w:asciiTheme="majorHAnsi" w:hAnsiTheme="majorHAnsi"/>
          <w:sz w:val="20"/>
          <w:szCs w:val="20"/>
          <w:lang w:val="es-ES"/>
        </w:rPr>
        <w:t xml:space="preserve">stado limitó la libertad del peticionario al dictar la </w:t>
      </w:r>
      <w:r w:rsidR="00CD7E3E" w:rsidRPr="00823D62">
        <w:rPr>
          <w:rFonts w:asciiTheme="majorHAnsi" w:hAnsiTheme="majorHAnsi"/>
          <w:sz w:val="20"/>
          <w:szCs w:val="20"/>
          <w:lang w:val="es-ES"/>
        </w:rPr>
        <w:lastRenderedPageBreak/>
        <w:t xml:space="preserve">medida de prisión preventiva bajo criterios de legalidad, necesidad y proporcionalidad de acuerdo a los estándares internacionales previstos en el Sistema Interamericano de Derechos Humanos. </w:t>
      </w:r>
    </w:p>
    <w:p w14:paraId="6F4D4171" w14:textId="61F41104" w:rsidR="003239B8" w:rsidRPr="00823D62" w:rsidRDefault="003239B8" w:rsidP="00823D62">
      <w:pPr>
        <w:spacing w:before="240" w:after="240"/>
        <w:ind w:firstLine="720"/>
        <w:jc w:val="both"/>
        <w:rPr>
          <w:rFonts w:asciiTheme="majorHAnsi" w:hAnsiTheme="majorHAnsi"/>
          <w:sz w:val="20"/>
          <w:szCs w:val="20"/>
          <w:lang w:val="es-ES"/>
        </w:rPr>
      </w:pPr>
      <w:r w:rsidRPr="00823D62">
        <w:rPr>
          <w:rFonts w:asciiTheme="majorHAnsi" w:eastAsia="Cambria" w:hAnsiTheme="majorHAnsi" w:cs="Cambria"/>
          <w:b/>
          <w:bCs/>
          <w:color w:val="000000"/>
          <w:sz w:val="20"/>
          <w:szCs w:val="20"/>
          <w:u w:color="000000"/>
          <w:lang w:val="es-ES" w:eastAsia="es-ES"/>
        </w:rPr>
        <w:t>VI.</w:t>
      </w:r>
      <w:r w:rsidRPr="00823D62">
        <w:rPr>
          <w:rFonts w:asciiTheme="majorHAnsi" w:eastAsia="Cambria" w:hAnsiTheme="majorHAnsi" w:cs="Cambria"/>
          <w:b/>
          <w:bCs/>
          <w:color w:val="000000"/>
          <w:sz w:val="20"/>
          <w:szCs w:val="20"/>
          <w:u w:color="000000"/>
          <w:lang w:val="es-ES" w:eastAsia="es-ES"/>
        </w:rPr>
        <w:tab/>
      </w:r>
      <w:r w:rsidR="004A6A54" w:rsidRPr="00823D62">
        <w:rPr>
          <w:rFonts w:asciiTheme="majorHAnsi" w:hAnsiTheme="majorHAnsi"/>
          <w:b/>
          <w:bCs/>
          <w:sz w:val="20"/>
          <w:szCs w:val="20"/>
          <w:lang w:val="es-ES"/>
        </w:rPr>
        <w:t xml:space="preserve">ANÁLISIS DE </w:t>
      </w:r>
      <w:r w:rsidR="00C21FEF" w:rsidRPr="00823D62">
        <w:rPr>
          <w:rFonts w:asciiTheme="majorHAnsi" w:hAnsiTheme="majorHAnsi"/>
          <w:b/>
          <w:sz w:val="20"/>
          <w:szCs w:val="20"/>
          <w:lang w:val="es-ES"/>
        </w:rPr>
        <w:t>AGOTAMIENTO DE LOS RECURSOS INTERNOS Y PLAZO DE PRESENTACIÓN</w:t>
      </w:r>
      <w:r w:rsidR="00C21FEF" w:rsidRPr="00823D62">
        <w:rPr>
          <w:rFonts w:asciiTheme="majorHAnsi" w:eastAsia="Cambria" w:hAnsiTheme="majorHAnsi" w:cs="Cambria"/>
          <w:b/>
          <w:bCs/>
          <w:color w:val="000000"/>
          <w:sz w:val="20"/>
          <w:szCs w:val="20"/>
          <w:u w:color="000000"/>
          <w:lang w:val="es-ES" w:eastAsia="es-ES"/>
        </w:rPr>
        <w:t xml:space="preserve"> </w:t>
      </w:r>
    </w:p>
    <w:p w14:paraId="4D798035" w14:textId="2C4EA81F" w:rsidR="00501931" w:rsidRPr="00823D62" w:rsidRDefault="00154A71"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El Estado alega la falta de agotamiento de los recursos internos desde dos aspectos</w:t>
      </w:r>
      <w:r w:rsidR="00C7244B" w:rsidRPr="00823D62">
        <w:rPr>
          <w:rFonts w:asciiTheme="majorHAnsi" w:hAnsiTheme="majorHAnsi"/>
          <w:sz w:val="20"/>
          <w:szCs w:val="20"/>
          <w:lang w:val="es-ES"/>
        </w:rPr>
        <w:t>:</w:t>
      </w:r>
      <w:r w:rsidRPr="00823D62">
        <w:rPr>
          <w:rFonts w:asciiTheme="majorHAnsi" w:hAnsiTheme="majorHAnsi"/>
          <w:sz w:val="20"/>
          <w:szCs w:val="20"/>
          <w:lang w:val="es-ES"/>
        </w:rPr>
        <w:t xml:space="preserve"> (i) dentro del proceso penal seguido contra el peticionario</w:t>
      </w:r>
      <w:r w:rsidR="00424B01" w:rsidRPr="00823D62">
        <w:rPr>
          <w:rFonts w:asciiTheme="majorHAnsi" w:hAnsiTheme="majorHAnsi"/>
          <w:sz w:val="20"/>
          <w:szCs w:val="20"/>
          <w:lang w:val="es-ES"/>
        </w:rPr>
        <w:t>;</w:t>
      </w:r>
      <w:r w:rsidRPr="00823D62">
        <w:rPr>
          <w:rFonts w:asciiTheme="majorHAnsi" w:hAnsiTheme="majorHAnsi"/>
          <w:sz w:val="20"/>
          <w:szCs w:val="20"/>
          <w:lang w:val="es-ES"/>
        </w:rPr>
        <w:t xml:space="preserve"> y (ii) </w:t>
      </w:r>
      <w:r w:rsidR="00B07A14" w:rsidRPr="00823D62">
        <w:rPr>
          <w:rFonts w:asciiTheme="majorHAnsi" w:hAnsiTheme="majorHAnsi"/>
          <w:sz w:val="20"/>
          <w:szCs w:val="20"/>
          <w:lang w:val="es-ES"/>
        </w:rPr>
        <w:t>desde la</w:t>
      </w:r>
      <w:r w:rsidR="003B3CD6" w:rsidRPr="00823D62">
        <w:rPr>
          <w:rFonts w:asciiTheme="majorHAnsi" w:hAnsiTheme="majorHAnsi"/>
          <w:sz w:val="20"/>
          <w:szCs w:val="20"/>
          <w:lang w:val="es-ES"/>
        </w:rPr>
        <w:t>s</w:t>
      </w:r>
      <w:r w:rsidR="00B07A14" w:rsidRPr="00823D62">
        <w:rPr>
          <w:rFonts w:asciiTheme="majorHAnsi" w:hAnsiTheme="majorHAnsi"/>
          <w:sz w:val="20"/>
          <w:szCs w:val="20"/>
          <w:lang w:val="es-ES"/>
        </w:rPr>
        <w:t xml:space="preserve"> </w:t>
      </w:r>
      <w:r w:rsidRPr="00823D62">
        <w:rPr>
          <w:rFonts w:asciiTheme="majorHAnsi" w:hAnsiTheme="majorHAnsi"/>
          <w:sz w:val="20"/>
          <w:szCs w:val="20"/>
          <w:lang w:val="es-ES"/>
        </w:rPr>
        <w:t>denuncia</w:t>
      </w:r>
      <w:r w:rsidR="003B3CD6" w:rsidRPr="00823D62">
        <w:rPr>
          <w:rFonts w:asciiTheme="majorHAnsi" w:hAnsiTheme="majorHAnsi"/>
          <w:sz w:val="20"/>
          <w:szCs w:val="20"/>
          <w:lang w:val="es-ES"/>
        </w:rPr>
        <w:t>s</w:t>
      </w:r>
      <w:r w:rsidRPr="00823D62">
        <w:rPr>
          <w:rFonts w:asciiTheme="majorHAnsi" w:hAnsiTheme="majorHAnsi"/>
          <w:sz w:val="20"/>
          <w:szCs w:val="20"/>
          <w:lang w:val="es-ES"/>
        </w:rPr>
        <w:t xml:space="preserve"> de tortura</w:t>
      </w:r>
      <w:r w:rsidR="00B07A14" w:rsidRPr="00823D62">
        <w:rPr>
          <w:rFonts w:asciiTheme="majorHAnsi" w:hAnsiTheme="majorHAnsi"/>
          <w:sz w:val="20"/>
          <w:szCs w:val="20"/>
          <w:lang w:val="es-ES"/>
        </w:rPr>
        <w:t xml:space="preserve"> </w:t>
      </w:r>
      <w:r w:rsidR="00F917AC" w:rsidRPr="00823D62">
        <w:rPr>
          <w:rFonts w:asciiTheme="majorHAnsi" w:hAnsiTheme="majorHAnsi"/>
          <w:sz w:val="20"/>
          <w:szCs w:val="20"/>
          <w:lang w:val="es-ES"/>
        </w:rPr>
        <w:t>presentada</w:t>
      </w:r>
      <w:r w:rsidR="003B3CD6" w:rsidRPr="00823D62">
        <w:rPr>
          <w:rFonts w:asciiTheme="majorHAnsi" w:hAnsiTheme="majorHAnsi"/>
          <w:sz w:val="20"/>
          <w:szCs w:val="20"/>
          <w:lang w:val="es-ES"/>
        </w:rPr>
        <w:t>s</w:t>
      </w:r>
      <w:r w:rsidR="00F917AC" w:rsidRPr="00823D62">
        <w:rPr>
          <w:rFonts w:asciiTheme="majorHAnsi" w:hAnsiTheme="majorHAnsi"/>
          <w:sz w:val="20"/>
          <w:szCs w:val="20"/>
          <w:lang w:val="es-ES"/>
        </w:rPr>
        <w:t xml:space="preserve"> por la presunta víctima</w:t>
      </w:r>
      <w:r w:rsidR="001B6076" w:rsidRPr="00823D62">
        <w:rPr>
          <w:rFonts w:asciiTheme="majorHAnsi" w:hAnsiTheme="majorHAnsi"/>
          <w:sz w:val="20"/>
          <w:szCs w:val="20"/>
          <w:lang w:val="es-ES"/>
        </w:rPr>
        <w:t xml:space="preserve"> mientras </w:t>
      </w:r>
      <w:r w:rsidR="005F1986" w:rsidRPr="00823D62">
        <w:rPr>
          <w:rFonts w:asciiTheme="majorHAnsi" w:hAnsiTheme="majorHAnsi"/>
          <w:sz w:val="20"/>
          <w:szCs w:val="20"/>
          <w:lang w:val="es-ES"/>
        </w:rPr>
        <w:t>durante su</w:t>
      </w:r>
      <w:r w:rsidR="001B6076" w:rsidRPr="00823D62">
        <w:rPr>
          <w:rFonts w:asciiTheme="majorHAnsi" w:hAnsiTheme="majorHAnsi"/>
          <w:sz w:val="20"/>
          <w:szCs w:val="20"/>
          <w:lang w:val="es-ES"/>
        </w:rPr>
        <w:t xml:space="preserve"> </w:t>
      </w:r>
      <w:r w:rsidR="004D71E0" w:rsidRPr="00823D62">
        <w:rPr>
          <w:rFonts w:asciiTheme="majorHAnsi" w:hAnsiTheme="majorHAnsi"/>
          <w:sz w:val="20"/>
          <w:szCs w:val="20"/>
          <w:lang w:val="es-ES"/>
        </w:rPr>
        <w:t>deten</w:t>
      </w:r>
      <w:r w:rsidR="005F1986" w:rsidRPr="00823D62">
        <w:rPr>
          <w:rFonts w:asciiTheme="majorHAnsi" w:hAnsiTheme="majorHAnsi"/>
          <w:sz w:val="20"/>
          <w:szCs w:val="20"/>
          <w:lang w:val="es-ES"/>
        </w:rPr>
        <w:t>ción</w:t>
      </w:r>
      <w:r w:rsidR="004D71E0" w:rsidRPr="00823D62">
        <w:rPr>
          <w:rFonts w:asciiTheme="majorHAnsi" w:hAnsiTheme="majorHAnsi"/>
          <w:sz w:val="20"/>
          <w:szCs w:val="20"/>
          <w:lang w:val="es-ES"/>
        </w:rPr>
        <w:t>.</w:t>
      </w:r>
    </w:p>
    <w:p w14:paraId="39DC86FA" w14:textId="6145EB4D" w:rsidR="005F1986" w:rsidRPr="00823D62" w:rsidRDefault="004168E7"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Respecto del primer punto, indica que no fue sino hasta el 8 de noviembre de 2017, cinco días antes de que la Comisión tuviera por recibida la petición, que el Sr. Gómez solicitó la revisión de la prisión preventiva. En igual sentido el peticionario fue condenado el 14 de octubre de 2020 por los delitos de asociación ilícita y cohecho activo contra el cual se presentó el recurso de apelación especial, el cual está pendiente de resolución. Guatemala considera </w:t>
      </w:r>
      <w:r w:rsidR="009161E0" w:rsidRPr="00823D62">
        <w:rPr>
          <w:rFonts w:asciiTheme="majorHAnsi" w:hAnsiTheme="majorHAnsi"/>
          <w:sz w:val="20"/>
          <w:szCs w:val="20"/>
          <w:lang w:val="es-ES"/>
        </w:rPr>
        <w:t>que,</w:t>
      </w:r>
      <w:r w:rsidRPr="00823D62">
        <w:rPr>
          <w:rFonts w:asciiTheme="majorHAnsi" w:hAnsiTheme="majorHAnsi"/>
          <w:sz w:val="20"/>
          <w:szCs w:val="20"/>
          <w:lang w:val="es-ES"/>
        </w:rPr>
        <w:t xml:space="preserve"> si la presunta víctima no está de acuerdo con la decisión, puede interponer recurso de casación, revisión y en última instancia la acción de amparo. </w:t>
      </w:r>
    </w:p>
    <w:p w14:paraId="59FCCF70" w14:textId="1882DBF6" w:rsidR="004168E7" w:rsidRPr="00823D62" w:rsidRDefault="004168E7"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En cuanto al segundo punto, el Estado sostiene que ante la denuncia en la Oficina Nacional de Prevención de la Tortura y otros Tratos o Penas Crueles, Inhumanos o Degradantes (OPT) estimó necesario presentar denuncia ante el Ministerio Público el 18 de septiembre de 2019, asignándole el número de expediente MP001-2019-81050, </w:t>
      </w:r>
      <w:r w:rsidR="005F1986" w:rsidRPr="00823D62">
        <w:rPr>
          <w:rFonts w:asciiTheme="majorHAnsi" w:hAnsiTheme="majorHAnsi"/>
          <w:sz w:val="20"/>
          <w:szCs w:val="20"/>
          <w:lang w:val="es-ES"/>
        </w:rPr>
        <w:t xml:space="preserve">sin embargo </w:t>
      </w:r>
      <w:r w:rsidRPr="00823D62">
        <w:rPr>
          <w:rFonts w:asciiTheme="majorHAnsi" w:hAnsiTheme="majorHAnsi"/>
          <w:sz w:val="20"/>
          <w:szCs w:val="20"/>
          <w:lang w:val="es-ES"/>
        </w:rPr>
        <w:t>fue desestimada el 28 de febrero de 2020 ante solicitud realizada por la Fiscalía de Sección de Delitos Administrativos, argumentando la falta de colaboración del peticionario.</w:t>
      </w:r>
      <w:r w:rsidR="005F1986" w:rsidRPr="00823D62">
        <w:rPr>
          <w:rFonts w:asciiTheme="majorHAnsi" w:hAnsiTheme="majorHAnsi"/>
          <w:sz w:val="20"/>
          <w:szCs w:val="20"/>
          <w:lang w:val="es-ES"/>
        </w:rPr>
        <w:t xml:space="preserve"> </w:t>
      </w:r>
      <w:r w:rsidRPr="00823D62">
        <w:rPr>
          <w:rFonts w:asciiTheme="majorHAnsi" w:hAnsiTheme="majorHAnsi"/>
          <w:sz w:val="20"/>
          <w:szCs w:val="20"/>
          <w:lang w:val="es-ES"/>
        </w:rPr>
        <w:t>En conclusión, el Estado sostiene que</w:t>
      </w:r>
      <w:r w:rsidR="005F1986" w:rsidRPr="00823D62">
        <w:rPr>
          <w:rFonts w:asciiTheme="majorHAnsi" w:hAnsiTheme="majorHAnsi"/>
          <w:sz w:val="20"/>
          <w:szCs w:val="20"/>
          <w:lang w:val="es-ES"/>
        </w:rPr>
        <w:t xml:space="preserve"> el proceso penal principal aún se encuesta pendiente de una decisión final; mientras </w:t>
      </w:r>
      <w:r w:rsidR="0062325D" w:rsidRPr="00823D62">
        <w:rPr>
          <w:rFonts w:asciiTheme="majorHAnsi" w:hAnsiTheme="majorHAnsi"/>
          <w:sz w:val="20"/>
          <w:szCs w:val="20"/>
          <w:lang w:val="es-ES"/>
        </w:rPr>
        <w:t>que,</w:t>
      </w:r>
      <w:r w:rsidR="005F1986" w:rsidRPr="00823D62">
        <w:rPr>
          <w:rFonts w:asciiTheme="majorHAnsi" w:hAnsiTheme="majorHAnsi"/>
          <w:sz w:val="20"/>
          <w:szCs w:val="20"/>
          <w:lang w:val="es-ES"/>
        </w:rPr>
        <w:t xml:space="preserve"> respecto de la denuncia por actos de tortura, la investigación ya fue realizada.</w:t>
      </w:r>
    </w:p>
    <w:p w14:paraId="637B4E01" w14:textId="2FA1D151" w:rsidR="00154A71" w:rsidRPr="00823D62" w:rsidRDefault="00362E59"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Asimismo, Guatemala </w:t>
      </w:r>
      <w:r w:rsidR="00A15073" w:rsidRPr="00823D62">
        <w:rPr>
          <w:rFonts w:asciiTheme="majorHAnsi" w:hAnsiTheme="majorHAnsi"/>
          <w:sz w:val="20"/>
          <w:szCs w:val="20"/>
          <w:lang w:val="es-ES"/>
        </w:rPr>
        <w:t xml:space="preserve">alega que </w:t>
      </w:r>
      <w:r w:rsidR="00203265" w:rsidRPr="00823D62">
        <w:rPr>
          <w:rFonts w:asciiTheme="majorHAnsi" w:hAnsiTheme="majorHAnsi"/>
          <w:sz w:val="20"/>
          <w:szCs w:val="20"/>
          <w:lang w:val="es-ES"/>
        </w:rPr>
        <w:t xml:space="preserve">la petición </w:t>
      </w:r>
      <w:r w:rsidR="00606D6E" w:rsidRPr="00823D62">
        <w:rPr>
          <w:rFonts w:asciiTheme="majorHAnsi" w:hAnsiTheme="majorHAnsi"/>
          <w:sz w:val="20"/>
          <w:szCs w:val="20"/>
          <w:lang w:val="es-ES"/>
        </w:rPr>
        <w:t xml:space="preserve">fue </w:t>
      </w:r>
      <w:r w:rsidR="00203265" w:rsidRPr="00823D62">
        <w:rPr>
          <w:rFonts w:asciiTheme="majorHAnsi" w:hAnsiTheme="majorHAnsi"/>
          <w:sz w:val="20"/>
          <w:szCs w:val="20"/>
          <w:lang w:val="es-ES"/>
        </w:rPr>
        <w:t>presentada extemporáneamente</w:t>
      </w:r>
      <w:r w:rsidR="00105836" w:rsidRPr="00823D62">
        <w:rPr>
          <w:rFonts w:asciiTheme="majorHAnsi" w:hAnsiTheme="majorHAnsi"/>
          <w:sz w:val="20"/>
          <w:szCs w:val="20"/>
          <w:lang w:val="es-ES"/>
        </w:rPr>
        <w:t>,</w:t>
      </w:r>
      <w:r w:rsidR="00203265" w:rsidRPr="00823D62">
        <w:rPr>
          <w:rFonts w:asciiTheme="majorHAnsi" w:hAnsiTheme="majorHAnsi"/>
          <w:sz w:val="20"/>
          <w:szCs w:val="20"/>
          <w:lang w:val="es-ES"/>
        </w:rPr>
        <w:t xml:space="preserve"> </w:t>
      </w:r>
      <w:r w:rsidR="00154A71" w:rsidRPr="00823D62">
        <w:rPr>
          <w:rFonts w:asciiTheme="majorHAnsi" w:hAnsiTheme="majorHAnsi"/>
          <w:sz w:val="20"/>
          <w:szCs w:val="20"/>
          <w:lang w:val="es-ES"/>
        </w:rPr>
        <w:t>pues el auto de prisión</w:t>
      </w:r>
      <w:r w:rsidR="001B6076" w:rsidRPr="00823D62">
        <w:rPr>
          <w:rFonts w:asciiTheme="majorHAnsi" w:hAnsiTheme="majorHAnsi"/>
          <w:sz w:val="20"/>
          <w:szCs w:val="20"/>
          <w:lang w:val="es-ES"/>
        </w:rPr>
        <w:t xml:space="preserve"> fue </w:t>
      </w:r>
      <w:r w:rsidR="00154A71" w:rsidRPr="00823D62">
        <w:rPr>
          <w:rFonts w:asciiTheme="majorHAnsi" w:hAnsiTheme="majorHAnsi"/>
          <w:sz w:val="20"/>
          <w:szCs w:val="20"/>
          <w:lang w:val="es-ES"/>
        </w:rPr>
        <w:t xml:space="preserve">dictado el 28 de julio de 2015, y la </w:t>
      </w:r>
      <w:r w:rsidR="001B6076" w:rsidRPr="00823D62">
        <w:rPr>
          <w:rFonts w:asciiTheme="majorHAnsi" w:hAnsiTheme="majorHAnsi"/>
          <w:sz w:val="20"/>
          <w:szCs w:val="20"/>
          <w:lang w:val="es-ES"/>
        </w:rPr>
        <w:t xml:space="preserve">solicitud de </w:t>
      </w:r>
      <w:r w:rsidR="00154A71" w:rsidRPr="00823D62">
        <w:rPr>
          <w:rFonts w:asciiTheme="majorHAnsi" w:hAnsiTheme="majorHAnsi"/>
          <w:sz w:val="20"/>
          <w:szCs w:val="20"/>
          <w:lang w:val="es-ES"/>
        </w:rPr>
        <w:t>revisión de la medida de coerción</w:t>
      </w:r>
      <w:r w:rsidR="001B6076" w:rsidRPr="00823D62">
        <w:rPr>
          <w:rFonts w:asciiTheme="majorHAnsi" w:hAnsiTheme="majorHAnsi"/>
          <w:sz w:val="20"/>
          <w:szCs w:val="20"/>
          <w:lang w:val="es-ES"/>
        </w:rPr>
        <w:t xml:space="preserve"> se realizó</w:t>
      </w:r>
      <w:r w:rsidR="00154A71" w:rsidRPr="00823D62">
        <w:rPr>
          <w:rFonts w:asciiTheme="majorHAnsi" w:hAnsiTheme="majorHAnsi"/>
          <w:sz w:val="20"/>
          <w:szCs w:val="20"/>
          <w:lang w:val="es-ES"/>
        </w:rPr>
        <w:t xml:space="preserve"> el 8 de noviembre de 2017</w:t>
      </w:r>
      <w:r w:rsidR="001B6076" w:rsidRPr="00823D62">
        <w:rPr>
          <w:rFonts w:asciiTheme="majorHAnsi" w:hAnsiTheme="majorHAnsi"/>
          <w:sz w:val="20"/>
          <w:szCs w:val="20"/>
          <w:lang w:val="es-ES"/>
        </w:rPr>
        <w:t xml:space="preserve">, cinco días antes de la presentación de la petición. En este sentido considera que </w:t>
      </w:r>
      <w:r w:rsidR="00154A71" w:rsidRPr="00823D62">
        <w:rPr>
          <w:rFonts w:asciiTheme="majorHAnsi" w:hAnsiTheme="majorHAnsi"/>
          <w:sz w:val="20"/>
          <w:szCs w:val="20"/>
          <w:lang w:val="es-ES"/>
        </w:rPr>
        <w:t>el peticionario deliberadamente no utilizó los recursos legales disponibles optando por recurrir al SIDH como un tribunal de alzada.</w:t>
      </w:r>
      <w:r w:rsidR="001B6076" w:rsidRPr="00823D62">
        <w:rPr>
          <w:rFonts w:asciiTheme="majorHAnsi" w:hAnsiTheme="majorHAnsi"/>
          <w:sz w:val="20"/>
          <w:szCs w:val="20"/>
          <w:lang w:val="es-ES"/>
        </w:rPr>
        <w:t xml:space="preserve"> La Comisión recuerda que </w:t>
      </w:r>
      <w:r w:rsidR="001B6076" w:rsidRPr="00823D62">
        <w:rPr>
          <w:rFonts w:asciiTheme="majorHAnsi" w:hAnsiTheme="majorHAnsi"/>
          <w:bCs/>
          <w:sz w:val="20"/>
          <w:szCs w:val="20"/>
          <w:lang w:val="es-UY"/>
        </w:rPr>
        <w:t>e</w:t>
      </w:r>
      <w:r w:rsidR="001B6076" w:rsidRPr="00823D62">
        <w:rPr>
          <w:rFonts w:asciiTheme="majorHAnsi" w:hAnsiTheme="majorHAnsi"/>
          <w:sz w:val="20"/>
          <w:szCs w:val="20"/>
          <w:lang w:val="es-UY"/>
        </w:rPr>
        <w:t>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001B6076" w:rsidRPr="00823D62">
        <w:rPr>
          <w:rStyle w:val="FootnoteReference"/>
          <w:rFonts w:asciiTheme="majorHAnsi" w:hAnsiTheme="majorHAnsi"/>
          <w:sz w:val="20"/>
          <w:szCs w:val="20"/>
          <w:lang w:val="es-UY"/>
        </w:rPr>
        <w:footnoteReference w:id="5"/>
      </w:r>
      <w:r w:rsidR="001B6076" w:rsidRPr="00823D62">
        <w:rPr>
          <w:rFonts w:asciiTheme="majorHAnsi" w:hAnsiTheme="majorHAnsi"/>
          <w:sz w:val="20"/>
          <w:szCs w:val="20"/>
          <w:lang w:val="es-UY"/>
        </w:rPr>
        <w:t xml:space="preserve">. En este sentido, </w:t>
      </w:r>
      <w:r w:rsidR="001B6076" w:rsidRPr="00823D62">
        <w:rPr>
          <w:rFonts w:asciiTheme="majorHAnsi" w:hAnsiTheme="majorHAnsi"/>
          <w:sz w:val="20"/>
          <w:szCs w:val="20"/>
          <w:lang w:val="es-ES"/>
        </w:rPr>
        <w:t>la CIDH ha sido consistente en señalar que “</w:t>
      </w:r>
      <w:r w:rsidR="001B6076" w:rsidRPr="00823D62">
        <w:rPr>
          <w:rFonts w:asciiTheme="majorHAnsi" w:hAnsiTheme="majorHAnsi"/>
          <w:i/>
          <w:iCs/>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1B6076" w:rsidRPr="00823D62">
        <w:rPr>
          <w:rFonts w:asciiTheme="majorHAnsi" w:hAnsiTheme="majorHAnsi"/>
          <w:sz w:val="20"/>
          <w:szCs w:val="20"/>
          <w:lang w:val="es-ES"/>
        </w:rPr>
        <w:t>”</w:t>
      </w:r>
      <w:r w:rsidR="001B6076" w:rsidRPr="00823D62">
        <w:rPr>
          <w:rStyle w:val="FootnoteReference"/>
          <w:rFonts w:asciiTheme="majorHAnsi" w:hAnsiTheme="majorHAnsi"/>
          <w:sz w:val="20"/>
          <w:szCs w:val="20"/>
          <w:lang w:val="es-MX"/>
        </w:rPr>
        <w:footnoteReference w:id="6"/>
      </w:r>
      <w:r w:rsidR="001B6076" w:rsidRPr="00823D62">
        <w:rPr>
          <w:rFonts w:asciiTheme="majorHAnsi" w:hAnsiTheme="majorHAnsi"/>
          <w:sz w:val="20"/>
          <w:szCs w:val="20"/>
          <w:lang w:val="es-ES"/>
        </w:rPr>
        <w:t>.</w:t>
      </w:r>
    </w:p>
    <w:p w14:paraId="61B50984" w14:textId="2D9989C6" w:rsidR="00154A71" w:rsidRPr="00823D62" w:rsidRDefault="00154A71" w:rsidP="00823D62">
      <w:pPr>
        <w:pStyle w:val="ListParagraph"/>
        <w:numPr>
          <w:ilvl w:val="0"/>
          <w:numId w:val="103"/>
        </w:numPr>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Por su parte el peticionario indica que se presenta una excepción al agotamiento de los recursos internos ante la existencia de un retardo injustificado en emitir una decisión final </w:t>
      </w:r>
      <w:r w:rsidR="003A1925" w:rsidRPr="00823D62">
        <w:rPr>
          <w:rFonts w:asciiTheme="majorHAnsi" w:hAnsiTheme="majorHAnsi"/>
          <w:sz w:val="20"/>
          <w:szCs w:val="20"/>
          <w:lang w:val="es-ES"/>
        </w:rPr>
        <w:t>dentro del proceso penal</w:t>
      </w:r>
      <w:r w:rsidR="004D71E0" w:rsidRPr="00823D62">
        <w:rPr>
          <w:rFonts w:asciiTheme="majorHAnsi" w:hAnsiTheme="majorHAnsi"/>
          <w:sz w:val="20"/>
          <w:szCs w:val="20"/>
          <w:lang w:val="es-ES"/>
        </w:rPr>
        <w:t xml:space="preserve"> principal</w:t>
      </w:r>
      <w:r w:rsidR="003A1925" w:rsidRPr="00823D62">
        <w:rPr>
          <w:rFonts w:asciiTheme="majorHAnsi" w:hAnsiTheme="majorHAnsi"/>
          <w:sz w:val="20"/>
          <w:szCs w:val="20"/>
          <w:lang w:val="es-ES"/>
        </w:rPr>
        <w:t>.</w:t>
      </w:r>
    </w:p>
    <w:p w14:paraId="07500DD9" w14:textId="61C3F1EE" w:rsidR="000356B3" w:rsidRPr="00823D62" w:rsidRDefault="003323CC" w:rsidP="00823D62">
      <w:pPr>
        <w:pStyle w:val="ListParagraph"/>
        <w:numPr>
          <w:ilvl w:val="0"/>
          <w:numId w:val="103"/>
        </w:numPr>
        <w:spacing w:before="240" w:after="240"/>
        <w:jc w:val="both"/>
        <w:rPr>
          <w:rFonts w:asciiTheme="majorHAnsi" w:hAnsiTheme="majorHAnsi"/>
          <w:sz w:val="20"/>
          <w:szCs w:val="20"/>
          <w:lang w:val="es-ES"/>
        </w:rPr>
      </w:pPr>
      <w:r w:rsidRPr="00823D62">
        <w:rPr>
          <w:rFonts w:asciiTheme="majorHAnsi" w:hAnsiTheme="majorHAnsi"/>
          <w:iCs/>
          <w:sz w:val="20"/>
          <w:szCs w:val="20"/>
          <w:lang w:val="es-ES"/>
        </w:rPr>
        <w:t>P</w:t>
      </w:r>
      <w:r w:rsidR="000356B3" w:rsidRPr="00823D62">
        <w:rPr>
          <w:rFonts w:asciiTheme="majorHAnsi" w:hAnsiTheme="majorHAnsi"/>
          <w:iCs/>
          <w:sz w:val="20"/>
          <w:szCs w:val="20"/>
          <w:lang w:val="es-ES"/>
        </w:rPr>
        <w:t xml:space="preserve">ara el análisis del agotamiento de los recursos domésticos, </w:t>
      </w:r>
      <w:r w:rsidR="004049C0" w:rsidRPr="00823D62">
        <w:rPr>
          <w:rFonts w:asciiTheme="majorHAnsi" w:hAnsiTheme="majorHAnsi"/>
          <w:iCs/>
          <w:sz w:val="20"/>
          <w:szCs w:val="20"/>
          <w:lang w:val="es-ES"/>
        </w:rPr>
        <w:t xml:space="preserve">y </w:t>
      </w:r>
      <w:r w:rsidR="000356B3" w:rsidRPr="00823D62">
        <w:rPr>
          <w:rFonts w:asciiTheme="majorHAnsi" w:hAnsiTheme="majorHAnsi"/>
          <w:iCs/>
          <w:sz w:val="20"/>
          <w:szCs w:val="20"/>
          <w:lang w:val="es-ES"/>
        </w:rPr>
        <w:t xml:space="preserve">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el peticionario son en lo fundamental: </w:t>
      </w:r>
      <w:r w:rsidR="007F58CF">
        <w:rPr>
          <w:rFonts w:asciiTheme="majorHAnsi" w:hAnsiTheme="majorHAnsi"/>
          <w:iCs/>
          <w:sz w:val="20"/>
          <w:szCs w:val="20"/>
          <w:lang w:val="es-ES"/>
        </w:rPr>
        <w:t>(</w:t>
      </w:r>
      <w:r w:rsidR="003B7836">
        <w:rPr>
          <w:rFonts w:asciiTheme="majorHAnsi" w:hAnsiTheme="majorHAnsi"/>
          <w:iCs/>
          <w:sz w:val="20"/>
          <w:szCs w:val="20"/>
          <w:lang w:val="es-ES"/>
        </w:rPr>
        <w:t xml:space="preserve">a) </w:t>
      </w:r>
      <w:r w:rsidR="000356B3" w:rsidRPr="00823D62">
        <w:rPr>
          <w:rFonts w:asciiTheme="majorHAnsi" w:hAnsiTheme="majorHAnsi"/>
          <w:iCs/>
          <w:sz w:val="20"/>
          <w:szCs w:val="20"/>
          <w:lang w:val="es-ES"/>
        </w:rPr>
        <w:t xml:space="preserve">un exceso </w:t>
      </w:r>
      <w:r w:rsidR="004D71E0" w:rsidRPr="00823D62">
        <w:rPr>
          <w:rFonts w:asciiTheme="majorHAnsi" w:hAnsiTheme="majorHAnsi"/>
          <w:iCs/>
          <w:sz w:val="20"/>
          <w:szCs w:val="20"/>
          <w:lang w:val="es-ES"/>
        </w:rPr>
        <w:t>de</w:t>
      </w:r>
      <w:r w:rsidR="000356B3" w:rsidRPr="00823D62">
        <w:rPr>
          <w:rFonts w:asciiTheme="majorHAnsi" w:hAnsiTheme="majorHAnsi"/>
          <w:iCs/>
          <w:sz w:val="20"/>
          <w:szCs w:val="20"/>
          <w:lang w:val="es-ES"/>
        </w:rPr>
        <w:t xml:space="preserve"> la prisión preventiva</w:t>
      </w:r>
      <w:r w:rsidR="003B7836">
        <w:rPr>
          <w:rFonts w:asciiTheme="majorHAnsi" w:hAnsiTheme="majorHAnsi"/>
          <w:iCs/>
          <w:sz w:val="20"/>
          <w:szCs w:val="20"/>
          <w:lang w:val="es-ES"/>
        </w:rPr>
        <w:t xml:space="preserve">, </w:t>
      </w:r>
      <w:r w:rsidR="007F58CF">
        <w:rPr>
          <w:rFonts w:asciiTheme="majorHAnsi" w:hAnsiTheme="majorHAnsi"/>
          <w:iCs/>
          <w:sz w:val="20"/>
          <w:szCs w:val="20"/>
          <w:lang w:val="es-ES"/>
        </w:rPr>
        <w:t>(</w:t>
      </w:r>
      <w:r w:rsidR="003B7836">
        <w:rPr>
          <w:rFonts w:asciiTheme="majorHAnsi" w:hAnsiTheme="majorHAnsi"/>
          <w:iCs/>
          <w:sz w:val="20"/>
          <w:szCs w:val="20"/>
          <w:lang w:val="es-ES"/>
        </w:rPr>
        <w:t xml:space="preserve">b) </w:t>
      </w:r>
      <w:r w:rsidR="000356B3" w:rsidRPr="00823D62">
        <w:rPr>
          <w:rFonts w:asciiTheme="majorHAnsi" w:hAnsiTheme="majorHAnsi"/>
          <w:iCs/>
          <w:sz w:val="20"/>
          <w:szCs w:val="20"/>
          <w:lang w:val="es-ES"/>
        </w:rPr>
        <w:t xml:space="preserve">malos tratos </w:t>
      </w:r>
      <w:r w:rsidR="005D4E6F" w:rsidRPr="00823D62">
        <w:rPr>
          <w:rFonts w:asciiTheme="majorHAnsi" w:hAnsiTheme="majorHAnsi"/>
          <w:iCs/>
          <w:sz w:val="20"/>
          <w:szCs w:val="20"/>
          <w:lang w:val="es-ES"/>
        </w:rPr>
        <w:t xml:space="preserve">sufridos </w:t>
      </w:r>
      <w:r w:rsidR="000356B3" w:rsidRPr="00823D62">
        <w:rPr>
          <w:rFonts w:asciiTheme="majorHAnsi" w:hAnsiTheme="majorHAnsi"/>
          <w:iCs/>
          <w:sz w:val="20"/>
          <w:szCs w:val="20"/>
          <w:lang w:val="es-ES"/>
        </w:rPr>
        <w:t>durante su detención</w:t>
      </w:r>
      <w:r w:rsidR="005D4E6F" w:rsidRPr="00823D62">
        <w:rPr>
          <w:rFonts w:asciiTheme="majorHAnsi" w:hAnsiTheme="majorHAnsi"/>
          <w:iCs/>
          <w:sz w:val="20"/>
          <w:szCs w:val="20"/>
          <w:lang w:val="es-ES"/>
        </w:rPr>
        <w:t xml:space="preserve"> y </w:t>
      </w:r>
      <w:r w:rsidR="007F58CF">
        <w:rPr>
          <w:rFonts w:asciiTheme="majorHAnsi" w:hAnsiTheme="majorHAnsi"/>
          <w:iCs/>
          <w:sz w:val="20"/>
          <w:szCs w:val="20"/>
          <w:lang w:val="es-ES"/>
        </w:rPr>
        <w:t>(</w:t>
      </w:r>
      <w:r w:rsidR="003B7836">
        <w:rPr>
          <w:rFonts w:asciiTheme="majorHAnsi" w:hAnsiTheme="majorHAnsi"/>
          <w:iCs/>
          <w:sz w:val="20"/>
          <w:szCs w:val="20"/>
          <w:lang w:val="es-ES"/>
        </w:rPr>
        <w:t xml:space="preserve">c) </w:t>
      </w:r>
      <w:r w:rsidR="005D4E6F" w:rsidRPr="00823D62">
        <w:rPr>
          <w:rFonts w:asciiTheme="majorHAnsi" w:hAnsiTheme="majorHAnsi"/>
          <w:iCs/>
          <w:sz w:val="20"/>
          <w:szCs w:val="20"/>
          <w:lang w:val="es-ES"/>
        </w:rPr>
        <w:t>el retardo injustificado del proceso penal principal</w:t>
      </w:r>
      <w:r w:rsidR="000356B3" w:rsidRPr="00823D62">
        <w:rPr>
          <w:rFonts w:asciiTheme="majorHAnsi" w:hAnsiTheme="majorHAnsi"/>
          <w:iCs/>
          <w:sz w:val="20"/>
          <w:szCs w:val="20"/>
          <w:lang w:val="es-ES"/>
        </w:rPr>
        <w:t>.</w:t>
      </w:r>
    </w:p>
    <w:p w14:paraId="64F59F48" w14:textId="72348B84" w:rsidR="00345F4D" w:rsidRPr="009741DF" w:rsidRDefault="000356B3"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Respecto </w:t>
      </w:r>
      <w:r w:rsidR="007F58CF">
        <w:rPr>
          <w:rFonts w:asciiTheme="majorHAnsi" w:hAnsiTheme="majorHAnsi"/>
          <w:sz w:val="20"/>
          <w:szCs w:val="20"/>
          <w:lang w:val="es-ES"/>
        </w:rPr>
        <w:t xml:space="preserve">del reclamo (a) referente </w:t>
      </w:r>
      <w:r w:rsidRPr="00823D62">
        <w:rPr>
          <w:rFonts w:asciiTheme="majorHAnsi" w:hAnsiTheme="majorHAnsi"/>
          <w:sz w:val="20"/>
          <w:szCs w:val="20"/>
          <w:lang w:val="es-ES"/>
        </w:rPr>
        <w:t>al exceso en la prisión preventiva</w:t>
      </w:r>
      <w:r w:rsidR="007F58CF">
        <w:rPr>
          <w:rFonts w:asciiTheme="majorHAnsi" w:hAnsiTheme="majorHAnsi"/>
          <w:sz w:val="20"/>
          <w:szCs w:val="20"/>
          <w:lang w:val="es-ES"/>
        </w:rPr>
        <w:t xml:space="preserve">, </w:t>
      </w:r>
      <w:r w:rsidR="008A0F72" w:rsidRPr="00823D62">
        <w:rPr>
          <w:rFonts w:asciiTheme="majorHAnsi" w:hAnsiTheme="majorHAnsi"/>
          <w:sz w:val="20"/>
          <w:szCs w:val="20"/>
          <w:lang w:val="es-ES"/>
        </w:rPr>
        <w:t xml:space="preserve">el defensor público del peticionario presentó seis solicitudes de revisión de medidas de coerción en las siguientes fechas: 8 de </w:t>
      </w:r>
      <w:r w:rsidR="008A0F72" w:rsidRPr="00823D62">
        <w:rPr>
          <w:rFonts w:asciiTheme="majorHAnsi" w:hAnsiTheme="majorHAnsi"/>
          <w:sz w:val="20"/>
          <w:szCs w:val="20"/>
          <w:lang w:val="es-ES"/>
        </w:rPr>
        <w:lastRenderedPageBreak/>
        <w:t>noviembre de 2017, 2 de agosto de 2018, 11 de octubre de 2019, 21 de enero de 2020, 9 de junio de 2020 y 21 de julio de 2021; las cuales fueron negadas en audiencia</w:t>
      </w:r>
      <w:r w:rsidR="00154A71" w:rsidRPr="00823D62">
        <w:rPr>
          <w:rFonts w:asciiTheme="majorHAnsi" w:hAnsiTheme="majorHAnsi"/>
          <w:sz w:val="20"/>
          <w:szCs w:val="20"/>
          <w:lang w:val="es-ES"/>
        </w:rPr>
        <w:t xml:space="preserve">, decisiones que fueron justificadas </w:t>
      </w:r>
      <w:r w:rsidR="008E74DB" w:rsidRPr="00823D62">
        <w:rPr>
          <w:rFonts w:asciiTheme="majorHAnsi" w:hAnsiTheme="majorHAnsi"/>
          <w:sz w:val="20"/>
          <w:szCs w:val="20"/>
          <w:lang w:val="es-ES"/>
        </w:rPr>
        <w:t xml:space="preserve">en la existencia de un peligro </w:t>
      </w:r>
      <w:r w:rsidR="008E74DB" w:rsidRPr="009741DF">
        <w:rPr>
          <w:rFonts w:asciiTheme="majorHAnsi" w:hAnsiTheme="majorHAnsi"/>
          <w:sz w:val="20"/>
          <w:szCs w:val="20"/>
          <w:lang w:val="es-ES"/>
        </w:rPr>
        <w:t xml:space="preserve">latente y real de </w:t>
      </w:r>
      <w:r w:rsidR="00154A71" w:rsidRPr="009741DF">
        <w:rPr>
          <w:rFonts w:asciiTheme="majorHAnsi" w:hAnsiTheme="majorHAnsi"/>
          <w:sz w:val="20"/>
          <w:szCs w:val="20"/>
          <w:lang w:val="es-ES"/>
        </w:rPr>
        <w:t xml:space="preserve">obstrucción de </w:t>
      </w:r>
      <w:r w:rsidR="008E74DB" w:rsidRPr="009741DF">
        <w:rPr>
          <w:rFonts w:asciiTheme="majorHAnsi" w:hAnsiTheme="majorHAnsi"/>
          <w:sz w:val="20"/>
          <w:szCs w:val="20"/>
          <w:lang w:val="es-ES"/>
        </w:rPr>
        <w:t xml:space="preserve">averiguación </w:t>
      </w:r>
      <w:r w:rsidR="00154A71" w:rsidRPr="009741DF">
        <w:rPr>
          <w:rFonts w:asciiTheme="majorHAnsi" w:hAnsiTheme="majorHAnsi"/>
          <w:sz w:val="20"/>
          <w:szCs w:val="20"/>
          <w:lang w:val="es-ES"/>
        </w:rPr>
        <w:t xml:space="preserve">de </w:t>
      </w:r>
      <w:r w:rsidR="008E74DB" w:rsidRPr="009741DF">
        <w:rPr>
          <w:rFonts w:asciiTheme="majorHAnsi" w:hAnsiTheme="majorHAnsi"/>
          <w:sz w:val="20"/>
          <w:szCs w:val="20"/>
          <w:lang w:val="es-ES"/>
        </w:rPr>
        <w:t>la verdad.</w:t>
      </w:r>
      <w:r w:rsidR="008A0F72" w:rsidRPr="009741DF">
        <w:rPr>
          <w:rFonts w:asciiTheme="majorHAnsi" w:hAnsiTheme="majorHAnsi"/>
          <w:sz w:val="20"/>
          <w:szCs w:val="20"/>
          <w:lang w:val="es-ES"/>
        </w:rPr>
        <w:t xml:space="preserve"> La CIDH considera que se agotaron los recursos internos con todas las solicitudes al tribunal para que el </w:t>
      </w:r>
      <w:r w:rsidR="00AF1809" w:rsidRPr="009741DF">
        <w:rPr>
          <w:rFonts w:asciiTheme="majorHAnsi" w:hAnsiTheme="majorHAnsi"/>
          <w:sz w:val="20"/>
          <w:szCs w:val="20"/>
          <w:lang w:val="es-ES"/>
        </w:rPr>
        <w:t>Sr. Gómez</w:t>
      </w:r>
      <w:r w:rsidR="008A0F72" w:rsidRPr="009741DF">
        <w:rPr>
          <w:rFonts w:asciiTheme="majorHAnsi" w:hAnsiTheme="majorHAnsi"/>
          <w:sz w:val="20"/>
          <w:szCs w:val="20"/>
          <w:lang w:val="es-ES"/>
        </w:rPr>
        <w:t xml:space="preserve"> obtuviera su libertad.</w:t>
      </w:r>
      <w:r w:rsidR="00345F4D" w:rsidRPr="009741DF">
        <w:rPr>
          <w:rFonts w:asciiTheme="majorHAnsi" w:hAnsiTheme="majorHAnsi"/>
          <w:sz w:val="20"/>
          <w:szCs w:val="20"/>
          <w:lang w:val="es-ES"/>
        </w:rPr>
        <w:t xml:space="preserve"> </w:t>
      </w:r>
      <w:r w:rsidR="00456753" w:rsidRPr="009741DF">
        <w:rPr>
          <w:rFonts w:asciiTheme="majorHAnsi" w:hAnsiTheme="majorHAnsi"/>
          <w:sz w:val="20"/>
          <w:szCs w:val="20"/>
          <w:lang w:val="es-ES"/>
        </w:rPr>
        <w:t xml:space="preserve">En este sentido, la Comisión reitera que </w:t>
      </w:r>
      <w:r w:rsidR="007F58CF" w:rsidRPr="009741DF">
        <w:rPr>
          <w:rFonts w:asciiTheme="majorHAnsi" w:hAnsiTheme="majorHAnsi"/>
          <w:sz w:val="20"/>
          <w:szCs w:val="20"/>
          <w:lang w:val="es-ES"/>
        </w:rPr>
        <w:t>e</w:t>
      </w:r>
      <w:r w:rsidR="006F4FFB" w:rsidRPr="009741DF">
        <w:rPr>
          <w:rFonts w:asciiTheme="majorHAnsi" w:hAnsiTheme="majorHAnsi"/>
          <w:sz w:val="20"/>
          <w:szCs w:val="20"/>
          <w:lang w:val="es-ES"/>
        </w:rPr>
        <w:t>n el contexto de la prisión preventiva, para el agotamiento de recursos es suficiente la solicitud de excarcelación y su denegatoria</w:t>
      </w:r>
      <w:r w:rsidR="006F4FFB" w:rsidRPr="009741DF">
        <w:rPr>
          <w:rStyle w:val="FootnoteReference"/>
          <w:rFonts w:asciiTheme="majorHAnsi" w:hAnsiTheme="majorHAnsi"/>
          <w:sz w:val="20"/>
          <w:szCs w:val="20"/>
          <w:lang w:val="es-ES"/>
        </w:rPr>
        <w:footnoteReference w:id="7"/>
      </w:r>
      <w:r w:rsidR="006F4FFB" w:rsidRPr="009741DF">
        <w:rPr>
          <w:rFonts w:asciiTheme="majorHAnsi" w:hAnsiTheme="majorHAnsi"/>
          <w:sz w:val="20"/>
          <w:szCs w:val="20"/>
          <w:lang w:val="es-ES"/>
        </w:rPr>
        <w:t>.</w:t>
      </w:r>
    </w:p>
    <w:p w14:paraId="500BECBF" w14:textId="52EC8730" w:rsidR="00FF0E2A" w:rsidRPr="009741DF" w:rsidRDefault="00FF0E2A" w:rsidP="0030407D">
      <w:pPr>
        <w:pStyle w:val="ListParagraph"/>
        <w:numPr>
          <w:ilvl w:val="0"/>
          <w:numId w:val="103"/>
        </w:numPr>
        <w:spacing w:before="240" w:after="240"/>
        <w:jc w:val="both"/>
        <w:rPr>
          <w:rFonts w:asciiTheme="majorHAnsi" w:hAnsiTheme="majorHAnsi"/>
          <w:iCs/>
          <w:sz w:val="20"/>
          <w:szCs w:val="20"/>
          <w:lang w:val="es-ES"/>
        </w:rPr>
      </w:pPr>
      <w:r w:rsidRPr="009741DF">
        <w:rPr>
          <w:rFonts w:asciiTheme="majorHAnsi" w:hAnsiTheme="majorHAnsi"/>
          <w:iCs/>
          <w:sz w:val="20"/>
          <w:szCs w:val="20"/>
          <w:lang w:val="es-ES"/>
        </w:rPr>
        <w:t>La Comisión observa que la última solicitud de revisión de la medida de corrección fue el 21 de julio de 2021, al respecto</w:t>
      </w:r>
      <w:r w:rsidR="009741DF" w:rsidRPr="009741DF">
        <w:rPr>
          <w:rFonts w:asciiTheme="majorHAnsi" w:hAnsiTheme="majorHAnsi"/>
          <w:iCs/>
          <w:sz w:val="20"/>
          <w:szCs w:val="20"/>
          <w:lang w:val="es-ES"/>
        </w:rPr>
        <w:t>,</w:t>
      </w:r>
      <w:r w:rsidRPr="009741DF">
        <w:rPr>
          <w:rFonts w:asciiTheme="majorHAnsi" w:hAnsiTheme="majorHAnsi"/>
          <w:iCs/>
          <w:sz w:val="20"/>
          <w:szCs w:val="20"/>
          <w:lang w:val="es-ES"/>
        </w:rPr>
        <w:t xml:space="preserve"> el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9741DF">
        <w:rPr>
          <w:rStyle w:val="FootnoteReference"/>
          <w:rFonts w:asciiTheme="majorHAnsi" w:hAnsiTheme="majorHAnsi"/>
          <w:iCs/>
          <w:sz w:val="20"/>
          <w:szCs w:val="20"/>
          <w:lang w:val="es-ES"/>
        </w:rPr>
        <w:footnoteReference w:id="8"/>
      </w:r>
      <w:r w:rsidRPr="009741DF">
        <w:rPr>
          <w:rFonts w:asciiTheme="majorHAnsi" w:hAnsiTheme="majorHAnsi"/>
          <w:iCs/>
          <w:sz w:val="20"/>
          <w:szCs w:val="20"/>
          <w:lang w:val="es-ES"/>
        </w:rPr>
        <w:t>. En este sentido, la CIDH ha sido consistente en señalar que “</w:t>
      </w:r>
      <w:r w:rsidRPr="009741DF">
        <w:rPr>
          <w:rFonts w:asciiTheme="majorHAnsi" w:hAnsiTheme="majorHAnsi"/>
          <w:i/>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9741DF">
        <w:rPr>
          <w:rFonts w:asciiTheme="majorHAnsi" w:hAnsiTheme="majorHAnsi"/>
          <w:iCs/>
          <w:sz w:val="20"/>
          <w:szCs w:val="20"/>
          <w:lang w:val="es-ES"/>
        </w:rPr>
        <w:t>”</w:t>
      </w:r>
      <w:r w:rsidRPr="009741DF">
        <w:rPr>
          <w:rStyle w:val="FootnoteReference"/>
          <w:rFonts w:asciiTheme="majorHAnsi" w:hAnsiTheme="majorHAnsi"/>
          <w:iCs/>
          <w:sz w:val="20"/>
          <w:szCs w:val="20"/>
          <w:lang w:val="es-ES"/>
        </w:rPr>
        <w:footnoteReference w:id="9"/>
      </w:r>
      <w:r w:rsidRPr="009741DF">
        <w:rPr>
          <w:rFonts w:asciiTheme="majorHAnsi" w:hAnsiTheme="majorHAnsi"/>
          <w:iCs/>
          <w:sz w:val="20"/>
          <w:szCs w:val="20"/>
          <w:lang w:val="es-ES"/>
        </w:rPr>
        <w:t xml:space="preserve">. En </w:t>
      </w:r>
      <w:r w:rsidR="00D7575D" w:rsidRPr="009741DF">
        <w:rPr>
          <w:rFonts w:asciiTheme="majorHAnsi" w:hAnsiTheme="majorHAnsi"/>
          <w:iCs/>
          <w:sz w:val="20"/>
          <w:szCs w:val="20"/>
          <w:lang w:val="es-ES"/>
        </w:rPr>
        <w:t>consecuencia,</w:t>
      </w:r>
      <w:r w:rsidRPr="009741DF">
        <w:rPr>
          <w:rFonts w:asciiTheme="majorHAnsi" w:hAnsiTheme="majorHAnsi"/>
          <w:iCs/>
          <w:sz w:val="20"/>
          <w:szCs w:val="20"/>
          <w:lang w:val="es-ES"/>
        </w:rPr>
        <w:t xml:space="preserve"> la CIDH considera que la presente petición fue recibida dentro de</w:t>
      </w:r>
      <w:r w:rsidR="0030407D" w:rsidRPr="009741DF">
        <w:rPr>
          <w:rFonts w:asciiTheme="majorHAnsi" w:hAnsiTheme="majorHAnsi"/>
          <w:iCs/>
          <w:sz w:val="20"/>
          <w:szCs w:val="20"/>
          <w:lang w:val="es-ES"/>
        </w:rPr>
        <w:t xml:space="preserve">l plazo establecido en el artículo 32.1 del Reglamento de la Comisión. </w:t>
      </w:r>
    </w:p>
    <w:p w14:paraId="2A60B5F9" w14:textId="69114E50" w:rsidR="00D92654" w:rsidRPr="009741DF" w:rsidRDefault="005F1986"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9741DF">
        <w:rPr>
          <w:rFonts w:asciiTheme="majorHAnsi" w:hAnsiTheme="majorHAnsi"/>
          <w:sz w:val="20"/>
          <w:szCs w:val="20"/>
          <w:lang w:val="es-ES"/>
        </w:rPr>
        <w:t>En cuanto a</w:t>
      </w:r>
      <w:r w:rsidR="007F58CF" w:rsidRPr="009741DF">
        <w:rPr>
          <w:rFonts w:asciiTheme="majorHAnsi" w:hAnsiTheme="majorHAnsi"/>
          <w:sz w:val="20"/>
          <w:szCs w:val="20"/>
          <w:lang w:val="es-ES"/>
        </w:rPr>
        <w:t xml:space="preserve">l reclamo (b) </w:t>
      </w:r>
      <w:r w:rsidRPr="009741DF">
        <w:rPr>
          <w:rFonts w:asciiTheme="majorHAnsi" w:hAnsiTheme="majorHAnsi"/>
          <w:sz w:val="20"/>
          <w:szCs w:val="20"/>
          <w:lang w:val="es-ES"/>
        </w:rPr>
        <w:t xml:space="preserve">los malos tratos </w:t>
      </w:r>
      <w:r w:rsidR="00E76866" w:rsidRPr="009741DF">
        <w:rPr>
          <w:rFonts w:asciiTheme="majorHAnsi" w:hAnsiTheme="majorHAnsi"/>
          <w:sz w:val="20"/>
          <w:szCs w:val="20"/>
          <w:lang w:val="es-ES"/>
        </w:rPr>
        <w:t>sufridos</w:t>
      </w:r>
      <w:r w:rsidR="009C5C5C" w:rsidRPr="009741DF">
        <w:rPr>
          <w:rFonts w:asciiTheme="majorHAnsi" w:hAnsiTheme="majorHAnsi"/>
          <w:sz w:val="20"/>
          <w:szCs w:val="20"/>
          <w:lang w:val="es-ES"/>
        </w:rPr>
        <w:t xml:space="preserve"> por </w:t>
      </w:r>
      <w:r w:rsidR="00D92654" w:rsidRPr="009741DF">
        <w:rPr>
          <w:rFonts w:asciiTheme="majorHAnsi" w:hAnsiTheme="majorHAnsi"/>
          <w:sz w:val="20"/>
          <w:szCs w:val="20"/>
          <w:lang w:val="es-ES"/>
        </w:rPr>
        <w:t xml:space="preserve">el peticionario </w:t>
      </w:r>
      <w:r w:rsidR="009C5C5C" w:rsidRPr="009741DF">
        <w:rPr>
          <w:rFonts w:asciiTheme="majorHAnsi" w:hAnsiTheme="majorHAnsi"/>
          <w:sz w:val="20"/>
          <w:szCs w:val="20"/>
          <w:lang w:val="es-ES"/>
        </w:rPr>
        <w:t xml:space="preserve">durante el tiempo que ha estado detenido, él mismo </w:t>
      </w:r>
      <w:r w:rsidR="00D92654" w:rsidRPr="009741DF">
        <w:rPr>
          <w:rFonts w:asciiTheme="majorHAnsi" w:hAnsiTheme="majorHAnsi"/>
          <w:sz w:val="20"/>
          <w:szCs w:val="20"/>
          <w:lang w:val="es-ES"/>
        </w:rPr>
        <w:t>presentó dos denuncias</w:t>
      </w:r>
      <w:r w:rsidR="009C5C5C" w:rsidRPr="009741DF">
        <w:rPr>
          <w:rFonts w:asciiTheme="majorHAnsi" w:hAnsiTheme="majorHAnsi"/>
          <w:sz w:val="20"/>
          <w:szCs w:val="20"/>
          <w:lang w:val="es-ES"/>
        </w:rPr>
        <w:t xml:space="preserve"> </w:t>
      </w:r>
      <w:r w:rsidR="00D92654" w:rsidRPr="009741DF">
        <w:rPr>
          <w:rFonts w:asciiTheme="majorHAnsi" w:hAnsiTheme="majorHAnsi"/>
          <w:sz w:val="20"/>
          <w:szCs w:val="20"/>
          <w:lang w:val="es-ES"/>
        </w:rPr>
        <w:t>en 2017 y 2019. Sobre este punto la Comisión observa que</w:t>
      </w:r>
      <w:r w:rsidR="00885750" w:rsidRPr="009741DF">
        <w:rPr>
          <w:rFonts w:asciiTheme="majorHAnsi" w:hAnsiTheme="majorHAnsi"/>
          <w:sz w:val="20"/>
          <w:szCs w:val="20"/>
          <w:lang w:val="es-ES"/>
        </w:rPr>
        <w:t>:</w:t>
      </w:r>
      <w:r w:rsidR="00D92654" w:rsidRPr="009741DF">
        <w:rPr>
          <w:rFonts w:asciiTheme="majorHAnsi" w:hAnsiTheme="majorHAnsi"/>
          <w:sz w:val="20"/>
          <w:szCs w:val="20"/>
          <w:lang w:val="es-ES"/>
        </w:rPr>
        <w:t xml:space="preserve"> </w:t>
      </w:r>
      <w:r w:rsidR="009C5C5C" w:rsidRPr="009741DF">
        <w:rPr>
          <w:rFonts w:asciiTheme="majorHAnsi" w:hAnsiTheme="majorHAnsi"/>
          <w:sz w:val="20"/>
          <w:szCs w:val="20"/>
          <w:lang w:val="es-ES"/>
        </w:rPr>
        <w:t>(i) la denuncia presentada en el 2019 fue desestimada cinco meses después de iniciada la etapa de investigación teniendo como único sustento lo declarado por el Sr. Gómez sin que las autoridades hubieran recurrido a otros testimonios o pruebas; y (ii) e</w:t>
      </w:r>
      <w:r w:rsidR="00D92654" w:rsidRPr="009741DF">
        <w:rPr>
          <w:rFonts w:asciiTheme="majorHAnsi" w:hAnsiTheme="majorHAnsi"/>
          <w:sz w:val="20"/>
          <w:szCs w:val="20"/>
          <w:lang w:val="es-ES"/>
        </w:rPr>
        <w:t>l Estado en su escrito de observaciones solo h</w:t>
      </w:r>
      <w:r w:rsidR="009C5C5C" w:rsidRPr="009741DF">
        <w:rPr>
          <w:rFonts w:asciiTheme="majorHAnsi" w:hAnsiTheme="majorHAnsi"/>
          <w:sz w:val="20"/>
          <w:szCs w:val="20"/>
          <w:lang w:val="es-ES"/>
        </w:rPr>
        <w:t xml:space="preserve">izo </w:t>
      </w:r>
      <w:r w:rsidR="00D92654" w:rsidRPr="009741DF">
        <w:rPr>
          <w:rFonts w:asciiTheme="majorHAnsi" w:hAnsiTheme="majorHAnsi"/>
          <w:sz w:val="20"/>
          <w:szCs w:val="20"/>
          <w:lang w:val="es-ES"/>
        </w:rPr>
        <w:t xml:space="preserve">referencia a la investigación realizada respecto de la </w:t>
      </w:r>
      <w:r w:rsidR="009C5C5C" w:rsidRPr="009741DF">
        <w:rPr>
          <w:rFonts w:asciiTheme="majorHAnsi" w:hAnsiTheme="majorHAnsi"/>
          <w:sz w:val="20"/>
          <w:szCs w:val="20"/>
          <w:lang w:val="es-ES"/>
        </w:rPr>
        <w:t xml:space="preserve">última denuncia, </w:t>
      </w:r>
      <w:r w:rsidR="00D92654" w:rsidRPr="009741DF">
        <w:rPr>
          <w:rFonts w:asciiTheme="majorHAnsi" w:hAnsiTheme="majorHAnsi"/>
          <w:sz w:val="20"/>
          <w:szCs w:val="20"/>
          <w:lang w:val="es-ES"/>
        </w:rPr>
        <w:t>sin referirse a la falta de seguimiento e investigación de la denuncia interpuesta en abril de 2017</w:t>
      </w:r>
      <w:r w:rsidR="00121D3E" w:rsidRPr="009741DF">
        <w:rPr>
          <w:rFonts w:asciiTheme="majorHAnsi" w:hAnsiTheme="majorHAnsi"/>
          <w:sz w:val="20"/>
          <w:szCs w:val="20"/>
          <w:lang w:val="es-ES"/>
        </w:rPr>
        <w:t>,</w:t>
      </w:r>
      <w:r w:rsidR="00D92654" w:rsidRPr="009741DF">
        <w:rPr>
          <w:rFonts w:asciiTheme="majorHAnsi" w:hAnsiTheme="majorHAnsi"/>
          <w:sz w:val="20"/>
          <w:szCs w:val="20"/>
          <w:lang w:val="es-ES"/>
        </w:rPr>
        <w:t xml:space="preserve"> como se logra evidenciar del escrito de la Oficina Nacional de Prevención de la Tortura</w:t>
      </w:r>
      <w:r w:rsidR="003A21EF" w:rsidRPr="009741DF">
        <w:rPr>
          <w:rFonts w:asciiTheme="majorHAnsi" w:hAnsiTheme="majorHAnsi"/>
          <w:sz w:val="20"/>
          <w:szCs w:val="20"/>
          <w:lang w:val="es-ES"/>
        </w:rPr>
        <w:t xml:space="preserve">, en el que se indicó la imposibilidad de establecer el seguimiento y el resultado de esta denuncia. </w:t>
      </w:r>
      <w:r w:rsidR="00D92654" w:rsidRPr="009741DF">
        <w:rPr>
          <w:rFonts w:asciiTheme="majorHAnsi" w:hAnsiTheme="majorHAnsi"/>
          <w:sz w:val="20"/>
          <w:szCs w:val="20"/>
          <w:lang w:val="es-ES"/>
        </w:rPr>
        <w:t>Teniendo presente que la obligación de investigar actos de tortura debe ser ejecutada de oficio por las autoridades correspondientes, y habiendo sido puesto en su conocimiento tales hechos por parte de la presunta víctima, no resulta exigible que esta deba agotar otra serie de procesos o recursos, toda vez que no pesa sobre ella la carga procesal de instar un procedimiento de este carácter</w:t>
      </w:r>
      <w:r w:rsidR="00D92654" w:rsidRPr="009741DF">
        <w:rPr>
          <w:rStyle w:val="FootnoteReference"/>
          <w:rFonts w:asciiTheme="majorHAnsi" w:hAnsiTheme="majorHAnsi"/>
          <w:sz w:val="20"/>
          <w:szCs w:val="20"/>
          <w:lang w:val="es-ES"/>
        </w:rPr>
        <w:footnoteReference w:id="10"/>
      </w:r>
      <w:r w:rsidR="00D92654" w:rsidRPr="009741DF">
        <w:rPr>
          <w:rFonts w:asciiTheme="majorHAnsi" w:hAnsiTheme="majorHAnsi"/>
          <w:sz w:val="20"/>
          <w:szCs w:val="20"/>
          <w:lang w:val="es-ES"/>
        </w:rPr>
        <w:t>.</w:t>
      </w:r>
    </w:p>
    <w:p w14:paraId="1D217682" w14:textId="457095AE" w:rsidR="00345F4D" w:rsidRPr="009741DF" w:rsidRDefault="00272E80"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9741DF">
        <w:rPr>
          <w:rFonts w:asciiTheme="majorHAnsi" w:hAnsiTheme="majorHAnsi"/>
          <w:sz w:val="20"/>
          <w:szCs w:val="20"/>
          <w:lang w:val="es-ES"/>
        </w:rPr>
        <w:t>Finalmente,</w:t>
      </w:r>
      <w:r w:rsidR="00345F4D" w:rsidRPr="009741DF">
        <w:rPr>
          <w:rFonts w:asciiTheme="majorHAnsi" w:hAnsiTheme="majorHAnsi"/>
          <w:sz w:val="20"/>
          <w:szCs w:val="20"/>
          <w:lang w:val="es-ES"/>
        </w:rPr>
        <w:t xml:space="preserve"> respecto al</w:t>
      </w:r>
      <w:r w:rsidRPr="009741DF">
        <w:rPr>
          <w:rFonts w:asciiTheme="majorHAnsi" w:hAnsiTheme="majorHAnsi"/>
          <w:sz w:val="20"/>
          <w:szCs w:val="20"/>
          <w:lang w:val="es-ES"/>
        </w:rPr>
        <w:t xml:space="preserve"> reclamo (c) referente al</w:t>
      </w:r>
      <w:r w:rsidR="00345F4D" w:rsidRPr="009741DF">
        <w:rPr>
          <w:rFonts w:asciiTheme="majorHAnsi" w:hAnsiTheme="majorHAnsi"/>
          <w:sz w:val="20"/>
          <w:szCs w:val="20"/>
          <w:lang w:val="es-ES"/>
        </w:rPr>
        <w:t xml:space="preserve"> retardo injustificado del proceso penal principal, la Comisión nota que el proceso sigue pendiente luego de más de ocho años, sin que se justifique por parte de las autoridades judiciales el retardo en la emisión de la respectiva sentencia. </w:t>
      </w:r>
    </w:p>
    <w:p w14:paraId="52B403A3" w14:textId="62A251C7" w:rsidR="003B464B" w:rsidRPr="009741DF" w:rsidRDefault="00040C64"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9741DF">
        <w:rPr>
          <w:rFonts w:asciiTheme="majorHAnsi" w:hAnsiTheme="majorHAnsi"/>
          <w:sz w:val="20"/>
          <w:szCs w:val="20"/>
          <w:lang w:val="es-ES"/>
        </w:rPr>
        <w:t xml:space="preserve">De este modo, </w:t>
      </w:r>
      <w:r w:rsidR="003B464B" w:rsidRPr="009741DF">
        <w:rPr>
          <w:rFonts w:asciiTheme="majorHAnsi" w:hAnsiTheme="majorHAnsi"/>
          <w:sz w:val="20"/>
          <w:szCs w:val="20"/>
          <w:lang w:val="es-ES"/>
        </w:rPr>
        <w:t>la Comisión</w:t>
      </w:r>
      <w:r w:rsidRPr="009741DF">
        <w:rPr>
          <w:rFonts w:asciiTheme="majorHAnsi" w:hAnsiTheme="majorHAnsi"/>
          <w:sz w:val="20"/>
          <w:szCs w:val="20"/>
          <w:lang w:val="es-ES"/>
        </w:rPr>
        <w:t xml:space="preserve"> considera</w:t>
      </w:r>
      <w:r w:rsidR="003B464B" w:rsidRPr="009741DF">
        <w:rPr>
          <w:rFonts w:asciiTheme="majorHAnsi" w:hAnsiTheme="majorHAnsi"/>
          <w:sz w:val="20"/>
          <w:szCs w:val="20"/>
          <w:lang w:val="es-ES"/>
        </w:rPr>
        <w:t xml:space="preserve"> que</w:t>
      </w:r>
      <w:r w:rsidRPr="009741DF">
        <w:rPr>
          <w:rFonts w:asciiTheme="majorHAnsi" w:hAnsiTheme="majorHAnsi"/>
          <w:sz w:val="20"/>
          <w:szCs w:val="20"/>
          <w:lang w:val="es-ES"/>
        </w:rPr>
        <w:t xml:space="preserve"> los hechos narrados </w:t>
      </w:r>
      <w:r w:rsidR="00AF1F06" w:rsidRPr="009741DF">
        <w:rPr>
          <w:rFonts w:asciiTheme="majorHAnsi" w:hAnsiTheme="majorHAnsi"/>
          <w:sz w:val="20"/>
          <w:szCs w:val="20"/>
          <w:lang w:val="es-ES"/>
        </w:rPr>
        <w:t>en</w:t>
      </w:r>
      <w:r w:rsidR="00272E80" w:rsidRPr="009741DF">
        <w:rPr>
          <w:rFonts w:asciiTheme="majorHAnsi" w:hAnsiTheme="majorHAnsi"/>
          <w:sz w:val="20"/>
          <w:szCs w:val="20"/>
          <w:lang w:val="es-ES"/>
        </w:rPr>
        <w:t xml:space="preserve"> los reclamos (b) y (c) </w:t>
      </w:r>
      <w:r w:rsidRPr="009741DF">
        <w:rPr>
          <w:rFonts w:asciiTheme="majorHAnsi" w:hAnsiTheme="majorHAnsi"/>
          <w:sz w:val="20"/>
          <w:szCs w:val="20"/>
          <w:lang w:val="es-ES"/>
        </w:rPr>
        <w:t>con</w:t>
      </w:r>
      <w:r w:rsidR="003B464B" w:rsidRPr="009741DF">
        <w:rPr>
          <w:rFonts w:asciiTheme="majorHAnsi" w:hAnsiTheme="majorHAnsi"/>
          <w:sz w:val="20"/>
          <w:szCs w:val="20"/>
          <w:lang w:val="es-ES"/>
        </w:rPr>
        <w:t>stituye</w:t>
      </w:r>
      <w:r w:rsidRPr="009741DF">
        <w:rPr>
          <w:rFonts w:asciiTheme="majorHAnsi" w:hAnsiTheme="majorHAnsi"/>
          <w:sz w:val="20"/>
          <w:szCs w:val="20"/>
          <w:lang w:val="es-ES"/>
        </w:rPr>
        <w:t>n</w:t>
      </w:r>
      <w:r w:rsidR="003B464B" w:rsidRPr="009741DF">
        <w:rPr>
          <w:rFonts w:asciiTheme="majorHAnsi" w:hAnsiTheme="majorHAnsi"/>
          <w:sz w:val="20"/>
          <w:szCs w:val="20"/>
          <w:lang w:val="es-ES"/>
        </w:rPr>
        <w:t xml:space="preserve"> una causal para la aplicación de la excepción al agotamiento de los recursos internos prevista en el artículo 46.2.c</w:t>
      </w:r>
      <w:r w:rsidR="006444C6" w:rsidRPr="009741DF">
        <w:rPr>
          <w:rFonts w:asciiTheme="majorHAnsi" w:hAnsiTheme="majorHAnsi"/>
          <w:sz w:val="20"/>
          <w:szCs w:val="20"/>
          <w:lang w:val="es-ES"/>
        </w:rPr>
        <w:t>)</w:t>
      </w:r>
      <w:r w:rsidR="003B464B" w:rsidRPr="009741DF">
        <w:rPr>
          <w:rFonts w:asciiTheme="majorHAnsi" w:hAnsiTheme="majorHAnsi"/>
          <w:sz w:val="20"/>
          <w:szCs w:val="20"/>
          <w:lang w:val="es-ES"/>
        </w:rPr>
        <w:t xml:space="preserve"> de la Convención Americana. En atención a estas consideraciones,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38A96CAC" w14:textId="7A36A0C2" w:rsidR="007B294A" w:rsidRPr="00823D62" w:rsidRDefault="007B294A" w:rsidP="00823D62">
      <w:pPr>
        <w:pStyle w:val="ListParagraph"/>
        <w:numPr>
          <w:ilvl w:val="0"/>
          <w:numId w:val="103"/>
        </w:numPr>
        <w:spacing w:before="240" w:after="240"/>
        <w:jc w:val="both"/>
        <w:rPr>
          <w:rFonts w:asciiTheme="majorHAnsi" w:hAnsiTheme="majorHAnsi"/>
          <w:iCs/>
          <w:sz w:val="20"/>
          <w:szCs w:val="20"/>
          <w:lang w:val="es-ES"/>
        </w:rPr>
      </w:pPr>
      <w:r w:rsidRPr="009741DF">
        <w:rPr>
          <w:rFonts w:asciiTheme="majorHAnsi" w:hAnsiTheme="majorHAnsi"/>
          <w:iCs/>
          <w:sz w:val="20"/>
          <w:szCs w:val="20"/>
          <w:lang w:val="es-ES"/>
        </w:rPr>
        <w:lastRenderedPageBreak/>
        <w:t>Con respecto al requisito del plazo razonable, de acuerdo con el artículo 46.2 de la Convención Americana el requisito específico del artículo</w:t>
      </w:r>
      <w:r w:rsidRPr="00823D62">
        <w:rPr>
          <w:rFonts w:asciiTheme="majorHAnsi" w:hAnsiTheme="majorHAnsi"/>
          <w:iCs/>
          <w:sz w:val="20"/>
          <w:szCs w:val="20"/>
          <w:lang w:val="es-ES"/>
        </w:rPr>
        <w:t xml:space="preserve"> 46.1.b)</w:t>
      </w:r>
      <w:r w:rsidRPr="00823D62">
        <w:rPr>
          <w:rStyle w:val="FootnoteReference"/>
          <w:rFonts w:asciiTheme="majorHAnsi" w:hAnsiTheme="majorHAnsi"/>
          <w:iCs/>
          <w:sz w:val="20"/>
          <w:szCs w:val="20"/>
          <w:lang w:val="es-ES"/>
        </w:rPr>
        <w:footnoteReference w:id="11"/>
      </w:r>
      <w:r w:rsidRPr="00823D62">
        <w:rPr>
          <w:rFonts w:asciiTheme="majorHAnsi" w:hAnsiTheme="majorHAnsi"/>
          <w:iCs/>
          <w:sz w:val="20"/>
          <w:szCs w:val="20"/>
          <w:lang w:val="es-ES"/>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Pr="00823D62">
        <w:rPr>
          <w:rFonts w:asciiTheme="majorHAnsi" w:hAnsiTheme="majorHAnsi"/>
          <w:i/>
          <w:sz w:val="20"/>
          <w:szCs w:val="20"/>
          <w:lang w:val="es-ES"/>
        </w:rPr>
        <w:t>“</w:t>
      </w:r>
      <w:r w:rsidR="005D4E6F" w:rsidRPr="00823D62">
        <w:rPr>
          <w:rFonts w:asciiTheme="majorHAnsi" w:hAnsiTheme="majorHAnsi"/>
          <w:i/>
          <w:sz w:val="20"/>
          <w:szCs w:val="20"/>
          <w:lang w:val="es-ES"/>
        </w:rPr>
        <w:t>l</w:t>
      </w:r>
      <w:r w:rsidRPr="00823D62">
        <w:rPr>
          <w:rFonts w:asciiTheme="majorHAnsi" w:hAnsiTheme="majorHAnsi"/>
          <w:i/>
          <w:sz w:val="20"/>
          <w:szCs w:val="20"/>
          <w:lang w:val="es-ES"/>
        </w:rPr>
        <w:t>a petición deberá presentarse dentro de un plazo razonable, a criterio de la Comisión. A tal efecto, la Comisión considerará la fecha en que haya ocurrido la presunta violación de los derechos y las circunstancias de cada caso</w:t>
      </w:r>
      <w:r w:rsidRPr="00823D62">
        <w:rPr>
          <w:rFonts w:asciiTheme="majorHAnsi" w:hAnsiTheme="majorHAnsi"/>
          <w:iCs/>
          <w:sz w:val="20"/>
          <w:szCs w:val="20"/>
          <w:lang w:val="es-ES"/>
        </w:rPr>
        <w:t xml:space="preserve">”. </w:t>
      </w:r>
    </w:p>
    <w:p w14:paraId="61ACBFAF" w14:textId="4523F4C2" w:rsidR="007B294A" w:rsidRPr="00823D62" w:rsidRDefault="007B294A" w:rsidP="00823D62">
      <w:pPr>
        <w:pStyle w:val="ListParagraph"/>
        <w:numPr>
          <w:ilvl w:val="0"/>
          <w:numId w:val="103"/>
        </w:numPr>
        <w:spacing w:before="240" w:after="240"/>
        <w:jc w:val="both"/>
        <w:rPr>
          <w:rFonts w:asciiTheme="majorHAnsi" w:hAnsiTheme="majorHAnsi"/>
          <w:iCs/>
          <w:sz w:val="20"/>
          <w:szCs w:val="20"/>
          <w:lang w:val="es-ES"/>
        </w:rPr>
      </w:pPr>
      <w:r w:rsidRPr="00823D62">
        <w:rPr>
          <w:rFonts w:asciiTheme="majorHAnsi" w:hAnsiTheme="majorHAnsi"/>
          <w:iCs/>
          <w:sz w:val="20"/>
          <w:szCs w:val="20"/>
          <w:lang w:val="es-ES"/>
        </w:rPr>
        <w:t>En el presente caso, la Comisión observa que</w:t>
      </w:r>
      <w:r w:rsidR="005542F0" w:rsidRPr="00823D62">
        <w:rPr>
          <w:rFonts w:asciiTheme="majorHAnsi" w:hAnsiTheme="majorHAnsi"/>
          <w:iCs/>
          <w:sz w:val="20"/>
          <w:szCs w:val="20"/>
          <w:lang w:val="es-ES"/>
        </w:rPr>
        <w:t xml:space="preserve"> los hechos denunciados habrían tenido su principio de ejecución en 2015;</w:t>
      </w:r>
      <w:r w:rsidRPr="00823D62">
        <w:rPr>
          <w:rFonts w:asciiTheme="majorHAnsi" w:hAnsiTheme="majorHAnsi"/>
          <w:iCs/>
          <w:sz w:val="20"/>
          <w:szCs w:val="20"/>
          <w:lang w:val="es-ES"/>
        </w:rPr>
        <w:t xml:space="preserve"> la petición fue recibida </w:t>
      </w:r>
      <w:r w:rsidR="005542F0" w:rsidRPr="00823D62">
        <w:rPr>
          <w:rFonts w:asciiTheme="majorHAnsi" w:hAnsiTheme="majorHAnsi"/>
          <w:iCs/>
          <w:sz w:val="20"/>
          <w:szCs w:val="20"/>
          <w:lang w:val="es-ES"/>
        </w:rPr>
        <w:t xml:space="preserve">en la CIDH </w:t>
      </w:r>
      <w:r w:rsidRPr="00823D62">
        <w:rPr>
          <w:rFonts w:asciiTheme="majorHAnsi" w:hAnsiTheme="majorHAnsi"/>
          <w:iCs/>
          <w:sz w:val="20"/>
          <w:szCs w:val="20"/>
          <w:lang w:val="es-ES"/>
        </w:rPr>
        <w:t>el 13 de noviembre de 2017</w:t>
      </w:r>
      <w:r w:rsidR="005542F0" w:rsidRPr="00823D62">
        <w:rPr>
          <w:rFonts w:asciiTheme="majorHAnsi" w:hAnsiTheme="majorHAnsi"/>
          <w:iCs/>
          <w:sz w:val="20"/>
          <w:szCs w:val="20"/>
          <w:lang w:val="es-ES"/>
        </w:rPr>
        <w:t>;</w:t>
      </w:r>
      <w:r w:rsidRPr="00823D62">
        <w:rPr>
          <w:rFonts w:asciiTheme="majorHAnsi" w:hAnsiTheme="majorHAnsi"/>
          <w:iCs/>
          <w:sz w:val="20"/>
          <w:szCs w:val="20"/>
          <w:lang w:val="es-ES"/>
        </w:rPr>
        <w:t xml:space="preserve"> y las consecuencias de estos se extenderían hasta el presente, por lo que en atención a todas estas consideraciones la Comisión considera que la presente petición fue presentada dentro de un plazo razonable en los términos del artículo 32.2 de la Convención Americana. </w:t>
      </w:r>
    </w:p>
    <w:p w14:paraId="4FFBE378" w14:textId="64322DE9" w:rsidR="003239B8" w:rsidRPr="00823D62" w:rsidRDefault="003239B8" w:rsidP="00823D62">
      <w:pPr>
        <w:pStyle w:val="ListParagraph"/>
        <w:spacing w:before="240" w:after="240"/>
        <w:jc w:val="both"/>
        <w:rPr>
          <w:rFonts w:asciiTheme="majorHAnsi" w:hAnsiTheme="majorHAnsi"/>
          <w:b/>
          <w:sz w:val="20"/>
          <w:szCs w:val="20"/>
          <w:lang w:val="es-ES"/>
        </w:rPr>
      </w:pPr>
      <w:r w:rsidRPr="00823D62">
        <w:rPr>
          <w:rFonts w:asciiTheme="majorHAnsi" w:hAnsiTheme="majorHAnsi"/>
          <w:b/>
          <w:bCs/>
          <w:sz w:val="20"/>
          <w:szCs w:val="20"/>
          <w:lang w:val="es-ES"/>
        </w:rPr>
        <w:t>VII.</w:t>
      </w:r>
      <w:r w:rsidRPr="00823D62">
        <w:rPr>
          <w:rFonts w:asciiTheme="majorHAnsi" w:hAnsiTheme="majorHAnsi"/>
          <w:b/>
          <w:bCs/>
          <w:sz w:val="20"/>
          <w:szCs w:val="20"/>
          <w:lang w:val="es-ES"/>
        </w:rPr>
        <w:tab/>
      </w:r>
      <w:r w:rsidR="004A6A54" w:rsidRPr="00823D62">
        <w:rPr>
          <w:rFonts w:asciiTheme="majorHAnsi" w:hAnsiTheme="majorHAnsi"/>
          <w:b/>
          <w:bCs/>
          <w:sz w:val="20"/>
          <w:szCs w:val="20"/>
          <w:lang w:val="es-ES"/>
        </w:rPr>
        <w:t xml:space="preserve">ANÁLISIS DE </w:t>
      </w:r>
      <w:r w:rsidR="00C21FEF" w:rsidRPr="00823D62">
        <w:rPr>
          <w:rFonts w:asciiTheme="majorHAnsi" w:hAnsiTheme="majorHAnsi"/>
          <w:b/>
          <w:bCs/>
          <w:sz w:val="20"/>
          <w:szCs w:val="20"/>
          <w:lang w:val="es-ES"/>
        </w:rPr>
        <w:t>CARACTERIZACIÓN DE LOS HECHOS ALEGADOS</w:t>
      </w:r>
    </w:p>
    <w:p w14:paraId="0C2CAC08" w14:textId="77777777" w:rsidR="007B294A" w:rsidRPr="00823D62" w:rsidRDefault="007B294A" w:rsidP="00823D62">
      <w:pPr>
        <w:pStyle w:val="ListParagraph"/>
        <w:numPr>
          <w:ilvl w:val="0"/>
          <w:numId w:val="103"/>
        </w:numPr>
        <w:suppressAutoHyphens/>
        <w:spacing w:before="240" w:after="240"/>
        <w:jc w:val="both"/>
        <w:rPr>
          <w:rFonts w:asciiTheme="majorHAnsi" w:hAnsiTheme="majorHAnsi" w:cs="Calibri"/>
          <w:sz w:val="20"/>
          <w:szCs w:val="20"/>
          <w:lang w:val="es-ES"/>
        </w:rPr>
      </w:pPr>
      <w:r w:rsidRPr="00823D62">
        <w:rPr>
          <w:rFonts w:asciiTheme="majorHAnsi" w:hAnsiTheme="majorHAnsi"/>
          <w:sz w:val="20"/>
          <w:szCs w:val="20"/>
          <w:lang w:val="es-ES"/>
        </w:rPr>
        <w:t xml:space="preserve">La Comisión recuerda que </w:t>
      </w:r>
      <w:r w:rsidRPr="00823D62">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823D62">
        <w:rPr>
          <w:rFonts w:asciiTheme="majorHAnsi" w:hAnsiTheme="majorHAnsi" w:cs="Calibri"/>
          <w:i/>
          <w:iCs/>
          <w:sz w:val="20"/>
          <w:szCs w:val="20"/>
          <w:lang w:val="es-ES"/>
        </w:rPr>
        <w:t>prima facie</w:t>
      </w:r>
      <w:r w:rsidRPr="00823D62">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823D62">
        <w:rPr>
          <w:rStyle w:val="FootnoteReference"/>
          <w:rFonts w:asciiTheme="majorHAnsi" w:hAnsiTheme="majorHAnsi" w:cs="Calibri"/>
          <w:sz w:val="20"/>
          <w:szCs w:val="20"/>
          <w:lang w:val="es-ES"/>
        </w:rPr>
        <w:footnoteReference w:id="12"/>
      </w:r>
      <w:r w:rsidRPr="00823D62">
        <w:rPr>
          <w:rFonts w:asciiTheme="majorHAnsi" w:hAnsiTheme="majorHAnsi" w:cs="Calibri"/>
          <w:sz w:val="20"/>
          <w:szCs w:val="20"/>
          <w:lang w:val="es-ES"/>
        </w:rPr>
        <w:t xml:space="preserve">. </w:t>
      </w:r>
    </w:p>
    <w:p w14:paraId="58D02FF3" w14:textId="1A9E07EE" w:rsidR="007B294A" w:rsidRPr="00823D62" w:rsidRDefault="007B294A" w:rsidP="00823D62">
      <w:pPr>
        <w:pStyle w:val="ListParagraph"/>
        <w:numPr>
          <w:ilvl w:val="0"/>
          <w:numId w:val="103"/>
        </w:numPr>
        <w:suppressAutoHyphens/>
        <w:spacing w:before="240" w:after="240"/>
        <w:jc w:val="both"/>
        <w:rPr>
          <w:rFonts w:asciiTheme="majorHAnsi" w:hAnsiTheme="majorHAnsi" w:cs="Calibri"/>
          <w:sz w:val="20"/>
          <w:szCs w:val="20"/>
          <w:lang w:val="es-ES"/>
        </w:rPr>
      </w:pPr>
      <w:r w:rsidRPr="00823D62">
        <w:rPr>
          <w:rFonts w:asciiTheme="majorHAnsi" w:hAnsiTheme="majorHAnsi" w:cs="Calibri"/>
          <w:sz w:val="20"/>
          <w:szCs w:val="20"/>
          <w:lang w:val="es-ES"/>
        </w:rPr>
        <w:t>La CIDH observa que las condiciones</w:t>
      </w:r>
      <w:r w:rsidR="004D71E0" w:rsidRPr="00823D62">
        <w:rPr>
          <w:rFonts w:asciiTheme="majorHAnsi" w:hAnsiTheme="majorHAnsi" w:cs="Calibri"/>
          <w:sz w:val="20"/>
          <w:szCs w:val="20"/>
          <w:lang w:val="es-ES"/>
        </w:rPr>
        <w:t xml:space="preserve"> en las</w:t>
      </w:r>
      <w:r w:rsidRPr="00823D62">
        <w:rPr>
          <w:rFonts w:asciiTheme="majorHAnsi" w:hAnsiTheme="majorHAnsi" w:cs="Calibri"/>
          <w:sz w:val="20"/>
          <w:szCs w:val="20"/>
          <w:lang w:val="es-ES"/>
        </w:rPr>
        <w:t xml:space="preserve"> que se tiene privado de la libertad al Sr. Gómez ha</w:t>
      </w:r>
      <w:r w:rsidR="00606D6E" w:rsidRPr="00823D62">
        <w:rPr>
          <w:rFonts w:asciiTheme="majorHAnsi" w:hAnsiTheme="majorHAnsi" w:cs="Calibri"/>
          <w:sz w:val="20"/>
          <w:szCs w:val="20"/>
          <w:lang w:val="es-ES"/>
        </w:rPr>
        <w:t>n</w:t>
      </w:r>
      <w:r w:rsidRPr="00823D62">
        <w:rPr>
          <w:rFonts w:asciiTheme="majorHAnsi" w:hAnsiTheme="majorHAnsi" w:cs="Calibri"/>
          <w:sz w:val="20"/>
          <w:szCs w:val="20"/>
          <w:lang w:val="es-ES"/>
        </w:rPr>
        <w:t xml:space="preserve"> sido contrarias a la dignidad humana de la presunta víctima, debido a algunos daños físicos sufridos bajo la custodia de las autoridades penitenciarias y el daño psicológico</w:t>
      </w:r>
      <w:r w:rsidR="00C847A1" w:rsidRPr="00823D62">
        <w:rPr>
          <w:rFonts w:asciiTheme="majorHAnsi" w:hAnsiTheme="majorHAnsi" w:cs="Calibri"/>
          <w:sz w:val="20"/>
          <w:szCs w:val="20"/>
          <w:lang w:val="es-ES"/>
        </w:rPr>
        <w:t xml:space="preserve"> alegadamente sufrido por el</w:t>
      </w:r>
      <w:r w:rsidRPr="00823D62">
        <w:rPr>
          <w:rFonts w:asciiTheme="majorHAnsi" w:hAnsiTheme="majorHAnsi" w:cs="Calibri"/>
          <w:sz w:val="20"/>
          <w:szCs w:val="20"/>
          <w:lang w:val="es-ES"/>
        </w:rPr>
        <w:t xml:space="preserve"> Sr. Gómez</w:t>
      </w:r>
      <w:r w:rsidR="00C847A1" w:rsidRPr="00823D62">
        <w:rPr>
          <w:rFonts w:asciiTheme="majorHAnsi" w:hAnsiTheme="majorHAnsi" w:cs="Calibri"/>
          <w:sz w:val="20"/>
          <w:szCs w:val="20"/>
          <w:lang w:val="es-ES"/>
        </w:rPr>
        <w:t>.</w:t>
      </w:r>
      <w:r w:rsidRPr="00823D62">
        <w:rPr>
          <w:rFonts w:asciiTheme="majorHAnsi" w:hAnsiTheme="majorHAnsi" w:cs="Calibri"/>
          <w:sz w:val="20"/>
          <w:szCs w:val="20"/>
          <w:lang w:val="es-ES"/>
        </w:rPr>
        <w:t xml:space="preserve"> La Corte Interamericana ha señalado que una persona ilegalmente detenida se encuentra en una situación de vulnerabilidad, de la cual surge un riesgo de que se le vulneren otros derechos, como el derecho a la integridad física y a ser tratada con dignidad</w:t>
      </w:r>
      <w:r w:rsidRPr="00823D62">
        <w:rPr>
          <w:rStyle w:val="FootnoteReference"/>
          <w:rFonts w:asciiTheme="majorHAnsi" w:hAnsiTheme="majorHAnsi" w:cs="Calibri"/>
          <w:sz w:val="20"/>
          <w:szCs w:val="20"/>
          <w:lang w:val="es-ES"/>
        </w:rPr>
        <w:footnoteReference w:id="13"/>
      </w:r>
      <w:r w:rsidRPr="00823D62">
        <w:rPr>
          <w:rFonts w:asciiTheme="majorHAnsi" w:hAnsiTheme="majorHAnsi" w:cs="Calibri"/>
          <w:sz w:val="20"/>
          <w:szCs w:val="20"/>
          <w:lang w:val="es-ES"/>
        </w:rPr>
        <w:t>.</w:t>
      </w:r>
    </w:p>
    <w:p w14:paraId="182CBB2B" w14:textId="33744E67" w:rsidR="007B294A" w:rsidRPr="00F1609E" w:rsidRDefault="007B294A" w:rsidP="00823D62">
      <w:pPr>
        <w:pStyle w:val="ListParagraph"/>
        <w:numPr>
          <w:ilvl w:val="0"/>
          <w:numId w:val="103"/>
        </w:numPr>
        <w:spacing w:before="240" w:after="240"/>
        <w:jc w:val="both"/>
        <w:rPr>
          <w:rFonts w:asciiTheme="majorHAnsi" w:hAnsiTheme="majorHAnsi" w:cstheme="majorHAnsi"/>
          <w:sz w:val="20"/>
          <w:szCs w:val="20"/>
          <w:lang w:val="es-ES"/>
        </w:rPr>
      </w:pPr>
      <w:r w:rsidRPr="00823D62">
        <w:rPr>
          <w:rFonts w:asciiTheme="majorHAnsi" w:hAnsiTheme="majorHAnsi" w:cstheme="majorHAnsi"/>
          <w:sz w:val="20"/>
          <w:szCs w:val="20"/>
          <w:lang w:val="es-ES"/>
        </w:rPr>
        <w:t>La CIDH estima que el Sr. Gómez ha estado privado de su libertad por un periodo de tiempo excesivo</w:t>
      </w:r>
      <w:r w:rsidR="00295106" w:rsidRPr="00823D62">
        <w:rPr>
          <w:rFonts w:asciiTheme="majorHAnsi" w:hAnsiTheme="majorHAnsi" w:cstheme="majorHAnsi"/>
          <w:sz w:val="20"/>
          <w:szCs w:val="20"/>
          <w:lang w:val="es-ES"/>
        </w:rPr>
        <w:t xml:space="preserve"> como consecuencia de un retardo en el proceso </w:t>
      </w:r>
      <w:r w:rsidR="004D71E0" w:rsidRPr="00823D62">
        <w:rPr>
          <w:rFonts w:asciiTheme="majorHAnsi" w:hAnsiTheme="majorHAnsi" w:cstheme="majorHAnsi"/>
          <w:sz w:val="20"/>
          <w:szCs w:val="20"/>
          <w:lang w:val="es-ES"/>
        </w:rPr>
        <w:t>penal</w:t>
      </w:r>
      <w:r w:rsidR="00295106" w:rsidRPr="00823D62">
        <w:rPr>
          <w:rFonts w:asciiTheme="majorHAnsi" w:hAnsiTheme="majorHAnsi" w:cstheme="majorHAnsi"/>
          <w:sz w:val="20"/>
          <w:szCs w:val="20"/>
          <w:lang w:val="es-ES"/>
        </w:rPr>
        <w:t>, lo que ha generado que la presunta víctima lleve cerca de ocho año</w:t>
      </w:r>
      <w:r w:rsidR="004D71E0" w:rsidRPr="00823D62">
        <w:rPr>
          <w:rFonts w:asciiTheme="majorHAnsi" w:hAnsiTheme="majorHAnsi" w:cstheme="majorHAnsi"/>
          <w:sz w:val="20"/>
          <w:szCs w:val="20"/>
          <w:lang w:val="es-ES"/>
        </w:rPr>
        <w:t>s detenido</w:t>
      </w:r>
      <w:r w:rsidR="00295106" w:rsidRPr="00823D62">
        <w:rPr>
          <w:rFonts w:asciiTheme="majorHAnsi" w:hAnsiTheme="majorHAnsi" w:cstheme="majorHAnsi"/>
          <w:sz w:val="20"/>
          <w:szCs w:val="20"/>
          <w:lang w:val="es-ES"/>
        </w:rPr>
        <w:t>.</w:t>
      </w:r>
      <w:r w:rsidRPr="00823D62">
        <w:rPr>
          <w:rFonts w:asciiTheme="majorHAnsi" w:hAnsiTheme="majorHAnsi" w:cstheme="majorHAnsi"/>
          <w:sz w:val="20"/>
          <w:szCs w:val="20"/>
          <w:lang w:val="es-ES"/>
        </w:rPr>
        <w:t xml:space="preserve"> E</w:t>
      </w:r>
      <w:r w:rsidRPr="00823D62">
        <w:rPr>
          <w:rFonts w:asciiTheme="majorHAnsi" w:hAnsiTheme="majorHAnsi"/>
          <w:sz w:val="20"/>
          <w:szCs w:val="20"/>
          <w:lang w:val="es-ES"/>
        </w:rPr>
        <w:t>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w:t>
      </w:r>
      <w:r w:rsidRPr="00823D62">
        <w:rPr>
          <w:rStyle w:val="FootnoteReference"/>
          <w:rFonts w:asciiTheme="majorHAnsi" w:hAnsiTheme="majorHAnsi"/>
          <w:sz w:val="20"/>
          <w:szCs w:val="20"/>
          <w:lang w:val="es-ES"/>
        </w:rPr>
        <w:footnoteReference w:id="14"/>
      </w:r>
      <w:r w:rsidRPr="00823D62">
        <w:rPr>
          <w:rFonts w:asciiTheme="majorHAnsi" w:hAnsiTheme="majorHAnsi"/>
          <w:sz w:val="20"/>
          <w:szCs w:val="20"/>
          <w:lang w:val="es-ES"/>
        </w:rPr>
        <w:t>. En atención a la necesidad de garantizar los derechos de las personas perjudicadas, una demora prolongada puede llegar a constituir, por sí misma, una violación de las garantías judiciales</w:t>
      </w:r>
      <w:r w:rsidRPr="00823D62">
        <w:rPr>
          <w:rStyle w:val="FootnoteReference"/>
          <w:rFonts w:asciiTheme="majorHAnsi" w:hAnsiTheme="majorHAnsi"/>
          <w:sz w:val="20"/>
          <w:szCs w:val="20"/>
          <w:lang w:val="es-ES"/>
        </w:rPr>
        <w:footnoteReference w:id="15"/>
      </w:r>
      <w:r w:rsidRPr="00823D62">
        <w:rPr>
          <w:rFonts w:asciiTheme="majorHAnsi" w:hAnsiTheme="majorHAnsi"/>
          <w:sz w:val="20"/>
          <w:szCs w:val="20"/>
          <w:lang w:val="es-ES"/>
        </w:rPr>
        <w:t xml:space="preserve">. Todos estos, aspectos que </w:t>
      </w:r>
      <w:r w:rsidRPr="00823D62">
        <w:rPr>
          <w:rFonts w:asciiTheme="majorHAnsi" w:hAnsiTheme="majorHAnsi"/>
          <w:i/>
          <w:iCs/>
          <w:sz w:val="20"/>
          <w:szCs w:val="20"/>
          <w:lang w:val="es-ES"/>
        </w:rPr>
        <w:t>prima facie</w:t>
      </w:r>
      <w:r w:rsidRPr="00823D62">
        <w:rPr>
          <w:rFonts w:asciiTheme="majorHAnsi" w:hAnsiTheme="majorHAnsi"/>
          <w:sz w:val="20"/>
          <w:szCs w:val="20"/>
          <w:lang w:val="es-ES"/>
        </w:rPr>
        <w:t xml:space="preserve"> se presentan como potenciales violaciones a los derechos convencionales de la presunta víctima que ameritan de un estudio de fondo por parte la CIDH.</w:t>
      </w:r>
    </w:p>
    <w:p w14:paraId="6D09CB71" w14:textId="77777777" w:rsidR="00F1609E" w:rsidRPr="00823D62" w:rsidRDefault="00F1609E" w:rsidP="00F1609E">
      <w:pPr>
        <w:pStyle w:val="ListParagraph"/>
        <w:spacing w:before="240" w:after="240"/>
        <w:jc w:val="both"/>
        <w:rPr>
          <w:rFonts w:asciiTheme="majorHAnsi" w:hAnsiTheme="majorHAnsi" w:cstheme="majorHAnsi"/>
          <w:sz w:val="20"/>
          <w:szCs w:val="20"/>
          <w:lang w:val="es-ES"/>
        </w:rPr>
      </w:pPr>
    </w:p>
    <w:p w14:paraId="6F1F2072" w14:textId="3FA33B00" w:rsidR="007B294A" w:rsidRPr="00823D62" w:rsidRDefault="00295106" w:rsidP="00823D62">
      <w:pPr>
        <w:pStyle w:val="ListParagraph"/>
        <w:numPr>
          <w:ilvl w:val="0"/>
          <w:numId w:val="103"/>
        </w:numPr>
        <w:suppressAutoHyphens/>
        <w:spacing w:before="240" w:after="240"/>
        <w:jc w:val="both"/>
        <w:rPr>
          <w:rFonts w:asciiTheme="majorHAnsi" w:hAnsiTheme="majorHAnsi" w:cs="Calibri"/>
          <w:sz w:val="20"/>
          <w:szCs w:val="20"/>
          <w:lang w:val="es-ES"/>
        </w:rPr>
      </w:pPr>
      <w:r w:rsidRPr="00823D62">
        <w:rPr>
          <w:rFonts w:asciiTheme="majorHAnsi" w:hAnsiTheme="majorHAnsi" w:cs="Calibri"/>
          <w:sz w:val="20"/>
          <w:szCs w:val="20"/>
          <w:lang w:val="es-ES"/>
        </w:rPr>
        <w:lastRenderedPageBreak/>
        <w:t>La Comisión en su informe del año 2017 sobre la situación de derechos humanos en Guatemala observó que el sistema penitenciario guatemalteco se caracteriza por el hacinamiento, el uso excesivo de la prisión preventiva, y el retraso de la justicia</w:t>
      </w:r>
      <w:r w:rsidRPr="00823D62">
        <w:rPr>
          <w:rStyle w:val="FootnoteReference"/>
          <w:rFonts w:asciiTheme="majorHAnsi" w:hAnsiTheme="majorHAnsi" w:cs="Calibri"/>
          <w:sz w:val="20"/>
          <w:szCs w:val="20"/>
          <w:lang w:val="es-ES"/>
        </w:rPr>
        <w:footnoteReference w:id="16"/>
      </w:r>
      <w:r w:rsidRPr="00823D62">
        <w:rPr>
          <w:rFonts w:asciiTheme="majorHAnsi" w:hAnsiTheme="majorHAnsi" w:cs="Calibri"/>
          <w:sz w:val="20"/>
          <w:szCs w:val="20"/>
          <w:lang w:val="es-ES"/>
        </w:rPr>
        <w:t>. A ello se suma la información recibida sobre el uso injustificado de tipificaciones penales como “asociación ilícita”</w:t>
      </w:r>
      <w:r w:rsidR="009E541D" w:rsidRPr="00823D62">
        <w:rPr>
          <w:rFonts w:asciiTheme="majorHAnsi" w:hAnsiTheme="majorHAnsi" w:cs="Calibri"/>
          <w:sz w:val="20"/>
          <w:szCs w:val="20"/>
          <w:lang w:val="es-ES"/>
        </w:rPr>
        <w:t xml:space="preserve"> el cual no cuenta con medidas sustitutivas a la prisión preventiva</w:t>
      </w:r>
      <w:r w:rsidR="009E541D" w:rsidRPr="00823D62">
        <w:rPr>
          <w:rStyle w:val="FootnoteReference"/>
          <w:rFonts w:asciiTheme="majorHAnsi" w:hAnsiTheme="majorHAnsi" w:cs="Calibri"/>
          <w:sz w:val="20"/>
          <w:szCs w:val="20"/>
          <w:lang w:val="es-ES"/>
        </w:rPr>
        <w:footnoteReference w:id="17"/>
      </w:r>
      <w:r w:rsidR="009E541D" w:rsidRPr="00823D62">
        <w:rPr>
          <w:rFonts w:asciiTheme="majorHAnsi" w:hAnsiTheme="majorHAnsi" w:cs="Calibri"/>
          <w:sz w:val="20"/>
          <w:szCs w:val="20"/>
          <w:lang w:val="es-ES"/>
        </w:rPr>
        <w:t xml:space="preserve">. </w:t>
      </w:r>
      <w:r w:rsidR="0062325D" w:rsidRPr="00823D62">
        <w:rPr>
          <w:rFonts w:asciiTheme="majorHAnsi" w:hAnsiTheme="majorHAnsi" w:cs="Calibri"/>
          <w:sz w:val="20"/>
          <w:szCs w:val="20"/>
          <w:lang w:val="es-ES"/>
        </w:rPr>
        <w:t>Finalmente,</w:t>
      </w:r>
      <w:r w:rsidR="009E541D" w:rsidRPr="00823D62">
        <w:rPr>
          <w:rFonts w:asciiTheme="majorHAnsi" w:hAnsiTheme="majorHAnsi" w:cs="Calibri"/>
          <w:sz w:val="20"/>
          <w:szCs w:val="20"/>
          <w:lang w:val="es-ES"/>
        </w:rPr>
        <w:t xml:space="preserve"> la CIDH indicó que el hecho de que más del 50% de las personas que se encuentran privadas de la libertad bajo el régimen de prisión preventiva refleja que esta medida se aplica de manera contraria a la excepcionalidad que exige su naturaleza</w:t>
      </w:r>
      <w:r w:rsidR="009E541D" w:rsidRPr="00823D62">
        <w:rPr>
          <w:rStyle w:val="FootnoteReference"/>
          <w:rFonts w:asciiTheme="majorHAnsi" w:hAnsiTheme="majorHAnsi" w:cs="Calibri"/>
          <w:sz w:val="20"/>
          <w:szCs w:val="20"/>
          <w:lang w:val="es-ES"/>
        </w:rPr>
        <w:footnoteReference w:id="18"/>
      </w:r>
      <w:r w:rsidR="009E541D" w:rsidRPr="00823D62">
        <w:rPr>
          <w:rFonts w:asciiTheme="majorHAnsi" w:hAnsiTheme="majorHAnsi" w:cs="Calibri"/>
          <w:sz w:val="20"/>
          <w:szCs w:val="20"/>
          <w:lang w:val="es-ES"/>
        </w:rPr>
        <w:t>.</w:t>
      </w:r>
    </w:p>
    <w:p w14:paraId="2F6ED6F2" w14:textId="438D675C" w:rsidR="007B294A" w:rsidRPr="00823D62" w:rsidRDefault="007B294A"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El Estado alega la fórmula de la cuarta instancia</w:t>
      </w:r>
      <w:r w:rsidR="005F14B9" w:rsidRPr="00823D62">
        <w:rPr>
          <w:rFonts w:asciiTheme="majorHAnsi" w:hAnsiTheme="majorHAnsi"/>
          <w:sz w:val="20"/>
          <w:szCs w:val="20"/>
          <w:lang w:val="es-ES"/>
        </w:rPr>
        <w:t>,</w:t>
      </w:r>
      <w:r w:rsidRPr="00823D62">
        <w:rPr>
          <w:rFonts w:asciiTheme="majorHAnsi" w:hAnsiTheme="majorHAnsi"/>
          <w:sz w:val="20"/>
          <w:szCs w:val="20"/>
          <w:lang w:val="es-ES"/>
        </w:rPr>
        <w:t xml:space="preserve"> sostiene que el peticionario al no haber obtenido la resolución que buscaba ante los órganos </w:t>
      </w:r>
      <w:r w:rsidR="001E4C93" w:rsidRPr="00823D62">
        <w:rPr>
          <w:rFonts w:asciiTheme="majorHAnsi" w:hAnsiTheme="majorHAnsi"/>
          <w:sz w:val="20"/>
          <w:szCs w:val="20"/>
          <w:lang w:val="es-ES"/>
        </w:rPr>
        <w:t>nacionales</w:t>
      </w:r>
      <w:r w:rsidRPr="00823D62">
        <w:rPr>
          <w:rFonts w:asciiTheme="majorHAnsi" w:hAnsiTheme="majorHAnsi"/>
          <w:sz w:val="20"/>
          <w:szCs w:val="20"/>
          <w:lang w:val="es-ES"/>
        </w:rPr>
        <w:t xml:space="preserve"> pretende utilizar el Sistema Interamericano como una instancia revisora para obtener resultados favorables. En igual sentido señala que el peticionario no puede recurrir al SIDH con la finalidad de solicitar la restitución de una posible violación de derechos humanos cuando voluntariamente decidió </w:t>
      </w:r>
      <w:r w:rsidR="001E4C93" w:rsidRPr="00823D62">
        <w:rPr>
          <w:rFonts w:asciiTheme="majorHAnsi" w:hAnsiTheme="majorHAnsi"/>
          <w:sz w:val="20"/>
          <w:szCs w:val="20"/>
          <w:lang w:val="es-ES"/>
        </w:rPr>
        <w:t xml:space="preserve">no </w:t>
      </w:r>
      <w:r w:rsidRPr="00823D62">
        <w:rPr>
          <w:rFonts w:asciiTheme="majorHAnsi" w:hAnsiTheme="majorHAnsi"/>
          <w:sz w:val="20"/>
          <w:szCs w:val="20"/>
          <w:lang w:val="es-ES"/>
        </w:rPr>
        <w:t xml:space="preserve">utilizar los recursos idóneos y efectivos. </w:t>
      </w:r>
      <w:r w:rsidR="0062325D" w:rsidRPr="00823D62">
        <w:rPr>
          <w:rFonts w:asciiTheme="majorHAnsi" w:hAnsiTheme="majorHAnsi"/>
          <w:sz w:val="20"/>
          <w:szCs w:val="20"/>
          <w:lang w:val="es-ES"/>
        </w:rPr>
        <w:t>Además,</w:t>
      </w:r>
      <w:r w:rsidRPr="00823D62">
        <w:rPr>
          <w:rFonts w:asciiTheme="majorHAnsi" w:hAnsiTheme="majorHAnsi"/>
          <w:sz w:val="20"/>
          <w:szCs w:val="20"/>
          <w:lang w:val="es-ES"/>
        </w:rPr>
        <w:t xml:space="preserve"> sostiene que no se acreditó la violación al debido proceso o alguna garantía procesal, por lo que la CIDH estaría imposibilitada para revisar las actuaciones de los órganos jurisdiccionales dentro del proceso penal, caso contrario se estaría convirtiendo en un tribunal de alzada. </w:t>
      </w:r>
    </w:p>
    <w:p w14:paraId="55F39CD7" w14:textId="77777777" w:rsidR="007B294A" w:rsidRPr="00823D62" w:rsidRDefault="007B294A" w:rsidP="00823D62">
      <w:pPr>
        <w:pStyle w:val="ListParagraph"/>
        <w:numPr>
          <w:ilvl w:val="0"/>
          <w:numId w:val="103"/>
        </w:numP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Finalmente, y 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 …]”</w:t>
      </w:r>
      <w:r w:rsidRPr="00823D62">
        <w:rPr>
          <w:rStyle w:val="FootnoteReference"/>
          <w:rFonts w:asciiTheme="majorHAnsi" w:hAnsiTheme="majorHAnsi"/>
          <w:sz w:val="20"/>
          <w:szCs w:val="20"/>
          <w:lang w:val="es-ES"/>
        </w:rPr>
        <w:footnoteReference w:id="19"/>
      </w:r>
      <w:r w:rsidRPr="00823D62">
        <w:rPr>
          <w:rFonts w:asciiTheme="majorHAnsi" w:hAnsiTheme="majorHAnsi"/>
          <w:sz w:val="20"/>
          <w:szCs w:val="20"/>
          <w:lang w:val="es-ES"/>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Pr="00823D62">
        <w:rPr>
          <w:rFonts w:asciiTheme="majorHAnsi" w:hAnsiTheme="majorHAnsi"/>
          <w:sz w:val="20"/>
          <w:szCs w:val="20"/>
          <w:vertAlign w:val="superscript"/>
          <w:lang w:val="es-ES"/>
        </w:rPr>
        <w:t xml:space="preserve"> </w:t>
      </w:r>
      <w:r w:rsidRPr="00823D62">
        <w:rPr>
          <w:rFonts w:asciiTheme="majorHAnsi" w:hAnsiTheme="majorHAnsi"/>
          <w:sz w:val="20"/>
          <w:szCs w:val="20"/>
          <w:vertAlign w:val="superscript"/>
          <w:lang w:val="es-ES"/>
        </w:rPr>
        <w:footnoteReference w:id="20"/>
      </w:r>
      <w:r w:rsidRPr="00823D62">
        <w:rPr>
          <w:rFonts w:asciiTheme="majorHAnsi" w:hAnsiTheme="majorHAnsi"/>
          <w:sz w:val="20"/>
          <w:szCs w:val="20"/>
          <w:lang w:val="es-ES"/>
        </w:rPr>
        <w:t>.  Asimismo, le corresponde examinar “si las actuaciones de órganos judiciales constituyen o no una violación de las obligaciones internacionales del Estado, [lo cual]puede conducir a que […] deba ocuparse de examinar los respectivos procesos internos para establecer su compatibilidad con la Convención Americana”</w:t>
      </w:r>
      <w:r w:rsidRPr="00823D62">
        <w:rPr>
          <w:rFonts w:asciiTheme="majorHAnsi" w:hAnsiTheme="majorHAnsi"/>
          <w:sz w:val="20"/>
          <w:szCs w:val="20"/>
          <w:vertAlign w:val="superscript"/>
          <w:lang w:val="es-ES"/>
        </w:rPr>
        <w:footnoteReference w:id="21"/>
      </w:r>
      <w:r w:rsidRPr="00823D62">
        <w:rPr>
          <w:rFonts w:asciiTheme="majorHAnsi" w:hAnsiTheme="majorHAnsi"/>
          <w:sz w:val="20"/>
          <w:szCs w:val="20"/>
          <w:lang w:val="es-ES"/>
        </w:rPr>
        <w:t xml:space="preserve">. En este sentido, el análisis sobre si el Estado incurrió en violaciones a la Convención Americana es una cuestión que corresponde ser decidida en el fondo del presente asunto. </w:t>
      </w:r>
    </w:p>
    <w:p w14:paraId="7DD4BF84" w14:textId="77777777" w:rsidR="007B294A" w:rsidRPr="00823D62" w:rsidRDefault="007B294A" w:rsidP="00823D62">
      <w:pPr>
        <w:pStyle w:val="ListParagraph"/>
        <w:numPr>
          <w:ilvl w:val="0"/>
          <w:numId w:val="103"/>
        </w:numPr>
        <w:spacing w:before="240" w:after="240"/>
        <w:contextualSpacing/>
        <w:jc w:val="both"/>
        <w:rPr>
          <w:rFonts w:asciiTheme="majorHAnsi" w:hAnsiTheme="majorHAnsi" w:cs="Calibri"/>
          <w:sz w:val="20"/>
          <w:szCs w:val="20"/>
          <w:lang w:val="es-ES"/>
        </w:rPr>
      </w:pPr>
      <w:r w:rsidRPr="00823D62">
        <w:rPr>
          <w:rFonts w:asciiTheme="majorHAnsi" w:hAnsiTheme="majorHAnsi"/>
          <w:sz w:val="20"/>
          <w:szCs w:val="20"/>
          <w:lang w:val="es-ES"/>
        </w:rPr>
        <w:t xml:space="preserve">En este sentido, la CIDH 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 </w:t>
      </w:r>
      <w:r w:rsidRPr="00823D62">
        <w:rPr>
          <w:rFonts w:asciiTheme="majorHAnsi" w:hAnsiTheme="majorHAnsi" w:cs="Calibri"/>
          <w:sz w:val="20"/>
          <w:szCs w:val="20"/>
          <w:lang w:val="es-ES"/>
        </w:rPr>
        <w:t xml:space="preserve">Por lo tanto, el hecho que la presunta víctima alegue ser inocente o solicite a la CIDH que revise las pruebas presentadas en los procesos judiciales internos, no implica </w:t>
      </w:r>
      <w:r w:rsidRPr="00823D62">
        <w:rPr>
          <w:rFonts w:asciiTheme="majorHAnsi" w:hAnsiTheme="majorHAnsi" w:cs="Calibri"/>
          <w:i/>
          <w:sz w:val="20"/>
          <w:szCs w:val="20"/>
          <w:lang w:val="es-ES"/>
        </w:rPr>
        <w:t>per se</w:t>
      </w:r>
      <w:r w:rsidRPr="00823D62">
        <w:rPr>
          <w:rFonts w:asciiTheme="majorHAnsi" w:hAnsiTheme="majorHAnsi" w:cs="Calibri"/>
          <w:sz w:val="20"/>
          <w:szCs w:val="20"/>
          <w:lang w:val="es-ES"/>
        </w:rPr>
        <w:t xml:space="preserve"> que la petición sea inadmisible o que la Comisión no sea competente para pronunciarse respecto de la misma. Esto, dado que el análisis realizado por la Comisión se centra en si, en el marco del proceso penal, se respetaron las garantías al debido proceso y a la protección judicial establecidas en la Convención Americana u otros instrumentos aplicables. Es decir, este análisis es objetivo, y se realiza a la </w:t>
      </w:r>
      <w:r w:rsidRPr="00823D62">
        <w:rPr>
          <w:rFonts w:asciiTheme="majorHAnsi" w:hAnsiTheme="majorHAnsi" w:cs="Calibri"/>
          <w:sz w:val="20"/>
          <w:szCs w:val="20"/>
          <w:lang w:val="es-ES"/>
        </w:rPr>
        <w:lastRenderedPageBreak/>
        <w:t>luz de los estándares y normas pertinentes del derecho internacional de los derechos humanos, y como tal abarca la actuación de cualquier autoridad pública, incluidos los operadores de justicia.</w:t>
      </w:r>
    </w:p>
    <w:p w14:paraId="0D524F5C" w14:textId="1AA156D2" w:rsidR="00A11E44" w:rsidRPr="00823D62" w:rsidRDefault="008C5E2D" w:rsidP="00823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En aten</w:t>
      </w:r>
      <w:r w:rsidR="00C25ADB" w:rsidRPr="00823D62">
        <w:rPr>
          <w:rFonts w:asciiTheme="majorHAnsi" w:hAnsiTheme="majorHAnsi"/>
          <w:sz w:val="20"/>
          <w:szCs w:val="20"/>
          <w:lang w:val="es-ES"/>
        </w:rPr>
        <w:t xml:space="preserve">ción a estas consideraciones y </w:t>
      </w:r>
      <w:r w:rsidRPr="00823D62">
        <w:rPr>
          <w:rFonts w:asciiTheme="majorHAnsi" w:hAnsiTheme="majorHAnsi"/>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9E541D" w:rsidRPr="00823D62">
        <w:rPr>
          <w:rFonts w:asciiTheme="majorHAnsi" w:hAnsiTheme="majorHAnsi"/>
          <w:sz w:val="20"/>
          <w:szCs w:val="20"/>
          <w:lang w:val="es-ES"/>
        </w:rPr>
        <w:t xml:space="preserve">5 (integridad personal), 7 (libertad personal), 8 (garantías judiciales) y 25 (protección judicial) </w:t>
      </w:r>
      <w:r w:rsidR="00EF583F" w:rsidRPr="00823D62">
        <w:rPr>
          <w:rFonts w:asciiTheme="majorHAnsi" w:hAnsiTheme="majorHAnsi"/>
          <w:sz w:val="20"/>
          <w:szCs w:val="20"/>
          <w:lang w:val="es-ES"/>
        </w:rPr>
        <w:t xml:space="preserve">de la Convención Americana en relación con el artículo 1.1 (obligación de respetar y garantizar los derechos) en perjuicio del Sr. </w:t>
      </w:r>
      <w:r w:rsidR="00EF583F" w:rsidRPr="00823D62">
        <w:rPr>
          <w:rFonts w:asciiTheme="majorHAnsi" w:hAnsiTheme="majorHAnsi"/>
          <w:bCs/>
          <w:sz w:val="20"/>
          <w:szCs w:val="20"/>
          <w:lang w:val="es-ES"/>
        </w:rPr>
        <w:t xml:space="preserve">Maximino Milagro de Jesús Gómez Serrano. </w:t>
      </w:r>
    </w:p>
    <w:p w14:paraId="0AE2BDD5" w14:textId="4ECE4974" w:rsidR="008C5E2D" w:rsidRPr="00823D62" w:rsidRDefault="00EF583F" w:rsidP="00823D62">
      <w:pPr>
        <w:pStyle w:val="ListParagraph"/>
        <w:numPr>
          <w:ilvl w:val="0"/>
          <w:numId w:val="103"/>
        </w:numPr>
        <w:spacing w:before="240" w:after="240"/>
        <w:jc w:val="both"/>
        <w:rPr>
          <w:rFonts w:asciiTheme="majorHAnsi" w:hAnsiTheme="majorHAnsi"/>
          <w:b/>
          <w:sz w:val="20"/>
          <w:szCs w:val="20"/>
          <w:lang w:val="es-ES"/>
        </w:rPr>
      </w:pPr>
      <w:r w:rsidRPr="00823D62">
        <w:rPr>
          <w:rFonts w:asciiTheme="majorHAnsi" w:hAnsiTheme="majorHAnsi"/>
          <w:sz w:val="20"/>
          <w:szCs w:val="20"/>
          <w:lang w:val="es-ES"/>
        </w:rPr>
        <w:t>Por otra parte, en relación con los demás instrumentos internacionales alegados por el peticionario, la Comisión carece de competencia para establecer violaciones a las normas de dichos tratados, sin perjuicio de lo cual podría tomarlos en cuenta como parte de su ejercicio interpretativo de las normas de la Convención Americana en la etapa de fondo del presente caso, en los términos del artículo 29 de la Convención Americana.</w:t>
      </w:r>
      <w:r w:rsidR="00F44E25" w:rsidRPr="00823D62">
        <w:rPr>
          <w:rFonts w:asciiTheme="majorHAnsi" w:hAnsiTheme="majorHAnsi"/>
          <w:sz w:val="20"/>
          <w:szCs w:val="20"/>
          <w:lang w:val="es-ES"/>
        </w:rPr>
        <w:t xml:space="preserve"> </w:t>
      </w:r>
    </w:p>
    <w:p w14:paraId="29BB41F5" w14:textId="77777777" w:rsidR="003239B8" w:rsidRPr="00823D62" w:rsidRDefault="003239B8" w:rsidP="00823D62">
      <w:pPr>
        <w:pStyle w:val="ListParagraph"/>
        <w:spacing w:before="240" w:after="240"/>
        <w:jc w:val="both"/>
        <w:rPr>
          <w:rFonts w:asciiTheme="majorHAnsi" w:hAnsiTheme="majorHAnsi"/>
          <w:b/>
          <w:bCs/>
          <w:sz w:val="20"/>
          <w:szCs w:val="20"/>
          <w:lang w:val="es-ES"/>
        </w:rPr>
      </w:pPr>
      <w:r w:rsidRPr="00823D62">
        <w:rPr>
          <w:rFonts w:asciiTheme="majorHAnsi" w:hAnsiTheme="majorHAnsi"/>
          <w:b/>
          <w:bCs/>
          <w:sz w:val="20"/>
          <w:szCs w:val="20"/>
          <w:lang w:val="es-ES"/>
        </w:rPr>
        <w:t xml:space="preserve">VIII. </w:t>
      </w:r>
      <w:r w:rsidRPr="00823D62">
        <w:rPr>
          <w:rFonts w:asciiTheme="majorHAnsi" w:hAnsiTheme="majorHAnsi"/>
          <w:b/>
          <w:bCs/>
          <w:sz w:val="20"/>
          <w:szCs w:val="20"/>
          <w:lang w:val="es-ES"/>
        </w:rPr>
        <w:tab/>
        <w:t>DECISIÓN</w:t>
      </w:r>
    </w:p>
    <w:p w14:paraId="41AA5BF6" w14:textId="15C998ED" w:rsidR="000419AD" w:rsidRPr="00823D62" w:rsidRDefault="003239B8" w:rsidP="00823D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 xml:space="preserve">Declarar admisible la presente petición en relación con </w:t>
      </w:r>
      <w:r w:rsidR="00EF583F" w:rsidRPr="00823D62">
        <w:rPr>
          <w:rFonts w:asciiTheme="majorHAnsi" w:hAnsiTheme="majorHAnsi"/>
          <w:sz w:val="20"/>
          <w:szCs w:val="20"/>
          <w:lang w:val="es-ES"/>
        </w:rPr>
        <w:t xml:space="preserve">los artículos 5, 7, 8 y 25 de la Convención Americana en relación con su artículo 1.1; y </w:t>
      </w:r>
    </w:p>
    <w:p w14:paraId="12A7002C" w14:textId="77777777" w:rsidR="004A6A54" w:rsidRPr="00823D62" w:rsidRDefault="004A6A54" w:rsidP="00823D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3D6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D98495A" w14:textId="6053F1EB" w:rsidR="008D768D" w:rsidRPr="0062325D" w:rsidRDefault="00887B9F" w:rsidP="0062325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21B20">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021B20">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62325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2642C68E" w14:textId="77777777" w:rsidR="008D768D" w:rsidRPr="00823D62" w:rsidRDefault="008D768D" w:rsidP="00823D62">
      <w:pPr>
        <w:tabs>
          <w:tab w:val="center" w:pos="5400"/>
        </w:tabs>
        <w:suppressAutoHyphens/>
        <w:spacing w:before="240" w:after="240"/>
        <w:rPr>
          <w:rFonts w:asciiTheme="majorHAnsi" w:hAnsiTheme="majorHAnsi"/>
          <w:sz w:val="20"/>
          <w:szCs w:val="20"/>
          <w:lang w:val="es-ES"/>
        </w:rPr>
      </w:pPr>
    </w:p>
    <w:p w14:paraId="6AC80CA6" w14:textId="77777777" w:rsidR="00722C9F" w:rsidRPr="00823D62" w:rsidRDefault="00722C9F" w:rsidP="00823D62">
      <w:pPr>
        <w:spacing w:before="240" w:after="240"/>
        <w:rPr>
          <w:rFonts w:asciiTheme="majorHAnsi" w:hAnsiTheme="majorHAnsi" w:cs="Calibri"/>
          <w:sz w:val="20"/>
          <w:szCs w:val="20"/>
          <w:lang w:val="es-ES"/>
        </w:rPr>
      </w:pPr>
    </w:p>
    <w:sectPr w:rsidR="00722C9F" w:rsidRPr="00823D62" w:rsidSect="006E4D7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54C9" w14:textId="77777777" w:rsidR="006E4D7C" w:rsidRDefault="006E4D7C">
      <w:r>
        <w:separator/>
      </w:r>
    </w:p>
  </w:endnote>
  <w:endnote w:type="continuationSeparator" w:id="0">
    <w:p w14:paraId="102D468A" w14:textId="77777777" w:rsidR="006E4D7C" w:rsidRDefault="006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AB28" w14:textId="77777777" w:rsidR="006E4D7C" w:rsidRPr="000F35ED" w:rsidRDefault="006E4D7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305303" w14:textId="77777777" w:rsidR="006E4D7C" w:rsidRPr="000F35ED" w:rsidRDefault="006E4D7C" w:rsidP="000F35ED">
      <w:pPr>
        <w:rPr>
          <w:rFonts w:asciiTheme="majorHAnsi" w:hAnsiTheme="majorHAnsi"/>
          <w:sz w:val="16"/>
          <w:szCs w:val="16"/>
        </w:rPr>
      </w:pPr>
      <w:r w:rsidRPr="000F35ED">
        <w:rPr>
          <w:rFonts w:asciiTheme="majorHAnsi" w:hAnsiTheme="majorHAnsi"/>
          <w:sz w:val="16"/>
          <w:szCs w:val="16"/>
        </w:rPr>
        <w:separator/>
      </w:r>
    </w:p>
    <w:p w14:paraId="5CED79C6" w14:textId="77777777" w:rsidR="006E4D7C" w:rsidRPr="000F35ED" w:rsidRDefault="006E4D7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E18C36" w14:textId="77777777" w:rsidR="006E4D7C" w:rsidRPr="000F35ED" w:rsidRDefault="006E4D7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A31B5A" w14:textId="78968C25" w:rsidR="00021B20" w:rsidRPr="00021B20" w:rsidRDefault="00021B20" w:rsidP="00A270A3">
      <w:pPr>
        <w:pStyle w:val="FootnoteText"/>
        <w:ind w:firstLine="720"/>
        <w:jc w:val="both"/>
        <w:rPr>
          <w:lang w:val="es-ES"/>
        </w:rPr>
      </w:pPr>
      <w:r>
        <w:rPr>
          <w:rStyle w:val="FootnoteReference"/>
        </w:rPr>
        <w:footnoteRef/>
      </w:r>
      <w:r w:rsidRPr="00021B20">
        <w:rPr>
          <w:lang w:val="es-ES"/>
        </w:rPr>
        <w:t xml:space="preserve"> </w:t>
      </w:r>
      <w:r w:rsidR="00A270A3" w:rsidRPr="00A2333D">
        <w:rPr>
          <w:rFonts w:asciiTheme="majorHAnsi" w:hAnsiTheme="majorHAnsi"/>
          <w:color w:val="auto"/>
          <w:sz w:val="16"/>
          <w:szCs w:val="16"/>
          <w:lang w:val="es-US"/>
        </w:rPr>
        <w:t>Conforme a lo dispuesto en el artículo 17.2.a del Reglamento de la Comisión, el Comisionado Edgar Stuardo Ralón Orellana, de nacionalidad guatemalteca, no participó en el debate ni en la decisión del presente asunto.</w:t>
      </w:r>
    </w:p>
  </w:footnote>
  <w:footnote w:id="3">
    <w:p w14:paraId="4B005167" w14:textId="64C5B21B" w:rsidR="00EF583F" w:rsidRPr="00FF0E2A" w:rsidRDefault="00EF583F" w:rsidP="00876F8B">
      <w:pPr>
        <w:pStyle w:val="FootnoteText"/>
        <w:ind w:firstLine="720"/>
        <w:jc w:val="both"/>
        <w:rPr>
          <w:rFonts w:asciiTheme="majorHAnsi" w:hAnsiTheme="majorHAnsi"/>
          <w:sz w:val="16"/>
          <w:szCs w:val="16"/>
          <w:lang w:val="es-BO"/>
        </w:rPr>
      </w:pPr>
      <w:r w:rsidRPr="00A270A3">
        <w:rPr>
          <w:rStyle w:val="FootnoteReference"/>
        </w:rPr>
        <w:footnoteRef/>
      </w:r>
      <w:r w:rsidRPr="00FF0E2A">
        <w:rPr>
          <w:rFonts w:asciiTheme="majorHAnsi" w:hAnsiTheme="majorHAnsi"/>
          <w:sz w:val="16"/>
          <w:szCs w:val="16"/>
          <w:lang w:val="es-BO"/>
        </w:rPr>
        <w:t xml:space="preserve"> En adelante “</w:t>
      </w:r>
      <w:r w:rsidR="00C94413" w:rsidRPr="00FF0E2A">
        <w:rPr>
          <w:rFonts w:asciiTheme="majorHAnsi" w:hAnsiTheme="majorHAnsi"/>
          <w:sz w:val="16"/>
          <w:szCs w:val="16"/>
          <w:lang w:val="es-BO"/>
        </w:rPr>
        <w:t>l</w:t>
      </w:r>
      <w:r w:rsidRPr="00FF0E2A">
        <w:rPr>
          <w:rFonts w:asciiTheme="majorHAnsi" w:hAnsiTheme="majorHAnsi"/>
          <w:sz w:val="16"/>
          <w:szCs w:val="16"/>
          <w:lang w:val="es-BO"/>
        </w:rPr>
        <w:t>a Convención” o “</w:t>
      </w:r>
      <w:r w:rsidR="00C94413" w:rsidRPr="00FF0E2A">
        <w:rPr>
          <w:rFonts w:asciiTheme="majorHAnsi" w:hAnsiTheme="majorHAnsi"/>
          <w:sz w:val="16"/>
          <w:szCs w:val="16"/>
          <w:lang w:val="es-BO"/>
        </w:rPr>
        <w:t xml:space="preserve">la </w:t>
      </w:r>
      <w:r w:rsidRPr="00FF0E2A">
        <w:rPr>
          <w:rFonts w:asciiTheme="majorHAnsi" w:hAnsiTheme="majorHAnsi"/>
          <w:sz w:val="16"/>
          <w:szCs w:val="16"/>
          <w:lang w:val="es-BO"/>
        </w:rPr>
        <w:t>Convención Americana”.</w:t>
      </w:r>
    </w:p>
  </w:footnote>
  <w:footnote w:id="4">
    <w:p w14:paraId="79F07139" w14:textId="77777777" w:rsidR="008E3BFE" w:rsidRPr="00FF0E2A" w:rsidRDefault="008E3BFE" w:rsidP="009E541D">
      <w:pPr>
        <w:pStyle w:val="FootnoteText"/>
        <w:spacing w:after="120"/>
        <w:ind w:firstLine="720"/>
        <w:jc w:val="both"/>
        <w:rPr>
          <w:rFonts w:asciiTheme="majorHAnsi" w:hAnsiTheme="majorHAnsi"/>
          <w:sz w:val="16"/>
          <w:szCs w:val="16"/>
          <w:lang w:val="es-ES"/>
        </w:rPr>
      </w:pPr>
      <w:r w:rsidRPr="00A270A3">
        <w:rPr>
          <w:rStyle w:val="FootnoteReference"/>
        </w:rPr>
        <w:footnoteRef/>
      </w:r>
      <w:r w:rsidRPr="00FF0E2A">
        <w:rPr>
          <w:rFonts w:asciiTheme="majorHAnsi" w:hAnsiTheme="majorHAnsi"/>
          <w:sz w:val="16"/>
          <w:szCs w:val="16"/>
          <w:lang w:val="es-ES"/>
        </w:rPr>
        <w:t xml:space="preserve"> Las observaciones de cada parte fueron debidamente trasladadas a la parte contraria.</w:t>
      </w:r>
    </w:p>
  </w:footnote>
  <w:footnote w:id="5">
    <w:p w14:paraId="3406D07C" w14:textId="77777777" w:rsidR="001B6076" w:rsidRPr="00FF0E2A" w:rsidRDefault="001B6076" w:rsidP="001B6076">
      <w:pPr>
        <w:pStyle w:val="FootnoteText"/>
        <w:ind w:firstLine="720"/>
        <w:jc w:val="both"/>
        <w:rPr>
          <w:rFonts w:asciiTheme="majorHAnsi" w:hAnsiTheme="majorHAnsi"/>
          <w:color w:val="auto"/>
          <w:sz w:val="16"/>
          <w:szCs w:val="16"/>
          <w:lang w:val="es-ES"/>
        </w:rPr>
      </w:pPr>
      <w:r w:rsidRPr="00A270A3">
        <w:rPr>
          <w:rStyle w:val="FootnoteReference"/>
        </w:rPr>
        <w:footnoteRef/>
      </w:r>
      <w:r w:rsidRPr="00FF0E2A">
        <w:rPr>
          <w:rFonts w:asciiTheme="majorHAnsi" w:hAnsiTheme="majorHAnsi"/>
          <w:color w:val="auto"/>
          <w:sz w:val="16"/>
          <w:szCs w:val="16"/>
          <w:lang w:val="es-ES"/>
        </w:rPr>
        <w:t xml:space="preserve"> CIDH, Informe No. 35/16, Petición 4480-02. Admisibilidad. Carlos Manuel Veraza Urtusuástegui. México. 29 de julio de 2016, párr. 33</w:t>
      </w:r>
    </w:p>
  </w:footnote>
  <w:footnote w:id="6">
    <w:p w14:paraId="0478F094" w14:textId="5AF5B1C6" w:rsidR="001B6076" w:rsidRPr="00FF0E2A" w:rsidRDefault="001B6076" w:rsidP="004F6531">
      <w:pPr>
        <w:pStyle w:val="FootnoteText"/>
        <w:ind w:firstLine="720"/>
        <w:jc w:val="both"/>
        <w:rPr>
          <w:rFonts w:asciiTheme="majorHAnsi" w:hAnsiTheme="majorHAnsi"/>
          <w:sz w:val="16"/>
          <w:szCs w:val="16"/>
          <w:lang w:val="es-ES"/>
        </w:rPr>
      </w:pPr>
      <w:r w:rsidRPr="00A270A3">
        <w:rPr>
          <w:rStyle w:val="FootnoteReference"/>
        </w:rPr>
        <w:footnoteRef/>
      </w:r>
      <w:r w:rsidRPr="00FF0E2A">
        <w:rPr>
          <w:rFonts w:asciiTheme="majorHAnsi" w:hAnsiTheme="majorHAnsi"/>
          <w:sz w:val="16"/>
          <w:szCs w:val="16"/>
          <w:lang w:val="es-ES"/>
        </w:rPr>
        <w:t xml:space="preserve"> Véase entre otros, CIDH. Informe 4/15, Admisibilidad, Petición 582/01, Raúl Rolando Romero Feris, Argentina, 29 de enero de 2015, párr. 40.</w:t>
      </w:r>
    </w:p>
  </w:footnote>
  <w:footnote w:id="7">
    <w:p w14:paraId="46DE18D6" w14:textId="4A893605" w:rsidR="006F4FFB" w:rsidRPr="00FF0E2A" w:rsidRDefault="006F4FFB" w:rsidP="003743DC">
      <w:pPr>
        <w:pStyle w:val="FootnoteText"/>
        <w:ind w:firstLine="720"/>
        <w:jc w:val="both"/>
        <w:rPr>
          <w:rFonts w:asciiTheme="majorHAnsi" w:hAnsiTheme="majorHAnsi"/>
          <w:sz w:val="16"/>
          <w:szCs w:val="16"/>
          <w:lang w:val="es-ES"/>
        </w:rPr>
      </w:pPr>
      <w:r w:rsidRPr="00A270A3">
        <w:rPr>
          <w:rStyle w:val="FootnoteReference"/>
        </w:rPr>
        <w:footnoteRef/>
      </w:r>
      <w:r w:rsidRPr="009161E0">
        <w:rPr>
          <w:rStyle w:val="FootnoteReference"/>
          <w:lang w:val="es-AR"/>
        </w:rPr>
        <w:t xml:space="preserve"> </w:t>
      </w:r>
      <w:r w:rsidR="003743DC" w:rsidRPr="00FF0E2A">
        <w:rPr>
          <w:rFonts w:asciiTheme="majorHAnsi" w:hAnsiTheme="majorHAnsi"/>
          <w:sz w:val="16"/>
          <w:szCs w:val="16"/>
          <w:lang w:val="es-ES"/>
        </w:rPr>
        <w:t>CIDH, Informe Nº 12/96 (Fondo), Caso 11.245, Jorge A. Giménez, Argentina, 1ro de marzo de 1996, párr. 57</w:t>
      </w:r>
      <w:r w:rsidR="005101F5" w:rsidRPr="00FF0E2A">
        <w:rPr>
          <w:rFonts w:asciiTheme="majorHAnsi" w:hAnsiTheme="majorHAnsi"/>
          <w:sz w:val="16"/>
          <w:szCs w:val="16"/>
          <w:lang w:val="es-ES"/>
        </w:rPr>
        <w:t>.</w:t>
      </w:r>
      <w:r w:rsidR="003E461B" w:rsidRPr="00FF0E2A">
        <w:rPr>
          <w:rFonts w:asciiTheme="majorHAnsi" w:hAnsiTheme="majorHAnsi"/>
          <w:sz w:val="16"/>
          <w:szCs w:val="16"/>
          <w:lang w:val="es-ES"/>
        </w:rPr>
        <w:t xml:space="preserve"> Criterio reiterado </w:t>
      </w:r>
      <w:r w:rsidR="00CB61B3" w:rsidRPr="00FF0E2A">
        <w:rPr>
          <w:rFonts w:asciiTheme="majorHAnsi" w:hAnsiTheme="majorHAnsi"/>
          <w:sz w:val="16"/>
          <w:szCs w:val="16"/>
          <w:lang w:val="es-ES"/>
        </w:rPr>
        <w:t xml:space="preserve">por la CIDH en su </w:t>
      </w:r>
      <w:r w:rsidR="003E461B" w:rsidRPr="00FF0E2A">
        <w:rPr>
          <w:rFonts w:asciiTheme="majorHAnsi" w:hAnsiTheme="majorHAnsi"/>
          <w:sz w:val="16"/>
          <w:szCs w:val="16"/>
          <w:lang w:val="es-ES"/>
        </w:rPr>
        <w:t xml:space="preserve">Informe sobre el Uso de la Prisión Preventiva en las Américas, </w:t>
      </w:r>
      <w:r w:rsidR="0015512C" w:rsidRPr="00FF0E2A">
        <w:rPr>
          <w:rFonts w:asciiTheme="majorHAnsi" w:hAnsiTheme="majorHAnsi"/>
          <w:sz w:val="16"/>
          <w:szCs w:val="16"/>
          <w:lang w:val="es-ES"/>
        </w:rPr>
        <w:t>30 de diciembre de 2013</w:t>
      </w:r>
      <w:r w:rsidR="00CB61B3" w:rsidRPr="00FF0E2A">
        <w:rPr>
          <w:rFonts w:asciiTheme="majorHAnsi" w:hAnsiTheme="majorHAnsi"/>
          <w:sz w:val="16"/>
          <w:szCs w:val="16"/>
          <w:lang w:val="es-ES"/>
        </w:rPr>
        <w:t>, párr. 201.</w:t>
      </w:r>
    </w:p>
  </w:footnote>
  <w:footnote w:id="8">
    <w:p w14:paraId="634EDC67" w14:textId="674B12B3" w:rsidR="00FF0E2A" w:rsidRPr="00FF0E2A" w:rsidRDefault="00FF0E2A" w:rsidP="00FF0E2A">
      <w:pPr>
        <w:pStyle w:val="FootnoteText"/>
        <w:ind w:firstLine="720"/>
        <w:rPr>
          <w:rFonts w:asciiTheme="majorHAnsi" w:hAnsiTheme="majorHAnsi"/>
          <w:sz w:val="16"/>
          <w:szCs w:val="16"/>
          <w:lang w:val="es-MX"/>
        </w:rPr>
      </w:pPr>
      <w:r w:rsidRPr="00FA46FC">
        <w:rPr>
          <w:rStyle w:val="FootnoteReference"/>
        </w:rPr>
        <w:footnoteRef/>
      </w:r>
      <w:r w:rsidRPr="009161E0">
        <w:rPr>
          <w:rStyle w:val="FootnoteReference"/>
          <w:lang w:val="es-AR"/>
        </w:rPr>
        <w:t xml:space="preserve"> </w:t>
      </w:r>
      <w:r w:rsidRPr="009741DF">
        <w:rPr>
          <w:rFonts w:asciiTheme="majorHAnsi" w:hAnsiTheme="majorHAnsi"/>
          <w:sz w:val="16"/>
          <w:szCs w:val="16"/>
          <w:lang w:val="es-ES"/>
        </w:rPr>
        <w:t>CIDH, Informe No. 35/16, Petición 4480-02. Admisibilidad. Carlos Manuel Veraza Urtusuástegui. México. 29 de julio de 2016, párr. 33</w:t>
      </w:r>
    </w:p>
  </w:footnote>
  <w:footnote w:id="9">
    <w:p w14:paraId="3C658AE5" w14:textId="7B6EAD29" w:rsidR="00FF0E2A" w:rsidRPr="00FF0E2A" w:rsidRDefault="00FF0E2A" w:rsidP="00FF0E2A">
      <w:pPr>
        <w:pStyle w:val="FootnoteText"/>
        <w:ind w:firstLine="720"/>
        <w:rPr>
          <w:rFonts w:asciiTheme="majorHAnsi" w:hAnsiTheme="majorHAnsi"/>
          <w:sz w:val="16"/>
          <w:szCs w:val="16"/>
          <w:lang w:val="es-MX"/>
        </w:rPr>
      </w:pPr>
      <w:r w:rsidRPr="00FA46FC">
        <w:rPr>
          <w:rStyle w:val="FootnoteReference"/>
        </w:rPr>
        <w:footnoteRef/>
      </w:r>
      <w:r w:rsidRPr="009741DF">
        <w:rPr>
          <w:rFonts w:asciiTheme="majorHAnsi" w:hAnsiTheme="majorHAnsi"/>
          <w:sz w:val="16"/>
          <w:szCs w:val="16"/>
          <w:lang w:val="es-ES"/>
        </w:rPr>
        <w:t xml:space="preserve"> Véase entre otros, CIDH. Informe 4/15, Admisibilidad, Petición 582/01, Raúl Rolando Romero Feris, Argentina, 29 de enero de 2015, párr. 40.</w:t>
      </w:r>
    </w:p>
  </w:footnote>
  <w:footnote w:id="10">
    <w:p w14:paraId="7BE4B4FE" w14:textId="77777777" w:rsidR="00D92654" w:rsidRPr="00FF0E2A" w:rsidRDefault="00D92654" w:rsidP="00FA46FC">
      <w:pPr>
        <w:pStyle w:val="FootnoteText"/>
        <w:ind w:firstLine="720"/>
        <w:jc w:val="both"/>
        <w:rPr>
          <w:rFonts w:asciiTheme="majorHAnsi" w:hAnsiTheme="majorHAnsi"/>
          <w:sz w:val="16"/>
          <w:szCs w:val="16"/>
          <w:lang w:val="es-MX"/>
        </w:rPr>
      </w:pPr>
      <w:r w:rsidRPr="00FA46FC">
        <w:rPr>
          <w:rStyle w:val="FootnoteReference"/>
        </w:rPr>
        <w:footnoteRef/>
      </w:r>
      <w:r w:rsidRPr="00FF0E2A">
        <w:rPr>
          <w:rFonts w:asciiTheme="majorHAnsi" w:hAnsiTheme="majorHAnsi"/>
          <w:sz w:val="16"/>
          <w:szCs w:val="16"/>
          <w:lang w:val="es-CO"/>
        </w:rPr>
        <w:t xml:space="preserve"> CIDH, Informe No. 14/08, Petición 652-04. Admisibilidad. Hugo Humberto Ruiz Fuentes. Guatemala. 5 de marzo de 2008, párr. 64.</w:t>
      </w:r>
    </w:p>
  </w:footnote>
  <w:footnote w:id="11">
    <w:p w14:paraId="55D79989" w14:textId="77777777" w:rsidR="007B294A" w:rsidRPr="00FF0E2A" w:rsidRDefault="007B294A" w:rsidP="009E541D">
      <w:pPr>
        <w:pStyle w:val="FootnoteText"/>
        <w:ind w:firstLine="720"/>
        <w:jc w:val="both"/>
        <w:rPr>
          <w:rFonts w:asciiTheme="majorHAnsi" w:hAnsiTheme="majorHAnsi"/>
          <w:sz w:val="16"/>
          <w:szCs w:val="16"/>
          <w:lang w:val="es-ES"/>
        </w:rPr>
      </w:pPr>
      <w:r w:rsidRPr="00A270A3">
        <w:rPr>
          <w:rStyle w:val="FootnoteReference"/>
        </w:rPr>
        <w:footnoteRef/>
      </w:r>
      <w:r w:rsidRPr="009161E0">
        <w:rPr>
          <w:rStyle w:val="FootnoteReference"/>
          <w:lang w:val="es-AR"/>
        </w:rPr>
        <w:t xml:space="preserve"> </w:t>
      </w:r>
      <w:r w:rsidRPr="00FF0E2A">
        <w:rPr>
          <w:rFonts w:asciiTheme="majorHAnsi" w:hAnsiTheme="majorHAnsi"/>
          <w:sz w:val="16"/>
          <w:szCs w:val="16"/>
          <w:lang w:val="es-ES"/>
        </w:rPr>
        <w:t>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2">
    <w:p w14:paraId="28D0635C" w14:textId="77777777" w:rsidR="007B294A" w:rsidRPr="00FF0E2A" w:rsidRDefault="007B294A" w:rsidP="009E541D">
      <w:pPr>
        <w:pStyle w:val="FootnoteText"/>
        <w:ind w:firstLine="720"/>
        <w:jc w:val="both"/>
        <w:rPr>
          <w:rFonts w:asciiTheme="majorHAnsi" w:hAnsiTheme="majorHAnsi"/>
          <w:sz w:val="16"/>
          <w:szCs w:val="16"/>
          <w:lang w:val="es-ES"/>
        </w:rPr>
      </w:pPr>
      <w:r w:rsidRPr="00FA46FC">
        <w:rPr>
          <w:rStyle w:val="FootnoteReference"/>
        </w:rPr>
        <w:footnoteRef/>
      </w:r>
      <w:r w:rsidRPr="00FF0E2A">
        <w:rPr>
          <w:rFonts w:asciiTheme="majorHAnsi" w:hAnsiTheme="majorHAnsi"/>
          <w:sz w:val="16"/>
          <w:szCs w:val="16"/>
          <w:lang w:val="es-ES"/>
        </w:rPr>
        <w:t xml:space="preserve"> </w:t>
      </w:r>
      <w:r w:rsidRPr="00FF0E2A">
        <w:rPr>
          <w:rFonts w:asciiTheme="majorHAnsi" w:hAnsiTheme="majorHAnsi"/>
          <w:sz w:val="16"/>
          <w:szCs w:val="16"/>
          <w:lang w:val="es-ES_tradnl"/>
        </w:rPr>
        <w:t>CIDH, Informe No. 69/08, Petición 681-00. Admisibilidad. Guillermo Patricio Lynn. Argentina. 16 de octubre de 2008, párr. 48.</w:t>
      </w:r>
    </w:p>
  </w:footnote>
  <w:footnote w:id="13">
    <w:p w14:paraId="6A3F1145" w14:textId="039D7E5F" w:rsidR="007B294A" w:rsidRPr="00FF0E2A" w:rsidRDefault="007B294A" w:rsidP="009E541D">
      <w:pPr>
        <w:pStyle w:val="FootnoteText"/>
        <w:ind w:firstLine="720"/>
        <w:jc w:val="both"/>
        <w:rPr>
          <w:rFonts w:asciiTheme="majorHAnsi" w:hAnsiTheme="majorHAnsi"/>
          <w:sz w:val="16"/>
          <w:szCs w:val="16"/>
          <w:lang w:val="es-ES"/>
        </w:rPr>
      </w:pPr>
      <w:r w:rsidRPr="006B5896">
        <w:rPr>
          <w:rStyle w:val="FootnoteReference"/>
        </w:rPr>
        <w:footnoteRef/>
      </w:r>
      <w:r w:rsidRPr="009161E0">
        <w:rPr>
          <w:rStyle w:val="FootnoteReference"/>
          <w:lang w:val="es-AR"/>
        </w:rPr>
        <w:t xml:space="preserve"> </w:t>
      </w:r>
      <w:r w:rsidRPr="00FF0E2A">
        <w:rPr>
          <w:rFonts w:asciiTheme="majorHAnsi" w:hAnsiTheme="majorHAnsi"/>
          <w:sz w:val="16"/>
          <w:szCs w:val="16"/>
          <w:lang w:val="es-AR"/>
        </w:rPr>
        <w:t>Corte Interamericana de Derechos Humanos. Caso Tibi vs. Ecuador. Excepciones Preliminares, Fondo, Reparaciones y Costas. Sentencia de 7 de septiembre de 2004, párr. 147; Íd. Caso de los Hermanos Gómez Paquiyauri vs. Perú. Sentencia de 8 de julio de 2004, párr. 108; Íd. Caso Maritza Urrutia vs. Guatemala. Sentencia de 27 de noviembre de 2003, párr. 87.</w:t>
      </w:r>
    </w:p>
  </w:footnote>
  <w:footnote w:id="14">
    <w:p w14:paraId="07150D82" w14:textId="77777777" w:rsidR="007B294A" w:rsidRPr="00FF0E2A" w:rsidRDefault="007B294A" w:rsidP="009E541D">
      <w:pPr>
        <w:pStyle w:val="FootnoteText"/>
        <w:ind w:firstLine="720"/>
        <w:jc w:val="both"/>
        <w:rPr>
          <w:rFonts w:asciiTheme="majorHAnsi" w:hAnsiTheme="majorHAnsi"/>
          <w:sz w:val="16"/>
          <w:szCs w:val="16"/>
          <w:lang w:val="es-ES"/>
        </w:rPr>
      </w:pPr>
      <w:r w:rsidRPr="006B5896">
        <w:rPr>
          <w:rStyle w:val="FootnoteReference"/>
        </w:rPr>
        <w:footnoteRef/>
      </w:r>
      <w:r w:rsidRPr="00FF0E2A">
        <w:rPr>
          <w:rFonts w:asciiTheme="majorHAnsi" w:hAnsiTheme="majorHAnsi"/>
          <w:sz w:val="16"/>
          <w:szCs w:val="16"/>
          <w:lang w:val="es-AR"/>
        </w:rPr>
        <w:t xml:space="preserve"> Corte Interamericana de Derechos Humanos. Caso López Álvarez vs. Honduras. Fondo, Reparaciones y Costas. Sentencia de 1 de febrero de 2006, párr. 69.</w:t>
      </w:r>
    </w:p>
  </w:footnote>
  <w:footnote w:id="15">
    <w:p w14:paraId="4DB3E022" w14:textId="77777777" w:rsidR="007B294A" w:rsidRPr="00FF0E2A" w:rsidRDefault="007B294A" w:rsidP="009E541D">
      <w:pPr>
        <w:pStyle w:val="FootnoteText"/>
        <w:ind w:firstLine="720"/>
        <w:jc w:val="both"/>
        <w:rPr>
          <w:rFonts w:asciiTheme="majorHAnsi" w:hAnsiTheme="majorHAnsi"/>
          <w:sz w:val="16"/>
          <w:szCs w:val="16"/>
          <w:lang w:val="es-ES"/>
        </w:rPr>
      </w:pPr>
      <w:r w:rsidRPr="006B5896">
        <w:rPr>
          <w:rStyle w:val="FootnoteReference"/>
        </w:rPr>
        <w:footnoteRef/>
      </w:r>
      <w:r w:rsidRPr="00FF0E2A">
        <w:rPr>
          <w:rFonts w:asciiTheme="majorHAnsi" w:hAnsiTheme="majorHAnsi"/>
          <w:sz w:val="16"/>
          <w:szCs w:val="16"/>
          <w:lang w:val="es-AR"/>
        </w:rPr>
        <w:t xml:space="preserve"> Corte Interamericana de Derechos Humanos. Caso Ibsen Cárdenas e Ibsen Peña vs. Bolivia. Fondo, Reparaciones y Costas. Sentencia de 1 de septiembre de 2010, párr. </w:t>
      </w:r>
      <w:r w:rsidRPr="00FF0E2A">
        <w:rPr>
          <w:rFonts w:asciiTheme="majorHAnsi" w:hAnsiTheme="majorHAnsi"/>
          <w:sz w:val="16"/>
          <w:szCs w:val="16"/>
          <w:lang w:val="es-ES"/>
        </w:rPr>
        <w:t>152.</w:t>
      </w:r>
    </w:p>
  </w:footnote>
  <w:footnote w:id="16">
    <w:p w14:paraId="69E9B0CB" w14:textId="4F259D46" w:rsidR="00295106" w:rsidRPr="00FF0E2A" w:rsidRDefault="00295106" w:rsidP="00F1609E">
      <w:pPr>
        <w:pStyle w:val="FootnoteText"/>
        <w:ind w:firstLine="720"/>
        <w:jc w:val="both"/>
        <w:rPr>
          <w:rFonts w:asciiTheme="majorHAnsi" w:hAnsiTheme="majorHAnsi"/>
          <w:sz w:val="16"/>
          <w:szCs w:val="16"/>
          <w:lang w:val="es-MX"/>
        </w:rPr>
      </w:pPr>
      <w:r w:rsidRPr="00F1609E">
        <w:rPr>
          <w:rStyle w:val="FootnoteReference"/>
        </w:rPr>
        <w:footnoteRef/>
      </w:r>
      <w:r w:rsidRPr="009161E0">
        <w:rPr>
          <w:rStyle w:val="FootnoteReference"/>
          <w:lang w:val="es-AR"/>
        </w:rPr>
        <w:t xml:space="preserve"> </w:t>
      </w:r>
      <w:r w:rsidRPr="00FF0E2A">
        <w:rPr>
          <w:rFonts w:asciiTheme="majorHAnsi" w:hAnsiTheme="majorHAnsi"/>
          <w:sz w:val="16"/>
          <w:szCs w:val="16"/>
          <w:lang w:val="es-MX"/>
        </w:rPr>
        <w:t>CIDH. Informe</w:t>
      </w:r>
      <w:r w:rsidR="009E541D" w:rsidRPr="00FF0E2A">
        <w:rPr>
          <w:rFonts w:asciiTheme="majorHAnsi" w:hAnsiTheme="majorHAnsi"/>
          <w:sz w:val="16"/>
          <w:szCs w:val="16"/>
          <w:lang w:val="es-MX"/>
        </w:rPr>
        <w:t xml:space="preserve"> sobre la Situación de derechos humanos en Guatemala. OEA/Ser.L/V/II. Doc. 208/17, 31 de diciembre de 2017, </w:t>
      </w:r>
      <w:r w:rsidRPr="00FF0E2A">
        <w:rPr>
          <w:rFonts w:asciiTheme="majorHAnsi" w:hAnsiTheme="majorHAnsi"/>
          <w:sz w:val="16"/>
          <w:szCs w:val="16"/>
          <w:lang w:val="es-MX"/>
        </w:rPr>
        <w:t>párr</w:t>
      </w:r>
      <w:r w:rsidR="009E541D" w:rsidRPr="00FF0E2A">
        <w:rPr>
          <w:rFonts w:asciiTheme="majorHAnsi" w:hAnsiTheme="majorHAnsi"/>
          <w:sz w:val="16"/>
          <w:szCs w:val="16"/>
          <w:lang w:val="es-MX"/>
        </w:rPr>
        <w:t>.</w:t>
      </w:r>
      <w:r w:rsidRPr="00FF0E2A">
        <w:rPr>
          <w:rFonts w:asciiTheme="majorHAnsi" w:hAnsiTheme="majorHAnsi"/>
          <w:sz w:val="16"/>
          <w:szCs w:val="16"/>
          <w:lang w:val="es-MX"/>
        </w:rPr>
        <w:t xml:space="preserve"> 15</w:t>
      </w:r>
      <w:r w:rsidR="009E541D" w:rsidRPr="00FF0E2A">
        <w:rPr>
          <w:rFonts w:asciiTheme="majorHAnsi" w:hAnsiTheme="majorHAnsi"/>
          <w:sz w:val="16"/>
          <w:szCs w:val="16"/>
          <w:lang w:val="es-MX"/>
        </w:rPr>
        <w:t>.</w:t>
      </w:r>
    </w:p>
  </w:footnote>
  <w:footnote w:id="17">
    <w:p w14:paraId="5FFCF036" w14:textId="186A31A2" w:rsidR="009E541D" w:rsidRPr="00FF0E2A" w:rsidRDefault="009E541D" w:rsidP="00F1609E">
      <w:pPr>
        <w:pStyle w:val="FootnoteText"/>
        <w:ind w:firstLine="720"/>
        <w:jc w:val="both"/>
        <w:rPr>
          <w:rFonts w:asciiTheme="majorHAnsi" w:hAnsiTheme="majorHAnsi"/>
          <w:sz w:val="16"/>
          <w:szCs w:val="16"/>
          <w:lang w:val="es-MX"/>
        </w:rPr>
      </w:pPr>
      <w:r w:rsidRPr="00B403C2">
        <w:rPr>
          <w:rStyle w:val="FootnoteReference"/>
        </w:rPr>
        <w:footnoteRef/>
      </w:r>
      <w:r w:rsidRPr="00FF0E2A">
        <w:rPr>
          <w:rFonts w:asciiTheme="majorHAnsi" w:hAnsiTheme="majorHAnsi"/>
          <w:sz w:val="16"/>
          <w:szCs w:val="16"/>
          <w:lang w:val="es-CO"/>
        </w:rPr>
        <w:t xml:space="preserve"> </w:t>
      </w:r>
      <w:r w:rsidRPr="00FF0E2A">
        <w:rPr>
          <w:rFonts w:asciiTheme="majorHAnsi" w:hAnsiTheme="majorHAnsi"/>
          <w:sz w:val="16"/>
          <w:szCs w:val="16"/>
          <w:lang w:val="es-MX"/>
        </w:rPr>
        <w:t xml:space="preserve">CIDH. Informe sobre la Situación de derechos humanos en Guatemala. OEA/Ser.L/V/II. Doc. 208/17, 31 de diciembre de 2017, párr 175. </w:t>
      </w:r>
    </w:p>
  </w:footnote>
  <w:footnote w:id="18">
    <w:p w14:paraId="17F8DB0B" w14:textId="10A5408F" w:rsidR="009E541D" w:rsidRPr="00FF0E2A" w:rsidRDefault="009E541D" w:rsidP="00F1609E">
      <w:pPr>
        <w:pStyle w:val="FootnoteText"/>
        <w:ind w:firstLine="720"/>
        <w:jc w:val="both"/>
        <w:rPr>
          <w:rFonts w:asciiTheme="majorHAnsi" w:hAnsiTheme="majorHAnsi"/>
          <w:sz w:val="16"/>
          <w:szCs w:val="16"/>
          <w:lang w:val="es-MX"/>
        </w:rPr>
      </w:pPr>
      <w:r w:rsidRPr="00B403C2">
        <w:rPr>
          <w:rStyle w:val="FootnoteReference"/>
        </w:rPr>
        <w:footnoteRef/>
      </w:r>
      <w:r w:rsidRPr="00FF0E2A">
        <w:rPr>
          <w:rFonts w:asciiTheme="majorHAnsi" w:hAnsiTheme="majorHAnsi"/>
          <w:sz w:val="16"/>
          <w:szCs w:val="16"/>
          <w:lang w:val="es-CO"/>
        </w:rPr>
        <w:t xml:space="preserve"> </w:t>
      </w:r>
      <w:r w:rsidRPr="00FF0E2A">
        <w:rPr>
          <w:rFonts w:asciiTheme="majorHAnsi" w:hAnsiTheme="majorHAnsi"/>
          <w:sz w:val="16"/>
          <w:szCs w:val="16"/>
          <w:lang w:val="es-MX"/>
        </w:rPr>
        <w:t>CIDH. Informe sobre la Situación de derechos humanos en Guatemala. OEA/Ser.L/V/II. Doc. 208/17, 31 de diciembre de 2017, párr. 398.</w:t>
      </w:r>
    </w:p>
  </w:footnote>
  <w:footnote w:id="19">
    <w:p w14:paraId="65C41BDE" w14:textId="77777777" w:rsidR="007B294A" w:rsidRPr="00FF0E2A" w:rsidRDefault="007B294A" w:rsidP="009E541D">
      <w:pPr>
        <w:pStyle w:val="FootnoteText"/>
        <w:ind w:firstLine="720"/>
        <w:jc w:val="both"/>
        <w:rPr>
          <w:rFonts w:asciiTheme="majorHAnsi" w:hAnsiTheme="majorHAnsi"/>
          <w:sz w:val="16"/>
          <w:szCs w:val="16"/>
          <w:lang w:val="es-ES_tradnl"/>
        </w:rPr>
      </w:pPr>
      <w:r w:rsidRPr="00B403C2">
        <w:rPr>
          <w:rStyle w:val="FootnoteReference"/>
        </w:rPr>
        <w:footnoteRef/>
      </w:r>
      <w:r w:rsidRPr="00FF0E2A">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20">
    <w:p w14:paraId="2F6E09A9" w14:textId="77777777" w:rsidR="007B294A" w:rsidRPr="00FF0E2A" w:rsidRDefault="007B294A" w:rsidP="009E541D">
      <w:pPr>
        <w:pStyle w:val="FootnoteText"/>
        <w:ind w:firstLine="720"/>
        <w:jc w:val="both"/>
        <w:rPr>
          <w:rFonts w:asciiTheme="majorHAnsi" w:hAnsiTheme="majorHAnsi"/>
          <w:sz w:val="16"/>
          <w:szCs w:val="16"/>
          <w:lang w:val="es-ES_tradnl"/>
        </w:rPr>
      </w:pPr>
      <w:r w:rsidRPr="00B403C2">
        <w:rPr>
          <w:rStyle w:val="FootnoteReference"/>
        </w:rPr>
        <w:footnoteRef/>
      </w:r>
      <w:r w:rsidRPr="00FF0E2A">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21">
    <w:p w14:paraId="2B757575" w14:textId="77777777" w:rsidR="007B294A" w:rsidRPr="00FF0E2A" w:rsidRDefault="007B294A" w:rsidP="009E541D">
      <w:pPr>
        <w:pStyle w:val="FootnoteText"/>
        <w:ind w:firstLine="720"/>
        <w:jc w:val="both"/>
        <w:rPr>
          <w:rFonts w:asciiTheme="majorHAnsi" w:hAnsiTheme="majorHAnsi"/>
          <w:sz w:val="16"/>
          <w:szCs w:val="16"/>
          <w:lang w:val="es-ES_tradnl"/>
        </w:rPr>
      </w:pPr>
      <w:r w:rsidRPr="00B403C2">
        <w:rPr>
          <w:rStyle w:val="FootnoteReference"/>
        </w:rPr>
        <w:footnoteRef/>
      </w:r>
      <w:r w:rsidRPr="009161E0">
        <w:rPr>
          <w:rStyle w:val="FootnoteReference"/>
          <w:lang w:val="es-AR"/>
        </w:rPr>
        <w:t xml:space="preserve"> </w:t>
      </w:r>
      <w:r w:rsidRPr="00FF0E2A">
        <w:rPr>
          <w:rFonts w:asciiTheme="majorHAnsi" w:hAnsiTheme="majorHAnsi"/>
          <w:sz w:val="16"/>
          <w:szCs w:val="16"/>
          <w:lang w:val="es-ES_tradnl"/>
        </w:rPr>
        <w:t xml:space="preserve">Corte IDH. Caso Palma Mendoza y otros Vs. Ecuador. Excepción Preliminar y Fondo. Sentencia de 3 de septiembre de 2012. </w:t>
      </w:r>
      <w:r w:rsidRPr="009161E0">
        <w:rPr>
          <w:rFonts w:asciiTheme="majorHAnsi" w:hAnsiTheme="majorHAnsi"/>
          <w:sz w:val="16"/>
          <w:szCs w:val="16"/>
          <w:lang w:val="pt-BR"/>
        </w:rPr>
        <w:t xml:space="preserve">Serie C No. 247, párr. 18; Corte IDH. Caso Rosadio Villavicencio Vs. </w:t>
      </w:r>
      <w:r w:rsidRPr="00FF0E2A">
        <w:rPr>
          <w:rFonts w:asciiTheme="majorHAnsi" w:hAnsiTheme="majorHAnsi"/>
          <w:sz w:val="16"/>
          <w:szCs w:val="16"/>
          <w:lang w:val="es-ES_tradnl"/>
        </w:rPr>
        <w:t xml:space="preserve">Perú. Excepciones Preliminares, Fondo, Reparaciones y Costas. </w:t>
      </w:r>
      <w:r w:rsidRPr="00FF0E2A">
        <w:rPr>
          <w:rFonts w:asciiTheme="majorHAnsi" w:hAnsiTheme="majorHAnsi"/>
          <w:sz w:val="16"/>
          <w:szCs w:val="16"/>
          <w:lang w:val="es-US"/>
        </w:rPr>
        <w:t xml:space="preserve">Sentencia de 14 de octubre de 2019. Serie C No. 388., párr. 24; </w:t>
      </w:r>
      <w:r w:rsidRPr="00FF0E2A">
        <w:rPr>
          <w:rFonts w:asciiTheme="majorHAnsi" w:hAnsiTheme="majorHAnsi"/>
          <w:sz w:val="16"/>
          <w:szCs w:val="16"/>
          <w:lang w:val="es-ES_tradnl"/>
        </w:rPr>
        <w:t xml:space="preserve">Corte IDH. Caso Cabrera García y Montiel Flores Vs. México. Excepción Preliminar, Fondo, Reparaciones y Costas. </w:t>
      </w:r>
      <w:r w:rsidRPr="00FF0E2A">
        <w:rPr>
          <w:rFonts w:asciiTheme="majorHAnsi" w:hAnsiTheme="majorHAnsi"/>
          <w:sz w:val="16"/>
          <w:szCs w:val="16"/>
          <w:lang w:val="es-US"/>
        </w:rPr>
        <w:t>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A769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720814"/>
    <w:lvl w:ilvl="0" w:tplc="3BFCA7CE">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869540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106316959">
    <w:abstractNumId w:val="5"/>
  </w:num>
  <w:num w:numId="3" w16cid:durableId="213320888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561165583">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357728038">
    <w:abstractNumId w:val="7"/>
  </w:num>
  <w:num w:numId="6" w16cid:durableId="540020342">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24113181">
    <w:abstractNumId w:val="60"/>
  </w:num>
  <w:num w:numId="8" w16cid:durableId="1708338640">
    <w:abstractNumId w:val="23"/>
  </w:num>
  <w:num w:numId="9" w16cid:durableId="672225076">
    <w:abstractNumId w:val="51"/>
  </w:num>
  <w:num w:numId="10" w16cid:durableId="492379051">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7852082">
    <w:abstractNumId w:val="29"/>
  </w:num>
  <w:num w:numId="12" w16cid:durableId="1368064124">
    <w:abstractNumId w:val="58"/>
  </w:num>
  <w:num w:numId="13" w16cid:durableId="146192073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039195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4603773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01974402">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57767064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7593884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35576330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691036952">
    <w:abstractNumId w:val="8"/>
  </w:num>
  <w:num w:numId="21" w16cid:durableId="983896566">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31283865">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825508840">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20966922">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959677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978912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55975150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89523915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2255198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93189220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966089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14094818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45479023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42501427">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8210013">
    <w:abstractNumId w:val="19"/>
  </w:num>
  <w:num w:numId="36" w16cid:durableId="24827801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2662957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1573936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9377128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01896580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254435094">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68795057">
    <w:abstractNumId w:val="41"/>
  </w:num>
  <w:num w:numId="43" w16cid:durableId="139624479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6756155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1438892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597140">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1470511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83042343">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1479977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8949399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3915865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12786042">
    <w:abstractNumId w:val="45"/>
  </w:num>
  <w:num w:numId="53" w16cid:durableId="87049028">
    <w:abstractNumId w:val="0"/>
  </w:num>
  <w:num w:numId="54" w16cid:durableId="18628743">
    <w:abstractNumId w:val="40"/>
  </w:num>
  <w:num w:numId="55" w16cid:durableId="1643196556">
    <w:abstractNumId w:val="41"/>
  </w:num>
  <w:num w:numId="56" w16cid:durableId="51584100">
    <w:abstractNumId w:val="47"/>
  </w:num>
  <w:num w:numId="57" w16cid:durableId="956369364">
    <w:abstractNumId w:val="1"/>
  </w:num>
  <w:num w:numId="58" w16cid:durableId="2099060730">
    <w:abstractNumId w:val="2"/>
  </w:num>
  <w:num w:numId="59" w16cid:durableId="455366661">
    <w:abstractNumId w:val="9"/>
  </w:num>
  <w:num w:numId="60" w16cid:durableId="1432966233">
    <w:abstractNumId w:val="10"/>
  </w:num>
  <w:num w:numId="61" w16cid:durableId="1067385364">
    <w:abstractNumId w:val="11"/>
  </w:num>
  <w:num w:numId="62" w16cid:durableId="1509636822">
    <w:abstractNumId w:val="12"/>
  </w:num>
  <w:num w:numId="63" w16cid:durableId="1116558710">
    <w:abstractNumId w:val="13"/>
  </w:num>
  <w:num w:numId="64" w16cid:durableId="456611246">
    <w:abstractNumId w:val="15"/>
  </w:num>
  <w:num w:numId="65" w16cid:durableId="1359891202">
    <w:abstractNumId w:val="16"/>
  </w:num>
  <w:num w:numId="66" w16cid:durableId="1610430838">
    <w:abstractNumId w:val="17"/>
  </w:num>
  <w:num w:numId="67" w16cid:durableId="1582643420">
    <w:abstractNumId w:val="18"/>
  </w:num>
  <w:num w:numId="68" w16cid:durableId="1668946418">
    <w:abstractNumId w:val="20"/>
  </w:num>
  <w:num w:numId="69" w16cid:durableId="679312550">
    <w:abstractNumId w:val="21"/>
  </w:num>
  <w:num w:numId="70" w16cid:durableId="193617617">
    <w:abstractNumId w:val="24"/>
  </w:num>
  <w:num w:numId="71" w16cid:durableId="1267880749">
    <w:abstractNumId w:val="25"/>
  </w:num>
  <w:num w:numId="72" w16cid:durableId="1352146992">
    <w:abstractNumId w:val="26"/>
  </w:num>
  <w:num w:numId="73" w16cid:durableId="417869845">
    <w:abstractNumId w:val="28"/>
  </w:num>
  <w:num w:numId="74" w16cid:durableId="71902038">
    <w:abstractNumId w:val="30"/>
  </w:num>
  <w:num w:numId="75" w16cid:durableId="1609002089">
    <w:abstractNumId w:val="32"/>
  </w:num>
  <w:num w:numId="76" w16cid:durableId="1901819140">
    <w:abstractNumId w:val="33"/>
  </w:num>
  <w:num w:numId="77" w16cid:durableId="1383867242">
    <w:abstractNumId w:val="34"/>
  </w:num>
  <w:num w:numId="78" w16cid:durableId="1365138576">
    <w:abstractNumId w:val="35"/>
  </w:num>
  <w:num w:numId="79" w16cid:durableId="1862546636">
    <w:abstractNumId w:val="36"/>
  </w:num>
  <w:num w:numId="80" w16cid:durableId="1733263054">
    <w:abstractNumId w:val="37"/>
  </w:num>
  <w:num w:numId="81" w16cid:durableId="1179810394">
    <w:abstractNumId w:val="38"/>
  </w:num>
  <w:num w:numId="82" w16cid:durableId="49233664">
    <w:abstractNumId w:val="42"/>
  </w:num>
  <w:num w:numId="83" w16cid:durableId="450512853">
    <w:abstractNumId w:val="43"/>
  </w:num>
  <w:num w:numId="84" w16cid:durableId="1671636803">
    <w:abstractNumId w:val="49"/>
  </w:num>
  <w:num w:numId="85" w16cid:durableId="442192570">
    <w:abstractNumId w:val="52"/>
  </w:num>
  <w:num w:numId="86" w16cid:durableId="1465074935">
    <w:abstractNumId w:val="55"/>
  </w:num>
  <w:num w:numId="87" w16cid:durableId="294333291">
    <w:abstractNumId w:val="57"/>
  </w:num>
  <w:num w:numId="88" w16cid:durableId="1092892426">
    <w:abstractNumId w:val="59"/>
  </w:num>
  <w:num w:numId="89" w16cid:durableId="1950769112">
    <w:abstractNumId w:val="61"/>
  </w:num>
  <w:num w:numId="90" w16cid:durableId="1577864454">
    <w:abstractNumId w:val="62"/>
  </w:num>
  <w:num w:numId="91" w16cid:durableId="937979095">
    <w:abstractNumId w:val="63"/>
  </w:num>
  <w:num w:numId="92" w16cid:durableId="1825470463">
    <w:abstractNumId w:val="64"/>
  </w:num>
  <w:num w:numId="93" w16cid:durableId="1540362325">
    <w:abstractNumId w:val="66"/>
  </w:num>
  <w:num w:numId="94" w16cid:durableId="349647590">
    <w:abstractNumId w:val="22"/>
  </w:num>
  <w:num w:numId="95" w16cid:durableId="679814387">
    <w:abstractNumId w:val="44"/>
  </w:num>
  <w:num w:numId="96" w16cid:durableId="2039043098">
    <w:abstractNumId w:val="56"/>
  </w:num>
  <w:num w:numId="97" w16cid:durableId="164174510">
    <w:abstractNumId w:val="53"/>
  </w:num>
  <w:num w:numId="98" w16cid:durableId="871847677">
    <w:abstractNumId w:val="48"/>
  </w:num>
  <w:num w:numId="99" w16cid:durableId="1903632813">
    <w:abstractNumId w:val="39"/>
  </w:num>
  <w:num w:numId="100" w16cid:durableId="1848865804">
    <w:abstractNumId w:val="3"/>
  </w:num>
  <w:num w:numId="101" w16cid:durableId="1519345837">
    <w:abstractNumId w:val="27"/>
  </w:num>
  <w:num w:numId="102" w16cid:durableId="77142126">
    <w:abstractNumId w:val="50"/>
  </w:num>
  <w:num w:numId="103" w16cid:durableId="2080133414">
    <w:abstractNumId w:val="6"/>
  </w:num>
  <w:num w:numId="104" w16cid:durableId="1883708794">
    <w:abstractNumId w:val="65"/>
  </w:num>
  <w:num w:numId="105" w16cid:durableId="900406205">
    <w:abstractNumId w:val="54"/>
  </w:num>
  <w:num w:numId="106" w16cid:durableId="333144872">
    <w:abstractNumId w:val="4"/>
  </w:num>
  <w:num w:numId="107" w16cid:durableId="316228134">
    <w:abstractNumId w:val="31"/>
  </w:num>
  <w:num w:numId="108" w16cid:durableId="2040155896">
    <w:abstractNumId w:val="14"/>
  </w:num>
  <w:num w:numId="109" w16cid:durableId="6313239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C18"/>
    <w:rsid w:val="000069EA"/>
    <w:rsid w:val="00006E1F"/>
    <w:rsid w:val="000070D7"/>
    <w:rsid w:val="0001788C"/>
    <w:rsid w:val="00020D5C"/>
    <w:rsid w:val="00021B20"/>
    <w:rsid w:val="000337EF"/>
    <w:rsid w:val="000356B3"/>
    <w:rsid w:val="00040C3A"/>
    <w:rsid w:val="00040C64"/>
    <w:rsid w:val="000419AD"/>
    <w:rsid w:val="00042E89"/>
    <w:rsid w:val="000433C9"/>
    <w:rsid w:val="000521B6"/>
    <w:rsid w:val="00067CA6"/>
    <w:rsid w:val="000716C5"/>
    <w:rsid w:val="00071DD3"/>
    <w:rsid w:val="00075E23"/>
    <w:rsid w:val="00086567"/>
    <w:rsid w:val="0009344A"/>
    <w:rsid w:val="000A392E"/>
    <w:rsid w:val="000A5559"/>
    <w:rsid w:val="000A575F"/>
    <w:rsid w:val="000B062C"/>
    <w:rsid w:val="000C3A72"/>
    <w:rsid w:val="000D05CB"/>
    <w:rsid w:val="000D10DB"/>
    <w:rsid w:val="000E3A36"/>
    <w:rsid w:val="000E5EB5"/>
    <w:rsid w:val="000F35ED"/>
    <w:rsid w:val="000F4C1A"/>
    <w:rsid w:val="000F62B5"/>
    <w:rsid w:val="00105836"/>
    <w:rsid w:val="00107131"/>
    <w:rsid w:val="0010736F"/>
    <w:rsid w:val="00113F73"/>
    <w:rsid w:val="00121CC2"/>
    <w:rsid w:val="00121D3E"/>
    <w:rsid w:val="00131425"/>
    <w:rsid w:val="00132844"/>
    <w:rsid w:val="00133EE5"/>
    <w:rsid w:val="00144C69"/>
    <w:rsid w:val="00154A71"/>
    <w:rsid w:val="0015512C"/>
    <w:rsid w:val="00160F82"/>
    <w:rsid w:val="00167A34"/>
    <w:rsid w:val="00190095"/>
    <w:rsid w:val="001A41AA"/>
    <w:rsid w:val="001A58AC"/>
    <w:rsid w:val="001A7870"/>
    <w:rsid w:val="001B38F9"/>
    <w:rsid w:val="001B3A00"/>
    <w:rsid w:val="001B6076"/>
    <w:rsid w:val="001C1B41"/>
    <w:rsid w:val="001C731C"/>
    <w:rsid w:val="001D40E7"/>
    <w:rsid w:val="001D65EF"/>
    <w:rsid w:val="001D7945"/>
    <w:rsid w:val="001E49E7"/>
    <w:rsid w:val="001E4C93"/>
    <w:rsid w:val="001F59C3"/>
    <w:rsid w:val="001F7201"/>
    <w:rsid w:val="00203265"/>
    <w:rsid w:val="0020412E"/>
    <w:rsid w:val="00223A29"/>
    <w:rsid w:val="002250A3"/>
    <w:rsid w:val="00235217"/>
    <w:rsid w:val="002469D2"/>
    <w:rsid w:val="00246D1F"/>
    <w:rsid w:val="00247403"/>
    <w:rsid w:val="00247542"/>
    <w:rsid w:val="0026020D"/>
    <w:rsid w:val="00266B61"/>
    <w:rsid w:val="0026712A"/>
    <w:rsid w:val="00267B4D"/>
    <w:rsid w:val="002704DB"/>
    <w:rsid w:val="00272E80"/>
    <w:rsid w:val="0028757F"/>
    <w:rsid w:val="00295106"/>
    <w:rsid w:val="002A0AAE"/>
    <w:rsid w:val="002A104F"/>
    <w:rsid w:val="002A261A"/>
    <w:rsid w:val="002A5820"/>
    <w:rsid w:val="002C27ED"/>
    <w:rsid w:val="002D2B26"/>
    <w:rsid w:val="002D7EA2"/>
    <w:rsid w:val="002E187C"/>
    <w:rsid w:val="002E37E5"/>
    <w:rsid w:val="002F0E7F"/>
    <w:rsid w:val="002F5A1A"/>
    <w:rsid w:val="00302733"/>
    <w:rsid w:val="003033D2"/>
    <w:rsid w:val="0030407D"/>
    <w:rsid w:val="00314078"/>
    <w:rsid w:val="0031535D"/>
    <w:rsid w:val="003239B8"/>
    <w:rsid w:val="00327F8A"/>
    <w:rsid w:val="0033169F"/>
    <w:rsid w:val="003323CC"/>
    <w:rsid w:val="003376C7"/>
    <w:rsid w:val="00344977"/>
    <w:rsid w:val="00345F4D"/>
    <w:rsid w:val="003467A3"/>
    <w:rsid w:val="00346C95"/>
    <w:rsid w:val="00356185"/>
    <w:rsid w:val="003579E8"/>
    <w:rsid w:val="00360380"/>
    <w:rsid w:val="00362E59"/>
    <w:rsid w:val="003743DC"/>
    <w:rsid w:val="0037519E"/>
    <w:rsid w:val="003752FB"/>
    <w:rsid w:val="00385312"/>
    <w:rsid w:val="00386CF0"/>
    <w:rsid w:val="003A1925"/>
    <w:rsid w:val="003A21EF"/>
    <w:rsid w:val="003A27CB"/>
    <w:rsid w:val="003A31E2"/>
    <w:rsid w:val="003B279C"/>
    <w:rsid w:val="003B3CD6"/>
    <w:rsid w:val="003B464B"/>
    <w:rsid w:val="003B60EB"/>
    <w:rsid w:val="003B70FB"/>
    <w:rsid w:val="003B7572"/>
    <w:rsid w:val="003B7836"/>
    <w:rsid w:val="003C4978"/>
    <w:rsid w:val="003C676B"/>
    <w:rsid w:val="003D3BC2"/>
    <w:rsid w:val="003D7CE7"/>
    <w:rsid w:val="003E461B"/>
    <w:rsid w:val="003E6CA1"/>
    <w:rsid w:val="003E7988"/>
    <w:rsid w:val="003F7BE1"/>
    <w:rsid w:val="004049C0"/>
    <w:rsid w:val="00405F9C"/>
    <w:rsid w:val="004065A8"/>
    <w:rsid w:val="004165C2"/>
    <w:rsid w:val="004168E7"/>
    <w:rsid w:val="00424B01"/>
    <w:rsid w:val="004414D5"/>
    <w:rsid w:val="00441524"/>
    <w:rsid w:val="00441ECB"/>
    <w:rsid w:val="00442086"/>
    <w:rsid w:val="00445193"/>
    <w:rsid w:val="00456753"/>
    <w:rsid w:val="00462C1B"/>
    <w:rsid w:val="00467B7E"/>
    <w:rsid w:val="00473BB4"/>
    <w:rsid w:val="00477592"/>
    <w:rsid w:val="00477F57"/>
    <w:rsid w:val="00480466"/>
    <w:rsid w:val="00486F1C"/>
    <w:rsid w:val="0049347E"/>
    <w:rsid w:val="0049419D"/>
    <w:rsid w:val="004A00EF"/>
    <w:rsid w:val="004A0491"/>
    <w:rsid w:val="004A5F9B"/>
    <w:rsid w:val="004A6A54"/>
    <w:rsid w:val="004B215B"/>
    <w:rsid w:val="004C1797"/>
    <w:rsid w:val="004C20D2"/>
    <w:rsid w:val="004C2312"/>
    <w:rsid w:val="004C3344"/>
    <w:rsid w:val="004C3506"/>
    <w:rsid w:val="004C41EB"/>
    <w:rsid w:val="004C4B62"/>
    <w:rsid w:val="004C54C9"/>
    <w:rsid w:val="004D4ABA"/>
    <w:rsid w:val="004D6025"/>
    <w:rsid w:val="004D71E0"/>
    <w:rsid w:val="004E2383"/>
    <w:rsid w:val="004E2649"/>
    <w:rsid w:val="004F626F"/>
    <w:rsid w:val="004F6531"/>
    <w:rsid w:val="00501399"/>
    <w:rsid w:val="00501931"/>
    <w:rsid w:val="0050633D"/>
    <w:rsid w:val="00507BC4"/>
    <w:rsid w:val="005101F5"/>
    <w:rsid w:val="005128E4"/>
    <w:rsid w:val="005133DB"/>
    <w:rsid w:val="00514504"/>
    <w:rsid w:val="005230FF"/>
    <w:rsid w:val="00525560"/>
    <w:rsid w:val="00544C49"/>
    <w:rsid w:val="005516A1"/>
    <w:rsid w:val="005542F0"/>
    <w:rsid w:val="005559EF"/>
    <w:rsid w:val="00555CC1"/>
    <w:rsid w:val="00556041"/>
    <w:rsid w:val="005564B7"/>
    <w:rsid w:val="00563557"/>
    <w:rsid w:val="0057402A"/>
    <w:rsid w:val="005771D0"/>
    <w:rsid w:val="00584BD9"/>
    <w:rsid w:val="0059191A"/>
    <w:rsid w:val="005921FF"/>
    <w:rsid w:val="005A24ED"/>
    <w:rsid w:val="005A254F"/>
    <w:rsid w:val="005A6D0E"/>
    <w:rsid w:val="005A7A6A"/>
    <w:rsid w:val="005B52B0"/>
    <w:rsid w:val="005B6806"/>
    <w:rsid w:val="005C4225"/>
    <w:rsid w:val="005D38F9"/>
    <w:rsid w:val="005D4E6F"/>
    <w:rsid w:val="005D5A92"/>
    <w:rsid w:val="005F0DAD"/>
    <w:rsid w:val="005F0F33"/>
    <w:rsid w:val="005F14B9"/>
    <w:rsid w:val="005F1986"/>
    <w:rsid w:val="005F454D"/>
    <w:rsid w:val="00600DEB"/>
    <w:rsid w:val="00606D6E"/>
    <w:rsid w:val="0062325D"/>
    <w:rsid w:val="00627C9F"/>
    <w:rsid w:val="00630D18"/>
    <w:rsid w:val="006311E9"/>
    <w:rsid w:val="00632354"/>
    <w:rsid w:val="00635421"/>
    <w:rsid w:val="00641A01"/>
    <w:rsid w:val="00642810"/>
    <w:rsid w:val="006444C6"/>
    <w:rsid w:val="00652333"/>
    <w:rsid w:val="00675FC3"/>
    <w:rsid w:val="0068009E"/>
    <w:rsid w:val="00692219"/>
    <w:rsid w:val="00693CBF"/>
    <w:rsid w:val="006A17D2"/>
    <w:rsid w:val="006A73E6"/>
    <w:rsid w:val="006B2D5C"/>
    <w:rsid w:val="006B5896"/>
    <w:rsid w:val="006B5D5F"/>
    <w:rsid w:val="006C0FD3"/>
    <w:rsid w:val="006C4EB1"/>
    <w:rsid w:val="006D2CFA"/>
    <w:rsid w:val="006D5B19"/>
    <w:rsid w:val="006D6BC1"/>
    <w:rsid w:val="006E0166"/>
    <w:rsid w:val="006E2FFB"/>
    <w:rsid w:val="006E34C5"/>
    <w:rsid w:val="006E4D7C"/>
    <w:rsid w:val="006E7B34"/>
    <w:rsid w:val="006F4FFB"/>
    <w:rsid w:val="0070253E"/>
    <w:rsid w:val="0070667B"/>
    <w:rsid w:val="0070697F"/>
    <w:rsid w:val="00713CCC"/>
    <w:rsid w:val="00714E29"/>
    <w:rsid w:val="0072199C"/>
    <w:rsid w:val="00722C9F"/>
    <w:rsid w:val="0072535D"/>
    <w:rsid w:val="007253B8"/>
    <w:rsid w:val="0073448A"/>
    <w:rsid w:val="0073741F"/>
    <w:rsid w:val="007573D0"/>
    <w:rsid w:val="0076236F"/>
    <w:rsid w:val="0076643F"/>
    <w:rsid w:val="00766583"/>
    <w:rsid w:val="00777F63"/>
    <w:rsid w:val="00784A98"/>
    <w:rsid w:val="007911E7"/>
    <w:rsid w:val="00793077"/>
    <w:rsid w:val="007A5817"/>
    <w:rsid w:val="007B05C4"/>
    <w:rsid w:val="007B294A"/>
    <w:rsid w:val="007B60E9"/>
    <w:rsid w:val="007B6CC3"/>
    <w:rsid w:val="007B76D3"/>
    <w:rsid w:val="007B771F"/>
    <w:rsid w:val="007B7A79"/>
    <w:rsid w:val="007C27E5"/>
    <w:rsid w:val="007C2999"/>
    <w:rsid w:val="007C32CC"/>
    <w:rsid w:val="007C3334"/>
    <w:rsid w:val="007C7056"/>
    <w:rsid w:val="007D2B98"/>
    <w:rsid w:val="007E21BC"/>
    <w:rsid w:val="007E7ADB"/>
    <w:rsid w:val="007E7C82"/>
    <w:rsid w:val="007F022B"/>
    <w:rsid w:val="007F2AA1"/>
    <w:rsid w:val="007F588D"/>
    <w:rsid w:val="007F58CF"/>
    <w:rsid w:val="00803F1C"/>
    <w:rsid w:val="008040A5"/>
    <w:rsid w:val="0080600E"/>
    <w:rsid w:val="00810FE9"/>
    <w:rsid w:val="00814688"/>
    <w:rsid w:val="00817612"/>
    <w:rsid w:val="00820F74"/>
    <w:rsid w:val="008231A8"/>
    <w:rsid w:val="00823D62"/>
    <w:rsid w:val="008338A4"/>
    <w:rsid w:val="00834D49"/>
    <w:rsid w:val="008362F6"/>
    <w:rsid w:val="00837C45"/>
    <w:rsid w:val="00844730"/>
    <w:rsid w:val="008457C2"/>
    <w:rsid w:val="00851809"/>
    <w:rsid w:val="00857A82"/>
    <w:rsid w:val="00863BAA"/>
    <w:rsid w:val="00867314"/>
    <w:rsid w:val="00873836"/>
    <w:rsid w:val="00876B20"/>
    <w:rsid w:val="00876F8B"/>
    <w:rsid w:val="00884367"/>
    <w:rsid w:val="00885737"/>
    <w:rsid w:val="00885750"/>
    <w:rsid w:val="00887B9F"/>
    <w:rsid w:val="00890650"/>
    <w:rsid w:val="00897E12"/>
    <w:rsid w:val="008A0F72"/>
    <w:rsid w:val="008A385D"/>
    <w:rsid w:val="008A3C34"/>
    <w:rsid w:val="008A7E0F"/>
    <w:rsid w:val="008B12F5"/>
    <w:rsid w:val="008B5391"/>
    <w:rsid w:val="008B631C"/>
    <w:rsid w:val="008B7E64"/>
    <w:rsid w:val="008B7F92"/>
    <w:rsid w:val="008C3DE2"/>
    <w:rsid w:val="008C5E2D"/>
    <w:rsid w:val="008D768D"/>
    <w:rsid w:val="008E3759"/>
    <w:rsid w:val="008E3BFE"/>
    <w:rsid w:val="008E5D75"/>
    <w:rsid w:val="008E74DB"/>
    <w:rsid w:val="008E7931"/>
    <w:rsid w:val="008F1912"/>
    <w:rsid w:val="0090270B"/>
    <w:rsid w:val="009041DC"/>
    <w:rsid w:val="009063D1"/>
    <w:rsid w:val="0091418A"/>
    <w:rsid w:val="009161E0"/>
    <w:rsid w:val="00917B5A"/>
    <w:rsid w:val="00920A58"/>
    <w:rsid w:val="00920A8C"/>
    <w:rsid w:val="00934A2C"/>
    <w:rsid w:val="00941CCA"/>
    <w:rsid w:val="0096706E"/>
    <w:rsid w:val="009741DF"/>
    <w:rsid w:val="00974491"/>
    <w:rsid w:val="00975C4E"/>
    <w:rsid w:val="00981FBA"/>
    <w:rsid w:val="00997BC5"/>
    <w:rsid w:val="009A4405"/>
    <w:rsid w:val="009A4F41"/>
    <w:rsid w:val="009A74E2"/>
    <w:rsid w:val="009B381B"/>
    <w:rsid w:val="009B5C8C"/>
    <w:rsid w:val="009B7964"/>
    <w:rsid w:val="009C5C5C"/>
    <w:rsid w:val="009D1753"/>
    <w:rsid w:val="009D7611"/>
    <w:rsid w:val="009E0B61"/>
    <w:rsid w:val="009E428D"/>
    <w:rsid w:val="009E53DE"/>
    <w:rsid w:val="009E541D"/>
    <w:rsid w:val="00A11212"/>
    <w:rsid w:val="00A11E44"/>
    <w:rsid w:val="00A15073"/>
    <w:rsid w:val="00A270A3"/>
    <w:rsid w:val="00A30100"/>
    <w:rsid w:val="00A328B3"/>
    <w:rsid w:val="00A32F1C"/>
    <w:rsid w:val="00A436F8"/>
    <w:rsid w:val="00A46230"/>
    <w:rsid w:val="00A50FCF"/>
    <w:rsid w:val="00A528D1"/>
    <w:rsid w:val="00A56F9A"/>
    <w:rsid w:val="00A610CD"/>
    <w:rsid w:val="00A73E9F"/>
    <w:rsid w:val="00A758AA"/>
    <w:rsid w:val="00A86B98"/>
    <w:rsid w:val="00A92A79"/>
    <w:rsid w:val="00A9728D"/>
    <w:rsid w:val="00AA09A2"/>
    <w:rsid w:val="00AA0FA8"/>
    <w:rsid w:val="00AA6726"/>
    <w:rsid w:val="00AA7996"/>
    <w:rsid w:val="00AB46EF"/>
    <w:rsid w:val="00AC19CB"/>
    <w:rsid w:val="00AE4304"/>
    <w:rsid w:val="00AE5488"/>
    <w:rsid w:val="00AE6F91"/>
    <w:rsid w:val="00AF101C"/>
    <w:rsid w:val="00AF1809"/>
    <w:rsid w:val="00AF1F06"/>
    <w:rsid w:val="00AF5571"/>
    <w:rsid w:val="00B07341"/>
    <w:rsid w:val="00B07A14"/>
    <w:rsid w:val="00B25322"/>
    <w:rsid w:val="00B25755"/>
    <w:rsid w:val="00B30539"/>
    <w:rsid w:val="00B314DB"/>
    <w:rsid w:val="00B35696"/>
    <w:rsid w:val="00B361F2"/>
    <w:rsid w:val="00B3718B"/>
    <w:rsid w:val="00B3745F"/>
    <w:rsid w:val="00B403C2"/>
    <w:rsid w:val="00B4632A"/>
    <w:rsid w:val="00B530F1"/>
    <w:rsid w:val="00B64712"/>
    <w:rsid w:val="00BA276C"/>
    <w:rsid w:val="00BB306F"/>
    <w:rsid w:val="00BB3F40"/>
    <w:rsid w:val="00BB608F"/>
    <w:rsid w:val="00BD4B89"/>
    <w:rsid w:val="00BD5922"/>
    <w:rsid w:val="00BF02CB"/>
    <w:rsid w:val="00BF6FD8"/>
    <w:rsid w:val="00C03680"/>
    <w:rsid w:val="00C054DF"/>
    <w:rsid w:val="00C167E6"/>
    <w:rsid w:val="00C21762"/>
    <w:rsid w:val="00C21FEF"/>
    <w:rsid w:val="00C23906"/>
    <w:rsid w:val="00C23BA4"/>
    <w:rsid w:val="00C24543"/>
    <w:rsid w:val="00C256A2"/>
    <w:rsid w:val="00C25ADB"/>
    <w:rsid w:val="00C51515"/>
    <w:rsid w:val="00C540AD"/>
    <w:rsid w:val="00C5660B"/>
    <w:rsid w:val="00C66B72"/>
    <w:rsid w:val="00C7244B"/>
    <w:rsid w:val="00C75A95"/>
    <w:rsid w:val="00C8237E"/>
    <w:rsid w:val="00C847A1"/>
    <w:rsid w:val="00C87AC4"/>
    <w:rsid w:val="00C94413"/>
    <w:rsid w:val="00C9567A"/>
    <w:rsid w:val="00CA6B34"/>
    <w:rsid w:val="00CA7697"/>
    <w:rsid w:val="00CB212D"/>
    <w:rsid w:val="00CB2660"/>
    <w:rsid w:val="00CB61B3"/>
    <w:rsid w:val="00CC5E90"/>
    <w:rsid w:val="00CD046C"/>
    <w:rsid w:val="00CD177C"/>
    <w:rsid w:val="00CD7B1B"/>
    <w:rsid w:val="00CD7E3E"/>
    <w:rsid w:val="00CE076C"/>
    <w:rsid w:val="00CE13B3"/>
    <w:rsid w:val="00CE5199"/>
    <w:rsid w:val="00CE66D5"/>
    <w:rsid w:val="00CF637A"/>
    <w:rsid w:val="00D059DE"/>
    <w:rsid w:val="00D05ABD"/>
    <w:rsid w:val="00D13FCE"/>
    <w:rsid w:val="00D306D1"/>
    <w:rsid w:val="00D30800"/>
    <w:rsid w:val="00D34786"/>
    <w:rsid w:val="00D37BFC"/>
    <w:rsid w:val="00D47A8E"/>
    <w:rsid w:val="00D52D14"/>
    <w:rsid w:val="00D55ABB"/>
    <w:rsid w:val="00D55F8E"/>
    <w:rsid w:val="00D712D3"/>
    <w:rsid w:val="00D71422"/>
    <w:rsid w:val="00D72DC6"/>
    <w:rsid w:val="00D7558D"/>
    <w:rsid w:val="00D7575D"/>
    <w:rsid w:val="00D80EEF"/>
    <w:rsid w:val="00D81D92"/>
    <w:rsid w:val="00D82DFB"/>
    <w:rsid w:val="00D876F9"/>
    <w:rsid w:val="00D92654"/>
    <w:rsid w:val="00D96ECB"/>
    <w:rsid w:val="00DA7B5F"/>
    <w:rsid w:val="00DC11E7"/>
    <w:rsid w:val="00DC24E3"/>
    <w:rsid w:val="00DC7023"/>
    <w:rsid w:val="00DC769A"/>
    <w:rsid w:val="00DD3D86"/>
    <w:rsid w:val="00DD4265"/>
    <w:rsid w:val="00DD4AD2"/>
    <w:rsid w:val="00DD4DE6"/>
    <w:rsid w:val="00DF1EC4"/>
    <w:rsid w:val="00E0340B"/>
    <w:rsid w:val="00E04A90"/>
    <w:rsid w:val="00E0551F"/>
    <w:rsid w:val="00E219C7"/>
    <w:rsid w:val="00E31C65"/>
    <w:rsid w:val="00E32FBA"/>
    <w:rsid w:val="00E33A6F"/>
    <w:rsid w:val="00E35228"/>
    <w:rsid w:val="00E4118C"/>
    <w:rsid w:val="00E43157"/>
    <w:rsid w:val="00E461CE"/>
    <w:rsid w:val="00E5318A"/>
    <w:rsid w:val="00E573E4"/>
    <w:rsid w:val="00E64C3D"/>
    <w:rsid w:val="00E720CA"/>
    <w:rsid w:val="00E76866"/>
    <w:rsid w:val="00E82DDC"/>
    <w:rsid w:val="00E84EB5"/>
    <w:rsid w:val="00E85662"/>
    <w:rsid w:val="00E8789F"/>
    <w:rsid w:val="00E97B71"/>
    <w:rsid w:val="00EA3D34"/>
    <w:rsid w:val="00EB454D"/>
    <w:rsid w:val="00EC37F0"/>
    <w:rsid w:val="00ED549D"/>
    <w:rsid w:val="00ED76BE"/>
    <w:rsid w:val="00EE00E9"/>
    <w:rsid w:val="00EF1AAA"/>
    <w:rsid w:val="00EF4BB2"/>
    <w:rsid w:val="00EF583F"/>
    <w:rsid w:val="00EF619B"/>
    <w:rsid w:val="00EF6D66"/>
    <w:rsid w:val="00F00B55"/>
    <w:rsid w:val="00F02AD1"/>
    <w:rsid w:val="00F1609E"/>
    <w:rsid w:val="00F253CC"/>
    <w:rsid w:val="00F37106"/>
    <w:rsid w:val="00F44DAA"/>
    <w:rsid w:val="00F44E25"/>
    <w:rsid w:val="00F519CF"/>
    <w:rsid w:val="00F56BA5"/>
    <w:rsid w:val="00F60E22"/>
    <w:rsid w:val="00F81395"/>
    <w:rsid w:val="00F81BB8"/>
    <w:rsid w:val="00F87CCF"/>
    <w:rsid w:val="00F90C64"/>
    <w:rsid w:val="00F917AC"/>
    <w:rsid w:val="00F917D1"/>
    <w:rsid w:val="00F9653B"/>
    <w:rsid w:val="00FA075F"/>
    <w:rsid w:val="00FA3172"/>
    <w:rsid w:val="00FA46FC"/>
    <w:rsid w:val="00FA60D6"/>
    <w:rsid w:val="00FB62CF"/>
    <w:rsid w:val="00FD3C3B"/>
    <w:rsid w:val="00FE07DD"/>
    <w:rsid w:val="00FE4531"/>
    <w:rsid w:val="00FE6B45"/>
    <w:rsid w:val="00FF0DF1"/>
    <w:rsid w:val="00FF0E2A"/>
    <w:rsid w:val="00FF426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DD4DE6"/>
    <w:rPr>
      <w:sz w:val="16"/>
      <w:szCs w:val="16"/>
    </w:rPr>
  </w:style>
  <w:style w:type="paragraph" w:styleId="CommentText">
    <w:name w:val="annotation text"/>
    <w:basedOn w:val="Normal"/>
    <w:link w:val="CommentTextChar"/>
    <w:uiPriority w:val="99"/>
    <w:unhideWhenUsed/>
    <w:rsid w:val="00DD4DE6"/>
    <w:rPr>
      <w:sz w:val="20"/>
      <w:szCs w:val="20"/>
    </w:rPr>
  </w:style>
  <w:style w:type="character" w:customStyle="1" w:styleId="CommentTextChar">
    <w:name w:val="Comment Text Char"/>
    <w:basedOn w:val="DefaultParagraphFont"/>
    <w:link w:val="CommentText"/>
    <w:uiPriority w:val="99"/>
    <w:rsid w:val="00DD4DE6"/>
    <w:rPr>
      <w:lang w:val="en-US" w:eastAsia="en-US"/>
    </w:rPr>
  </w:style>
  <w:style w:type="paragraph" w:styleId="CommentSubject">
    <w:name w:val="annotation subject"/>
    <w:basedOn w:val="CommentText"/>
    <w:next w:val="CommentText"/>
    <w:link w:val="CommentSubjectChar"/>
    <w:uiPriority w:val="99"/>
    <w:semiHidden/>
    <w:unhideWhenUsed/>
    <w:rsid w:val="00DD4DE6"/>
    <w:rPr>
      <w:b/>
      <w:bCs/>
    </w:rPr>
  </w:style>
  <w:style w:type="character" w:customStyle="1" w:styleId="CommentSubjectChar">
    <w:name w:val="Comment Subject Char"/>
    <w:basedOn w:val="CommentTextChar"/>
    <w:link w:val="CommentSubject"/>
    <w:uiPriority w:val="99"/>
    <w:semiHidden/>
    <w:rsid w:val="00DD4DE6"/>
    <w:rPr>
      <w:b/>
      <w:bCs/>
      <w:lang w:val="en-US" w:eastAsia="en-US"/>
    </w:rPr>
  </w:style>
  <w:style w:type="paragraph" w:customStyle="1" w:styleId="paragraph">
    <w:name w:val="paragraph"/>
    <w:basedOn w:val="Normal"/>
    <w:rsid w:val="00887B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87B9F"/>
  </w:style>
  <w:style w:type="character" w:customStyle="1" w:styleId="eop">
    <w:name w:val="eop"/>
    <w:basedOn w:val="DefaultParagraphFont"/>
    <w:rsid w:val="0088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F851447044847966677DF77D1D77E"/>
        <w:category>
          <w:name w:val="General"/>
          <w:gallery w:val="placeholder"/>
        </w:category>
        <w:types>
          <w:type w:val="bbPlcHdr"/>
        </w:types>
        <w:behaviors>
          <w:behavior w:val="content"/>
        </w:behaviors>
        <w:guid w:val="{3397DB72-3BD3-496D-90A2-39CEADC47FEC}"/>
      </w:docPartPr>
      <w:docPartBody>
        <w:p w:rsidR="00B55D2D" w:rsidRDefault="004A6B1F" w:rsidP="004A6B1F">
          <w:pPr>
            <w:pStyle w:val="A42F851447044847966677DF77D1D77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7125"/>
    <w:rsid w:val="0008478D"/>
    <w:rsid w:val="00200821"/>
    <w:rsid w:val="00201CE6"/>
    <w:rsid w:val="0025245B"/>
    <w:rsid w:val="002A3923"/>
    <w:rsid w:val="003051D4"/>
    <w:rsid w:val="00394049"/>
    <w:rsid w:val="0042628B"/>
    <w:rsid w:val="004A6B1F"/>
    <w:rsid w:val="004B5BBB"/>
    <w:rsid w:val="004F2DF8"/>
    <w:rsid w:val="005445E0"/>
    <w:rsid w:val="005B76F9"/>
    <w:rsid w:val="006F24A1"/>
    <w:rsid w:val="006F36F9"/>
    <w:rsid w:val="00820863"/>
    <w:rsid w:val="0089141D"/>
    <w:rsid w:val="009A261B"/>
    <w:rsid w:val="00AA2E17"/>
    <w:rsid w:val="00AC15A4"/>
    <w:rsid w:val="00AC7B47"/>
    <w:rsid w:val="00B0336C"/>
    <w:rsid w:val="00B034A6"/>
    <w:rsid w:val="00B30277"/>
    <w:rsid w:val="00B55D2D"/>
    <w:rsid w:val="00BE41E4"/>
    <w:rsid w:val="00D007C1"/>
    <w:rsid w:val="00D241E9"/>
    <w:rsid w:val="00D7750D"/>
    <w:rsid w:val="00F00D2F"/>
    <w:rsid w:val="00F128DF"/>
    <w:rsid w:val="00F41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1F"/>
    <w:rPr>
      <w:color w:val="808080"/>
    </w:rPr>
  </w:style>
  <w:style w:type="paragraph" w:customStyle="1" w:styleId="A42F851447044847966677DF77D1D77E">
    <w:name w:val="A42F851447044847966677DF77D1D77E"/>
    <w:rsid w:val="004A6B1F"/>
    <w:pPr>
      <w:spacing w:after="160" w:line="259" w:lineRule="auto"/>
    </w:pPr>
    <w:rPr>
      <w:kern w:val="2"/>
      <w:lang w:val="es-CO" w:eastAsia="es-CO"/>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4105</Words>
  <Characters>23399</Characters>
  <Application>Microsoft Office Word</Application>
  <DocSecurity>0</DocSecurity>
  <Lines>194</Lines>
  <Paragraphs>54</Paragraphs>
  <ScaleCrop>false</ScaleCrop>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