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C57" w14:textId="77777777" w:rsidR="00040C3A" w:rsidRPr="00671AA7" w:rsidRDefault="00D306D1" w:rsidP="00627C9F">
      <w:pPr>
        <w:jc w:val="both"/>
        <w:rPr>
          <w:rFonts w:asciiTheme="majorHAnsi" w:hAnsiTheme="majorHAnsi" w:cs="Univers"/>
          <w:b/>
          <w:bCs/>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ABEECE2" wp14:editId="799265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8D23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3D8FD5" wp14:editId="54C39B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8FD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3ECB9FA" w14:textId="77777777" w:rsidR="00040C3A" w:rsidRPr="00671AA7" w:rsidRDefault="00040C3A" w:rsidP="00040C3A">
      <w:pPr>
        <w:tabs>
          <w:tab w:val="center" w:pos="5400"/>
        </w:tabs>
        <w:suppressAutoHyphens/>
        <w:jc w:val="both"/>
        <w:rPr>
          <w:rFonts w:asciiTheme="majorHAnsi" w:hAnsiTheme="majorHAnsi"/>
          <w:sz w:val="22"/>
          <w:szCs w:val="22"/>
          <w:lang w:val="es-ES"/>
        </w:rPr>
      </w:pPr>
    </w:p>
    <w:p w14:paraId="4BA77387" w14:textId="77777777" w:rsidR="00040C3A" w:rsidRPr="00671AA7" w:rsidRDefault="00040C3A" w:rsidP="00040C3A">
      <w:pPr>
        <w:tabs>
          <w:tab w:val="center" w:pos="5400"/>
        </w:tabs>
        <w:suppressAutoHyphens/>
        <w:jc w:val="both"/>
        <w:rPr>
          <w:rFonts w:asciiTheme="majorHAnsi" w:hAnsiTheme="majorHAnsi"/>
          <w:sz w:val="22"/>
          <w:szCs w:val="22"/>
          <w:lang w:val="es-ES"/>
        </w:rPr>
      </w:pPr>
    </w:p>
    <w:p w14:paraId="7207D55C" w14:textId="77777777" w:rsidR="005128E4" w:rsidRPr="00671AA7" w:rsidRDefault="005128E4" w:rsidP="00040C3A">
      <w:pPr>
        <w:tabs>
          <w:tab w:val="center" w:pos="5400"/>
        </w:tabs>
        <w:suppressAutoHyphens/>
        <w:rPr>
          <w:rFonts w:asciiTheme="majorHAnsi" w:hAnsiTheme="majorHAnsi"/>
          <w:sz w:val="22"/>
          <w:szCs w:val="22"/>
          <w:lang w:val="es-ES"/>
        </w:rPr>
      </w:pPr>
    </w:p>
    <w:p w14:paraId="31912A07" w14:textId="77777777" w:rsidR="005128E4" w:rsidRPr="00671AA7" w:rsidRDefault="005128E4" w:rsidP="00040C3A">
      <w:pPr>
        <w:tabs>
          <w:tab w:val="center" w:pos="5400"/>
        </w:tabs>
        <w:suppressAutoHyphens/>
        <w:rPr>
          <w:rFonts w:asciiTheme="majorHAnsi" w:hAnsiTheme="majorHAnsi"/>
          <w:sz w:val="22"/>
          <w:szCs w:val="22"/>
          <w:lang w:val="es-ES"/>
        </w:rPr>
      </w:pPr>
    </w:p>
    <w:p w14:paraId="29060EE8" w14:textId="77777777" w:rsidR="005128E4" w:rsidRPr="00671AA7" w:rsidRDefault="005128E4" w:rsidP="00040C3A">
      <w:pPr>
        <w:tabs>
          <w:tab w:val="center" w:pos="5400"/>
        </w:tabs>
        <w:suppressAutoHyphens/>
        <w:rPr>
          <w:rFonts w:asciiTheme="majorHAnsi" w:hAnsiTheme="majorHAnsi"/>
          <w:sz w:val="22"/>
          <w:szCs w:val="22"/>
          <w:lang w:val="es-ES"/>
        </w:rPr>
      </w:pPr>
    </w:p>
    <w:p w14:paraId="6876B53E" w14:textId="77777777" w:rsidR="00040C3A" w:rsidRPr="00671AA7" w:rsidRDefault="00040C3A" w:rsidP="005128E4">
      <w:pPr>
        <w:tabs>
          <w:tab w:val="center" w:pos="5400"/>
        </w:tabs>
        <w:suppressAutoHyphens/>
        <w:jc w:val="center"/>
        <w:rPr>
          <w:rFonts w:asciiTheme="majorHAnsi" w:hAnsiTheme="majorHAnsi"/>
          <w:sz w:val="22"/>
          <w:szCs w:val="22"/>
          <w:lang w:val="es-ES"/>
        </w:rPr>
      </w:pPr>
    </w:p>
    <w:p w14:paraId="2D13F8FF" w14:textId="77777777" w:rsidR="00040C3A" w:rsidRPr="00671AA7" w:rsidRDefault="00040C3A" w:rsidP="005128E4">
      <w:pPr>
        <w:tabs>
          <w:tab w:val="center" w:pos="5400"/>
        </w:tabs>
        <w:suppressAutoHyphens/>
        <w:jc w:val="center"/>
        <w:rPr>
          <w:rFonts w:asciiTheme="majorHAnsi" w:hAnsiTheme="majorHAnsi"/>
          <w:sz w:val="22"/>
          <w:szCs w:val="22"/>
          <w:lang w:val="es-ES"/>
        </w:rPr>
      </w:pPr>
    </w:p>
    <w:p w14:paraId="72441092"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383CAB3F"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0A82739F"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499A452C"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E5C7B7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7CF9F6FF" w14:textId="77777777" w:rsidR="00040C3A" w:rsidRPr="00671AA7" w:rsidRDefault="003D3BC2" w:rsidP="00040C3A">
      <w:pPr>
        <w:tabs>
          <w:tab w:val="center" w:pos="5400"/>
        </w:tabs>
        <w:suppressAutoHyphens/>
        <w:jc w:val="center"/>
        <w:rPr>
          <w:rFonts w:asciiTheme="majorHAnsi" w:hAnsiTheme="majorHAnsi"/>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3ABF29" wp14:editId="2D1A5A5B">
                <wp:simplePos x="0" y="0"/>
                <wp:positionH relativeFrom="column">
                  <wp:posOffset>1348965</wp:posOffset>
                </wp:positionH>
                <wp:positionV relativeFrom="paragraph">
                  <wp:posOffset>107051</wp:posOffset>
                </wp:positionV>
                <wp:extent cx="5097101"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7101"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F7ACC" w14:textId="0664E6F2" w:rsidR="007B432F" w:rsidRPr="004E2649" w:rsidRDefault="007B43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66865">
                              <w:rPr>
                                <w:rFonts w:asciiTheme="majorHAnsi" w:hAnsiTheme="majorHAnsi" w:cs="Arial"/>
                                <w:b/>
                                <w:bCs/>
                                <w:color w:val="0D0D0D" w:themeColor="text1" w:themeTint="F2"/>
                                <w:sz w:val="36"/>
                                <w:szCs w:val="22"/>
                                <w:lang w:val="es-ES_tradnl"/>
                              </w:rPr>
                              <w:t xml:space="preserve"> </w:t>
                            </w:r>
                            <w:r w:rsidR="00FE41C5">
                              <w:rPr>
                                <w:rFonts w:asciiTheme="majorHAnsi" w:hAnsiTheme="majorHAnsi" w:cs="Arial"/>
                                <w:b/>
                                <w:bCs/>
                                <w:color w:val="0D0D0D" w:themeColor="text1" w:themeTint="F2"/>
                                <w:sz w:val="36"/>
                                <w:szCs w:val="22"/>
                                <w:lang w:val="es-ES_tradnl"/>
                              </w:rPr>
                              <w:t>349</w:t>
                            </w:r>
                            <w:r w:rsidR="00E66865">
                              <w:rPr>
                                <w:rFonts w:asciiTheme="majorHAnsi" w:hAnsiTheme="majorHAnsi" w:cs="Arial"/>
                                <w:b/>
                                <w:bCs/>
                                <w:color w:val="0D0D0D" w:themeColor="text1" w:themeTint="F2"/>
                                <w:sz w:val="36"/>
                                <w:szCs w:val="22"/>
                                <w:lang w:val="es-ES_tradnl"/>
                              </w:rPr>
                              <w:t>/2</w:t>
                            </w:r>
                            <w:r w:rsidR="00C81191">
                              <w:rPr>
                                <w:rFonts w:asciiTheme="majorHAnsi" w:hAnsiTheme="majorHAnsi" w:cs="Arial"/>
                                <w:b/>
                                <w:bCs/>
                                <w:color w:val="0D0D0D" w:themeColor="text1" w:themeTint="F2"/>
                                <w:sz w:val="36"/>
                                <w:szCs w:val="22"/>
                                <w:lang w:val="es-ES_tradnl"/>
                              </w:rPr>
                              <w:t>3</w:t>
                            </w:r>
                          </w:p>
                          <w:p w14:paraId="40E6CA16" w14:textId="7B4B1078" w:rsidR="007B432F" w:rsidRDefault="007B43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69C6">
                              <w:rPr>
                                <w:rFonts w:asciiTheme="majorHAnsi" w:hAnsiTheme="majorHAnsi" w:cs="Arial"/>
                                <w:b/>
                                <w:color w:val="0D0D0D" w:themeColor="text1" w:themeTint="F2"/>
                                <w:sz w:val="36"/>
                                <w:szCs w:val="22"/>
                                <w:lang w:val="es-ES_tradnl"/>
                              </w:rPr>
                              <w:t>471</w:t>
                            </w:r>
                            <w:r w:rsidR="00E66865">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E38FFF" w14:textId="7D181E73" w:rsidR="007B432F" w:rsidRPr="0010736F" w:rsidRDefault="007B43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F727E">
                              <w:rPr>
                                <w:rFonts w:asciiTheme="majorHAnsi" w:hAnsiTheme="majorHAnsi" w:cs="Arial"/>
                                <w:color w:val="0D0D0D" w:themeColor="text1" w:themeTint="F2"/>
                                <w:szCs w:val="22"/>
                                <w:lang w:val="es-ES_tradnl"/>
                              </w:rPr>
                              <w:t>INADMISIBILIDAD</w:t>
                            </w:r>
                          </w:p>
                          <w:p w14:paraId="651819F4"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8A88A44" w14:textId="486203A2" w:rsidR="007B432F" w:rsidRPr="001D7D40" w:rsidRDefault="00D569C6" w:rsidP="00B466F3">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PA"/>
                              </w:rPr>
                              <w:t>CONSORCIO DEL URUGUAY, S.A. Y SUS ACCIO</w:t>
                            </w:r>
                            <w:r w:rsidR="00876F1B">
                              <w:rPr>
                                <w:rFonts w:asciiTheme="majorHAnsi" w:hAnsiTheme="majorHAnsi" w:cs="Arial"/>
                                <w:color w:val="0D0D0D" w:themeColor="text1" w:themeTint="F2"/>
                                <w:szCs w:val="22"/>
                                <w:lang w:val="es-PA"/>
                              </w:rPr>
                              <w:t>NISTAS</w:t>
                            </w:r>
                            <w:r>
                              <w:rPr>
                                <w:rFonts w:asciiTheme="majorHAnsi" w:hAnsiTheme="majorHAnsi" w:cs="Arial"/>
                                <w:color w:val="0D0D0D" w:themeColor="text1" w:themeTint="F2"/>
                                <w:szCs w:val="22"/>
                                <w:lang w:val="es-PA"/>
                              </w:rPr>
                              <w:t xml:space="preserve"> Y REPRESENTANTES</w:t>
                            </w:r>
                          </w:p>
                          <w:p w14:paraId="24CD50BC" w14:textId="77777777" w:rsidR="007B432F" w:rsidRPr="00CE1761" w:rsidRDefault="007B432F"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URUGUAY</w:t>
                            </w:r>
                          </w:p>
                          <w:p w14:paraId="739F03B3" w14:textId="77777777" w:rsidR="007B432F" w:rsidRPr="00AE5488" w:rsidRDefault="007B4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BF29" id="Text Box 5" o:spid="_x0000_s1027" type="#_x0000_t202" style="position:absolute;left:0;text-align:left;margin-left:106.2pt;margin-top:8.45pt;width:401.3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" filled="f" stroked="f" strokeweight=".5pt">
                <v:textbox>
                  <w:txbxContent>
                    <w:p w14:paraId="640F7ACC" w14:textId="0664E6F2" w:rsidR="007B432F" w:rsidRPr="004E2649" w:rsidRDefault="007B43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66865">
                        <w:rPr>
                          <w:rFonts w:asciiTheme="majorHAnsi" w:hAnsiTheme="majorHAnsi" w:cs="Arial"/>
                          <w:b/>
                          <w:bCs/>
                          <w:color w:val="0D0D0D" w:themeColor="text1" w:themeTint="F2"/>
                          <w:sz w:val="36"/>
                          <w:szCs w:val="22"/>
                          <w:lang w:val="es-ES_tradnl"/>
                        </w:rPr>
                        <w:t xml:space="preserve"> </w:t>
                      </w:r>
                      <w:r w:rsidR="00FE41C5">
                        <w:rPr>
                          <w:rFonts w:asciiTheme="majorHAnsi" w:hAnsiTheme="majorHAnsi" w:cs="Arial"/>
                          <w:b/>
                          <w:bCs/>
                          <w:color w:val="0D0D0D" w:themeColor="text1" w:themeTint="F2"/>
                          <w:sz w:val="36"/>
                          <w:szCs w:val="22"/>
                          <w:lang w:val="es-ES_tradnl"/>
                        </w:rPr>
                        <w:t>349</w:t>
                      </w:r>
                      <w:r w:rsidR="00E66865">
                        <w:rPr>
                          <w:rFonts w:asciiTheme="majorHAnsi" w:hAnsiTheme="majorHAnsi" w:cs="Arial"/>
                          <w:b/>
                          <w:bCs/>
                          <w:color w:val="0D0D0D" w:themeColor="text1" w:themeTint="F2"/>
                          <w:sz w:val="36"/>
                          <w:szCs w:val="22"/>
                          <w:lang w:val="es-ES_tradnl"/>
                        </w:rPr>
                        <w:t>/2</w:t>
                      </w:r>
                      <w:r w:rsidR="00C81191">
                        <w:rPr>
                          <w:rFonts w:asciiTheme="majorHAnsi" w:hAnsiTheme="majorHAnsi" w:cs="Arial"/>
                          <w:b/>
                          <w:bCs/>
                          <w:color w:val="0D0D0D" w:themeColor="text1" w:themeTint="F2"/>
                          <w:sz w:val="36"/>
                          <w:szCs w:val="22"/>
                          <w:lang w:val="es-ES_tradnl"/>
                        </w:rPr>
                        <w:t>3</w:t>
                      </w:r>
                    </w:p>
                    <w:p w14:paraId="40E6CA16" w14:textId="7B4B1078" w:rsidR="007B432F" w:rsidRDefault="007B43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69C6">
                        <w:rPr>
                          <w:rFonts w:asciiTheme="majorHAnsi" w:hAnsiTheme="majorHAnsi" w:cs="Arial"/>
                          <w:b/>
                          <w:color w:val="0D0D0D" w:themeColor="text1" w:themeTint="F2"/>
                          <w:sz w:val="36"/>
                          <w:szCs w:val="22"/>
                          <w:lang w:val="es-ES_tradnl"/>
                        </w:rPr>
                        <w:t>471</w:t>
                      </w:r>
                      <w:r w:rsidR="00E66865">
                        <w:rPr>
                          <w:rFonts w:asciiTheme="majorHAnsi" w:hAnsiTheme="majorHAnsi" w:cs="Arial"/>
                          <w:b/>
                          <w:color w:val="0D0D0D" w:themeColor="text1" w:themeTint="F2"/>
                          <w:sz w:val="36"/>
                          <w:szCs w:val="22"/>
                          <w:lang w:val="es-ES_tradnl"/>
                        </w:rPr>
                        <w:t>-13</w:t>
                      </w:r>
                      <w:r w:rsidRPr="004E2649">
                        <w:rPr>
                          <w:rFonts w:asciiTheme="majorHAnsi" w:hAnsiTheme="majorHAnsi" w:cs="Arial"/>
                          <w:b/>
                          <w:color w:val="0D0D0D" w:themeColor="text1" w:themeTint="F2"/>
                          <w:sz w:val="36"/>
                          <w:szCs w:val="22"/>
                          <w:lang w:val="es-ES_tradnl"/>
                        </w:rPr>
                        <w:t xml:space="preserve"> </w:t>
                      </w:r>
                    </w:p>
                    <w:p w14:paraId="70E38FFF" w14:textId="7D181E73" w:rsidR="007B432F" w:rsidRPr="0010736F" w:rsidRDefault="007B43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1F727E">
                        <w:rPr>
                          <w:rFonts w:asciiTheme="majorHAnsi" w:hAnsiTheme="majorHAnsi" w:cs="Arial"/>
                          <w:color w:val="0D0D0D" w:themeColor="text1" w:themeTint="F2"/>
                          <w:szCs w:val="22"/>
                          <w:lang w:val="es-ES_tradnl"/>
                        </w:rPr>
                        <w:t>INADMISIBILIDAD</w:t>
                      </w:r>
                    </w:p>
                    <w:p w14:paraId="651819F4"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8A88A44" w14:textId="486203A2" w:rsidR="007B432F" w:rsidRPr="001D7D40" w:rsidRDefault="00D569C6" w:rsidP="00B466F3">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PA"/>
                        </w:rPr>
                        <w:t>CONSORCIO DEL URUGUAY, S.A. Y SUS ACCIO</w:t>
                      </w:r>
                      <w:r w:rsidR="00876F1B">
                        <w:rPr>
                          <w:rFonts w:asciiTheme="majorHAnsi" w:hAnsiTheme="majorHAnsi" w:cs="Arial"/>
                          <w:color w:val="0D0D0D" w:themeColor="text1" w:themeTint="F2"/>
                          <w:szCs w:val="22"/>
                          <w:lang w:val="es-PA"/>
                        </w:rPr>
                        <w:t>NISTAS</w:t>
                      </w:r>
                      <w:r>
                        <w:rPr>
                          <w:rFonts w:asciiTheme="majorHAnsi" w:hAnsiTheme="majorHAnsi" w:cs="Arial"/>
                          <w:color w:val="0D0D0D" w:themeColor="text1" w:themeTint="F2"/>
                          <w:szCs w:val="22"/>
                          <w:lang w:val="es-PA"/>
                        </w:rPr>
                        <w:t xml:space="preserve"> Y REPRESENTANTES</w:t>
                      </w:r>
                    </w:p>
                    <w:p w14:paraId="24CD50BC" w14:textId="77777777" w:rsidR="007B432F" w:rsidRPr="00CE1761" w:rsidRDefault="007B432F" w:rsidP="00B466F3">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URUGUAY</w:t>
                      </w:r>
                    </w:p>
                    <w:p w14:paraId="739F03B3" w14:textId="77777777" w:rsidR="007B432F" w:rsidRPr="00AE5488" w:rsidRDefault="007B432F" w:rsidP="007A581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F46EE2" wp14:editId="544ED7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80440" w14:textId="5DE6B25F" w:rsidR="007B432F" w:rsidRPr="00617606" w:rsidRDefault="007B432F" w:rsidP="007A5817">
                            <w:pPr>
                              <w:spacing w:line="276" w:lineRule="auto"/>
                              <w:jc w:val="right"/>
                              <w:rPr>
                                <w:rFonts w:asciiTheme="minorHAnsi" w:hAnsiTheme="minorHAnsi"/>
                                <w:color w:val="FFFFFF" w:themeColor="background1"/>
                                <w:sz w:val="22"/>
                                <w:lang w:val="es-AR"/>
                              </w:rPr>
                            </w:pPr>
                            <w:r w:rsidRPr="00617606">
                              <w:rPr>
                                <w:rFonts w:asciiTheme="minorHAnsi" w:hAnsiTheme="minorHAnsi"/>
                                <w:color w:val="FFFFFF" w:themeColor="background1"/>
                                <w:sz w:val="22"/>
                                <w:lang w:val="es-AR"/>
                              </w:rPr>
                              <w:t>OEA/Ser.L/V/II</w:t>
                            </w:r>
                          </w:p>
                          <w:p w14:paraId="1917F068" w14:textId="6875E060" w:rsidR="007B432F" w:rsidRPr="00617606" w:rsidRDefault="007B432F" w:rsidP="007A5817">
                            <w:pPr>
                              <w:spacing w:line="276" w:lineRule="auto"/>
                              <w:jc w:val="right"/>
                              <w:rPr>
                                <w:rFonts w:asciiTheme="minorHAnsi" w:hAnsiTheme="minorHAnsi"/>
                                <w:color w:val="FFFFFF" w:themeColor="background1"/>
                                <w:sz w:val="22"/>
                                <w:lang w:val="es-AR"/>
                              </w:rPr>
                            </w:pPr>
                            <w:r w:rsidRPr="00617606">
                              <w:rPr>
                                <w:rFonts w:asciiTheme="minorHAnsi" w:hAnsiTheme="minorHAnsi"/>
                                <w:color w:val="FFFFFF" w:themeColor="background1"/>
                                <w:sz w:val="22"/>
                                <w:lang w:val="es-AR"/>
                              </w:rPr>
                              <w:t xml:space="preserve">Doc. </w:t>
                            </w:r>
                            <w:r w:rsidR="00FE41C5" w:rsidRPr="00617606">
                              <w:rPr>
                                <w:rFonts w:asciiTheme="minorHAnsi" w:hAnsiTheme="minorHAnsi"/>
                                <w:color w:val="FFFFFF" w:themeColor="background1"/>
                                <w:sz w:val="22"/>
                                <w:lang w:val="es-AR"/>
                              </w:rPr>
                              <w:t>375</w:t>
                            </w:r>
                          </w:p>
                          <w:p w14:paraId="466E8180" w14:textId="040990C0" w:rsidR="007B432F" w:rsidRPr="004577AB" w:rsidRDefault="00FE41C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29 diciembre</w:t>
                            </w:r>
                            <w:r w:rsidR="007B432F" w:rsidRPr="004577AB">
                              <w:rPr>
                                <w:rFonts w:asciiTheme="minorHAnsi" w:hAnsiTheme="minorHAnsi"/>
                                <w:color w:val="FFFFFF" w:themeColor="background1"/>
                                <w:sz w:val="22"/>
                                <w:lang w:val="es-CO"/>
                              </w:rPr>
                              <w:t xml:space="preserve"> 20</w:t>
                            </w:r>
                            <w:r w:rsidR="0033761F">
                              <w:rPr>
                                <w:rFonts w:asciiTheme="minorHAnsi" w:hAnsiTheme="minorHAnsi"/>
                                <w:color w:val="FFFFFF" w:themeColor="background1"/>
                                <w:sz w:val="22"/>
                                <w:lang w:val="es-CO"/>
                              </w:rPr>
                              <w:t>2</w:t>
                            </w:r>
                            <w:r w:rsidR="00C81191">
                              <w:rPr>
                                <w:rFonts w:asciiTheme="minorHAnsi" w:hAnsiTheme="minorHAnsi"/>
                                <w:color w:val="FFFFFF" w:themeColor="background1"/>
                                <w:sz w:val="22"/>
                                <w:lang w:val="es-CO"/>
                              </w:rPr>
                              <w:t>3</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6EE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C880440" w14:textId="5DE6B25F" w:rsidR="007B432F" w:rsidRPr="00617606" w:rsidRDefault="007B432F" w:rsidP="007A5817">
                      <w:pPr>
                        <w:spacing w:line="276" w:lineRule="auto"/>
                        <w:jc w:val="right"/>
                        <w:rPr>
                          <w:rFonts w:asciiTheme="minorHAnsi" w:hAnsiTheme="minorHAnsi"/>
                          <w:color w:val="FFFFFF" w:themeColor="background1"/>
                          <w:sz w:val="22"/>
                          <w:lang w:val="es-AR"/>
                        </w:rPr>
                      </w:pPr>
                      <w:r w:rsidRPr="00617606">
                        <w:rPr>
                          <w:rFonts w:asciiTheme="minorHAnsi" w:hAnsiTheme="minorHAnsi"/>
                          <w:color w:val="FFFFFF" w:themeColor="background1"/>
                          <w:sz w:val="22"/>
                          <w:lang w:val="es-AR"/>
                        </w:rPr>
                        <w:t>OEA/Ser.L/V/II</w:t>
                      </w:r>
                    </w:p>
                    <w:p w14:paraId="1917F068" w14:textId="6875E060" w:rsidR="007B432F" w:rsidRPr="00617606" w:rsidRDefault="007B432F" w:rsidP="007A5817">
                      <w:pPr>
                        <w:spacing w:line="276" w:lineRule="auto"/>
                        <w:jc w:val="right"/>
                        <w:rPr>
                          <w:rFonts w:asciiTheme="minorHAnsi" w:hAnsiTheme="minorHAnsi"/>
                          <w:color w:val="FFFFFF" w:themeColor="background1"/>
                          <w:sz w:val="22"/>
                          <w:lang w:val="es-AR"/>
                        </w:rPr>
                      </w:pPr>
                      <w:r w:rsidRPr="00617606">
                        <w:rPr>
                          <w:rFonts w:asciiTheme="minorHAnsi" w:hAnsiTheme="minorHAnsi"/>
                          <w:color w:val="FFFFFF" w:themeColor="background1"/>
                          <w:sz w:val="22"/>
                          <w:lang w:val="es-AR"/>
                        </w:rPr>
                        <w:t xml:space="preserve">Doc. </w:t>
                      </w:r>
                      <w:r w:rsidR="00FE41C5" w:rsidRPr="00617606">
                        <w:rPr>
                          <w:rFonts w:asciiTheme="minorHAnsi" w:hAnsiTheme="minorHAnsi"/>
                          <w:color w:val="FFFFFF" w:themeColor="background1"/>
                          <w:sz w:val="22"/>
                          <w:lang w:val="es-AR"/>
                        </w:rPr>
                        <w:t>375</w:t>
                      </w:r>
                    </w:p>
                    <w:p w14:paraId="466E8180" w14:textId="040990C0" w:rsidR="007B432F" w:rsidRPr="004577AB" w:rsidRDefault="00FE41C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29 diciembre</w:t>
                      </w:r>
                      <w:r w:rsidR="007B432F" w:rsidRPr="004577AB">
                        <w:rPr>
                          <w:rFonts w:asciiTheme="minorHAnsi" w:hAnsiTheme="minorHAnsi"/>
                          <w:color w:val="FFFFFF" w:themeColor="background1"/>
                          <w:sz w:val="22"/>
                          <w:lang w:val="es-CO"/>
                        </w:rPr>
                        <w:t xml:space="preserve"> 20</w:t>
                      </w:r>
                      <w:r w:rsidR="0033761F">
                        <w:rPr>
                          <w:rFonts w:asciiTheme="minorHAnsi" w:hAnsiTheme="minorHAnsi"/>
                          <w:color w:val="FFFFFF" w:themeColor="background1"/>
                          <w:sz w:val="22"/>
                          <w:lang w:val="es-CO"/>
                        </w:rPr>
                        <w:t>2</w:t>
                      </w:r>
                      <w:r w:rsidR="00C81191">
                        <w:rPr>
                          <w:rFonts w:asciiTheme="minorHAnsi" w:hAnsiTheme="minorHAnsi"/>
                          <w:color w:val="FFFFFF" w:themeColor="background1"/>
                          <w:sz w:val="22"/>
                          <w:lang w:val="es-CO"/>
                        </w:rPr>
                        <w:t>3</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v:textbox>
              </v:shape>
            </w:pict>
          </mc:Fallback>
        </mc:AlternateContent>
      </w:r>
    </w:p>
    <w:p w14:paraId="1C858242"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48E2EDED"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44CE6FAB" w14:textId="77777777" w:rsidR="00040C3A" w:rsidRPr="00671AA7" w:rsidRDefault="00040C3A" w:rsidP="00040C3A">
      <w:pPr>
        <w:tabs>
          <w:tab w:val="center" w:pos="5400"/>
        </w:tabs>
        <w:suppressAutoHyphens/>
        <w:jc w:val="center"/>
        <w:rPr>
          <w:rFonts w:asciiTheme="majorHAnsi" w:hAnsiTheme="majorHAnsi" w:cs="Arial"/>
          <w:sz w:val="22"/>
          <w:szCs w:val="22"/>
          <w:lang w:val="es-ES"/>
        </w:rPr>
      </w:pPr>
    </w:p>
    <w:p w14:paraId="3E9ED368"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6E20FFEA"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0306AAA0"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1CC5DE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083BD725"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7AB95797"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362420E"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5B8CD2D9"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4481BEC6"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40809A01"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20A0FDA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5B3052C6"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67E464F9"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00285A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BCDAE9C"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CB05BD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74BFC6F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7C4070E7"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F384E45"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E1F8CC0"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B6779DD"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2BBB048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0A88DF3"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1D5A68E3"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0769C7D"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15E40F3" w14:textId="77777777"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9DE138" wp14:editId="16D622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662B" w14:textId="12067E7C"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102F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102F7">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E66865">
                              <w:rPr>
                                <w:rFonts w:asciiTheme="majorHAnsi" w:hAnsiTheme="majorHAnsi"/>
                                <w:color w:val="0D0D0D" w:themeColor="text1" w:themeTint="F2"/>
                                <w:sz w:val="18"/>
                                <w:szCs w:val="22"/>
                                <w:lang w:val="es-ES"/>
                              </w:rPr>
                              <w:t>de 202</w:t>
                            </w:r>
                            <w:r w:rsidR="00C81191">
                              <w:rPr>
                                <w:rFonts w:asciiTheme="majorHAnsi" w:hAnsiTheme="majorHAnsi"/>
                                <w:color w:val="0D0D0D" w:themeColor="text1" w:themeTint="F2"/>
                                <w:sz w:val="18"/>
                                <w:szCs w:val="22"/>
                                <w:lang w:val="es-ES"/>
                              </w:rPr>
                              <w:t>3</w:t>
                            </w:r>
                            <w:r w:rsidR="000102F7">
                              <w:rPr>
                                <w:rFonts w:asciiTheme="majorHAnsi" w:hAnsiTheme="majorHAnsi"/>
                                <w:color w:val="0D0D0D" w:themeColor="text1" w:themeTint="F2"/>
                                <w:sz w:val="18"/>
                                <w:szCs w:val="22"/>
                                <w:lang w:val="es-ES"/>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E13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5AB662B" w14:textId="12067E7C"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102F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102F7">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E66865">
                        <w:rPr>
                          <w:rFonts w:asciiTheme="majorHAnsi" w:hAnsiTheme="majorHAnsi"/>
                          <w:color w:val="0D0D0D" w:themeColor="text1" w:themeTint="F2"/>
                          <w:sz w:val="18"/>
                          <w:szCs w:val="22"/>
                          <w:lang w:val="es-ES"/>
                        </w:rPr>
                        <w:t>de 202</w:t>
                      </w:r>
                      <w:r w:rsidR="00C81191">
                        <w:rPr>
                          <w:rFonts w:asciiTheme="majorHAnsi" w:hAnsiTheme="majorHAnsi"/>
                          <w:color w:val="0D0D0D" w:themeColor="text1" w:themeTint="F2"/>
                          <w:sz w:val="18"/>
                          <w:szCs w:val="22"/>
                          <w:lang w:val="es-ES"/>
                        </w:rPr>
                        <w:t>3</w:t>
                      </w:r>
                      <w:r w:rsidR="000102F7">
                        <w:rPr>
                          <w:rFonts w:asciiTheme="majorHAnsi" w:hAnsiTheme="majorHAnsi"/>
                          <w:color w:val="0D0D0D" w:themeColor="text1" w:themeTint="F2"/>
                          <w:sz w:val="18"/>
                          <w:szCs w:val="22"/>
                          <w:lang w:val="es-ES"/>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7EE867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04A8609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A8D410A"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2804F679"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617051A1" w14:textId="77777777"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E5E8C7" wp14:editId="221FE4C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DC4E6" w14:textId="284654DD" w:rsidR="007B432F" w:rsidRPr="007B05C4" w:rsidRDefault="007B43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02F7" w:rsidRPr="000102F7">
                              <w:rPr>
                                <w:rFonts w:asciiTheme="majorHAnsi" w:hAnsiTheme="majorHAnsi"/>
                                <w:color w:val="595959" w:themeColor="text1" w:themeTint="A6"/>
                                <w:sz w:val="18"/>
                                <w:szCs w:val="18"/>
                                <w:lang w:val="pt-BR"/>
                              </w:rPr>
                              <w:t>349</w:t>
                            </w:r>
                            <w:r w:rsidR="00E66865" w:rsidRPr="000102F7">
                              <w:rPr>
                                <w:rFonts w:asciiTheme="majorHAnsi" w:hAnsiTheme="majorHAnsi"/>
                                <w:color w:val="595959" w:themeColor="text1" w:themeTint="A6"/>
                                <w:sz w:val="18"/>
                                <w:szCs w:val="18"/>
                                <w:lang w:val="pt-BR"/>
                              </w:rPr>
                              <w:t>/2</w:t>
                            </w:r>
                            <w:r w:rsidR="00C81191" w:rsidRPr="000102F7">
                              <w:rPr>
                                <w:rFonts w:asciiTheme="majorHAnsi" w:hAnsiTheme="majorHAnsi"/>
                                <w:color w:val="595959" w:themeColor="text1" w:themeTint="A6"/>
                                <w:sz w:val="18"/>
                                <w:szCs w:val="18"/>
                                <w:lang w:val="pt-BR"/>
                              </w:rPr>
                              <w:t>3</w:t>
                            </w:r>
                            <w:r w:rsidRPr="000102F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sidR="00E66865">
                              <w:rPr>
                                <w:rFonts w:asciiTheme="majorHAnsi" w:hAnsiTheme="majorHAnsi"/>
                                <w:color w:val="595959" w:themeColor="text1" w:themeTint="A6"/>
                                <w:sz w:val="18"/>
                                <w:szCs w:val="18"/>
                                <w:lang w:val="es-ES"/>
                              </w:rPr>
                              <w:t xml:space="preserve">ón </w:t>
                            </w:r>
                            <w:r w:rsidR="00D569C6">
                              <w:rPr>
                                <w:rFonts w:asciiTheme="majorHAnsi" w:hAnsiTheme="majorHAnsi"/>
                                <w:color w:val="595959" w:themeColor="text1" w:themeTint="A6"/>
                                <w:sz w:val="18"/>
                                <w:szCs w:val="18"/>
                                <w:lang w:val="es-ES"/>
                              </w:rPr>
                              <w:t>471</w:t>
                            </w:r>
                            <w:r w:rsidR="004559D0">
                              <w:rPr>
                                <w:rFonts w:asciiTheme="majorHAnsi" w:hAnsiTheme="majorHAnsi"/>
                                <w:color w:val="595959" w:themeColor="text1" w:themeTint="A6"/>
                                <w:sz w:val="18"/>
                                <w:szCs w:val="18"/>
                                <w:lang w:val="es-ES"/>
                              </w:rPr>
                              <w:t>-</w:t>
                            </w:r>
                            <w:r w:rsidR="00E66865">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000102F7">
                              <w:rPr>
                                <w:rFonts w:asciiTheme="majorHAnsi" w:hAnsiTheme="majorHAnsi"/>
                                <w:color w:val="595959" w:themeColor="text1" w:themeTint="A6"/>
                                <w:sz w:val="18"/>
                                <w:szCs w:val="18"/>
                                <w:lang w:val="es-ES_tradnl"/>
                              </w:rPr>
                              <w:t>Ina</w:t>
                            </w:r>
                            <w:r w:rsidRPr="00935881">
                              <w:rPr>
                                <w:rFonts w:asciiTheme="majorHAnsi" w:hAnsiTheme="majorHAnsi"/>
                                <w:color w:val="595959" w:themeColor="text1" w:themeTint="A6"/>
                                <w:sz w:val="18"/>
                                <w:szCs w:val="18"/>
                                <w:lang w:val="es-ES_tradnl"/>
                              </w:rPr>
                              <w:t>dmisibilidad.</w:t>
                            </w:r>
                            <w:r w:rsidR="00E66865">
                              <w:rPr>
                                <w:rFonts w:asciiTheme="majorHAnsi" w:hAnsiTheme="majorHAnsi"/>
                                <w:color w:val="595959" w:themeColor="text1" w:themeTint="A6"/>
                                <w:sz w:val="18"/>
                                <w:szCs w:val="18"/>
                                <w:lang w:val="es-ES_tradnl"/>
                              </w:rPr>
                              <w:t xml:space="preserve"> </w:t>
                            </w:r>
                            <w:r w:rsidR="00D569C6">
                              <w:rPr>
                                <w:rFonts w:asciiTheme="majorHAnsi" w:hAnsiTheme="majorHAnsi"/>
                                <w:color w:val="595959" w:themeColor="text1" w:themeTint="A6"/>
                                <w:sz w:val="18"/>
                                <w:szCs w:val="18"/>
                                <w:lang w:val="es-ES_tradnl"/>
                              </w:rPr>
                              <w:t>Consorcio del Uruguay S.A. y sus accion</w:t>
                            </w:r>
                            <w:r w:rsidR="004559D0">
                              <w:rPr>
                                <w:rFonts w:asciiTheme="majorHAnsi" w:hAnsiTheme="majorHAnsi"/>
                                <w:color w:val="595959" w:themeColor="text1" w:themeTint="A6"/>
                                <w:sz w:val="18"/>
                                <w:szCs w:val="18"/>
                                <w:lang w:val="es-ES_tradnl"/>
                              </w:rPr>
                              <w:t>istas</w:t>
                            </w:r>
                            <w:r w:rsidR="00D569C6">
                              <w:rPr>
                                <w:rFonts w:asciiTheme="majorHAnsi" w:hAnsiTheme="majorHAnsi"/>
                                <w:color w:val="595959" w:themeColor="text1" w:themeTint="A6"/>
                                <w:sz w:val="18"/>
                                <w:szCs w:val="18"/>
                                <w:lang w:val="es-ES_tradnl"/>
                              </w:rPr>
                              <w:t xml:space="preserve"> y representantes</w:t>
                            </w:r>
                            <w:r w:rsidRPr="00C524AB">
                              <w:rPr>
                                <w:rFonts w:asciiTheme="majorHAnsi" w:hAnsiTheme="majorHAnsi"/>
                                <w:color w:val="595959" w:themeColor="text1" w:themeTint="A6"/>
                                <w:sz w:val="18"/>
                                <w:szCs w:val="18"/>
                                <w:lang w:val="es-PA"/>
                              </w:rPr>
                              <w:t xml:space="preserve">. </w:t>
                            </w:r>
                            <w:r>
                              <w:rPr>
                                <w:rFonts w:asciiTheme="majorHAnsi" w:hAnsiTheme="majorHAnsi"/>
                                <w:color w:val="595959" w:themeColor="text1" w:themeTint="A6"/>
                                <w:sz w:val="18"/>
                                <w:szCs w:val="18"/>
                                <w:lang w:val="pt-BR"/>
                              </w:rPr>
                              <w:t>Uruguay</w:t>
                            </w:r>
                            <w:r w:rsidRPr="00890650">
                              <w:rPr>
                                <w:rFonts w:asciiTheme="majorHAnsi" w:hAnsiTheme="majorHAnsi"/>
                                <w:color w:val="595959" w:themeColor="text1" w:themeTint="A6"/>
                                <w:sz w:val="18"/>
                                <w:szCs w:val="18"/>
                                <w:lang w:val="es-ES_tradnl"/>
                              </w:rPr>
                              <w:t xml:space="preserve">. </w:t>
                            </w:r>
                            <w:r w:rsidR="000102F7">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E8C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10FDC4E6" w14:textId="284654DD" w:rsidR="007B432F" w:rsidRPr="007B05C4" w:rsidRDefault="007B43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102F7" w:rsidRPr="000102F7">
                        <w:rPr>
                          <w:rFonts w:asciiTheme="majorHAnsi" w:hAnsiTheme="majorHAnsi"/>
                          <w:color w:val="595959" w:themeColor="text1" w:themeTint="A6"/>
                          <w:sz w:val="18"/>
                          <w:szCs w:val="18"/>
                          <w:lang w:val="pt-BR"/>
                        </w:rPr>
                        <w:t>349</w:t>
                      </w:r>
                      <w:r w:rsidR="00E66865" w:rsidRPr="000102F7">
                        <w:rPr>
                          <w:rFonts w:asciiTheme="majorHAnsi" w:hAnsiTheme="majorHAnsi"/>
                          <w:color w:val="595959" w:themeColor="text1" w:themeTint="A6"/>
                          <w:sz w:val="18"/>
                          <w:szCs w:val="18"/>
                          <w:lang w:val="pt-BR"/>
                        </w:rPr>
                        <w:t>/2</w:t>
                      </w:r>
                      <w:r w:rsidR="00C81191" w:rsidRPr="000102F7">
                        <w:rPr>
                          <w:rFonts w:asciiTheme="majorHAnsi" w:hAnsiTheme="majorHAnsi"/>
                          <w:color w:val="595959" w:themeColor="text1" w:themeTint="A6"/>
                          <w:sz w:val="18"/>
                          <w:szCs w:val="18"/>
                          <w:lang w:val="pt-BR"/>
                        </w:rPr>
                        <w:t>3</w:t>
                      </w:r>
                      <w:r w:rsidRPr="000102F7">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sidR="00E66865">
                        <w:rPr>
                          <w:rFonts w:asciiTheme="majorHAnsi" w:hAnsiTheme="majorHAnsi"/>
                          <w:color w:val="595959" w:themeColor="text1" w:themeTint="A6"/>
                          <w:sz w:val="18"/>
                          <w:szCs w:val="18"/>
                          <w:lang w:val="es-ES"/>
                        </w:rPr>
                        <w:t xml:space="preserve">ón </w:t>
                      </w:r>
                      <w:r w:rsidR="00D569C6">
                        <w:rPr>
                          <w:rFonts w:asciiTheme="majorHAnsi" w:hAnsiTheme="majorHAnsi"/>
                          <w:color w:val="595959" w:themeColor="text1" w:themeTint="A6"/>
                          <w:sz w:val="18"/>
                          <w:szCs w:val="18"/>
                          <w:lang w:val="es-ES"/>
                        </w:rPr>
                        <w:t>471</w:t>
                      </w:r>
                      <w:r w:rsidR="004559D0">
                        <w:rPr>
                          <w:rFonts w:asciiTheme="majorHAnsi" w:hAnsiTheme="majorHAnsi"/>
                          <w:color w:val="595959" w:themeColor="text1" w:themeTint="A6"/>
                          <w:sz w:val="18"/>
                          <w:szCs w:val="18"/>
                          <w:lang w:val="es-ES"/>
                        </w:rPr>
                        <w:t>-</w:t>
                      </w:r>
                      <w:r w:rsidR="00E66865">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000102F7">
                        <w:rPr>
                          <w:rFonts w:asciiTheme="majorHAnsi" w:hAnsiTheme="majorHAnsi"/>
                          <w:color w:val="595959" w:themeColor="text1" w:themeTint="A6"/>
                          <w:sz w:val="18"/>
                          <w:szCs w:val="18"/>
                          <w:lang w:val="es-ES_tradnl"/>
                        </w:rPr>
                        <w:t>Ina</w:t>
                      </w:r>
                      <w:r w:rsidRPr="00935881">
                        <w:rPr>
                          <w:rFonts w:asciiTheme="majorHAnsi" w:hAnsiTheme="majorHAnsi"/>
                          <w:color w:val="595959" w:themeColor="text1" w:themeTint="A6"/>
                          <w:sz w:val="18"/>
                          <w:szCs w:val="18"/>
                          <w:lang w:val="es-ES_tradnl"/>
                        </w:rPr>
                        <w:t>dmisibilidad.</w:t>
                      </w:r>
                      <w:r w:rsidR="00E66865">
                        <w:rPr>
                          <w:rFonts w:asciiTheme="majorHAnsi" w:hAnsiTheme="majorHAnsi"/>
                          <w:color w:val="595959" w:themeColor="text1" w:themeTint="A6"/>
                          <w:sz w:val="18"/>
                          <w:szCs w:val="18"/>
                          <w:lang w:val="es-ES_tradnl"/>
                        </w:rPr>
                        <w:t xml:space="preserve"> </w:t>
                      </w:r>
                      <w:r w:rsidR="00D569C6">
                        <w:rPr>
                          <w:rFonts w:asciiTheme="majorHAnsi" w:hAnsiTheme="majorHAnsi"/>
                          <w:color w:val="595959" w:themeColor="text1" w:themeTint="A6"/>
                          <w:sz w:val="18"/>
                          <w:szCs w:val="18"/>
                          <w:lang w:val="es-ES_tradnl"/>
                        </w:rPr>
                        <w:t>Consorcio del Uruguay S.A. y sus accion</w:t>
                      </w:r>
                      <w:r w:rsidR="004559D0">
                        <w:rPr>
                          <w:rFonts w:asciiTheme="majorHAnsi" w:hAnsiTheme="majorHAnsi"/>
                          <w:color w:val="595959" w:themeColor="text1" w:themeTint="A6"/>
                          <w:sz w:val="18"/>
                          <w:szCs w:val="18"/>
                          <w:lang w:val="es-ES_tradnl"/>
                        </w:rPr>
                        <w:t>istas</w:t>
                      </w:r>
                      <w:r w:rsidR="00D569C6">
                        <w:rPr>
                          <w:rFonts w:asciiTheme="majorHAnsi" w:hAnsiTheme="majorHAnsi"/>
                          <w:color w:val="595959" w:themeColor="text1" w:themeTint="A6"/>
                          <w:sz w:val="18"/>
                          <w:szCs w:val="18"/>
                          <w:lang w:val="es-ES_tradnl"/>
                        </w:rPr>
                        <w:t xml:space="preserve"> y representantes</w:t>
                      </w:r>
                      <w:r w:rsidRPr="00C524AB">
                        <w:rPr>
                          <w:rFonts w:asciiTheme="majorHAnsi" w:hAnsiTheme="majorHAnsi"/>
                          <w:color w:val="595959" w:themeColor="text1" w:themeTint="A6"/>
                          <w:sz w:val="18"/>
                          <w:szCs w:val="18"/>
                          <w:lang w:val="es-PA"/>
                        </w:rPr>
                        <w:t xml:space="preserve">. </w:t>
                      </w:r>
                      <w:r>
                        <w:rPr>
                          <w:rFonts w:asciiTheme="majorHAnsi" w:hAnsiTheme="majorHAnsi"/>
                          <w:color w:val="595959" w:themeColor="text1" w:themeTint="A6"/>
                          <w:sz w:val="18"/>
                          <w:szCs w:val="18"/>
                          <w:lang w:val="pt-BR"/>
                        </w:rPr>
                        <w:t>Uruguay</w:t>
                      </w:r>
                      <w:r w:rsidRPr="00890650">
                        <w:rPr>
                          <w:rFonts w:asciiTheme="majorHAnsi" w:hAnsiTheme="majorHAnsi"/>
                          <w:color w:val="595959" w:themeColor="text1" w:themeTint="A6"/>
                          <w:sz w:val="18"/>
                          <w:szCs w:val="18"/>
                          <w:lang w:val="es-ES_tradnl"/>
                        </w:rPr>
                        <w:t xml:space="preserve">. </w:t>
                      </w:r>
                      <w:r w:rsidR="000102F7">
                        <w:rPr>
                          <w:rFonts w:asciiTheme="majorHAnsi" w:hAnsiTheme="majorHAnsi"/>
                          <w:color w:val="595959" w:themeColor="text1" w:themeTint="A6"/>
                          <w:sz w:val="18"/>
                          <w:szCs w:val="18"/>
                          <w:lang w:val="es-ES"/>
                        </w:rPr>
                        <w:t>29 de 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2CF866E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08F93F6" w14:textId="77777777" w:rsidR="0090270B" w:rsidRPr="00671AA7" w:rsidRDefault="00D306D1" w:rsidP="005516A1">
      <w:pPr>
        <w:tabs>
          <w:tab w:val="center" w:pos="5400"/>
        </w:tabs>
        <w:suppressAutoHyphens/>
        <w:jc w:val="center"/>
        <w:rPr>
          <w:rFonts w:asciiTheme="majorHAnsi" w:hAnsiTheme="majorHAnsi"/>
          <w:b/>
          <w:sz w:val="20"/>
          <w:lang w:val="es-ES"/>
        </w:r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984889" wp14:editId="392389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32E7D" w14:textId="518148A9" w:rsidR="007B432F" w:rsidRPr="00D72DC6" w:rsidRDefault="00A41605" w:rsidP="00F02AD1">
                            <w:pPr>
                              <w:rPr>
                                <w:color w:val="FFFFFF" w:themeColor="background1"/>
                                <w14:textFill>
                                  <w14:noFill/>
                                </w14:textFill>
                              </w:rPr>
                            </w:pPr>
                            <w:r>
                              <w:rPr>
                                <w:noProof/>
                                <w:color w:val="FFFFFF" w:themeColor="background1"/>
                              </w:rPr>
                              <w:drawing>
                                <wp:inline distT="0" distB="0" distL="0" distR="0" wp14:anchorId="67CD6198" wp14:editId="4D25FB2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48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AB32E7D" w14:textId="518148A9" w:rsidR="007B432F" w:rsidRPr="00D72DC6" w:rsidRDefault="00A41605" w:rsidP="00F02AD1">
                      <w:pPr>
                        <w:rPr>
                          <w:color w:val="FFFFFF" w:themeColor="background1"/>
                          <w14:textFill>
                            <w14:noFill/>
                          </w14:textFill>
                        </w:rPr>
                      </w:pPr>
                      <w:r>
                        <w:rPr>
                          <w:noProof/>
                          <w:color w:val="FFFFFF" w:themeColor="background1"/>
                        </w:rPr>
                        <w:drawing>
                          <wp:inline distT="0" distB="0" distL="0" distR="0" wp14:anchorId="67CD6198" wp14:editId="4D25FB2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7156B3" wp14:editId="4E17D5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56B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2C367C" w14:textId="77777777" w:rsidR="0070697F" w:rsidRPr="00671AA7" w:rsidRDefault="004A6A54" w:rsidP="005516A1">
      <w:pPr>
        <w:tabs>
          <w:tab w:val="center" w:pos="5400"/>
        </w:tabs>
        <w:suppressAutoHyphens/>
        <w:jc w:val="center"/>
        <w:rPr>
          <w:rFonts w:asciiTheme="majorHAnsi" w:hAnsiTheme="majorHAnsi"/>
          <w:b/>
          <w:sz w:val="20"/>
          <w:lang w:val="es-ES"/>
        </w:rPr>
        <w:sectPr w:rsidR="0070697F" w:rsidRPr="00671AA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671AA7">
        <w:rPr>
          <w:rFonts w:asciiTheme="majorHAnsi" w:hAnsiTheme="majorHAnsi"/>
          <w:b/>
          <w:sz w:val="20"/>
          <w:lang w:val="es-ES"/>
        </w:rPr>
        <w:tab/>
      </w:r>
    </w:p>
    <w:p w14:paraId="4E32FF06" w14:textId="77777777" w:rsidR="003239B8" w:rsidRPr="00671AA7" w:rsidRDefault="003239B8" w:rsidP="004A6A54">
      <w:pPr>
        <w:spacing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lastRenderedPageBreak/>
        <w:t>I.</w:t>
      </w:r>
      <w:r w:rsidRPr="00671AA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17606" w14:paraId="2030DE86" w14:textId="77777777" w:rsidTr="000C63D9">
        <w:tc>
          <w:tcPr>
            <w:tcW w:w="3600" w:type="dxa"/>
            <w:tcBorders>
              <w:top w:val="single" w:sz="4" w:space="0" w:color="auto"/>
              <w:bottom w:val="single" w:sz="6" w:space="0" w:color="auto"/>
            </w:tcBorders>
            <w:shd w:val="clear" w:color="auto" w:fill="386294"/>
            <w:vAlign w:val="center"/>
          </w:tcPr>
          <w:p w14:paraId="156E6A11"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Parte peticionaria:</w:t>
            </w:r>
          </w:p>
        </w:tc>
        <w:tc>
          <w:tcPr>
            <w:tcW w:w="5647" w:type="dxa"/>
            <w:vAlign w:val="center"/>
          </w:tcPr>
          <w:p w14:paraId="47E7BC55" w14:textId="4BBB6CEB" w:rsidR="003239B8" w:rsidRPr="00671AA7" w:rsidRDefault="004A792A" w:rsidP="00B466F3">
            <w:pPr>
              <w:jc w:val="both"/>
              <w:rPr>
                <w:rFonts w:ascii="Cambria" w:hAnsi="Cambria"/>
                <w:bCs/>
                <w:sz w:val="20"/>
                <w:szCs w:val="20"/>
                <w:lang w:val="es-ES"/>
              </w:rPr>
            </w:pPr>
            <w:r>
              <w:rPr>
                <w:rFonts w:asciiTheme="majorHAnsi" w:hAnsiTheme="majorHAnsi"/>
                <w:bCs/>
                <w:sz w:val="20"/>
                <w:szCs w:val="20"/>
                <w:lang w:val="es-ES"/>
              </w:rPr>
              <w:t>Juan José Scandroglio Quintana, Eduardo Bertoni y Stefanía Garrido</w:t>
            </w:r>
            <w:r>
              <w:rPr>
                <w:rStyle w:val="FootnoteReference"/>
                <w:rFonts w:asciiTheme="majorHAnsi" w:hAnsiTheme="majorHAnsi"/>
                <w:bCs/>
                <w:sz w:val="20"/>
                <w:szCs w:val="20"/>
                <w:lang w:val="es-ES"/>
              </w:rPr>
              <w:footnoteReference w:id="2"/>
            </w:r>
          </w:p>
        </w:tc>
      </w:tr>
      <w:tr w:rsidR="003239B8" w:rsidRPr="00617606" w14:paraId="6D37DDD6" w14:textId="77777777" w:rsidTr="000C63D9">
        <w:tc>
          <w:tcPr>
            <w:tcW w:w="3600" w:type="dxa"/>
            <w:tcBorders>
              <w:top w:val="single" w:sz="6" w:space="0" w:color="auto"/>
              <w:bottom w:val="single" w:sz="6" w:space="0" w:color="auto"/>
            </w:tcBorders>
            <w:shd w:val="clear" w:color="auto" w:fill="386294"/>
            <w:vAlign w:val="center"/>
          </w:tcPr>
          <w:p w14:paraId="0DD585C3" w14:textId="77777777" w:rsidR="003239B8" w:rsidRPr="00671AA7" w:rsidRDefault="009A661A" w:rsidP="007B432F">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1AA7">
                  <w:rPr>
                    <w:rFonts w:ascii="Cambria" w:hAnsi="Cambria"/>
                    <w:b/>
                    <w:bCs/>
                    <w:color w:val="FFFFFF" w:themeColor="background1"/>
                    <w:sz w:val="20"/>
                    <w:szCs w:val="20"/>
                    <w:lang w:val="es-ES"/>
                  </w:rPr>
                  <w:t>Presunta víctima</w:t>
                </w:r>
              </w:sdtContent>
            </w:sdt>
            <w:r w:rsidR="003239B8" w:rsidRPr="00671AA7">
              <w:rPr>
                <w:rFonts w:ascii="Cambria" w:hAnsi="Cambria"/>
                <w:b/>
                <w:bCs/>
                <w:color w:val="FFFFFF" w:themeColor="background1"/>
                <w:sz w:val="20"/>
                <w:szCs w:val="20"/>
                <w:lang w:val="es-ES"/>
              </w:rPr>
              <w:t>:</w:t>
            </w:r>
          </w:p>
        </w:tc>
        <w:tc>
          <w:tcPr>
            <w:tcW w:w="5647" w:type="dxa"/>
            <w:vAlign w:val="center"/>
          </w:tcPr>
          <w:p w14:paraId="53793D77" w14:textId="7AE0ABE2" w:rsidR="003239B8" w:rsidRPr="00DC0561" w:rsidRDefault="0055700A" w:rsidP="0055700A">
            <w:pPr>
              <w:jc w:val="both"/>
              <w:rPr>
                <w:rFonts w:ascii="Cambria" w:hAnsi="Cambria"/>
                <w:bCs/>
                <w:sz w:val="20"/>
                <w:szCs w:val="20"/>
                <w:lang w:val="es-ES"/>
              </w:rPr>
            </w:pPr>
            <w:r>
              <w:rPr>
                <w:rFonts w:asciiTheme="majorHAnsi" w:hAnsiTheme="majorHAnsi"/>
                <w:bCs/>
                <w:sz w:val="20"/>
                <w:szCs w:val="20"/>
                <w:lang w:val="es-ES"/>
              </w:rPr>
              <w:t xml:space="preserve">El </w:t>
            </w:r>
            <w:r w:rsidR="004A792A">
              <w:rPr>
                <w:rFonts w:asciiTheme="majorHAnsi" w:hAnsiTheme="majorHAnsi"/>
                <w:bCs/>
                <w:sz w:val="20"/>
                <w:szCs w:val="20"/>
                <w:lang w:val="es-ES"/>
              </w:rPr>
              <w:t>Consorcio del Uruguay S.A.</w:t>
            </w:r>
            <w:r w:rsidR="00E66865">
              <w:rPr>
                <w:rFonts w:asciiTheme="majorHAnsi" w:hAnsiTheme="majorHAnsi"/>
                <w:bCs/>
                <w:sz w:val="20"/>
                <w:szCs w:val="20"/>
                <w:lang w:val="es-ES"/>
              </w:rPr>
              <w:t xml:space="preserve"> </w:t>
            </w:r>
            <w:r>
              <w:rPr>
                <w:rFonts w:asciiTheme="majorHAnsi" w:hAnsiTheme="majorHAnsi"/>
                <w:bCs/>
                <w:sz w:val="20"/>
                <w:szCs w:val="20"/>
                <w:lang w:val="es-ES"/>
              </w:rPr>
              <w:t>y</w:t>
            </w:r>
            <w:r w:rsidR="00B40BC6">
              <w:rPr>
                <w:rFonts w:asciiTheme="majorHAnsi" w:hAnsiTheme="majorHAnsi"/>
                <w:bCs/>
                <w:sz w:val="20"/>
                <w:szCs w:val="20"/>
                <w:lang w:val="es-ES"/>
              </w:rPr>
              <w:t xml:space="preserve"> </w:t>
            </w:r>
            <w:r w:rsidRPr="00DC0561">
              <w:rPr>
                <w:rFonts w:asciiTheme="majorHAnsi" w:hAnsiTheme="majorHAnsi"/>
                <w:bCs/>
                <w:sz w:val="20"/>
                <w:szCs w:val="20"/>
                <w:lang w:val="es-ES"/>
              </w:rPr>
              <w:t>Juan José Scandroglio Quintana, Cecilia Artagaveytia, Álvaro Macedo</w:t>
            </w:r>
          </w:p>
        </w:tc>
      </w:tr>
      <w:tr w:rsidR="003239B8" w:rsidRPr="00671AA7" w14:paraId="05DF8370" w14:textId="77777777" w:rsidTr="000C63D9">
        <w:tc>
          <w:tcPr>
            <w:tcW w:w="3600" w:type="dxa"/>
            <w:tcBorders>
              <w:top w:val="single" w:sz="6" w:space="0" w:color="auto"/>
              <w:bottom w:val="single" w:sz="6" w:space="0" w:color="auto"/>
            </w:tcBorders>
            <w:shd w:val="clear" w:color="auto" w:fill="386294"/>
            <w:vAlign w:val="center"/>
          </w:tcPr>
          <w:p w14:paraId="13465242"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Estado denunciado:</w:t>
            </w:r>
          </w:p>
        </w:tc>
        <w:tc>
          <w:tcPr>
            <w:tcW w:w="5647" w:type="dxa"/>
            <w:vAlign w:val="center"/>
          </w:tcPr>
          <w:p w14:paraId="0BCE56AB" w14:textId="77777777" w:rsidR="003239B8" w:rsidRPr="00671AA7" w:rsidRDefault="00BE4E90" w:rsidP="00BE4E90">
            <w:pPr>
              <w:jc w:val="both"/>
              <w:rPr>
                <w:rFonts w:ascii="Cambria" w:hAnsi="Cambria"/>
                <w:bCs/>
                <w:sz w:val="20"/>
                <w:szCs w:val="20"/>
                <w:lang w:val="es-ES"/>
              </w:rPr>
            </w:pPr>
            <w:r>
              <w:rPr>
                <w:rFonts w:ascii="Cambria" w:hAnsi="Cambria"/>
                <w:bCs/>
                <w:sz w:val="20"/>
                <w:szCs w:val="20"/>
                <w:lang w:val="es-ES"/>
              </w:rPr>
              <w:t>Uruguay</w:t>
            </w:r>
          </w:p>
        </w:tc>
      </w:tr>
      <w:tr w:rsidR="00223A29" w:rsidRPr="00617606" w14:paraId="5B0E6544" w14:textId="77777777" w:rsidTr="000C63D9">
        <w:tc>
          <w:tcPr>
            <w:tcW w:w="3600" w:type="dxa"/>
            <w:tcBorders>
              <w:top w:val="single" w:sz="6" w:space="0" w:color="auto"/>
              <w:bottom w:val="single" w:sz="6" w:space="0" w:color="auto"/>
            </w:tcBorders>
            <w:shd w:val="clear" w:color="auto" w:fill="386294"/>
            <w:vAlign w:val="center"/>
          </w:tcPr>
          <w:p w14:paraId="6AC224B2" w14:textId="77777777" w:rsidR="00223A29" w:rsidRPr="00671AA7" w:rsidRDefault="001B3A00" w:rsidP="00E4118C">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 xml:space="preserve">Derechos </w:t>
            </w:r>
            <w:r w:rsidR="00E4118C" w:rsidRPr="00671AA7">
              <w:rPr>
                <w:rFonts w:ascii="Cambria" w:hAnsi="Cambria"/>
                <w:b/>
                <w:bCs/>
                <w:color w:val="FFFFFF" w:themeColor="background1"/>
                <w:sz w:val="20"/>
                <w:szCs w:val="20"/>
                <w:lang w:val="es-ES"/>
              </w:rPr>
              <w:t>invocados</w:t>
            </w:r>
            <w:r w:rsidRPr="00671AA7">
              <w:rPr>
                <w:rFonts w:ascii="Cambria" w:hAnsi="Cambria"/>
                <w:b/>
                <w:bCs/>
                <w:color w:val="FFFFFF" w:themeColor="background1"/>
                <w:sz w:val="20"/>
                <w:szCs w:val="20"/>
                <w:lang w:val="es-ES"/>
              </w:rPr>
              <w:t>:</w:t>
            </w:r>
          </w:p>
        </w:tc>
        <w:tc>
          <w:tcPr>
            <w:tcW w:w="5647" w:type="dxa"/>
            <w:vAlign w:val="center"/>
          </w:tcPr>
          <w:p w14:paraId="3506A5AB" w14:textId="34AD26EF" w:rsidR="00223A29" w:rsidRPr="00671AA7" w:rsidRDefault="00BE4E90" w:rsidP="002B4DA5">
            <w:pPr>
              <w:jc w:val="both"/>
              <w:rPr>
                <w:rFonts w:ascii="Cambria" w:hAnsi="Cambria"/>
                <w:bCs/>
                <w:sz w:val="20"/>
                <w:szCs w:val="20"/>
                <w:lang w:val="es-ES"/>
              </w:rPr>
            </w:pPr>
            <w:r>
              <w:rPr>
                <w:rFonts w:ascii="Cambria" w:hAnsi="Cambria"/>
                <w:bCs/>
                <w:sz w:val="20"/>
                <w:szCs w:val="20"/>
                <w:lang w:val="es-ES"/>
              </w:rPr>
              <w:t>Artículos</w:t>
            </w:r>
            <w:r w:rsidR="00571863">
              <w:rPr>
                <w:rFonts w:ascii="Cambria" w:hAnsi="Cambria"/>
                <w:bCs/>
                <w:sz w:val="20"/>
                <w:szCs w:val="20"/>
                <w:lang w:val="es-ES"/>
              </w:rPr>
              <w:t xml:space="preserve"> </w:t>
            </w:r>
            <w:r w:rsidR="00C412A8">
              <w:rPr>
                <w:rFonts w:ascii="Cambria" w:hAnsi="Cambria"/>
                <w:bCs/>
                <w:sz w:val="20"/>
                <w:szCs w:val="20"/>
                <w:lang w:val="es-ES"/>
              </w:rPr>
              <w:t xml:space="preserve">13 (libertad de expresión) y 25 (protección judicial) </w:t>
            </w:r>
            <w:r w:rsidR="00671AA7">
              <w:rPr>
                <w:rFonts w:ascii="Cambria" w:hAnsi="Cambria"/>
                <w:bCs/>
                <w:sz w:val="20"/>
                <w:szCs w:val="20"/>
                <w:lang w:val="es-ES"/>
              </w:rPr>
              <w:t xml:space="preserve">de la Convención Americana </w:t>
            </w:r>
            <w:r w:rsidR="004577AB">
              <w:rPr>
                <w:rFonts w:ascii="Cambria" w:hAnsi="Cambria"/>
                <w:bCs/>
                <w:sz w:val="20"/>
                <w:szCs w:val="20"/>
                <w:lang w:val="es-ES"/>
              </w:rPr>
              <w:t>sobre</w:t>
            </w:r>
            <w:r w:rsidR="00671AA7">
              <w:rPr>
                <w:rFonts w:ascii="Cambria" w:hAnsi="Cambria"/>
                <w:bCs/>
                <w:sz w:val="20"/>
                <w:szCs w:val="20"/>
                <w:lang w:val="es-ES"/>
              </w:rPr>
              <w:t xml:space="preserve"> Derechos Humanos</w:t>
            </w:r>
            <w:r w:rsidR="00671AA7">
              <w:rPr>
                <w:rStyle w:val="FootnoteReference"/>
                <w:rFonts w:ascii="Cambria" w:hAnsi="Cambria"/>
                <w:bCs/>
                <w:sz w:val="20"/>
                <w:szCs w:val="20"/>
                <w:lang w:val="es-ES"/>
              </w:rPr>
              <w:footnoteReference w:id="3"/>
            </w:r>
            <w:r w:rsidR="000C63D9">
              <w:rPr>
                <w:rFonts w:ascii="Cambria" w:hAnsi="Cambria"/>
                <w:bCs/>
                <w:sz w:val="20"/>
                <w:szCs w:val="20"/>
                <w:lang w:val="es-ES"/>
              </w:rPr>
              <w:t>,</w:t>
            </w:r>
            <w:r w:rsidR="002B4DA5">
              <w:rPr>
                <w:rFonts w:ascii="Cambria" w:hAnsi="Cambria"/>
                <w:bCs/>
                <w:sz w:val="20"/>
                <w:szCs w:val="20"/>
                <w:lang w:val="es-ES"/>
              </w:rPr>
              <w:t xml:space="preserve"> </w:t>
            </w:r>
            <w:r w:rsidR="00C412A8">
              <w:rPr>
                <w:rFonts w:ascii="Cambria" w:hAnsi="Cambria"/>
                <w:bCs/>
                <w:sz w:val="20"/>
                <w:szCs w:val="20"/>
                <w:lang w:val="es-ES"/>
              </w:rPr>
              <w:t>en relación con sus artículos 1.1 (obligación de respetar los derechos) y 2 (deber de adoptar disposiciones de derecho interno)</w:t>
            </w:r>
          </w:p>
        </w:tc>
      </w:tr>
    </w:tbl>
    <w:p w14:paraId="524FBADE" w14:textId="77777777"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II.</w:t>
      </w:r>
      <w:r w:rsidRPr="00671AA7">
        <w:rPr>
          <w:rFonts w:asciiTheme="majorHAnsi" w:hAnsiTheme="majorHAnsi"/>
          <w:b/>
          <w:bCs/>
          <w:sz w:val="20"/>
          <w:szCs w:val="20"/>
          <w:lang w:val="es-ES"/>
        </w:rPr>
        <w:tab/>
        <w:t>TRÁMITE ANTE LA CIDH</w:t>
      </w:r>
      <w:r w:rsidR="008E3BFE" w:rsidRPr="00671AA7">
        <w:rPr>
          <w:rStyle w:val="FootnoteReference"/>
          <w:rFonts w:ascii="Cambria" w:hAnsi="Cambria"/>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BE4E90" w:rsidRPr="00571863" w14:paraId="3622AB7E" w14:textId="77777777" w:rsidTr="000C63D9">
        <w:tc>
          <w:tcPr>
            <w:tcW w:w="3600" w:type="dxa"/>
            <w:tcBorders>
              <w:top w:val="single" w:sz="6" w:space="0" w:color="auto"/>
              <w:bottom w:val="single" w:sz="6" w:space="0" w:color="auto"/>
            </w:tcBorders>
            <w:shd w:val="clear" w:color="auto" w:fill="386294"/>
            <w:vAlign w:val="center"/>
          </w:tcPr>
          <w:p w14:paraId="57C0B655"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647" w:type="dxa"/>
            <w:vAlign w:val="center"/>
          </w:tcPr>
          <w:p w14:paraId="171FB2FF" w14:textId="181D00F2" w:rsidR="00BE4E90" w:rsidRPr="003239B8" w:rsidRDefault="00C412A8" w:rsidP="007B432F">
            <w:pPr>
              <w:jc w:val="both"/>
              <w:rPr>
                <w:rFonts w:ascii="Cambria" w:hAnsi="Cambria"/>
                <w:bCs/>
                <w:sz w:val="20"/>
                <w:szCs w:val="20"/>
                <w:lang w:val="es-ES"/>
              </w:rPr>
            </w:pPr>
            <w:r>
              <w:rPr>
                <w:rFonts w:ascii="Cambria" w:hAnsi="Cambria"/>
                <w:bCs/>
                <w:sz w:val="20"/>
                <w:szCs w:val="20"/>
                <w:lang w:val="es-ES"/>
              </w:rPr>
              <w:t>22 de marzo de 2013</w:t>
            </w:r>
          </w:p>
        </w:tc>
      </w:tr>
      <w:tr w:rsidR="00BE4E90" w:rsidRPr="00617606" w14:paraId="5D798781" w14:textId="77777777" w:rsidTr="000C63D9">
        <w:tc>
          <w:tcPr>
            <w:tcW w:w="3600" w:type="dxa"/>
            <w:tcBorders>
              <w:top w:val="single" w:sz="6" w:space="0" w:color="auto"/>
              <w:bottom w:val="single" w:sz="6" w:space="0" w:color="auto"/>
            </w:tcBorders>
            <w:shd w:val="clear" w:color="auto" w:fill="386294"/>
            <w:vAlign w:val="center"/>
          </w:tcPr>
          <w:p w14:paraId="6B19C5DB" w14:textId="77777777" w:rsidR="00BE4E90" w:rsidRPr="001E49E7" w:rsidRDefault="00BE4E90" w:rsidP="007B432F">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647" w:type="dxa"/>
            <w:vAlign w:val="center"/>
          </w:tcPr>
          <w:p w14:paraId="56C84E87" w14:textId="48C9373E" w:rsidR="00BE4E90" w:rsidRPr="00872CC8" w:rsidRDefault="00C412A8" w:rsidP="007B432F">
            <w:pPr>
              <w:rPr>
                <w:rFonts w:ascii="Cambria" w:hAnsi="Cambria"/>
                <w:bCs/>
                <w:sz w:val="20"/>
                <w:szCs w:val="20"/>
                <w:lang w:val="es-VE"/>
              </w:rPr>
            </w:pPr>
            <w:r>
              <w:rPr>
                <w:rFonts w:ascii="Cambria" w:hAnsi="Cambria"/>
                <w:bCs/>
                <w:sz w:val="20"/>
                <w:szCs w:val="20"/>
                <w:lang w:val="es-VE"/>
              </w:rPr>
              <w:t>3 de noviembre de 2015 y 30 de mayo de 2019</w:t>
            </w:r>
          </w:p>
        </w:tc>
      </w:tr>
      <w:tr w:rsidR="00BE4E90" w:rsidRPr="00CF560A" w14:paraId="21328F79" w14:textId="77777777" w:rsidTr="000C63D9">
        <w:tc>
          <w:tcPr>
            <w:tcW w:w="3600" w:type="dxa"/>
            <w:tcBorders>
              <w:top w:val="single" w:sz="6" w:space="0" w:color="auto"/>
              <w:bottom w:val="single" w:sz="6" w:space="0" w:color="auto"/>
            </w:tcBorders>
            <w:shd w:val="clear" w:color="auto" w:fill="386294"/>
            <w:vAlign w:val="center"/>
          </w:tcPr>
          <w:p w14:paraId="1A504060"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647" w:type="dxa"/>
            <w:vAlign w:val="center"/>
          </w:tcPr>
          <w:p w14:paraId="13C2548E" w14:textId="2EB04CE6" w:rsidR="00BE4E90" w:rsidRPr="003239B8" w:rsidRDefault="00C412A8" w:rsidP="00A65A69">
            <w:pPr>
              <w:jc w:val="both"/>
              <w:rPr>
                <w:rFonts w:ascii="Cambria" w:hAnsi="Cambria"/>
                <w:bCs/>
                <w:sz w:val="20"/>
                <w:szCs w:val="20"/>
                <w:lang w:val="es-ES"/>
              </w:rPr>
            </w:pPr>
            <w:r>
              <w:rPr>
                <w:rFonts w:ascii="Cambria" w:hAnsi="Cambria"/>
                <w:bCs/>
                <w:sz w:val="20"/>
                <w:szCs w:val="20"/>
                <w:lang w:val="es-ES"/>
              </w:rPr>
              <w:t>10 de junio de 2019</w:t>
            </w:r>
          </w:p>
        </w:tc>
      </w:tr>
      <w:tr w:rsidR="00BE4E90" w:rsidRPr="004A6A54" w14:paraId="3BE6D352" w14:textId="77777777" w:rsidTr="000C63D9">
        <w:tc>
          <w:tcPr>
            <w:tcW w:w="3600" w:type="dxa"/>
            <w:tcBorders>
              <w:top w:val="single" w:sz="6" w:space="0" w:color="auto"/>
              <w:bottom w:val="single" w:sz="6" w:space="0" w:color="auto"/>
            </w:tcBorders>
            <w:shd w:val="clear" w:color="auto" w:fill="386294"/>
            <w:vAlign w:val="center"/>
          </w:tcPr>
          <w:p w14:paraId="2BB6DE2A"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647" w:type="dxa"/>
            <w:vAlign w:val="center"/>
          </w:tcPr>
          <w:p w14:paraId="2175B67E" w14:textId="2EE41397" w:rsidR="00BE4E90" w:rsidRPr="00E50E92" w:rsidRDefault="00C412A8" w:rsidP="007B432F">
            <w:pPr>
              <w:jc w:val="both"/>
              <w:rPr>
                <w:rFonts w:ascii="Cambria" w:hAnsi="Cambria"/>
                <w:bCs/>
                <w:sz w:val="20"/>
                <w:szCs w:val="20"/>
                <w:highlight w:val="lightGray"/>
                <w:lang w:val="es-ES"/>
              </w:rPr>
            </w:pPr>
            <w:r>
              <w:rPr>
                <w:rFonts w:ascii="Cambria" w:hAnsi="Cambria"/>
                <w:bCs/>
                <w:sz w:val="20"/>
                <w:szCs w:val="20"/>
                <w:lang w:val="es-ES"/>
              </w:rPr>
              <w:t>30 de agosto de 2019</w:t>
            </w:r>
          </w:p>
        </w:tc>
      </w:tr>
      <w:tr w:rsidR="00BE4E90" w:rsidRPr="00617606" w14:paraId="7F0ED2A1" w14:textId="77777777" w:rsidTr="000C63D9">
        <w:tc>
          <w:tcPr>
            <w:tcW w:w="3600" w:type="dxa"/>
            <w:tcBorders>
              <w:top w:val="single" w:sz="6" w:space="0" w:color="auto"/>
              <w:bottom w:val="single" w:sz="6" w:space="0" w:color="auto"/>
            </w:tcBorders>
            <w:shd w:val="clear" w:color="auto" w:fill="386294"/>
            <w:vAlign w:val="center"/>
          </w:tcPr>
          <w:p w14:paraId="2145B893"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0AC69355" w14:textId="31EDEE3F" w:rsidR="00BE4E90" w:rsidRPr="00BE69F5" w:rsidRDefault="00C412A8" w:rsidP="00CC65BC">
            <w:pPr>
              <w:jc w:val="both"/>
              <w:rPr>
                <w:rFonts w:ascii="Cambria" w:hAnsi="Cambria"/>
                <w:bCs/>
                <w:sz w:val="20"/>
                <w:szCs w:val="20"/>
                <w:highlight w:val="lightGray"/>
                <w:lang w:val="es-PA"/>
              </w:rPr>
            </w:pPr>
            <w:r>
              <w:rPr>
                <w:rFonts w:ascii="Cambria" w:hAnsi="Cambria"/>
                <w:bCs/>
                <w:sz w:val="20"/>
                <w:szCs w:val="20"/>
                <w:lang w:val="es-ES"/>
              </w:rPr>
              <w:t>22 de julio de 2020</w:t>
            </w:r>
            <w:r w:rsidR="00C81191">
              <w:rPr>
                <w:rFonts w:ascii="Cambria" w:hAnsi="Cambria"/>
                <w:bCs/>
                <w:sz w:val="20"/>
                <w:szCs w:val="20"/>
                <w:lang w:val="es-ES"/>
              </w:rPr>
              <w:t>;</w:t>
            </w:r>
            <w:r>
              <w:rPr>
                <w:rFonts w:ascii="Cambria" w:hAnsi="Cambria"/>
                <w:bCs/>
                <w:sz w:val="20"/>
                <w:szCs w:val="20"/>
                <w:lang w:val="es-ES"/>
              </w:rPr>
              <w:t xml:space="preserve"> 2</w:t>
            </w:r>
            <w:r w:rsidR="009649CA">
              <w:rPr>
                <w:rFonts w:ascii="Cambria" w:hAnsi="Cambria"/>
                <w:bCs/>
                <w:sz w:val="20"/>
                <w:szCs w:val="20"/>
                <w:lang w:val="es-ES"/>
              </w:rPr>
              <w:t xml:space="preserve">1 </w:t>
            </w:r>
            <w:r>
              <w:rPr>
                <w:rFonts w:ascii="Cambria" w:hAnsi="Cambria"/>
                <w:bCs/>
                <w:sz w:val="20"/>
                <w:szCs w:val="20"/>
                <w:lang w:val="es-ES"/>
              </w:rPr>
              <w:t>de abril</w:t>
            </w:r>
            <w:r w:rsidR="009649CA">
              <w:rPr>
                <w:rFonts w:ascii="Cambria" w:hAnsi="Cambria"/>
                <w:bCs/>
                <w:sz w:val="20"/>
                <w:szCs w:val="20"/>
                <w:lang w:val="es-ES"/>
              </w:rPr>
              <w:t xml:space="preserve"> y 17 de diciembre</w:t>
            </w:r>
            <w:r>
              <w:rPr>
                <w:rFonts w:ascii="Cambria" w:hAnsi="Cambria"/>
                <w:bCs/>
                <w:sz w:val="20"/>
                <w:szCs w:val="20"/>
                <w:lang w:val="es-ES"/>
              </w:rPr>
              <w:t xml:space="preserve"> de 2021</w:t>
            </w:r>
            <w:r w:rsidR="00C81191">
              <w:rPr>
                <w:rFonts w:ascii="Cambria" w:hAnsi="Cambria"/>
                <w:bCs/>
                <w:sz w:val="20"/>
                <w:szCs w:val="20"/>
                <w:lang w:val="es-ES"/>
              </w:rPr>
              <w:t xml:space="preserve"> </w:t>
            </w:r>
            <w:r w:rsidR="002446A6">
              <w:rPr>
                <w:rFonts w:ascii="Cambria" w:hAnsi="Cambria"/>
                <w:bCs/>
                <w:sz w:val="20"/>
                <w:szCs w:val="20"/>
                <w:lang w:val="es-ES"/>
              </w:rPr>
              <w:t>y 2 de mayo de 2023</w:t>
            </w:r>
          </w:p>
        </w:tc>
      </w:tr>
      <w:tr w:rsidR="00BE4E90" w:rsidRPr="00617606" w14:paraId="5DF2AB8C" w14:textId="77777777" w:rsidTr="000C63D9">
        <w:tc>
          <w:tcPr>
            <w:tcW w:w="3600" w:type="dxa"/>
            <w:tcBorders>
              <w:top w:val="single" w:sz="6" w:space="0" w:color="auto"/>
              <w:bottom w:val="single" w:sz="6" w:space="0" w:color="auto"/>
            </w:tcBorders>
            <w:shd w:val="clear" w:color="auto" w:fill="386294"/>
            <w:vAlign w:val="center"/>
          </w:tcPr>
          <w:p w14:paraId="76B377E0" w14:textId="77777777" w:rsidR="00BE4E90" w:rsidRDefault="00BE4E90" w:rsidP="007B432F">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rPr>
              <w:t>Observaciones adicionales del Estado:</w:t>
            </w:r>
          </w:p>
        </w:tc>
        <w:tc>
          <w:tcPr>
            <w:tcW w:w="5647" w:type="dxa"/>
            <w:vAlign w:val="center"/>
          </w:tcPr>
          <w:p w14:paraId="5E0AC349" w14:textId="1A9FD27E" w:rsidR="00BE4E90" w:rsidRPr="00E50E92" w:rsidRDefault="00C412A8" w:rsidP="00AA710A">
            <w:pPr>
              <w:jc w:val="both"/>
              <w:rPr>
                <w:rFonts w:ascii="Cambria" w:hAnsi="Cambria"/>
                <w:bCs/>
                <w:sz w:val="20"/>
                <w:szCs w:val="20"/>
                <w:highlight w:val="lightGray"/>
                <w:lang w:val="es-ES"/>
              </w:rPr>
            </w:pPr>
            <w:r>
              <w:rPr>
                <w:rFonts w:ascii="Cambria" w:hAnsi="Cambria"/>
                <w:bCs/>
                <w:sz w:val="20"/>
                <w:szCs w:val="20"/>
                <w:lang w:val="es-ES"/>
              </w:rPr>
              <w:t>16 de enero</w:t>
            </w:r>
            <w:r w:rsidR="009649CA">
              <w:rPr>
                <w:rFonts w:ascii="Cambria" w:hAnsi="Cambria"/>
                <w:bCs/>
                <w:sz w:val="20"/>
                <w:szCs w:val="20"/>
                <w:lang w:val="es-ES"/>
              </w:rPr>
              <w:t xml:space="preserve"> y 15</w:t>
            </w:r>
            <w:r>
              <w:rPr>
                <w:rFonts w:ascii="Cambria" w:hAnsi="Cambria"/>
                <w:bCs/>
                <w:sz w:val="20"/>
                <w:szCs w:val="20"/>
                <w:lang w:val="es-ES"/>
              </w:rPr>
              <w:t xml:space="preserve"> de</w:t>
            </w:r>
            <w:r w:rsidR="009649CA">
              <w:rPr>
                <w:rFonts w:ascii="Cambria" w:hAnsi="Cambria"/>
                <w:bCs/>
                <w:sz w:val="20"/>
                <w:szCs w:val="20"/>
                <w:lang w:val="es-ES"/>
              </w:rPr>
              <w:t xml:space="preserve"> noviembre de</w:t>
            </w:r>
            <w:r>
              <w:rPr>
                <w:rFonts w:ascii="Cambria" w:hAnsi="Cambria"/>
                <w:bCs/>
                <w:sz w:val="20"/>
                <w:szCs w:val="20"/>
                <w:lang w:val="es-ES"/>
              </w:rPr>
              <w:t xml:space="preserve"> 2021</w:t>
            </w:r>
            <w:r w:rsidR="00BE69F5">
              <w:rPr>
                <w:rFonts w:ascii="Cambria" w:hAnsi="Cambria"/>
                <w:bCs/>
                <w:sz w:val="20"/>
                <w:szCs w:val="20"/>
                <w:lang w:val="es-ES"/>
              </w:rPr>
              <w:t xml:space="preserve"> y 7 de octubre de 2022</w:t>
            </w:r>
          </w:p>
        </w:tc>
      </w:tr>
    </w:tbl>
    <w:p w14:paraId="41AC0681" w14:textId="77777777"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III. </w:t>
      </w:r>
      <w:r w:rsidRPr="00671AA7">
        <w:rPr>
          <w:rFonts w:asciiTheme="majorHAnsi" w:hAnsiTheme="majorHAnsi"/>
          <w:b/>
          <w:bCs/>
          <w:sz w:val="20"/>
          <w:szCs w:val="20"/>
          <w:lang w:val="es-ES"/>
        </w:rPr>
        <w:tab/>
        <w:t>COMPETENCIA</w:t>
      </w:r>
      <w:r w:rsidR="00EE00E9" w:rsidRPr="00671AA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C81191" w14:paraId="714878FD" w14:textId="77777777" w:rsidTr="004A6A54">
        <w:trPr>
          <w:cantSplit/>
        </w:trPr>
        <w:tc>
          <w:tcPr>
            <w:tcW w:w="3600" w:type="dxa"/>
            <w:tcBorders>
              <w:top w:val="single" w:sz="4" w:space="0" w:color="auto"/>
              <w:bottom w:val="single" w:sz="6" w:space="0" w:color="auto"/>
            </w:tcBorders>
            <w:shd w:val="clear" w:color="auto" w:fill="386294"/>
            <w:vAlign w:val="center"/>
          </w:tcPr>
          <w:p w14:paraId="7F826B3C" w14:textId="77777777" w:rsidR="003239B8" w:rsidRPr="00671AA7" w:rsidRDefault="003239B8" w:rsidP="007B432F">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personae:</w:t>
            </w:r>
          </w:p>
        </w:tc>
        <w:tc>
          <w:tcPr>
            <w:tcW w:w="5760" w:type="dxa"/>
            <w:vAlign w:val="center"/>
          </w:tcPr>
          <w:p w14:paraId="4958DDF9" w14:textId="27149CCF" w:rsidR="003239B8" w:rsidRPr="00671AA7" w:rsidRDefault="002446A6" w:rsidP="007B432F">
            <w:pPr>
              <w:rPr>
                <w:rFonts w:ascii="Cambria" w:hAnsi="Cambria"/>
                <w:bCs/>
                <w:sz w:val="20"/>
                <w:szCs w:val="20"/>
                <w:lang w:val="es-ES"/>
              </w:rPr>
            </w:pPr>
            <w:r>
              <w:rPr>
                <w:rFonts w:ascii="Cambria" w:hAnsi="Cambria"/>
                <w:bCs/>
                <w:sz w:val="20"/>
                <w:szCs w:val="20"/>
                <w:lang w:val="es-ES"/>
              </w:rPr>
              <w:t>No</w:t>
            </w:r>
            <w:r w:rsidR="00FB5F83">
              <w:rPr>
                <w:rFonts w:ascii="Cambria" w:hAnsi="Cambria"/>
                <w:bCs/>
                <w:sz w:val="20"/>
                <w:szCs w:val="20"/>
                <w:lang w:val="es-ES"/>
              </w:rPr>
              <w:t xml:space="preserve"> </w:t>
            </w:r>
          </w:p>
        </w:tc>
      </w:tr>
      <w:tr w:rsidR="003239B8" w:rsidRPr="00671AA7" w14:paraId="38FC6B3D" w14:textId="77777777" w:rsidTr="004A6A54">
        <w:trPr>
          <w:cantSplit/>
        </w:trPr>
        <w:tc>
          <w:tcPr>
            <w:tcW w:w="3600" w:type="dxa"/>
            <w:tcBorders>
              <w:top w:val="single" w:sz="6" w:space="0" w:color="auto"/>
              <w:bottom w:val="single" w:sz="6" w:space="0" w:color="auto"/>
            </w:tcBorders>
            <w:shd w:val="clear" w:color="auto" w:fill="386294"/>
            <w:vAlign w:val="center"/>
          </w:tcPr>
          <w:p w14:paraId="04567275"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loci</w:t>
            </w:r>
            <w:r w:rsidRPr="00671AA7">
              <w:rPr>
                <w:rFonts w:ascii="Cambria" w:hAnsi="Cambria"/>
                <w:b/>
                <w:bCs/>
                <w:color w:val="FFFFFF" w:themeColor="background1"/>
                <w:sz w:val="20"/>
                <w:szCs w:val="20"/>
                <w:lang w:val="es-ES"/>
              </w:rPr>
              <w:t>:</w:t>
            </w:r>
          </w:p>
        </w:tc>
        <w:tc>
          <w:tcPr>
            <w:tcW w:w="5760" w:type="dxa"/>
            <w:vAlign w:val="center"/>
          </w:tcPr>
          <w:p w14:paraId="03719F64" w14:textId="02967B4C" w:rsidR="003239B8" w:rsidRPr="00671AA7" w:rsidRDefault="002368AE" w:rsidP="007B432F">
            <w:pPr>
              <w:rPr>
                <w:rFonts w:ascii="Cambria" w:hAnsi="Cambria"/>
                <w:bCs/>
                <w:sz w:val="20"/>
                <w:szCs w:val="20"/>
                <w:lang w:val="es-ES"/>
              </w:rPr>
            </w:pPr>
            <w:r>
              <w:rPr>
                <w:rFonts w:ascii="Cambria" w:hAnsi="Cambria"/>
                <w:bCs/>
                <w:sz w:val="20"/>
                <w:szCs w:val="20"/>
                <w:lang w:val="es-ES"/>
              </w:rPr>
              <w:t>N/A</w:t>
            </w:r>
          </w:p>
        </w:tc>
      </w:tr>
      <w:tr w:rsidR="003239B8" w:rsidRPr="00671AA7" w14:paraId="277AC525" w14:textId="77777777" w:rsidTr="004A6A54">
        <w:trPr>
          <w:cantSplit/>
        </w:trPr>
        <w:tc>
          <w:tcPr>
            <w:tcW w:w="3600" w:type="dxa"/>
            <w:tcBorders>
              <w:top w:val="single" w:sz="6" w:space="0" w:color="auto"/>
              <w:bottom w:val="single" w:sz="6" w:space="0" w:color="auto"/>
            </w:tcBorders>
            <w:shd w:val="clear" w:color="auto" w:fill="386294"/>
            <w:vAlign w:val="center"/>
          </w:tcPr>
          <w:p w14:paraId="46AAC792"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temporis</w:t>
            </w:r>
            <w:r w:rsidRPr="00671AA7">
              <w:rPr>
                <w:rFonts w:ascii="Cambria" w:hAnsi="Cambria"/>
                <w:b/>
                <w:bCs/>
                <w:color w:val="FFFFFF" w:themeColor="background1"/>
                <w:sz w:val="20"/>
                <w:szCs w:val="20"/>
                <w:lang w:val="es-ES"/>
              </w:rPr>
              <w:t>:</w:t>
            </w:r>
          </w:p>
        </w:tc>
        <w:tc>
          <w:tcPr>
            <w:tcW w:w="5760" w:type="dxa"/>
            <w:vAlign w:val="center"/>
          </w:tcPr>
          <w:p w14:paraId="20B6FFA9" w14:textId="2A6EA084" w:rsidR="003239B8" w:rsidRPr="00671AA7" w:rsidRDefault="002368AE" w:rsidP="007B432F">
            <w:pPr>
              <w:rPr>
                <w:bCs/>
                <w:sz w:val="20"/>
                <w:szCs w:val="20"/>
                <w:lang w:val="es-ES"/>
              </w:rPr>
            </w:pPr>
            <w:r>
              <w:rPr>
                <w:bCs/>
                <w:sz w:val="20"/>
                <w:szCs w:val="20"/>
                <w:lang w:val="es-ES"/>
              </w:rPr>
              <w:t>N/A</w:t>
            </w:r>
          </w:p>
        </w:tc>
      </w:tr>
      <w:tr w:rsidR="003239B8" w:rsidRPr="00876F1B" w14:paraId="1797CEC4" w14:textId="77777777" w:rsidTr="004A6A54">
        <w:trPr>
          <w:cantSplit/>
        </w:trPr>
        <w:tc>
          <w:tcPr>
            <w:tcW w:w="3600" w:type="dxa"/>
            <w:tcBorders>
              <w:top w:val="single" w:sz="6" w:space="0" w:color="auto"/>
              <w:bottom w:val="single" w:sz="6" w:space="0" w:color="auto"/>
            </w:tcBorders>
            <w:shd w:val="clear" w:color="auto" w:fill="386294"/>
            <w:vAlign w:val="center"/>
          </w:tcPr>
          <w:p w14:paraId="2BE9F29C"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materia</w:t>
            </w:r>
            <w:r w:rsidR="00EE00E9" w:rsidRPr="00671AA7">
              <w:rPr>
                <w:rFonts w:ascii="Cambria" w:hAnsi="Cambria"/>
                <w:b/>
                <w:bCs/>
                <w:i/>
                <w:color w:val="FFFFFF" w:themeColor="background1"/>
                <w:sz w:val="20"/>
                <w:szCs w:val="20"/>
                <w:lang w:val="es-ES"/>
              </w:rPr>
              <w:t>e</w:t>
            </w:r>
            <w:r w:rsidRPr="00671AA7">
              <w:rPr>
                <w:rFonts w:ascii="Cambria" w:hAnsi="Cambria"/>
                <w:b/>
                <w:bCs/>
                <w:color w:val="FFFFFF" w:themeColor="background1"/>
                <w:sz w:val="20"/>
                <w:szCs w:val="20"/>
                <w:lang w:val="es-ES"/>
              </w:rPr>
              <w:t>:</w:t>
            </w:r>
          </w:p>
        </w:tc>
        <w:tc>
          <w:tcPr>
            <w:tcW w:w="5760" w:type="dxa"/>
            <w:vAlign w:val="center"/>
          </w:tcPr>
          <w:p w14:paraId="490D202A" w14:textId="5E8C8445" w:rsidR="003239B8" w:rsidRPr="00671AA7" w:rsidRDefault="002368AE" w:rsidP="008D4C7A">
            <w:pPr>
              <w:jc w:val="both"/>
              <w:rPr>
                <w:rFonts w:ascii="Cambria" w:hAnsi="Cambria"/>
                <w:bCs/>
                <w:sz w:val="20"/>
                <w:szCs w:val="20"/>
                <w:lang w:val="es-ES"/>
              </w:rPr>
            </w:pPr>
            <w:r>
              <w:rPr>
                <w:rFonts w:ascii="Cambria" w:hAnsi="Cambria"/>
                <w:bCs/>
                <w:sz w:val="20"/>
                <w:szCs w:val="20"/>
                <w:lang w:val="es-ES"/>
              </w:rPr>
              <w:t>N/A</w:t>
            </w:r>
            <w:r w:rsidR="00813EC3" w:rsidRPr="008441BD">
              <w:rPr>
                <w:rFonts w:ascii="Cambria" w:hAnsi="Cambria"/>
                <w:bCs/>
                <w:sz w:val="20"/>
                <w:szCs w:val="20"/>
                <w:lang w:val="es-ES"/>
              </w:rPr>
              <w:t xml:space="preserve"> </w:t>
            </w:r>
          </w:p>
        </w:tc>
      </w:tr>
    </w:tbl>
    <w:p w14:paraId="35E3F112" w14:textId="77777777"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IV. </w:t>
      </w:r>
      <w:r w:rsidRPr="00671AA7">
        <w:rPr>
          <w:rFonts w:asciiTheme="majorHAnsi" w:hAnsiTheme="majorHAnsi"/>
          <w:b/>
          <w:bCs/>
          <w:sz w:val="20"/>
          <w:szCs w:val="20"/>
          <w:lang w:val="es-ES"/>
        </w:rPr>
        <w:tab/>
      </w:r>
      <w:r w:rsidR="00EE00E9" w:rsidRPr="00671AA7">
        <w:rPr>
          <w:rFonts w:asciiTheme="majorHAnsi" w:hAnsiTheme="majorHAnsi"/>
          <w:b/>
          <w:bCs/>
          <w:sz w:val="20"/>
          <w:szCs w:val="20"/>
          <w:lang w:val="es-ES"/>
        </w:rPr>
        <w:t>DUPLICACIÓN</w:t>
      </w:r>
      <w:r w:rsidR="00EE00E9" w:rsidRPr="00671AA7">
        <w:rPr>
          <w:rFonts w:asciiTheme="majorHAnsi" w:hAnsiTheme="majorHAnsi"/>
          <w:b/>
          <w:bCs/>
          <w:color w:val="FFFFFF" w:themeColor="background1"/>
          <w:sz w:val="20"/>
          <w:szCs w:val="20"/>
          <w:lang w:val="es-ES"/>
        </w:rPr>
        <w:t xml:space="preserve"> </w:t>
      </w:r>
      <w:r w:rsidR="00EE00E9" w:rsidRPr="00671AA7">
        <w:rPr>
          <w:rFonts w:asciiTheme="majorHAnsi" w:hAnsiTheme="majorHAnsi"/>
          <w:b/>
          <w:bCs/>
          <w:sz w:val="20"/>
          <w:szCs w:val="20"/>
          <w:lang w:val="es-ES"/>
        </w:rPr>
        <w:t>DE PROCEDIMIENTOS Y COSA JUZGADA</w:t>
      </w:r>
      <w:r w:rsidR="00EE00E9" w:rsidRPr="00671AA7">
        <w:rPr>
          <w:rFonts w:asciiTheme="majorHAnsi" w:hAnsiTheme="majorHAnsi"/>
          <w:b/>
          <w:bCs/>
          <w:i/>
          <w:sz w:val="20"/>
          <w:szCs w:val="20"/>
          <w:lang w:val="es-ES"/>
        </w:rPr>
        <w:t xml:space="preserve"> </w:t>
      </w:r>
      <w:r w:rsidR="00EE00E9" w:rsidRPr="00671AA7">
        <w:rPr>
          <w:rFonts w:asciiTheme="majorHAnsi" w:hAnsiTheme="majorHAnsi"/>
          <w:b/>
          <w:bCs/>
          <w:sz w:val="20"/>
          <w:szCs w:val="20"/>
          <w:lang w:val="es-ES"/>
        </w:rPr>
        <w:t xml:space="preserve">INTERNACIONAL, </w:t>
      </w:r>
      <w:r w:rsidRPr="00671AA7">
        <w:rPr>
          <w:rFonts w:asciiTheme="majorHAnsi" w:hAnsiTheme="majorHAnsi"/>
          <w:b/>
          <w:bCs/>
          <w:sz w:val="20"/>
          <w:szCs w:val="20"/>
          <w:lang w:val="es-ES"/>
        </w:rPr>
        <w:t xml:space="preserve">CARACTERIZACIÓN, </w:t>
      </w:r>
      <w:r w:rsidRPr="00671AA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8"/>
        <w:gridCol w:w="5674"/>
      </w:tblGrid>
      <w:tr w:rsidR="00EE00E9" w:rsidRPr="00671AA7" w14:paraId="5235CDB5" w14:textId="77777777" w:rsidTr="004A6A54">
        <w:trPr>
          <w:cantSplit/>
        </w:trPr>
        <w:tc>
          <w:tcPr>
            <w:tcW w:w="3600" w:type="dxa"/>
            <w:tcBorders>
              <w:top w:val="single" w:sz="4" w:space="0" w:color="auto"/>
              <w:bottom w:val="single" w:sz="6" w:space="0" w:color="auto"/>
            </w:tcBorders>
            <w:shd w:val="clear" w:color="auto" w:fill="386294"/>
            <w:vAlign w:val="center"/>
          </w:tcPr>
          <w:p w14:paraId="04A41E67" w14:textId="77777777" w:rsidR="00EE00E9" w:rsidRPr="00671AA7" w:rsidRDefault="00EE00E9"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Duplicación de procedimientos y cosa juzgada internacional:</w:t>
            </w:r>
          </w:p>
        </w:tc>
        <w:tc>
          <w:tcPr>
            <w:tcW w:w="5760" w:type="dxa"/>
            <w:vAlign w:val="center"/>
          </w:tcPr>
          <w:p w14:paraId="272F073F" w14:textId="77777777" w:rsidR="00EE00E9" w:rsidRPr="00671AA7" w:rsidRDefault="00813EC3" w:rsidP="007B432F">
            <w:pPr>
              <w:jc w:val="both"/>
              <w:rPr>
                <w:rFonts w:ascii="Cambria" w:hAnsi="Cambria"/>
                <w:bCs/>
                <w:sz w:val="20"/>
                <w:szCs w:val="20"/>
                <w:lang w:val="es-ES"/>
              </w:rPr>
            </w:pPr>
            <w:r>
              <w:rPr>
                <w:rFonts w:ascii="Cambria" w:hAnsi="Cambria"/>
                <w:bCs/>
                <w:sz w:val="20"/>
                <w:szCs w:val="20"/>
                <w:lang w:val="es-ES"/>
              </w:rPr>
              <w:t>No</w:t>
            </w:r>
          </w:p>
        </w:tc>
      </w:tr>
      <w:tr w:rsidR="003239B8" w:rsidRPr="00C81191" w14:paraId="7F9C32AF" w14:textId="77777777" w:rsidTr="004A6A54">
        <w:trPr>
          <w:cantSplit/>
        </w:trPr>
        <w:tc>
          <w:tcPr>
            <w:tcW w:w="3600" w:type="dxa"/>
            <w:tcBorders>
              <w:top w:val="single" w:sz="4" w:space="0" w:color="auto"/>
              <w:bottom w:val="single" w:sz="6" w:space="0" w:color="auto"/>
            </w:tcBorders>
            <w:shd w:val="clear" w:color="auto" w:fill="386294"/>
            <w:vAlign w:val="center"/>
          </w:tcPr>
          <w:p w14:paraId="75218014" w14:textId="77777777" w:rsidR="003239B8" w:rsidRPr="00671AA7" w:rsidRDefault="003239B8" w:rsidP="007B432F">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Derechos declarados admisibles</w:t>
            </w:r>
            <w:r w:rsidRPr="00671AA7">
              <w:rPr>
                <w:rFonts w:ascii="Cambria" w:hAnsi="Cambria"/>
                <w:b/>
                <w:bCs/>
                <w:i/>
                <w:color w:val="FFFFFF" w:themeColor="background1"/>
                <w:sz w:val="20"/>
                <w:szCs w:val="20"/>
                <w:lang w:val="es-ES"/>
              </w:rPr>
              <w:t>:</w:t>
            </w:r>
          </w:p>
        </w:tc>
        <w:tc>
          <w:tcPr>
            <w:tcW w:w="5760" w:type="dxa"/>
            <w:vAlign w:val="center"/>
          </w:tcPr>
          <w:p w14:paraId="213B6B9D" w14:textId="090629E2" w:rsidR="003239B8" w:rsidRPr="00671AA7" w:rsidRDefault="00A315B9" w:rsidP="00A1615F">
            <w:pPr>
              <w:jc w:val="both"/>
              <w:rPr>
                <w:rFonts w:ascii="Cambria" w:hAnsi="Cambria"/>
                <w:bCs/>
                <w:sz w:val="20"/>
                <w:szCs w:val="20"/>
                <w:lang w:val="es-ES"/>
              </w:rPr>
            </w:pPr>
            <w:r>
              <w:rPr>
                <w:rFonts w:ascii="Cambria" w:hAnsi="Cambria"/>
                <w:bCs/>
                <w:sz w:val="20"/>
                <w:szCs w:val="20"/>
                <w:lang w:val="es-ES"/>
              </w:rPr>
              <w:t>N/A</w:t>
            </w:r>
            <w:r w:rsidR="008D4C7A">
              <w:rPr>
                <w:rFonts w:ascii="Cambria" w:hAnsi="Cambria"/>
                <w:bCs/>
                <w:sz w:val="20"/>
                <w:szCs w:val="20"/>
                <w:lang w:val="es-ES"/>
              </w:rPr>
              <w:t xml:space="preserve"> </w:t>
            </w:r>
          </w:p>
        </w:tc>
      </w:tr>
      <w:tr w:rsidR="003239B8" w:rsidRPr="00C81191" w14:paraId="47501708" w14:textId="77777777" w:rsidTr="004A6A54">
        <w:trPr>
          <w:cantSplit/>
        </w:trPr>
        <w:tc>
          <w:tcPr>
            <w:tcW w:w="3600" w:type="dxa"/>
            <w:tcBorders>
              <w:top w:val="single" w:sz="6" w:space="0" w:color="auto"/>
              <w:bottom w:val="single" w:sz="6" w:space="0" w:color="auto"/>
            </w:tcBorders>
            <w:shd w:val="clear" w:color="auto" w:fill="386294"/>
            <w:vAlign w:val="center"/>
          </w:tcPr>
          <w:p w14:paraId="26515CCF"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Agotamiento de recursos internos</w:t>
            </w:r>
            <w:r w:rsidR="00EE00E9" w:rsidRPr="00671AA7">
              <w:rPr>
                <w:rFonts w:ascii="Cambria" w:hAnsi="Cambria"/>
                <w:b/>
                <w:bCs/>
                <w:color w:val="FFFFFF" w:themeColor="background1"/>
                <w:sz w:val="20"/>
                <w:szCs w:val="20"/>
                <w:lang w:val="es-ES"/>
              </w:rPr>
              <w:t xml:space="preserve"> o procedencia de una excepción</w:t>
            </w:r>
            <w:r w:rsidRPr="00671AA7">
              <w:rPr>
                <w:rFonts w:ascii="Cambria" w:hAnsi="Cambria"/>
                <w:b/>
                <w:bCs/>
                <w:color w:val="FFFFFF" w:themeColor="background1"/>
                <w:sz w:val="20"/>
                <w:szCs w:val="20"/>
                <w:lang w:val="es-ES"/>
              </w:rPr>
              <w:t>:</w:t>
            </w:r>
          </w:p>
        </w:tc>
        <w:tc>
          <w:tcPr>
            <w:tcW w:w="5760" w:type="dxa"/>
            <w:vAlign w:val="center"/>
          </w:tcPr>
          <w:p w14:paraId="1A624725" w14:textId="6C083543" w:rsidR="003239B8" w:rsidRPr="00671AA7" w:rsidRDefault="002446A6" w:rsidP="00577E88">
            <w:pPr>
              <w:rPr>
                <w:rFonts w:ascii="Cambria" w:hAnsi="Cambria"/>
                <w:bCs/>
                <w:sz w:val="20"/>
                <w:szCs w:val="20"/>
                <w:lang w:val="es-ES"/>
              </w:rPr>
            </w:pPr>
            <w:r>
              <w:rPr>
                <w:rFonts w:ascii="Cambria" w:hAnsi="Cambria"/>
                <w:bCs/>
                <w:sz w:val="20"/>
                <w:szCs w:val="20"/>
                <w:lang w:val="es-ES"/>
              </w:rPr>
              <w:t>N/A</w:t>
            </w:r>
          </w:p>
        </w:tc>
      </w:tr>
      <w:tr w:rsidR="003239B8" w:rsidRPr="00C81191" w14:paraId="3458D8AD" w14:textId="77777777" w:rsidTr="004A6A54">
        <w:trPr>
          <w:cantSplit/>
        </w:trPr>
        <w:tc>
          <w:tcPr>
            <w:tcW w:w="3600" w:type="dxa"/>
            <w:tcBorders>
              <w:top w:val="single" w:sz="6" w:space="0" w:color="auto"/>
              <w:bottom w:val="single" w:sz="6" w:space="0" w:color="auto"/>
            </w:tcBorders>
            <w:shd w:val="clear" w:color="auto" w:fill="386294"/>
            <w:vAlign w:val="center"/>
          </w:tcPr>
          <w:p w14:paraId="66905769"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Presentación dentro de plazo:</w:t>
            </w:r>
          </w:p>
        </w:tc>
        <w:tc>
          <w:tcPr>
            <w:tcW w:w="5760" w:type="dxa"/>
            <w:vAlign w:val="center"/>
          </w:tcPr>
          <w:p w14:paraId="4A763840" w14:textId="3203B8CB" w:rsidR="00813EC3" w:rsidRPr="002D6148" w:rsidRDefault="002446A6" w:rsidP="007B432F">
            <w:pPr>
              <w:rPr>
                <w:rFonts w:asciiTheme="majorHAnsi" w:hAnsiTheme="majorHAnsi"/>
                <w:bCs/>
                <w:sz w:val="20"/>
                <w:szCs w:val="20"/>
                <w:lang w:val="es-PA"/>
              </w:rPr>
            </w:pPr>
            <w:r>
              <w:rPr>
                <w:rFonts w:asciiTheme="majorHAnsi" w:hAnsiTheme="majorHAnsi"/>
                <w:bCs/>
                <w:sz w:val="20"/>
                <w:szCs w:val="20"/>
                <w:lang w:val="es-ES"/>
              </w:rPr>
              <w:t>N/A</w:t>
            </w:r>
            <w:r w:rsidR="00FB5F83">
              <w:rPr>
                <w:rFonts w:asciiTheme="majorHAnsi" w:hAnsiTheme="majorHAnsi"/>
                <w:bCs/>
                <w:sz w:val="20"/>
                <w:szCs w:val="20"/>
                <w:lang w:val="es-ES"/>
              </w:rPr>
              <w:t xml:space="preserve"> </w:t>
            </w:r>
          </w:p>
        </w:tc>
      </w:tr>
    </w:tbl>
    <w:p w14:paraId="105F7432" w14:textId="2055B09F" w:rsidR="003239B8" w:rsidRPr="00E06DDF" w:rsidRDefault="00223A29" w:rsidP="00E06DDF">
      <w:pPr>
        <w:spacing w:before="240" w:after="240"/>
        <w:ind w:firstLine="720"/>
        <w:jc w:val="both"/>
        <w:rPr>
          <w:rFonts w:asciiTheme="majorHAnsi" w:hAnsiTheme="majorHAnsi"/>
          <w:b/>
          <w:sz w:val="20"/>
          <w:szCs w:val="20"/>
          <w:lang w:val="es-ES_tradnl"/>
        </w:rPr>
      </w:pPr>
      <w:r w:rsidRPr="00671AA7">
        <w:rPr>
          <w:rFonts w:asciiTheme="majorHAnsi" w:hAnsiTheme="majorHAnsi"/>
          <w:b/>
          <w:sz w:val="20"/>
          <w:szCs w:val="20"/>
          <w:lang w:val="es-ES"/>
        </w:rPr>
        <w:t xml:space="preserve">V. </w:t>
      </w:r>
      <w:r w:rsidRPr="00671AA7">
        <w:rPr>
          <w:rFonts w:asciiTheme="majorHAnsi" w:hAnsiTheme="majorHAnsi"/>
          <w:b/>
          <w:sz w:val="20"/>
          <w:szCs w:val="20"/>
          <w:lang w:val="es-ES"/>
        </w:rPr>
        <w:tab/>
      </w:r>
      <w:r w:rsidR="003239B8" w:rsidRPr="00E06DDF">
        <w:rPr>
          <w:rFonts w:asciiTheme="majorHAnsi" w:hAnsiTheme="majorHAnsi"/>
          <w:b/>
          <w:sz w:val="20"/>
          <w:szCs w:val="20"/>
          <w:lang w:val="es-ES_tradnl"/>
        </w:rPr>
        <w:t xml:space="preserve">HECHOS ALEGADOS </w:t>
      </w:r>
    </w:p>
    <w:p w14:paraId="090D887A" w14:textId="65082C36" w:rsidR="00584FE8" w:rsidRPr="00E06DDF" w:rsidRDefault="00584FE8" w:rsidP="00E06DDF">
      <w:pPr>
        <w:spacing w:before="240" w:after="240"/>
        <w:ind w:firstLine="720"/>
        <w:jc w:val="both"/>
        <w:rPr>
          <w:rFonts w:asciiTheme="majorHAnsi" w:hAnsiTheme="majorHAnsi"/>
          <w:bCs/>
          <w:i/>
          <w:iCs/>
          <w:sz w:val="20"/>
          <w:szCs w:val="20"/>
          <w:lang w:val="es-ES_tradnl"/>
        </w:rPr>
      </w:pPr>
      <w:r w:rsidRPr="00E06DDF">
        <w:rPr>
          <w:rFonts w:asciiTheme="majorHAnsi" w:hAnsiTheme="majorHAnsi"/>
          <w:bCs/>
          <w:i/>
          <w:iCs/>
          <w:sz w:val="20"/>
          <w:szCs w:val="20"/>
          <w:lang w:val="es-ES_tradnl"/>
        </w:rPr>
        <w:t>Alegatos de la parte peticionaria</w:t>
      </w:r>
    </w:p>
    <w:p w14:paraId="2C70AEA5" w14:textId="671D2831" w:rsidR="003108C3" w:rsidRPr="00891834" w:rsidRDefault="00E669DD"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bCs/>
          <w:sz w:val="20"/>
          <w:szCs w:val="20"/>
          <w:lang w:val="es-ES_tradnl"/>
        </w:rPr>
        <w:t>La petición alega que el Banco Central del Uruguay</w:t>
      </w:r>
      <w:r w:rsidR="00C76FCF" w:rsidRPr="00E06DDF">
        <w:rPr>
          <w:rFonts w:asciiTheme="majorHAnsi" w:hAnsiTheme="majorHAnsi"/>
          <w:bCs/>
          <w:sz w:val="20"/>
          <w:szCs w:val="20"/>
          <w:lang w:val="es-ES_tradnl"/>
        </w:rPr>
        <w:t xml:space="preserve"> (en adelante “el BCU”)</w:t>
      </w:r>
      <w:r w:rsidRPr="00E06DDF">
        <w:rPr>
          <w:rFonts w:asciiTheme="majorHAnsi" w:hAnsiTheme="majorHAnsi"/>
          <w:bCs/>
          <w:sz w:val="20"/>
          <w:szCs w:val="20"/>
          <w:lang w:val="es-ES_tradnl"/>
        </w:rPr>
        <w:t xml:space="preserve"> </w:t>
      </w:r>
      <w:r w:rsidR="00224D7B" w:rsidRPr="00E06DDF">
        <w:rPr>
          <w:rFonts w:asciiTheme="majorHAnsi" w:hAnsiTheme="majorHAnsi"/>
          <w:bCs/>
          <w:sz w:val="20"/>
          <w:szCs w:val="20"/>
          <w:lang w:val="es-ES_tradnl"/>
        </w:rPr>
        <w:t>emitió</w:t>
      </w:r>
      <w:r w:rsidRPr="00E06DDF">
        <w:rPr>
          <w:rFonts w:asciiTheme="majorHAnsi" w:hAnsiTheme="majorHAnsi"/>
          <w:bCs/>
          <w:sz w:val="20"/>
          <w:szCs w:val="20"/>
          <w:lang w:val="es-ES_tradnl"/>
        </w:rPr>
        <w:t xml:space="preserve"> órdenes contra </w:t>
      </w:r>
      <w:r w:rsidR="00224D7B" w:rsidRPr="00E06DDF">
        <w:rPr>
          <w:rFonts w:asciiTheme="majorHAnsi" w:hAnsiTheme="majorHAnsi"/>
          <w:bCs/>
          <w:sz w:val="20"/>
          <w:szCs w:val="20"/>
          <w:lang w:val="es-ES_tradnl"/>
        </w:rPr>
        <w:t>una empresa relacionada con las presuntas víctimas,</w:t>
      </w:r>
      <w:r w:rsidRPr="00E06DDF">
        <w:rPr>
          <w:rFonts w:asciiTheme="majorHAnsi" w:hAnsiTheme="majorHAnsi"/>
          <w:bCs/>
          <w:sz w:val="20"/>
          <w:szCs w:val="20"/>
          <w:lang w:val="es-ES_tradnl"/>
        </w:rPr>
        <w:t xml:space="preserve"> </w:t>
      </w:r>
      <w:r w:rsidR="00224D7B" w:rsidRPr="00E06DDF">
        <w:rPr>
          <w:rFonts w:asciiTheme="majorHAnsi" w:hAnsiTheme="majorHAnsi"/>
          <w:bCs/>
          <w:sz w:val="20"/>
          <w:szCs w:val="20"/>
          <w:lang w:val="es-ES_tradnl"/>
        </w:rPr>
        <w:t xml:space="preserve">sometiendo a ésta a censura previa con respecto a la difusión de </w:t>
      </w:r>
      <w:r w:rsidR="00EA6ACB" w:rsidRPr="00E06DDF">
        <w:rPr>
          <w:rFonts w:asciiTheme="majorHAnsi" w:hAnsiTheme="majorHAnsi"/>
          <w:bCs/>
          <w:sz w:val="20"/>
          <w:szCs w:val="20"/>
          <w:lang w:val="es-ES_tradnl"/>
        </w:rPr>
        <w:t>“</w:t>
      </w:r>
      <w:r w:rsidR="00C76FCF" w:rsidRPr="00E06DDF">
        <w:rPr>
          <w:rFonts w:asciiTheme="majorHAnsi" w:hAnsiTheme="majorHAnsi"/>
          <w:bCs/>
          <w:sz w:val="20"/>
          <w:szCs w:val="20"/>
          <w:lang w:val="es-ES_tradnl"/>
        </w:rPr>
        <w:t>información fáctica verdadera</w:t>
      </w:r>
      <w:r w:rsidR="00EA6ACB" w:rsidRPr="00E06DDF">
        <w:rPr>
          <w:rFonts w:asciiTheme="majorHAnsi" w:hAnsiTheme="majorHAnsi"/>
          <w:bCs/>
          <w:sz w:val="20"/>
          <w:szCs w:val="20"/>
          <w:lang w:val="es-ES_tradnl"/>
        </w:rPr>
        <w:t>”</w:t>
      </w:r>
      <w:r w:rsidR="00224D7B" w:rsidRPr="00E06DDF">
        <w:rPr>
          <w:rFonts w:asciiTheme="majorHAnsi" w:hAnsiTheme="majorHAnsi"/>
          <w:bCs/>
          <w:sz w:val="20"/>
          <w:szCs w:val="20"/>
          <w:lang w:val="es-ES_tradnl"/>
        </w:rPr>
        <w:t xml:space="preserve"> pertinente a una empresa competidora. </w:t>
      </w:r>
      <w:r w:rsidR="00C76FCF" w:rsidRPr="00E06DDF">
        <w:rPr>
          <w:rFonts w:asciiTheme="majorHAnsi" w:hAnsiTheme="majorHAnsi"/>
          <w:bCs/>
          <w:sz w:val="20"/>
          <w:szCs w:val="20"/>
          <w:lang w:val="es-ES_tradnl"/>
        </w:rPr>
        <w:t xml:space="preserve">También </w:t>
      </w:r>
      <w:r w:rsidR="00224D7B" w:rsidRPr="00E06DDF">
        <w:rPr>
          <w:rFonts w:asciiTheme="majorHAnsi" w:hAnsiTheme="majorHAnsi"/>
          <w:bCs/>
          <w:sz w:val="20"/>
          <w:szCs w:val="20"/>
          <w:lang w:val="es-ES_tradnl"/>
        </w:rPr>
        <w:t>reclama</w:t>
      </w:r>
      <w:r w:rsidR="00C76FCF" w:rsidRPr="00E06DDF">
        <w:rPr>
          <w:rFonts w:asciiTheme="majorHAnsi" w:hAnsiTheme="majorHAnsi"/>
          <w:bCs/>
          <w:sz w:val="20"/>
          <w:szCs w:val="20"/>
          <w:lang w:val="es-ES_tradnl"/>
        </w:rPr>
        <w:t xml:space="preserve"> </w:t>
      </w:r>
      <w:r w:rsidR="00617606" w:rsidRPr="00E06DDF">
        <w:rPr>
          <w:rFonts w:asciiTheme="majorHAnsi" w:hAnsiTheme="majorHAnsi"/>
          <w:bCs/>
          <w:sz w:val="20"/>
          <w:szCs w:val="20"/>
          <w:lang w:val="es-ES_tradnl"/>
        </w:rPr>
        <w:t>que,</w:t>
      </w:r>
      <w:r w:rsidR="00C76FCF" w:rsidRPr="00E06DDF">
        <w:rPr>
          <w:rFonts w:asciiTheme="majorHAnsi" w:hAnsiTheme="majorHAnsi"/>
          <w:bCs/>
          <w:sz w:val="20"/>
          <w:szCs w:val="20"/>
          <w:lang w:val="es-ES_tradnl"/>
        </w:rPr>
        <w:t xml:space="preserve"> </w:t>
      </w:r>
      <w:r w:rsidR="00C76FCF" w:rsidRPr="00E06DDF">
        <w:rPr>
          <w:rFonts w:asciiTheme="majorHAnsi" w:hAnsiTheme="majorHAnsi"/>
          <w:bCs/>
          <w:sz w:val="20"/>
          <w:szCs w:val="20"/>
          <w:lang w:val="es-ES_tradnl"/>
        </w:rPr>
        <w:lastRenderedPageBreak/>
        <w:t xml:space="preserve">aunque judicialmente se declaró la nulidad de los actos de censura, </w:t>
      </w:r>
      <w:r w:rsidR="002446A6" w:rsidRPr="00E06DDF">
        <w:rPr>
          <w:rFonts w:asciiTheme="majorHAnsi" w:hAnsiTheme="majorHAnsi"/>
          <w:bCs/>
          <w:sz w:val="20"/>
          <w:szCs w:val="20"/>
          <w:lang w:val="es-ES_tradnl"/>
        </w:rPr>
        <w:t>el Estado no ha reparado integralmente la vulneración a los derechos humanos en que incurrió</w:t>
      </w:r>
      <w:r w:rsidR="00224D7B" w:rsidRPr="00E06DDF">
        <w:rPr>
          <w:rFonts w:asciiTheme="majorHAnsi" w:hAnsiTheme="majorHAnsi"/>
          <w:bCs/>
          <w:sz w:val="20"/>
          <w:szCs w:val="20"/>
          <w:lang w:val="es-ES_tradnl"/>
        </w:rPr>
        <w:t>.</w:t>
      </w:r>
    </w:p>
    <w:p w14:paraId="76A573F6" w14:textId="12228947" w:rsidR="006A199F" w:rsidRPr="00891834" w:rsidRDefault="003108C3"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La parte peticionaria explica que el Consorcio</w:t>
      </w:r>
      <w:r w:rsidR="006A199F" w:rsidRPr="00E06DDF">
        <w:rPr>
          <w:rFonts w:asciiTheme="majorHAnsi" w:hAnsiTheme="majorHAnsi"/>
          <w:sz w:val="20"/>
          <w:szCs w:val="20"/>
          <w:lang w:val="es-ES_tradnl"/>
        </w:rPr>
        <w:t xml:space="preserve"> del Uruguay S.A. (en adelante “el Consorcio”)</w:t>
      </w:r>
      <w:r w:rsidRPr="00E06DDF">
        <w:rPr>
          <w:rFonts w:asciiTheme="majorHAnsi" w:hAnsiTheme="majorHAnsi"/>
          <w:sz w:val="20"/>
          <w:szCs w:val="20"/>
          <w:lang w:val="es-ES_tradnl"/>
        </w:rPr>
        <w:t xml:space="preserve"> es una persona jurídica que desarrolla sus actividades en el marco del sistema financiero regulado, controlado y supervisado por el BCU.</w:t>
      </w:r>
      <w:r w:rsidR="00B434C3" w:rsidRPr="00E06DDF">
        <w:rPr>
          <w:rFonts w:asciiTheme="majorHAnsi" w:hAnsiTheme="majorHAnsi"/>
          <w:sz w:val="20"/>
          <w:szCs w:val="20"/>
          <w:lang w:val="es-ES_tradnl"/>
        </w:rPr>
        <w:t xml:space="preserve"> </w:t>
      </w:r>
      <w:r w:rsidR="0052523B" w:rsidRPr="00E06DDF">
        <w:rPr>
          <w:rFonts w:asciiTheme="majorHAnsi" w:hAnsiTheme="majorHAnsi"/>
          <w:sz w:val="20"/>
          <w:szCs w:val="20"/>
          <w:lang w:val="es-ES_tradnl"/>
        </w:rPr>
        <w:t>También indica que</w:t>
      </w:r>
      <w:r w:rsidR="00B434C3" w:rsidRPr="00E06DDF">
        <w:rPr>
          <w:rFonts w:asciiTheme="majorHAnsi" w:hAnsiTheme="majorHAnsi"/>
          <w:sz w:val="20"/>
          <w:szCs w:val="20"/>
          <w:lang w:val="es-ES_tradnl"/>
        </w:rPr>
        <w:t xml:space="preserve"> en 2009 ingresó al mercado uruguayo de captación de ahorro previo para la adquisición de inmuebles una empresa nueva (en adelante “la empresa competidora”). A diferencia del </w:t>
      </w:r>
      <w:r w:rsidR="00C95B4F" w:rsidRPr="00E06DDF">
        <w:rPr>
          <w:rFonts w:asciiTheme="majorHAnsi" w:hAnsiTheme="majorHAnsi"/>
          <w:sz w:val="20"/>
          <w:szCs w:val="20"/>
          <w:lang w:val="es-ES_tradnl"/>
        </w:rPr>
        <w:t>C</w:t>
      </w:r>
      <w:r w:rsidR="00B434C3" w:rsidRPr="00E06DDF">
        <w:rPr>
          <w:rFonts w:asciiTheme="majorHAnsi" w:hAnsiTheme="majorHAnsi"/>
          <w:sz w:val="20"/>
          <w:szCs w:val="20"/>
          <w:lang w:val="es-ES_tradnl"/>
        </w:rPr>
        <w:t>onsorcio que estaba sometido a regulaciones similares a las de los bancos, la empresa competidora no habría sido sometida a ningún tipo de control por operar bajo la figura no regulada de “fideicomiso de administración”.</w:t>
      </w:r>
    </w:p>
    <w:p w14:paraId="312B8CB8" w14:textId="6470B787" w:rsidR="00424707" w:rsidRPr="00891834" w:rsidRDefault="00B434C3"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 </w:t>
      </w:r>
      <w:r w:rsidR="00EC5DDE" w:rsidRPr="00E06DDF">
        <w:rPr>
          <w:rFonts w:asciiTheme="majorHAnsi" w:hAnsiTheme="majorHAnsi"/>
          <w:sz w:val="20"/>
          <w:szCs w:val="20"/>
          <w:lang w:val="es-ES_tradnl"/>
        </w:rPr>
        <w:t>Según la petición, la empresa competidora habría realizado una intensa campaña publicitaria</w:t>
      </w:r>
      <w:r w:rsidR="00466608" w:rsidRPr="00E06DDF">
        <w:rPr>
          <w:rFonts w:asciiTheme="majorHAnsi" w:hAnsiTheme="majorHAnsi"/>
          <w:sz w:val="20"/>
          <w:szCs w:val="20"/>
          <w:lang w:val="es-ES_tradnl"/>
        </w:rPr>
        <w:t xml:space="preserve"> </w:t>
      </w:r>
      <w:r w:rsidR="006A199F" w:rsidRPr="00E06DDF">
        <w:rPr>
          <w:rFonts w:asciiTheme="majorHAnsi" w:hAnsiTheme="majorHAnsi"/>
          <w:sz w:val="20"/>
          <w:szCs w:val="20"/>
          <w:lang w:val="es-ES_tradnl"/>
        </w:rPr>
        <w:t xml:space="preserve">de naturaleza </w:t>
      </w:r>
      <w:r w:rsidR="00EC5DDE" w:rsidRPr="00E06DDF">
        <w:rPr>
          <w:rFonts w:asciiTheme="majorHAnsi" w:hAnsiTheme="majorHAnsi"/>
          <w:sz w:val="20"/>
          <w:szCs w:val="20"/>
          <w:lang w:val="es-ES_tradnl"/>
        </w:rPr>
        <w:t xml:space="preserve">engañosa. Entre otras cosas, la página web de la empresa competidora indicaba que </w:t>
      </w:r>
      <w:r w:rsidR="0062156D" w:rsidRPr="00E06DDF">
        <w:rPr>
          <w:rFonts w:asciiTheme="majorHAnsi" w:hAnsiTheme="majorHAnsi"/>
          <w:sz w:val="20"/>
          <w:szCs w:val="20"/>
          <w:lang w:val="es-ES_tradnl"/>
        </w:rPr>
        <w:t>sus</w:t>
      </w:r>
      <w:r w:rsidR="00EC5DDE" w:rsidRPr="00E06DDF">
        <w:rPr>
          <w:rFonts w:asciiTheme="majorHAnsi" w:hAnsiTheme="majorHAnsi"/>
          <w:sz w:val="20"/>
          <w:szCs w:val="20"/>
          <w:lang w:val="es-ES_tradnl"/>
        </w:rPr>
        <w:t xml:space="preserve"> certificados de participación tenían “grado inversor”</w:t>
      </w:r>
      <w:r w:rsidR="00C61728" w:rsidRPr="00E06DDF">
        <w:rPr>
          <w:rFonts w:asciiTheme="majorHAnsi" w:hAnsiTheme="majorHAnsi"/>
          <w:sz w:val="20"/>
          <w:szCs w:val="20"/>
          <w:lang w:val="es-ES_tradnl"/>
        </w:rPr>
        <w:t>,</w:t>
      </w:r>
      <w:r w:rsidR="00EC5DDE" w:rsidRPr="00E06DDF">
        <w:rPr>
          <w:rFonts w:asciiTheme="majorHAnsi" w:hAnsiTheme="majorHAnsi"/>
          <w:sz w:val="20"/>
          <w:szCs w:val="20"/>
          <w:lang w:val="es-ES_tradnl"/>
        </w:rPr>
        <w:t xml:space="preserve"> cuando no lo tenían. </w:t>
      </w:r>
      <w:r w:rsidR="00AB5F53" w:rsidRPr="00E06DDF">
        <w:rPr>
          <w:rFonts w:asciiTheme="majorHAnsi" w:hAnsiTheme="majorHAnsi"/>
          <w:sz w:val="20"/>
          <w:szCs w:val="20"/>
          <w:lang w:val="es-ES_tradnl"/>
        </w:rPr>
        <w:t xml:space="preserve">Así, </w:t>
      </w:r>
      <w:r w:rsidR="00264D82" w:rsidRPr="00E06DDF">
        <w:rPr>
          <w:rFonts w:asciiTheme="majorHAnsi" w:hAnsiTheme="majorHAnsi"/>
          <w:sz w:val="20"/>
          <w:szCs w:val="20"/>
          <w:lang w:val="es-ES_tradnl"/>
        </w:rPr>
        <w:t>c</w:t>
      </w:r>
      <w:r w:rsidR="00424707" w:rsidRPr="00E06DDF">
        <w:rPr>
          <w:rFonts w:asciiTheme="majorHAnsi" w:hAnsiTheme="majorHAnsi"/>
          <w:sz w:val="20"/>
          <w:szCs w:val="20"/>
          <w:lang w:val="es-ES_tradnl"/>
        </w:rPr>
        <w:t xml:space="preserve">uando los certificados de la empresa competidora fueron finalmente calificados por insistencia del Consorcio ante las autoridades del BCU, la calificadora privada CARE los calificó como “especulativo medio, riesgo medio”. </w:t>
      </w:r>
      <w:r w:rsidR="008C1D70" w:rsidRPr="00E06DDF">
        <w:rPr>
          <w:rFonts w:asciiTheme="majorHAnsi" w:hAnsiTheme="majorHAnsi"/>
          <w:sz w:val="20"/>
          <w:szCs w:val="20"/>
          <w:lang w:val="es-ES_tradnl"/>
        </w:rPr>
        <w:t>La petición aduce</w:t>
      </w:r>
      <w:r w:rsidR="00424707" w:rsidRPr="00E06DDF">
        <w:rPr>
          <w:rFonts w:asciiTheme="majorHAnsi" w:hAnsiTheme="majorHAnsi"/>
          <w:sz w:val="20"/>
          <w:szCs w:val="20"/>
          <w:lang w:val="es-ES_tradnl"/>
        </w:rPr>
        <w:t xml:space="preserve"> que la empresa competidora ocultó al público la calificación que habían recibido por parte de CARE, privando a l</w:t>
      </w:r>
      <w:r w:rsidR="00752471" w:rsidRPr="00E06DDF">
        <w:rPr>
          <w:rFonts w:asciiTheme="majorHAnsi" w:hAnsiTheme="majorHAnsi"/>
          <w:sz w:val="20"/>
          <w:szCs w:val="20"/>
          <w:lang w:val="es-ES_tradnl"/>
        </w:rPr>
        <w:t>o</w:t>
      </w:r>
      <w:r w:rsidR="00424707" w:rsidRPr="00E06DDF">
        <w:rPr>
          <w:rFonts w:asciiTheme="majorHAnsi" w:hAnsiTheme="majorHAnsi"/>
          <w:sz w:val="20"/>
          <w:szCs w:val="20"/>
          <w:lang w:val="es-ES_tradnl"/>
        </w:rPr>
        <w:t>s tenedor</w:t>
      </w:r>
      <w:r w:rsidR="00752471" w:rsidRPr="00E06DDF">
        <w:rPr>
          <w:rFonts w:asciiTheme="majorHAnsi" w:hAnsiTheme="majorHAnsi"/>
          <w:sz w:val="20"/>
          <w:szCs w:val="20"/>
          <w:lang w:val="es-ES_tradnl"/>
        </w:rPr>
        <w:t>e</w:t>
      </w:r>
      <w:r w:rsidR="00424707" w:rsidRPr="00E06DDF">
        <w:rPr>
          <w:rFonts w:asciiTheme="majorHAnsi" w:hAnsiTheme="majorHAnsi"/>
          <w:sz w:val="20"/>
          <w:szCs w:val="20"/>
          <w:lang w:val="es-ES_tradnl"/>
        </w:rPr>
        <w:t xml:space="preserve">s de sus certificados y potenciales inversionistas de información importante sobre el grado de riesgo que afrontarían. </w:t>
      </w:r>
      <w:r w:rsidR="008C1D70" w:rsidRPr="00E06DDF">
        <w:rPr>
          <w:rFonts w:asciiTheme="majorHAnsi" w:hAnsiTheme="majorHAnsi"/>
          <w:sz w:val="20"/>
          <w:szCs w:val="20"/>
          <w:lang w:val="es-ES_tradnl"/>
        </w:rPr>
        <w:t>Destaca además</w:t>
      </w:r>
      <w:r w:rsidR="00424707" w:rsidRPr="00E06DDF">
        <w:rPr>
          <w:rFonts w:asciiTheme="majorHAnsi" w:hAnsiTheme="majorHAnsi"/>
          <w:sz w:val="20"/>
          <w:szCs w:val="20"/>
          <w:lang w:val="es-ES_tradnl"/>
        </w:rPr>
        <w:t xml:space="preserve"> que la oferta de la empresa competidora estaba dirigida a familias y pequeños ahorristas y no </w:t>
      </w:r>
      <w:r w:rsidR="007A49EF" w:rsidRPr="00E06DDF">
        <w:rPr>
          <w:rFonts w:asciiTheme="majorHAnsi" w:hAnsiTheme="majorHAnsi"/>
          <w:sz w:val="20"/>
          <w:szCs w:val="20"/>
          <w:lang w:val="es-ES_tradnl"/>
        </w:rPr>
        <w:t>a</w:t>
      </w:r>
      <w:r w:rsidR="00424707" w:rsidRPr="00E06DDF">
        <w:rPr>
          <w:rFonts w:asciiTheme="majorHAnsi" w:hAnsiTheme="majorHAnsi"/>
          <w:sz w:val="20"/>
          <w:szCs w:val="20"/>
          <w:lang w:val="es-ES_tradnl"/>
        </w:rPr>
        <w:t xml:space="preserve"> inversionistas profesionales o institucionales. </w:t>
      </w:r>
    </w:p>
    <w:p w14:paraId="603E93AC" w14:textId="654E6F5B" w:rsidR="006A199F" w:rsidRPr="00891834" w:rsidRDefault="006A199F"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Conforme</w:t>
      </w:r>
      <w:r w:rsidR="00424707" w:rsidRPr="00E06DDF">
        <w:rPr>
          <w:rFonts w:asciiTheme="majorHAnsi" w:hAnsiTheme="majorHAnsi"/>
          <w:sz w:val="20"/>
          <w:szCs w:val="20"/>
          <w:lang w:val="es-ES_tradnl"/>
        </w:rPr>
        <w:t xml:space="preserve"> continúa el relato, </w:t>
      </w:r>
      <w:r w:rsidR="006C119B" w:rsidRPr="00E06DDF">
        <w:rPr>
          <w:rFonts w:asciiTheme="majorHAnsi" w:hAnsiTheme="majorHAnsi"/>
          <w:sz w:val="20"/>
          <w:szCs w:val="20"/>
          <w:lang w:val="es-ES_tradnl"/>
        </w:rPr>
        <w:t xml:space="preserve">el Consorcio </w:t>
      </w:r>
      <w:r w:rsidR="008A20C1" w:rsidRPr="00E06DDF">
        <w:rPr>
          <w:rFonts w:asciiTheme="majorHAnsi" w:hAnsiTheme="majorHAnsi"/>
          <w:sz w:val="20"/>
          <w:szCs w:val="20"/>
          <w:lang w:val="es-ES_tradnl"/>
        </w:rPr>
        <w:t>presentó el 5 y 14 de junio de 2012 dos denuncias ante</w:t>
      </w:r>
      <w:r w:rsidR="006C119B" w:rsidRPr="00E06DDF">
        <w:rPr>
          <w:rFonts w:asciiTheme="majorHAnsi" w:hAnsiTheme="majorHAnsi"/>
          <w:sz w:val="20"/>
          <w:szCs w:val="20"/>
          <w:lang w:val="es-ES_tradnl"/>
        </w:rPr>
        <w:t xml:space="preserve"> el BCU para que </w:t>
      </w:r>
      <w:r w:rsidR="00525B02" w:rsidRPr="00E06DDF">
        <w:rPr>
          <w:rFonts w:asciiTheme="majorHAnsi" w:hAnsiTheme="majorHAnsi"/>
          <w:sz w:val="20"/>
          <w:szCs w:val="20"/>
          <w:lang w:val="es-ES_tradnl"/>
        </w:rPr>
        <w:t>este</w:t>
      </w:r>
      <w:r w:rsidR="00466608" w:rsidRPr="00E06DDF">
        <w:rPr>
          <w:rFonts w:asciiTheme="majorHAnsi" w:hAnsiTheme="majorHAnsi"/>
          <w:sz w:val="20"/>
          <w:szCs w:val="20"/>
          <w:lang w:val="es-ES_tradnl"/>
        </w:rPr>
        <w:t xml:space="preserve"> </w:t>
      </w:r>
      <w:r w:rsidR="006C119B" w:rsidRPr="00E06DDF">
        <w:rPr>
          <w:rFonts w:asciiTheme="majorHAnsi" w:hAnsiTheme="majorHAnsi"/>
          <w:sz w:val="20"/>
          <w:szCs w:val="20"/>
          <w:lang w:val="es-ES_tradnl"/>
        </w:rPr>
        <w:t xml:space="preserve">tomara acciones </w:t>
      </w:r>
      <w:r w:rsidR="00466608" w:rsidRPr="00E06DDF">
        <w:rPr>
          <w:rFonts w:asciiTheme="majorHAnsi" w:hAnsiTheme="majorHAnsi"/>
          <w:sz w:val="20"/>
          <w:szCs w:val="20"/>
          <w:lang w:val="es-ES_tradnl"/>
        </w:rPr>
        <w:t xml:space="preserve">con el fin de </w:t>
      </w:r>
      <w:r w:rsidR="006C119B" w:rsidRPr="00E06DDF">
        <w:rPr>
          <w:rFonts w:asciiTheme="majorHAnsi" w:hAnsiTheme="majorHAnsi"/>
          <w:sz w:val="20"/>
          <w:szCs w:val="20"/>
          <w:lang w:val="es-ES_tradnl"/>
        </w:rPr>
        <w:t>detener la publicidad engañosa de la empresa competidora</w:t>
      </w:r>
      <w:r w:rsidR="008A20C1" w:rsidRPr="00E06DDF">
        <w:rPr>
          <w:rFonts w:asciiTheme="majorHAnsi" w:hAnsiTheme="majorHAnsi"/>
          <w:sz w:val="20"/>
          <w:szCs w:val="20"/>
          <w:lang w:val="es-ES_tradnl"/>
        </w:rPr>
        <w:t>. Explica que tales denuncias fueron rechazadas en primera instancia por los asesores jurídicos del BCU y la Superintendencia de Servicios Financieros</w:t>
      </w:r>
      <w:r w:rsidR="006C119B" w:rsidRPr="00E06DDF">
        <w:rPr>
          <w:rFonts w:asciiTheme="majorHAnsi" w:hAnsiTheme="majorHAnsi"/>
          <w:sz w:val="20"/>
          <w:szCs w:val="20"/>
          <w:lang w:val="es-ES_tradnl"/>
        </w:rPr>
        <w:t xml:space="preserve">. </w:t>
      </w:r>
      <w:r w:rsidR="008A20C1" w:rsidRPr="00E06DDF">
        <w:rPr>
          <w:rFonts w:asciiTheme="majorHAnsi" w:hAnsiTheme="majorHAnsi"/>
          <w:sz w:val="20"/>
          <w:szCs w:val="20"/>
          <w:lang w:val="es-ES_tradnl"/>
        </w:rPr>
        <w:t xml:space="preserve">Sostiene </w:t>
      </w:r>
      <w:r w:rsidR="00617606" w:rsidRPr="00E06DDF">
        <w:rPr>
          <w:rFonts w:asciiTheme="majorHAnsi" w:hAnsiTheme="majorHAnsi"/>
          <w:sz w:val="20"/>
          <w:szCs w:val="20"/>
          <w:lang w:val="es-ES_tradnl"/>
        </w:rPr>
        <w:t>que,</w:t>
      </w:r>
      <w:r w:rsidR="008A20C1" w:rsidRPr="00E06DDF">
        <w:rPr>
          <w:rFonts w:asciiTheme="majorHAnsi" w:hAnsiTheme="majorHAnsi"/>
          <w:sz w:val="20"/>
          <w:szCs w:val="20"/>
          <w:lang w:val="es-ES_tradnl"/>
        </w:rPr>
        <w:t xml:space="preserve"> e</w:t>
      </w:r>
      <w:r w:rsidR="006C119B" w:rsidRPr="00E06DDF">
        <w:rPr>
          <w:rFonts w:asciiTheme="majorHAnsi" w:hAnsiTheme="majorHAnsi"/>
          <w:sz w:val="20"/>
          <w:szCs w:val="20"/>
          <w:lang w:val="es-ES_tradnl"/>
        </w:rPr>
        <w:t xml:space="preserve">n tal contexto de inacción </w:t>
      </w:r>
      <w:r w:rsidR="00DB4BEC" w:rsidRPr="00E06DDF">
        <w:rPr>
          <w:rFonts w:asciiTheme="majorHAnsi" w:hAnsiTheme="majorHAnsi"/>
          <w:sz w:val="20"/>
          <w:szCs w:val="20"/>
          <w:lang w:val="es-ES_tradnl"/>
        </w:rPr>
        <w:t>por parte del BCU</w:t>
      </w:r>
      <w:r w:rsidRPr="00E06DDF">
        <w:rPr>
          <w:rFonts w:asciiTheme="majorHAnsi" w:hAnsiTheme="majorHAnsi"/>
          <w:sz w:val="20"/>
          <w:szCs w:val="20"/>
          <w:lang w:val="es-ES_tradnl"/>
        </w:rPr>
        <w:t>,</w:t>
      </w:r>
      <w:r w:rsidR="00DB4BEC" w:rsidRPr="00E06DDF">
        <w:rPr>
          <w:rFonts w:asciiTheme="majorHAnsi" w:hAnsiTheme="majorHAnsi"/>
          <w:sz w:val="20"/>
          <w:szCs w:val="20"/>
          <w:lang w:val="es-ES_tradnl"/>
        </w:rPr>
        <w:t xml:space="preserve"> y por persistir la publicidad engañosa, el Consorcio</w:t>
      </w:r>
      <w:r w:rsidR="006202EB" w:rsidRPr="00E06DDF">
        <w:rPr>
          <w:rFonts w:asciiTheme="majorHAnsi" w:hAnsiTheme="majorHAnsi"/>
          <w:sz w:val="20"/>
          <w:szCs w:val="20"/>
          <w:lang w:val="es-ES_tradnl"/>
        </w:rPr>
        <w:t xml:space="preserve"> decidió publicar en medios de comunicación </w:t>
      </w:r>
      <w:r w:rsidR="008A20C1" w:rsidRPr="00E06DDF">
        <w:rPr>
          <w:rFonts w:asciiTheme="majorHAnsi" w:hAnsiTheme="majorHAnsi"/>
          <w:sz w:val="20"/>
          <w:szCs w:val="20"/>
          <w:lang w:val="es-ES_tradnl"/>
        </w:rPr>
        <w:t xml:space="preserve">entre el 18 de junio y 5 de julio de 2012 cuatro </w:t>
      </w:r>
      <w:r w:rsidR="006202EB" w:rsidRPr="00E06DDF">
        <w:rPr>
          <w:rFonts w:asciiTheme="majorHAnsi" w:hAnsiTheme="majorHAnsi"/>
          <w:sz w:val="20"/>
          <w:szCs w:val="20"/>
          <w:lang w:val="es-ES_tradnl"/>
        </w:rPr>
        <w:t xml:space="preserve">avisos publicitarios en los que informaba al público sobre las omisiones de la empresa competidora y la calificación de riesgo que esta había recibido. La empresa competidora también publicó en los medios de comunicación comunicados en los que respondía a los avisos publicitarios del </w:t>
      </w:r>
      <w:r w:rsidR="00F20C01" w:rsidRPr="00E06DDF">
        <w:rPr>
          <w:rFonts w:asciiTheme="majorHAnsi" w:hAnsiTheme="majorHAnsi"/>
          <w:sz w:val="20"/>
          <w:szCs w:val="20"/>
          <w:lang w:val="es-ES_tradnl"/>
        </w:rPr>
        <w:t>C</w:t>
      </w:r>
      <w:r w:rsidR="006202EB" w:rsidRPr="00E06DDF">
        <w:rPr>
          <w:rFonts w:asciiTheme="majorHAnsi" w:hAnsiTheme="majorHAnsi"/>
          <w:sz w:val="20"/>
          <w:szCs w:val="20"/>
          <w:lang w:val="es-ES_tradnl"/>
        </w:rPr>
        <w:t xml:space="preserve">onsorcio. Tras estos eventos, el BCU emitió </w:t>
      </w:r>
      <w:r w:rsidR="008A20C1" w:rsidRPr="00E06DDF">
        <w:rPr>
          <w:rFonts w:asciiTheme="majorHAnsi" w:hAnsiTheme="majorHAnsi"/>
          <w:sz w:val="20"/>
          <w:szCs w:val="20"/>
          <w:lang w:val="es-ES_tradnl"/>
        </w:rPr>
        <w:t xml:space="preserve">el 7 de julio de 2012 </w:t>
      </w:r>
      <w:r w:rsidR="00427CBD" w:rsidRPr="00E06DDF">
        <w:rPr>
          <w:rFonts w:asciiTheme="majorHAnsi" w:hAnsiTheme="majorHAnsi"/>
          <w:sz w:val="20"/>
          <w:szCs w:val="20"/>
          <w:lang w:val="es-ES_tradnl"/>
        </w:rPr>
        <w:t>un acto administrativo</w:t>
      </w:r>
      <w:r w:rsidR="006202EB" w:rsidRPr="00E06DDF">
        <w:rPr>
          <w:rFonts w:asciiTheme="majorHAnsi" w:hAnsiTheme="majorHAnsi"/>
          <w:sz w:val="20"/>
          <w:szCs w:val="20"/>
          <w:lang w:val="es-ES_tradnl"/>
        </w:rPr>
        <w:t xml:space="preserve"> en </w:t>
      </w:r>
      <w:r w:rsidR="00427CBD" w:rsidRPr="00E06DDF">
        <w:rPr>
          <w:rFonts w:asciiTheme="majorHAnsi" w:hAnsiTheme="majorHAnsi"/>
          <w:sz w:val="20"/>
          <w:szCs w:val="20"/>
          <w:lang w:val="es-ES_tradnl"/>
        </w:rPr>
        <w:t xml:space="preserve">el </w:t>
      </w:r>
      <w:r w:rsidR="006202EB" w:rsidRPr="00E06DDF">
        <w:rPr>
          <w:rFonts w:asciiTheme="majorHAnsi" w:hAnsiTheme="majorHAnsi"/>
          <w:sz w:val="20"/>
          <w:szCs w:val="20"/>
          <w:lang w:val="es-ES_tradnl"/>
        </w:rPr>
        <w:t xml:space="preserve">que dispuso </w:t>
      </w:r>
    </w:p>
    <w:p w14:paraId="09A71EF7" w14:textId="4E5F9228" w:rsidR="006202EB" w:rsidRPr="00891834" w:rsidRDefault="006A199F" w:rsidP="00891834">
      <w:pPr>
        <w:pStyle w:val="ListParagraph"/>
        <w:spacing w:before="240" w:after="240"/>
        <w:ind w:right="720"/>
        <w:jc w:val="both"/>
        <w:rPr>
          <w:rFonts w:asciiTheme="majorHAnsi" w:hAnsiTheme="majorHAnsi"/>
          <w:sz w:val="20"/>
          <w:szCs w:val="20"/>
          <w:lang w:val="es-ES_tradnl"/>
        </w:rPr>
      </w:pPr>
      <w:r w:rsidRPr="00E06DDF">
        <w:rPr>
          <w:rFonts w:asciiTheme="majorHAnsi" w:hAnsiTheme="majorHAnsi"/>
          <w:sz w:val="20"/>
          <w:szCs w:val="20"/>
          <w:lang w:val="es-ES_tradnl"/>
        </w:rPr>
        <w:t>I</w:t>
      </w:r>
      <w:r w:rsidR="006202EB" w:rsidRPr="00E06DDF">
        <w:rPr>
          <w:rFonts w:asciiTheme="majorHAnsi" w:hAnsiTheme="majorHAnsi"/>
          <w:sz w:val="20"/>
          <w:szCs w:val="20"/>
          <w:lang w:val="es-ES_tradnl"/>
        </w:rPr>
        <w:t xml:space="preserve">nstruir a Consorcio del Uruguay S.A. a abstenerse absolutamente de efectuar comunicaciones públicas en cualquier medio de difusión – prensa radio, televisión, internet y cualquier otro medio de comunicación -en las que se haga referencia directa o indirectamente a </w:t>
      </w:r>
      <w:r w:rsidR="006202EB" w:rsidRPr="00E06DDF">
        <w:rPr>
          <w:rFonts w:asciiTheme="majorHAnsi" w:hAnsiTheme="majorHAnsi"/>
          <w:i/>
          <w:iCs/>
          <w:sz w:val="20"/>
          <w:szCs w:val="20"/>
          <w:lang w:val="es-ES_tradnl"/>
        </w:rPr>
        <w:t>[la empresa competidora, las características del Fideicomis</w:t>
      </w:r>
      <w:r w:rsidR="006D04D8" w:rsidRPr="00E06DDF">
        <w:rPr>
          <w:rFonts w:asciiTheme="majorHAnsi" w:hAnsiTheme="majorHAnsi"/>
          <w:i/>
          <w:iCs/>
          <w:sz w:val="20"/>
          <w:szCs w:val="20"/>
          <w:lang w:val="es-ES_tradnl"/>
        </w:rPr>
        <w:t>o</w:t>
      </w:r>
      <w:r w:rsidR="006202EB" w:rsidRPr="00E06DDF">
        <w:rPr>
          <w:rFonts w:asciiTheme="majorHAnsi" w:hAnsiTheme="majorHAnsi"/>
          <w:i/>
          <w:iCs/>
          <w:sz w:val="20"/>
          <w:szCs w:val="20"/>
          <w:lang w:val="es-ES_tradnl"/>
        </w:rPr>
        <w:t xml:space="preserve"> administrado por </w:t>
      </w:r>
      <w:r w:rsidR="002446A6" w:rsidRPr="00E06DDF">
        <w:rPr>
          <w:rFonts w:asciiTheme="majorHAnsi" w:hAnsiTheme="majorHAnsi"/>
          <w:i/>
          <w:iCs/>
          <w:sz w:val="20"/>
          <w:szCs w:val="20"/>
          <w:lang w:val="es-ES_tradnl"/>
        </w:rPr>
        <w:t>é</w:t>
      </w:r>
      <w:r w:rsidR="006202EB" w:rsidRPr="00E06DDF">
        <w:rPr>
          <w:rFonts w:asciiTheme="majorHAnsi" w:hAnsiTheme="majorHAnsi"/>
          <w:i/>
          <w:iCs/>
          <w:sz w:val="20"/>
          <w:szCs w:val="20"/>
          <w:lang w:val="es-ES_tradnl"/>
        </w:rPr>
        <w:t>sta</w:t>
      </w:r>
      <w:r w:rsidR="006202EB" w:rsidRPr="00E06DDF">
        <w:rPr>
          <w:rFonts w:asciiTheme="majorHAnsi" w:hAnsiTheme="majorHAnsi"/>
          <w:sz w:val="20"/>
          <w:szCs w:val="20"/>
          <w:lang w:val="es-ES_tradnl"/>
        </w:rPr>
        <w:t xml:space="preserve">] y los certificados de participación y los títulos de deuda emitidos por dicho fideicomiso. Esta instrucción incluye la prohibición de citar o parafrasear los documentos constitutivos de dicho negocio y las opiniones vertidas por terceros sobre dichos instrumentos financieros y el negocio a que refieren. </w:t>
      </w:r>
    </w:p>
    <w:p w14:paraId="3071DDEA" w14:textId="32A78081" w:rsidR="006A199F" w:rsidRPr="00891834" w:rsidRDefault="00A05E9E"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Explica la petición que </w:t>
      </w:r>
      <w:r w:rsidR="00FF3314" w:rsidRPr="00E06DDF">
        <w:rPr>
          <w:rFonts w:asciiTheme="majorHAnsi" w:hAnsiTheme="majorHAnsi"/>
          <w:sz w:val="20"/>
          <w:szCs w:val="20"/>
          <w:lang w:val="es-ES_tradnl"/>
        </w:rPr>
        <w:t xml:space="preserve">cinco días </w:t>
      </w:r>
      <w:r w:rsidR="00B15607" w:rsidRPr="00E06DDF">
        <w:rPr>
          <w:rFonts w:asciiTheme="majorHAnsi" w:hAnsiTheme="majorHAnsi"/>
          <w:sz w:val="20"/>
          <w:szCs w:val="20"/>
          <w:lang w:val="es-ES_tradnl"/>
        </w:rPr>
        <w:t>después</w:t>
      </w:r>
      <w:r w:rsidR="00FF3314" w:rsidRPr="00E06DDF">
        <w:rPr>
          <w:rFonts w:asciiTheme="majorHAnsi" w:hAnsiTheme="majorHAnsi"/>
          <w:sz w:val="20"/>
          <w:szCs w:val="20"/>
          <w:lang w:val="es-ES_tradnl"/>
        </w:rPr>
        <w:t xml:space="preserve"> de</w:t>
      </w:r>
      <w:r w:rsidRPr="00E06DDF">
        <w:rPr>
          <w:rFonts w:asciiTheme="majorHAnsi" w:hAnsiTheme="majorHAnsi"/>
          <w:sz w:val="20"/>
          <w:szCs w:val="20"/>
          <w:lang w:val="es-ES_tradnl"/>
        </w:rPr>
        <w:t xml:space="preserve"> la emisión de tal acto</w:t>
      </w:r>
      <w:r w:rsidR="006202EB" w:rsidRPr="00E06DDF">
        <w:rPr>
          <w:rFonts w:asciiTheme="majorHAnsi" w:hAnsiTheme="majorHAnsi"/>
          <w:sz w:val="20"/>
          <w:szCs w:val="20"/>
          <w:lang w:val="es-ES_tradnl"/>
        </w:rPr>
        <w:t xml:space="preserve"> el Consorcio comunicó al BCU que un Tribunal Federal de Argentina había declarado que la actividad de la empresa competidora en ese país se desarrollaba de forma irregular</w:t>
      </w:r>
      <w:r w:rsidR="008B7BEE" w:rsidRPr="00E06DDF">
        <w:rPr>
          <w:rFonts w:asciiTheme="majorHAnsi" w:hAnsiTheme="majorHAnsi"/>
          <w:sz w:val="20"/>
          <w:szCs w:val="20"/>
          <w:lang w:val="es-ES_tradnl"/>
        </w:rPr>
        <w:t>,</w:t>
      </w:r>
      <w:r w:rsidR="006202EB" w:rsidRPr="00E06DDF">
        <w:rPr>
          <w:rFonts w:asciiTheme="majorHAnsi" w:hAnsiTheme="majorHAnsi"/>
          <w:sz w:val="20"/>
          <w:szCs w:val="20"/>
          <w:lang w:val="es-ES_tradnl"/>
        </w:rPr>
        <w:t xml:space="preserve"> y la había intimidado a cesar en la captación de nuevos contratos. </w:t>
      </w:r>
      <w:r w:rsidR="00427CBD" w:rsidRPr="00E06DDF">
        <w:rPr>
          <w:rFonts w:asciiTheme="majorHAnsi" w:hAnsiTheme="majorHAnsi"/>
          <w:sz w:val="20"/>
          <w:szCs w:val="20"/>
          <w:lang w:val="es-ES_tradnl"/>
        </w:rPr>
        <w:t>El Consorcio también preguntó al BCU si la orden que este le había dado incluía la prohibición de dar publicidad a la sentencia del tribunal argentino,</w:t>
      </w:r>
      <w:r w:rsidRPr="00E06DDF">
        <w:rPr>
          <w:rFonts w:asciiTheme="majorHAnsi" w:hAnsiTheme="majorHAnsi"/>
          <w:sz w:val="20"/>
          <w:szCs w:val="20"/>
          <w:lang w:val="es-ES_tradnl"/>
        </w:rPr>
        <w:t xml:space="preserve"> </w:t>
      </w:r>
      <w:r w:rsidR="00427CBD" w:rsidRPr="00E06DDF">
        <w:rPr>
          <w:rFonts w:asciiTheme="majorHAnsi" w:hAnsiTheme="majorHAnsi"/>
          <w:sz w:val="20"/>
          <w:szCs w:val="20"/>
          <w:lang w:val="es-ES_tradnl"/>
        </w:rPr>
        <w:t>ante lo que el BCU emitió</w:t>
      </w:r>
      <w:r w:rsidRPr="00E06DDF">
        <w:rPr>
          <w:rFonts w:asciiTheme="majorHAnsi" w:hAnsiTheme="majorHAnsi"/>
          <w:sz w:val="20"/>
          <w:szCs w:val="20"/>
          <w:lang w:val="es-ES_tradnl"/>
        </w:rPr>
        <w:t xml:space="preserve"> el 20 de julio de 2012</w:t>
      </w:r>
      <w:r w:rsidR="00427CBD" w:rsidRPr="00E06DDF">
        <w:rPr>
          <w:rFonts w:asciiTheme="majorHAnsi" w:hAnsiTheme="majorHAnsi"/>
          <w:sz w:val="20"/>
          <w:szCs w:val="20"/>
          <w:lang w:val="es-ES_tradnl"/>
        </w:rPr>
        <w:t xml:space="preserve"> un segundo acto administrativo en el que indicó</w:t>
      </w:r>
      <w:r w:rsidRPr="00E06DDF">
        <w:rPr>
          <w:rFonts w:asciiTheme="majorHAnsi" w:hAnsiTheme="majorHAnsi"/>
          <w:sz w:val="20"/>
          <w:szCs w:val="20"/>
          <w:lang w:val="es-ES_tradnl"/>
        </w:rPr>
        <w:t>:</w:t>
      </w:r>
    </w:p>
    <w:p w14:paraId="103AE083" w14:textId="54643CEF" w:rsidR="00427CBD" w:rsidRPr="00891834" w:rsidRDefault="006A199F" w:rsidP="00891834">
      <w:pPr>
        <w:pStyle w:val="ListParagraph"/>
        <w:spacing w:before="240" w:after="240"/>
        <w:ind w:right="720"/>
        <w:jc w:val="both"/>
        <w:rPr>
          <w:rFonts w:asciiTheme="majorHAnsi" w:hAnsiTheme="majorHAnsi"/>
          <w:sz w:val="20"/>
          <w:szCs w:val="20"/>
          <w:lang w:val="es-ES_tradnl"/>
        </w:rPr>
      </w:pPr>
      <w:r w:rsidRPr="00E06DDF">
        <w:rPr>
          <w:rFonts w:asciiTheme="majorHAnsi" w:hAnsiTheme="majorHAnsi"/>
          <w:sz w:val="20"/>
          <w:szCs w:val="20"/>
          <w:lang w:val="es-ES_tradnl"/>
        </w:rPr>
        <w:t>A</w:t>
      </w:r>
      <w:r w:rsidR="00427CBD" w:rsidRPr="00E06DDF">
        <w:rPr>
          <w:rFonts w:asciiTheme="majorHAnsi" w:hAnsiTheme="majorHAnsi"/>
          <w:sz w:val="20"/>
          <w:szCs w:val="20"/>
          <w:lang w:val="es-ES_tradnl"/>
        </w:rPr>
        <w:t xml:space="preserve">l respecto confirmamos que dicha instrucción también incluye la prohibición absoluta de efectuar comunicaciones públicas en cualquier medio de difusión </w:t>
      </w:r>
      <w:r w:rsidR="002D237F" w:rsidRPr="00E06DDF">
        <w:rPr>
          <w:rFonts w:asciiTheme="majorHAnsi" w:hAnsiTheme="majorHAnsi"/>
          <w:sz w:val="20"/>
          <w:szCs w:val="20"/>
          <w:lang w:val="es-ES_tradnl"/>
        </w:rPr>
        <w:t>–</w:t>
      </w:r>
      <w:r w:rsidR="00427CBD" w:rsidRPr="00E06DDF">
        <w:rPr>
          <w:rFonts w:asciiTheme="majorHAnsi" w:hAnsiTheme="majorHAnsi"/>
          <w:sz w:val="20"/>
          <w:szCs w:val="20"/>
          <w:lang w:val="es-ES_tradnl"/>
        </w:rPr>
        <w:t>prensa, radio, televisión, Internet y cualquier otro medio de comunicación– en las que se haga referencia a los accionistas de [</w:t>
      </w:r>
      <w:r w:rsidR="00427CBD" w:rsidRPr="00E06DDF">
        <w:rPr>
          <w:rFonts w:asciiTheme="majorHAnsi" w:hAnsiTheme="majorHAnsi"/>
          <w:i/>
          <w:iCs/>
          <w:sz w:val="20"/>
          <w:szCs w:val="20"/>
          <w:lang w:val="es-ES_tradnl"/>
        </w:rPr>
        <w:t>la empresa competidora</w:t>
      </w:r>
      <w:r w:rsidR="00427CBD" w:rsidRPr="00E06DDF">
        <w:rPr>
          <w:rFonts w:asciiTheme="majorHAnsi" w:hAnsiTheme="majorHAnsi"/>
          <w:sz w:val="20"/>
          <w:szCs w:val="20"/>
          <w:lang w:val="es-ES_tradnl"/>
        </w:rPr>
        <w:t xml:space="preserve">], las empresas vinculadas a esta última, los accionistas de dichas empresas vinculadas y los negocios llevados adelante por dichas empresas. </w:t>
      </w:r>
    </w:p>
    <w:p w14:paraId="6FEFC859" w14:textId="488014DE" w:rsidR="007E27D2" w:rsidRPr="00891834" w:rsidRDefault="00427CBD"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La parte peticionaria considera que los actos administrativos dictados por el BCU contra el consorcio constituyeron una forma de</w:t>
      </w:r>
      <w:r w:rsidR="006D04D8" w:rsidRPr="00E06DDF">
        <w:rPr>
          <w:rFonts w:asciiTheme="majorHAnsi" w:hAnsiTheme="majorHAnsi"/>
          <w:sz w:val="20"/>
          <w:szCs w:val="20"/>
          <w:lang w:val="es-ES_tradnl"/>
        </w:rPr>
        <w:t xml:space="preserve"> </w:t>
      </w:r>
      <w:r w:rsidR="0098622D" w:rsidRPr="00E06DDF">
        <w:rPr>
          <w:rFonts w:asciiTheme="majorHAnsi" w:hAnsiTheme="majorHAnsi"/>
          <w:sz w:val="20"/>
          <w:szCs w:val="20"/>
          <w:lang w:val="es-ES_tradnl"/>
        </w:rPr>
        <w:t>“</w:t>
      </w:r>
      <w:r w:rsidR="002D6148" w:rsidRPr="00E06DDF">
        <w:rPr>
          <w:rFonts w:asciiTheme="majorHAnsi" w:hAnsiTheme="majorHAnsi"/>
          <w:sz w:val="20"/>
          <w:szCs w:val="20"/>
          <w:lang w:val="es-ES_tradnl"/>
        </w:rPr>
        <w:t>censura previa</w:t>
      </w:r>
      <w:r w:rsidR="0025709A" w:rsidRPr="00E06DDF">
        <w:rPr>
          <w:rFonts w:asciiTheme="majorHAnsi" w:hAnsiTheme="majorHAnsi"/>
          <w:sz w:val="20"/>
          <w:szCs w:val="20"/>
          <w:lang w:val="es-ES_tradnl"/>
        </w:rPr>
        <w:t>”</w:t>
      </w:r>
      <w:r w:rsidR="002D6148" w:rsidRPr="00E06DDF">
        <w:rPr>
          <w:rFonts w:asciiTheme="majorHAnsi" w:hAnsiTheme="majorHAnsi"/>
          <w:sz w:val="20"/>
          <w:szCs w:val="20"/>
          <w:lang w:val="es-ES_tradnl"/>
        </w:rPr>
        <w:t xml:space="preserve"> </w:t>
      </w:r>
      <w:r w:rsidR="0025709A" w:rsidRPr="00E06DDF">
        <w:rPr>
          <w:rFonts w:asciiTheme="majorHAnsi" w:hAnsiTheme="majorHAnsi"/>
          <w:sz w:val="20"/>
          <w:szCs w:val="20"/>
          <w:lang w:val="es-ES_tradnl"/>
        </w:rPr>
        <w:t xml:space="preserve">incompatible con la Convención Americana. Explica </w:t>
      </w:r>
      <w:r w:rsidR="0025709A" w:rsidRPr="00E06DDF">
        <w:rPr>
          <w:rFonts w:asciiTheme="majorHAnsi" w:hAnsiTheme="majorHAnsi"/>
          <w:sz w:val="20"/>
          <w:szCs w:val="20"/>
          <w:lang w:val="es-ES_tradnl"/>
        </w:rPr>
        <w:lastRenderedPageBreak/>
        <w:t xml:space="preserve">además que el BCU justificó las medidas dictadas contra el Consorcio en que sus publicaciones </w:t>
      </w:r>
      <w:r w:rsidR="009F75F3" w:rsidRPr="00E06DDF">
        <w:rPr>
          <w:rFonts w:asciiTheme="majorHAnsi" w:hAnsiTheme="majorHAnsi"/>
          <w:sz w:val="20"/>
          <w:szCs w:val="20"/>
          <w:lang w:val="es-ES_tradnl"/>
        </w:rPr>
        <w:t xml:space="preserve">sobre la empresa competidora alentaban a la incertidumbre y la desconfianza y atentaban contra la estabilidad y el funcionamiento del sistema financiero de Uruguay. Sin embargo, a juicio de la parte peticionaria, la estabilidad del sistema financiero no es un bien jurídico superior a la libertad de expresión que pueda invocarse para justificar actos de censura. </w:t>
      </w:r>
    </w:p>
    <w:p w14:paraId="69F51161" w14:textId="44EFA44A" w:rsidR="00204DDF" w:rsidRPr="00891834" w:rsidRDefault="009F75F3"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 </w:t>
      </w:r>
      <w:r w:rsidR="007E27D2" w:rsidRPr="00E06DDF">
        <w:rPr>
          <w:rFonts w:asciiTheme="majorHAnsi" w:hAnsiTheme="majorHAnsi"/>
          <w:sz w:val="20"/>
          <w:szCs w:val="20"/>
          <w:lang w:val="es-ES_tradnl"/>
        </w:rPr>
        <w:t>S</w:t>
      </w:r>
      <w:r w:rsidRPr="00E06DDF">
        <w:rPr>
          <w:rFonts w:asciiTheme="majorHAnsi" w:hAnsiTheme="majorHAnsi"/>
          <w:sz w:val="20"/>
          <w:szCs w:val="20"/>
          <w:lang w:val="es-ES_tradnl"/>
        </w:rPr>
        <w:t>ostiene además</w:t>
      </w:r>
      <w:r w:rsidR="007E27D2" w:rsidRPr="00E06DDF">
        <w:rPr>
          <w:rFonts w:asciiTheme="majorHAnsi" w:hAnsiTheme="majorHAnsi"/>
          <w:sz w:val="20"/>
          <w:szCs w:val="20"/>
          <w:lang w:val="es-ES_tradnl"/>
        </w:rPr>
        <w:t xml:space="preserve"> la parte peticionaria</w:t>
      </w:r>
      <w:r w:rsidRPr="00E06DDF">
        <w:rPr>
          <w:rFonts w:asciiTheme="majorHAnsi" w:hAnsiTheme="majorHAnsi"/>
          <w:sz w:val="20"/>
          <w:szCs w:val="20"/>
          <w:lang w:val="es-ES_tradnl"/>
        </w:rPr>
        <w:t xml:space="preserve"> que las publicaciones que motivaron la censura se limitaban a difundir información </w:t>
      </w:r>
      <w:r w:rsidR="009D474D" w:rsidRPr="00E06DDF">
        <w:rPr>
          <w:rFonts w:asciiTheme="majorHAnsi" w:hAnsiTheme="majorHAnsi"/>
          <w:sz w:val="20"/>
          <w:szCs w:val="20"/>
          <w:lang w:val="es-ES_tradnl"/>
        </w:rPr>
        <w:t>“</w:t>
      </w:r>
      <w:r w:rsidRPr="00E06DDF">
        <w:rPr>
          <w:rFonts w:asciiTheme="majorHAnsi" w:hAnsiTheme="majorHAnsi"/>
          <w:sz w:val="20"/>
          <w:szCs w:val="20"/>
          <w:lang w:val="es-ES_tradnl"/>
        </w:rPr>
        <w:t>verdadera</w:t>
      </w:r>
      <w:r w:rsidR="009D474D"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en forma descriptiva sin valoraciones añadidas; por lo que </w:t>
      </w:r>
      <w:r w:rsidR="007E5646" w:rsidRPr="00E06DDF">
        <w:rPr>
          <w:rFonts w:asciiTheme="majorHAnsi" w:hAnsiTheme="majorHAnsi"/>
          <w:sz w:val="20"/>
          <w:szCs w:val="20"/>
          <w:lang w:val="es-ES_tradnl"/>
        </w:rPr>
        <w:t>lejos de generar incertidumbre o desconfianza lo que hacían era aportar mayores elementos que l</w:t>
      </w:r>
      <w:r w:rsidR="002613C3" w:rsidRPr="00E06DDF">
        <w:rPr>
          <w:rFonts w:asciiTheme="majorHAnsi" w:hAnsiTheme="majorHAnsi"/>
          <w:sz w:val="20"/>
          <w:szCs w:val="20"/>
          <w:lang w:val="es-ES_tradnl"/>
        </w:rPr>
        <w:t>os</w:t>
      </w:r>
      <w:r w:rsidR="007E5646" w:rsidRPr="00E06DDF">
        <w:rPr>
          <w:rFonts w:asciiTheme="majorHAnsi" w:hAnsiTheme="majorHAnsi"/>
          <w:sz w:val="20"/>
          <w:szCs w:val="20"/>
          <w:lang w:val="es-ES_tradnl"/>
        </w:rPr>
        <w:t xml:space="preserve"> inversionistas podrían valorar para tomar una decisión. </w:t>
      </w:r>
      <w:r w:rsidR="002446A6" w:rsidRPr="00E06DDF">
        <w:rPr>
          <w:rFonts w:asciiTheme="majorHAnsi" w:hAnsiTheme="majorHAnsi"/>
          <w:sz w:val="20"/>
          <w:szCs w:val="20"/>
          <w:lang w:val="es-ES_tradnl"/>
        </w:rPr>
        <w:t>Considera</w:t>
      </w:r>
      <w:r w:rsidR="007E5646" w:rsidRPr="00E06DDF">
        <w:rPr>
          <w:rFonts w:asciiTheme="majorHAnsi" w:hAnsiTheme="majorHAnsi"/>
          <w:sz w:val="20"/>
          <w:szCs w:val="20"/>
          <w:lang w:val="es-ES_tradnl"/>
        </w:rPr>
        <w:t xml:space="preserve"> que, por el contrario, </w:t>
      </w:r>
      <w:r w:rsidR="007E27D2" w:rsidRPr="00E06DDF">
        <w:rPr>
          <w:rFonts w:asciiTheme="majorHAnsi" w:hAnsiTheme="majorHAnsi"/>
          <w:sz w:val="20"/>
          <w:szCs w:val="20"/>
          <w:lang w:val="es-ES_tradnl"/>
        </w:rPr>
        <w:t xml:space="preserve">lo que atentaba contra la estabilidad del sistema financiero era la publicidad engañosa que venía realizando la empresa competidora; especulándose que la verdadera motivación del acto de censura era evitar que salieran a la luz los errores que había cometido el BCU al tolerar esa publicidad engañosa. </w:t>
      </w:r>
    </w:p>
    <w:p w14:paraId="790240CB" w14:textId="1891BD1F" w:rsidR="00155BDD" w:rsidRPr="00891834" w:rsidRDefault="00204DDF"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A lo anterior añade que el BCU justificó la prohibición de difundir la sentencia proferida contra la empresa competidora en Argentina con el argumento de que dicha sentencia carecía de relevancia para el mercado uruguayo. La petición cuestiona la lógica de prohibir en una democracia la publicación de un hecho cierto con fundamento en una supuesta falta de relevancia; agregando que, en todo caso, sí era claramente relevante para inversionistas de Uruguay conocer que una empresa financiera había sido suspendida en su país de origen por actuar al margen de la ley. </w:t>
      </w:r>
    </w:p>
    <w:p w14:paraId="05904E9A" w14:textId="49F37E41" w:rsidR="00CB48A4" w:rsidRPr="00891834" w:rsidRDefault="005570D0"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A juicio de la parte peticionaria, restricciones a la libertad de expresión tales como las impuestas en los actos dictados por el BCU requerían una normativa dictada por ley que regulara la publicidad dirigida a promocionar productos financieros</w:t>
      </w:r>
      <w:r w:rsidR="00A57443" w:rsidRPr="00E06DDF">
        <w:rPr>
          <w:rStyle w:val="FootnoteReference"/>
          <w:rFonts w:asciiTheme="majorHAnsi" w:hAnsiTheme="majorHAnsi"/>
          <w:sz w:val="20"/>
          <w:szCs w:val="20"/>
          <w:lang w:val="es-ES_tradnl"/>
        </w:rPr>
        <w:footnoteReference w:id="5"/>
      </w:r>
      <w:r w:rsidRPr="00E06DDF">
        <w:rPr>
          <w:rFonts w:asciiTheme="majorHAnsi" w:hAnsiTheme="majorHAnsi"/>
          <w:sz w:val="20"/>
          <w:szCs w:val="20"/>
          <w:lang w:val="es-ES_tradnl"/>
        </w:rPr>
        <w:t xml:space="preserve">. </w:t>
      </w:r>
      <w:r w:rsidR="00A05E9E" w:rsidRPr="00E06DDF">
        <w:rPr>
          <w:rFonts w:asciiTheme="majorHAnsi" w:hAnsiTheme="majorHAnsi"/>
          <w:sz w:val="20"/>
          <w:szCs w:val="20"/>
          <w:lang w:val="es-ES_tradnl"/>
        </w:rPr>
        <w:t>En este sentido</w:t>
      </w:r>
      <w:r w:rsidR="00336D92" w:rsidRPr="00E06DDF">
        <w:rPr>
          <w:rFonts w:asciiTheme="majorHAnsi" w:hAnsiTheme="majorHAnsi"/>
          <w:sz w:val="20"/>
          <w:szCs w:val="20"/>
          <w:lang w:val="es-ES_tradnl"/>
        </w:rPr>
        <w:t>,</w:t>
      </w:r>
      <w:r w:rsidR="00A05E9E" w:rsidRPr="00E06DDF">
        <w:rPr>
          <w:rFonts w:asciiTheme="majorHAnsi" w:hAnsiTheme="majorHAnsi"/>
          <w:sz w:val="20"/>
          <w:szCs w:val="20"/>
          <w:lang w:val="es-ES_tradnl"/>
        </w:rPr>
        <w:t xml:space="preserve"> resalta que</w:t>
      </w:r>
      <w:r w:rsidRPr="00E06DDF">
        <w:rPr>
          <w:rFonts w:asciiTheme="majorHAnsi" w:hAnsiTheme="majorHAnsi"/>
          <w:sz w:val="20"/>
          <w:szCs w:val="20"/>
          <w:lang w:val="es-ES_tradnl"/>
        </w:rPr>
        <w:t xml:space="preserve"> el dictamen legal emitido por el BCU</w:t>
      </w:r>
      <w:r w:rsidR="00CC73B6"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que precedió </w:t>
      </w:r>
      <w:r w:rsidR="00645495" w:rsidRPr="00E06DDF">
        <w:rPr>
          <w:rFonts w:asciiTheme="majorHAnsi" w:hAnsiTheme="majorHAnsi"/>
          <w:sz w:val="20"/>
          <w:szCs w:val="20"/>
          <w:lang w:val="es-ES_tradnl"/>
        </w:rPr>
        <w:t>el primero de los actos denunciados</w:t>
      </w:r>
      <w:r w:rsidRPr="00E06DDF">
        <w:rPr>
          <w:rFonts w:asciiTheme="majorHAnsi" w:hAnsiTheme="majorHAnsi"/>
          <w:sz w:val="20"/>
          <w:szCs w:val="20"/>
          <w:lang w:val="es-ES_tradnl"/>
        </w:rPr>
        <w:t xml:space="preserve"> como de censura</w:t>
      </w:r>
      <w:r w:rsidR="00AD54F9"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reconoció la inexistencia de normativa sobre la materia al hacer referencia a la “posibilidad futura de dictar normas reglamentarias para encauzar la conducta en esta materia”. </w:t>
      </w:r>
      <w:r w:rsidR="00CB48A4" w:rsidRPr="00E06DDF">
        <w:rPr>
          <w:rFonts w:asciiTheme="majorHAnsi" w:hAnsiTheme="majorHAnsi"/>
          <w:sz w:val="20"/>
          <w:szCs w:val="20"/>
          <w:lang w:val="es-ES_tradnl"/>
        </w:rPr>
        <w:t>La petición explica</w:t>
      </w:r>
      <w:r w:rsidRPr="00E06DDF">
        <w:rPr>
          <w:rFonts w:asciiTheme="majorHAnsi" w:hAnsiTheme="majorHAnsi"/>
          <w:sz w:val="20"/>
          <w:szCs w:val="20"/>
          <w:lang w:val="es-ES_tradnl"/>
        </w:rPr>
        <w:t xml:space="preserve"> que</w:t>
      </w:r>
      <w:r w:rsidR="00CB48A4"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con posterioridad al referido dictamen</w:t>
      </w:r>
      <w:r w:rsidR="00A05E9E"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pero antes de </w:t>
      </w:r>
      <w:r w:rsidR="00645495" w:rsidRPr="00E06DDF">
        <w:rPr>
          <w:rFonts w:asciiTheme="majorHAnsi" w:hAnsiTheme="majorHAnsi"/>
          <w:sz w:val="20"/>
          <w:szCs w:val="20"/>
          <w:lang w:val="es-ES_tradnl"/>
        </w:rPr>
        <w:t xml:space="preserve">las resoluciones contra el Consorcio, el BCU emitió una circular para regular la publicidad financiera en la que se estableció la posibilidad de dar publicidad a calificaciones de riesgo cumpliendo ciertos requisitos. Pese a ello, se dictaron las medidas contra el Consorcio sin indicarse que las publicaciones realizadas por </w:t>
      </w:r>
      <w:r w:rsidR="00CB48A4" w:rsidRPr="00E06DDF">
        <w:rPr>
          <w:rFonts w:asciiTheme="majorHAnsi" w:hAnsiTheme="majorHAnsi"/>
          <w:sz w:val="20"/>
          <w:szCs w:val="20"/>
          <w:lang w:val="es-ES_tradnl"/>
        </w:rPr>
        <w:t>é</w:t>
      </w:r>
      <w:r w:rsidR="00645495" w:rsidRPr="00E06DDF">
        <w:rPr>
          <w:rFonts w:asciiTheme="majorHAnsi" w:hAnsiTheme="majorHAnsi"/>
          <w:sz w:val="20"/>
          <w:szCs w:val="20"/>
          <w:lang w:val="es-ES_tradnl"/>
        </w:rPr>
        <w:t xml:space="preserve">ste hubiesen violado los límites establecidos por esa circular. </w:t>
      </w:r>
    </w:p>
    <w:p w14:paraId="036FB831" w14:textId="0842A0D9" w:rsidR="00A57443" w:rsidRPr="00891834" w:rsidRDefault="00645495"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La parte peticionaria considera que las órdenes dictadas por el BCU fueron particularmente drásticas por suprimir radicalmente todo mensaje relacionado con la empresa competidora,</w:t>
      </w:r>
      <w:r w:rsidR="00204DDF" w:rsidRPr="00E06DDF">
        <w:rPr>
          <w:rFonts w:asciiTheme="majorHAnsi" w:hAnsiTheme="majorHAnsi"/>
          <w:sz w:val="20"/>
          <w:szCs w:val="20"/>
          <w:lang w:val="es-ES_tradnl"/>
        </w:rPr>
        <w:t xml:space="preserve"> ante cualquier medio e independientemente de su contenido o el contexto. Esto, pese a que</w:t>
      </w:r>
      <w:r w:rsidRPr="00E06DDF">
        <w:rPr>
          <w:rFonts w:asciiTheme="majorHAnsi" w:hAnsiTheme="majorHAnsi"/>
          <w:sz w:val="20"/>
          <w:szCs w:val="20"/>
          <w:lang w:val="es-ES_tradnl"/>
        </w:rPr>
        <w:t xml:space="preserve"> </w:t>
      </w:r>
      <w:r w:rsidR="00A57443" w:rsidRPr="00E06DDF">
        <w:rPr>
          <w:rFonts w:asciiTheme="majorHAnsi" w:hAnsiTheme="majorHAnsi"/>
          <w:sz w:val="20"/>
          <w:szCs w:val="20"/>
          <w:lang w:val="es-ES_tradnl"/>
        </w:rPr>
        <w:t>el Consorcio podría haber sido sometido a sanciones posteriores de haber violado el deber de veracidad</w:t>
      </w:r>
      <w:r w:rsidR="00CB48A4" w:rsidRPr="00E06DDF">
        <w:rPr>
          <w:rFonts w:asciiTheme="majorHAnsi" w:hAnsiTheme="majorHAnsi"/>
          <w:sz w:val="20"/>
          <w:szCs w:val="20"/>
          <w:lang w:val="es-ES_tradnl"/>
        </w:rPr>
        <w:t>;</w:t>
      </w:r>
      <w:r w:rsidR="00A57443" w:rsidRPr="00E06DDF">
        <w:rPr>
          <w:rFonts w:asciiTheme="majorHAnsi" w:hAnsiTheme="majorHAnsi"/>
          <w:sz w:val="20"/>
          <w:szCs w:val="20"/>
          <w:lang w:val="es-ES_tradnl"/>
        </w:rPr>
        <w:t xml:space="preserve"> y cualquier disputa por daños o perjuicios causados por las publicaciones de este podría haberse dejado para ser resuelta entre las empresas particulares involucradas.</w:t>
      </w:r>
    </w:p>
    <w:p w14:paraId="0DD35B72" w14:textId="725EFD9F" w:rsidR="00C75034" w:rsidRPr="00891834" w:rsidRDefault="00C75034"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Sostiene también la parte peticionaria</w:t>
      </w:r>
      <w:r w:rsidR="00221165" w:rsidRPr="00E06DDF">
        <w:rPr>
          <w:rFonts w:asciiTheme="majorHAnsi" w:hAnsiTheme="majorHAnsi"/>
          <w:sz w:val="20"/>
          <w:szCs w:val="20"/>
          <w:lang w:val="es-ES_tradnl"/>
        </w:rPr>
        <w:t xml:space="preserve"> que</w:t>
      </w:r>
      <w:r w:rsidR="00617606">
        <w:rPr>
          <w:rFonts w:asciiTheme="majorHAnsi" w:hAnsiTheme="majorHAnsi"/>
          <w:sz w:val="20"/>
          <w:szCs w:val="20"/>
          <w:lang w:val="es-ES_tradnl"/>
        </w:rPr>
        <w:t>,</w:t>
      </w:r>
      <w:r w:rsidR="00221165" w:rsidRPr="00E06DDF">
        <w:rPr>
          <w:rFonts w:asciiTheme="majorHAnsi" w:hAnsiTheme="majorHAnsi"/>
          <w:sz w:val="20"/>
          <w:szCs w:val="20"/>
          <w:lang w:val="es-ES_tradnl"/>
        </w:rPr>
        <w:t xml:space="preserve"> aunque l</w:t>
      </w:r>
      <w:r w:rsidR="00C2542B" w:rsidRPr="00E06DDF">
        <w:rPr>
          <w:rFonts w:asciiTheme="majorHAnsi" w:hAnsiTheme="majorHAnsi"/>
          <w:sz w:val="20"/>
          <w:szCs w:val="20"/>
          <w:lang w:val="es-ES_tradnl"/>
        </w:rPr>
        <w:t xml:space="preserve">as órdenes del BCU se dirigieron contra el Consorcio, estas afectaron los derechos de las </w:t>
      </w:r>
      <w:r w:rsidR="00124270" w:rsidRPr="00E06DDF">
        <w:rPr>
          <w:rFonts w:asciiTheme="majorHAnsi" w:hAnsiTheme="majorHAnsi"/>
          <w:sz w:val="20"/>
          <w:szCs w:val="20"/>
          <w:lang w:val="es-ES_tradnl"/>
        </w:rPr>
        <w:t>tres</w:t>
      </w:r>
      <w:r w:rsidR="00C2542B" w:rsidRPr="00E06DDF">
        <w:rPr>
          <w:rFonts w:asciiTheme="majorHAnsi" w:hAnsiTheme="majorHAnsi"/>
          <w:sz w:val="20"/>
          <w:szCs w:val="20"/>
          <w:lang w:val="es-ES_tradnl"/>
        </w:rPr>
        <w:t xml:space="preserve"> personas naturales listadas como presuntas víctimas en la petición</w:t>
      </w:r>
      <w:r w:rsidRPr="00E06DDF">
        <w:rPr>
          <w:rFonts w:asciiTheme="majorHAnsi" w:hAnsiTheme="majorHAnsi"/>
          <w:sz w:val="20"/>
          <w:szCs w:val="20"/>
          <w:lang w:val="es-ES_tradnl"/>
        </w:rPr>
        <w:t>. Al respecto indica “</w:t>
      </w:r>
      <w:r w:rsidRPr="00E06DDF">
        <w:rPr>
          <w:rFonts w:asciiTheme="majorHAnsi" w:hAnsiTheme="majorHAnsi"/>
          <w:i/>
          <w:iCs/>
          <w:sz w:val="20"/>
          <w:szCs w:val="20"/>
          <w:lang w:val="es-ES_tradnl"/>
        </w:rPr>
        <w:t>[s]iendo los tres quejosos los propietarios del paquete accionario de la empresa afectada y su por entonces director, resulta punto incuestionable ‘… la lesión efectiva al derecho de las personas físicas referidas…´ (en los expresivos términos empleados por la Opinión Consultiva no. 22/2016)</w:t>
      </w:r>
      <w:r w:rsidRPr="00E06DDF">
        <w:rPr>
          <w:rFonts w:asciiTheme="majorHAnsi" w:hAnsiTheme="majorHAnsi"/>
          <w:sz w:val="20"/>
          <w:szCs w:val="20"/>
          <w:lang w:val="es-ES_tradnl"/>
        </w:rPr>
        <w:t>”.</w:t>
      </w:r>
    </w:p>
    <w:p w14:paraId="56BF0756" w14:textId="1460FE3B" w:rsidR="00426574" w:rsidRPr="00891834" w:rsidRDefault="00426574"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A lo anterior agrega que los actos de censura también afectaron a </w:t>
      </w:r>
      <w:r w:rsidR="00C2542B" w:rsidRPr="00E06DDF">
        <w:rPr>
          <w:rFonts w:asciiTheme="majorHAnsi" w:hAnsiTheme="majorHAnsi"/>
          <w:sz w:val="20"/>
          <w:szCs w:val="20"/>
          <w:lang w:val="es-ES_tradnl"/>
        </w:rPr>
        <w:t>los trabajadores y directores de</w:t>
      </w:r>
      <w:r w:rsidRPr="00E06DDF">
        <w:rPr>
          <w:rFonts w:asciiTheme="majorHAnsi" w:hAnsiTheme="majorHAnsi"/>
          <w:sz w:val="20"/>
          <w:szCs w:val="20"/>
          <w:lang w:val="es-ES_tradnl"/>
        </w:rPr>
        <w:t>l Consorcio</w:t>
      </w:r>
      <w:r w:rsidR="00C2542B" w:rsidRPr="00E06DDF">
        <w:rPr>
          <w:rFonts w:asciiTheme="majorHAnsi" w:hAnsiTheme="majorHAnsi"/>
          <w:sz w:val="20"/>
          <w:szCs w:val="20"/>
          <w:lang w:val="es-ES_tradnl"/>
        </w:rPr>
        <w:t xml:space="preserve">, y </w:t>
      </w:r>
      <w:r w:rsidRPr="00E06DDF">
        <w:rPr>
          <w:rFonts w:asciiTheme="majorHAnsi" w:hAnsiTheme="majorHAnsi"/>
          <w:sz w:val="20"/>
          <w:szCs w:val="20"/>
          <w:lang w:val="es-ES_tradnl"/>
        </w:rPr>
        <w:t>a</w:t>
      </w:r>
      <w:r w:rsidR="00C2542B" w:rsidRPr="00E06DDF">
        <w:rPr>
          <w:rFonts w:asciiTheme="majorHAnsi" w:hAnsiTheme="majorHAnsi"/>
          <w:sz w:val="20"/>
          <w:szCs w:val="20"/>
          <w:lang w:val="es-ES_tradnl"/>
        </w:rPr>
        <w:t xml:space="preserve"> </w:t>
      </w:r>
      <w:r w:rsidRPr="00E06DDF">
        <w:rPr>
          <w:rFonts w:asciiTheme="majorHAnsi" w:hAnsiTheme="majorHAnsi"/>
          <w:sz w:val="20"/>
          <w:szCs w:val="20"/>
          <w:lang w:val="es-ES_tradnl"/>
        </w:rPr>
        <w:t>la población de Uruguay</w:t>
      </w:r>
      <w:r w:rsidR="00C2542B" w:rsidRPr="00E06DDF">
        <w:rPr>
          <w:rFonts w:asciiTheme="majorHAnsi" w:hAnsiTheme="majorHAnsi"/>
          <w:sz w:val="20"/>
          <w:szCs w:val="20"/>
          <w:lang w:val="es-ES_tradnl"/>
        </w:rPr>
        <w:t xml:space="preserve"> en general quien se </w:t>
      </w:r>
      <w:r w:rsidR="005537FF" w:rsidRPr="00E06DDF">
        <w:rPr>
          <w:rFonts w:asciiTheme="majorHAnsi" w:hAnsiTheme="majorHAnsi"/>
          <w:sz w:val="20"/>
          <w:szCs w:val="20"/>
          <w:lang w:val="es-ES_tradnl"/>
        </w:rPr>
        <w:t xml:space="preserve">habría </w:t>
      </w:r>
      <w:r w:rsidR="008A1039" w:rsidRPr="00E06DDF">
        <w:rPr>
          <w:rFonts w:asciiTheme="majorHAnsi" w:hAnsiTheme="majorHAnsi"/>
          <w:sz w:val="20"/>
          <w:szCs w:val="20"/>
          <w:lang w:val="es-ES_tradnl"/>
        </w:rPr>
        <w:t>visto</w:t>
      </w:r>
      <w:r w:rsidR="00C2542B" w:rsidRPr="00E06DDF">
        <w:rPr>
          <w:rFonts w:asciiTheme="majorHAnsi" w:hAnsiTheme="majorHAnsi"/>
          <w:sz w:val="20"/>
          <w:szCs w:val="20"/>
          <w:lang w:val="es-ES_tradnl"/>
        </w:rPr>
        <w:t xml:space="preserve"> afectad</w:t>
      </w:r>
      <w:r w:rsidRPr="00E06DDF">
        <w:rPr>
          <w:rFonts w:asciiTheme="majorHAnsi" w:hAnsiTheme="majorHAnsi"/>
          <w:sz w:val="20"/>
          <w:szCs w:val="20"/>
          <w:lang w:val="es-ES_tradnl"/>
        </w:rPr>
        <w:t>a</w:t>
      </w:r>
      <w:r w:rsidR="00C2542B" w:rsidRPr="00E06DDF">
        <w:rPr>
          <w:rFonts w:asciiTheme="majorHAnsi" w:hAnsiTheme="majorHAnsi"/>
          <w:sz w:val="20"/>
          <w:szCs w:val="20"/>
          <w:lang w:val="es-ES_tradnl"/>
        </w:rPr>
        <w:t xml:space="preserve"> por la supresión radical de información relevante para la toma de decisiones </w:t>
      </w:r>
      <w:r w:rsidR="009D0293" w:rsidRPr="00E06DDF">
        <w:rPr>
          <w:rFonts w:asciiTheme="majorHAnsi" w:hAnsiTheme="majorHAnsi"/>
          <w:sz w:val="20"/>
          <w:szCs w:val="20"/>
          <w:lang w:val="es-ES_tradnl"/>
        </w:rPr>
        <w:t>de interés público</w:t>
      </w:r>
      <w:r w:rsidR="00C2542B" w:rsidRPr="00E06DDF">
        <w:rPr>
          <w:rFonts w:asciiTheme="majorHAnsi" w:hAnsiTheme="majorHAnsi"/>
          <w:sz w:val="20"/>
          <w:szCs w:val="20"/>
          <w:lang w:val="es-ES_tradnl"/>
        </w:rPr>
        <w:t xml:space="preserve">. Alega además que sería contrario a la jurisprudencia del Sistema Interamericano, y de </w:t>
      </w:r>
      <w:r w:rsidR="00C535F5" w:rsidRPr="00E06DDF">
        <w:rPr>
          <w:rFonts w:asciiTheme="majorHAnsi" w:hAnsiTheme="majorHAnsi"/>
          <w:sz w:val="20"/>
          <w:szCs w:val="20"/>
          <w:lang w:val="es-ES_tradnl"/>
        </w:rPr>
        <w:t>los otros sistemas internacionales de protección de los derechos humanos, que se amparara la vulneración de derechos humanos tales como la libertad de expresión mediante la invocación de una figura ficcional como lo son las personas jurídicas</w:t>
      </w:r>
      <w:r w:rsidR="00472858">
        <w:rPr>
          <w:rFonts w:asciiTheme="majorHAnsi" w:hAnsiTheme="majorHAnsi"/>
          <w:sz w:val="20"/>
          <w:szCs w:val="20"/>
          <w:lang w:val="es-ES_tradnl"/>
        </w:rPr>
        <w:t>.</w:t>
      </w:r>
    </w:p>
    <w:p w14:paraId="5975360B" w14:textId="6EF1C7E8" w:rsidR="00C535F5" w:rsidRPr="00891834" w:rsidRDefault="00426574"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lastRenderedPageBreak/>
        <w:t xml:space="preserve">Destaca también la parte peticionaria que fue ocho meses luego de que el Consorcio presentara sus denuncias que el BCU finalmente ordenó a la empresa competidora y la calificadora CARE que publicaran en sus respectivas páginas web un informe corregido incorporando la frase “especulativo medio”. El significado de la nota “grado especulativo medio” también fue publicado en las páginas web del BCU, CARE y la empresa competidora. </w:t>
      </w:r>
      <w:r w:rsidR="00FF3314" w:rsidRPr="00E06DDF">
        <w:rPr>
          <w:rFonts w:asciiTheme="majorHAnsi" w:hAnsiTheme="majorHAnsi"/>
          <w:sz w:val="20"/>
          <w:szCs w:val="20"/>
          <w:lang w:val="es-ES_tradnl"/>
        </w:rPr>
        <w:t>Indica</w:t>
      </w:r>
      <w:r w:rsidRPr="00E06DDF">
        <w:rPr>
          <w:rFonts w:asciiTheme="majorHAnsi" w:hAnsiTheme="majorHAnsi"/>
          <w:sz w:val="20"/>
          <w:szCs w:val="20"/>
          <w:lang w:val="es-ES_tradnl"/>
        </w:rPr>
        <w:t xml:space="preserve"> que </w:t>
      </w:r>
      <w:r w:rsidR="00FF3314" w:rsidRPr="00E06DDF">
        <w:rPr>
          <w:rFonts w:asciiTheme="majorHAnsi" w:hAnsiTheme="majorHAnsi"/>
          <w:sz w:val="20"/>
          <w:szCs w:val="20"/>
          <w:lang w:val="es-ES_tradnl"/>
        </w:rPr>
        <w:t>dichas</w:t>
      </w:r>
      <w:r w:rsidRPr="00E06DDF">
        <w:rPr>
          <w:rFonts w:asciiTheme="majorHAnsi" w:hAnsiTheme="majorHAnsi"/>
          <w:sz w:val="20"/>
          <w:szCs w:val="20"/>
          <w:lang w:val="es-ES_tradnl"/>
        </w:rPr>
        <w:t xml:space="preserve"> publicaciones no tuvieron consecuencia alguna sobre la estabilidad del sistema financiero</w:t>
      </w:r>
      <w:r w:rsidR="00FF3314" w:rsidRPr="00E06DDF">
        <w:rPr>
          <w:rFonts w:asciiTheme="majorHAnsi" w:hAnsiTheme="majorHAnsi"/>
          <w:sz w:val="20"/>
          <w:szCs w:val="20"/>
          <w:lang w:val="es-ES_tradnl"/>
        </w:rPr>
        <w:t>, argumentando que ello</w:t>
      </w:r>
      <w:r w:rsidRPr="00E06DDF">
        <w:rPr>
          <w:rFonts w:asciiTheme="majorHAnsi" w:hAnsiTheme="majorHAnsi"/>
          <w:sz w:val="20"/>
          <w:szCs w:val="20"/>
          <w:lang w:val="es-ES_tradnl"/>
        </w:rPr>
        <w:t xml:space="preserve"> evidencia que las publicaciones que había realizado el consorcio y que motivaron la censura no representaban amenaza alguna para ese sistema. </w:t>
      </w:r>
      <w:r w:rsidR="00FF3314" w:rsidRPr="00E06DDF">
        <w:rPr>
          <w:rFonts w:asciiTheme="majorHAnsi" w:hAnsiTheme="majorHAnsi"/>
          <w:sz w:val="20"/>
          <w:szCs w:val="20"/>
          <w:lang w:val="es-ES_tradnl"/>
        </w:rPr>
        <w:t>Explica además que, aunque se realizaron dichas publicaciones, los actos administrativos de censura emitidos contra el Consorcio permanecieron vigentes.</w:t>
      </w:r>
    </w:p>
    <w:p w14:paraId="06E0C91D" w14:textId="27B5FDD1" w:rsidR="000358E0" w:rsidRPr="00891834" w:rsidRDefault="00C535F5"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También relata la parte peticionaria que el</w:t>
      </w:r>
      <w:r w:rsidR="007010B4" w:rsidRPr="00E06DDF">
        <w:rPr>
          <w:rFonts w:asciiTheme="majorHAnsi" w:hAnsiTheme="majorHAnsi"/>
          <w:sz w:val="20"/>
          <w:szCs w:val="20"/>
          <w:lang w:val="es-ES_tradnl"/>
        </w:rPr>
        <w:t xml:space="preserve"> 6 de agosto de 2012 el</w:t>
      </w:r>
      <w:r w:rsidRPr="00E06DDF">
        <w:rPr>
          <w:rFonts w:asciiTheme="majorHAnsi" w:hAnsiTheme="majorHAnsi"/>
          <w:sz w:val="20"/>
          <w:szCs w:val="20"/>
          <w:lang w:val="es-ES_tradnl"/>
        </w:rPr>
        <w:t xml:space="preserve"> Consorcio interpuso una acción de amparo contra los actos del BCU, siendo </w:t>
      </w:r>
      <w:r w:rsidR="00386EFD" w:rsidRPr="00E06DDF">
        <w:rPr>
          <w:rFonts w:asciiTheme="majorHAnsi" w:hAnsiTheme="majorHAnsi"/>
          <w:sz w:val="20"/>
          <w:szCs w:val="20"/>
          <w:lang w:val="es-ES_tradnl"/>
        </w:rPr>
        <w:t>esta</w:t>
      </w:r>
      <w:r w:rsidRPr="00E06DDF">
        <w:rPr>
          <w:rFonts w:asciiTheme="majorHAnsi" w:hAnsiTheme="majorHAnsi"/>
          <w:sz w:val="20"/>
          <w:szCs w:val="20"/>
          <w:lang w:val="es-ES_tradnl"/>
        </w:rPr>
        <w:t xml:space="preserve"> rechazada</w:t>
      </w:r>
      <w:r w:rsidR="007010B4" w:rsidRPr="00E06DDF">
        <w:rPr>
          <w:rFonts w:asciiTheme="majorHAnsi" w:hAnsiTheme="majorHAnsi"/>
          <w:sz w:val="20"/>
          <w:szCs w:val="20"/>
          <w:lang w:val="es-ES_tradnl"/>
        </w:rPr>
        <w:t xml:space="preserve">. </w:t>
      </w:r>
      <w:r w:rsidR="00AC4CDC" w:rsidRPr="00E06DDF">
        <w:rPr>
          <w:rFonts w:asciiTheme="majorHAnsi" w:hAnsiTheme="majorHAnsi"/>
          <w:sz w:val="20"/>
          <w:szCs w:val="20"/>
          <w:lang w:val="es-ES_tradnl"/>
        </w:rPr>
        <w:t>E</w:t>
      </w:r>
      <w:r w:rsidRPr="00E06DDF">
        <w:rPr>
          <w:rFonts w:asciiTheme="majorHAnsi" w:hAnsiTheme="majorHAnsi"/>
          <w:sz w:val="20"/>
          <w:szCs w:val="20"/>
          <w:lang w:val="es-ES_tradnl"/>
        </w:rPr>
        <w:t xml:space="preserve">l juzgado Letrado de Primera Instancia en lo Contencioso Administrativo </w:t>
      </w:r>
      <w:r w:rsidR="007010B4" w:rsidRPr="00E06DDF">
        <w:rPr>
          <w:rFonts w:asciiTheme="majorHAnsi" w:hAnsiTheme="majorHAnsi"/>
          <w:sz w:val="20"/>
          <w:szCs w:val="20"/>
          <w:lang w:val="es-ES_tradnl"/>
        </w:rPr>
        <w:t>habría considerado</w:t>
      </w:r>
      <w:r w:rsidRPr="00E06DDF">
        <w:rPr>
          <w:rFonts w:asciiTheme="majorHAnsi" w:hAnsiTheme="majorHAnsi"/>
          <w:sz w:val="20"/>
          <w:szCs w:val="20"/>
          <w:lang w:val="es-ES_tradnl"/>
        </w:rPr>
        <w:t xml:space="preserve"> inhabilitada la vía del amparo por no haberse </w:t>
      </w:r>
      <w:r w:rsidR="007010B4" w:rsidRPr="00E06DDF">
        <w:rPr>
          <w:rFonts w:asciiTheme="majorHAnsi" w:hAnsiTheme="majorHAnsi"/>
          <w:sz w:val="20"/>
          <w:szCs w:val="20"/>
          <w:lang w:val="es-ES_tradnl"/>
        </w:rPr>
        <w:t xml:space="preserve">agotado ni demostrado la ineficacia del canal </w:t>
      </w:r>
      <w:r w:rsidRPr="00E06DDF">
        <w:rPr>
          <w:rFonts w:asciiTheme="majorHAnsi" w:hAnsiTheme="majorHAnsi"/>
          <w:sz w:val="20"/>
          <w:szCs w:val="20"/>
          <w:lang w:val="es-ES_tradnl"/>
        </w:rPr>
        <w:t xml:space="preserve">corriente de impugnación (impugnación administrativa y acción anulatoria ante el Tribunal de lo Contencioso Administrativo). Esta decisión fue apelada por el Consorcio siendo la decisión confirmada el 3 de octubre de 2012 por el Tribunal de Apelaciones en lo Civil de </w:t>
      </w:r>
      <w:r w:rsidR="00861733" w:rsidRPr="00E06DDF">
        <w:rPr>
          <w:rFonts w:asciiTheme="majorHAnsi" w:hAnsiTheme="majorHAnsi"/>
          <w:sz w:val="20"/>
          <w:szCs w:val="20"/>
          <w:lang w:val="es-ES_tradnl"/>
        </w:rPr>
        <w:t xml:space="preserve">Cuarto Turno. </w:t>
      </w:r>
    </w:p>
    <w:p w14:paraId="2E3A4EB8" w14:textId="46A20461" w:rsidR="003E6B50" w:rsidRPr="00891834" w:rsidRDefault="000358E0"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La parte peticionaria</w:t>
      </w:r>
      <w:r w:rsidR="00B644C6" w:rsidRPr="00E06DDF">
        <w:rPr>
          <w:rFonts w:asciiTheme="majorHAnsi" w:hAnsiTheme="majorHAnsi"/>
          <w:sz w:val="20"/>
          <w:szCs w:val="20"/>
          <w:lang w:val="es-ES_tradnl"/>
        </w:rPr>
        <w:t xml:space="preserve"> argumenta que el rechazo de la acción de amparo, sin pronunciamiento sobre si el BCU vulneró derecho</w:t>
      </w:r>
      <w:r w:rsidR="008D1EA6" w:rsidRPr="00E06DDF">
        <w:rPr>
          <w:rFonts w:asciiTheme="majorHAnsi" w:hAnsiTheme="majorHAnsi"/>
          <w:sz w:val="20"/>
          <w:szCs w:val="20"/>
          <w:lang w:val="es-ES_tradnl"/>
        </w:rPr>
        <w:t>s</w:t>
      </w:r>
      <w:r w:rsidR="00B644C6" w:rsidRPr="00E06DDF">
        <w:rPr>
          <w:rFonts w:asciiTheme="majorHAnsi" w:hAnsiTheme="majorHAnsi"/>
          <w:sz w:val="20"/>
          <w:szCs w:val="20"/>
          <w:lang w:val="es-ES_tradnl"/>
        </w:rPr>
        <w:t xml:space="preserve"> humanos, demuestra que las presuntas víctimas no tuvieron acceso a un recurso efectivo. </w:t>
      </w:r>
      <w:r w:rsidRPr="00E06DDF">
        <w:rPr>
          <w:rFonts w:asciiTheme="majorHAnsi" w:hAnsiTheme="majorHAnsi"/>
          <w:sz w:val="20"/>
          <w:szCs w:val="20"/>
          <w:lang w:val="es-ES_tradnl"/>
        </w:rPr>
        <w:t>A esto agrega</w:t>
      </w:r>
      <w:r w:rsidR="00B644C6" w:rsidRPr="00E06DDF">
        <w:rPr>
          <w:rFonts w:asciiTheme="majorHAnsi" w:hAnsiTheme="majorHAnsi"/>
          <w:sz w:val="20"/>
          <w:szCs w:val="20"/>
          <w:lang w:val="es-ES_tradnl"/>
        </w:rPr>
        <w:t xml:space="preserve"> que la acción de amparo era el único recurso </w:t>
      </w:r>
      <w:r w:rsidR="000140E5" w:rsidRPr="00E06DDF">
        <w:rPr>
          <w:rFonts w:asciiTheme="majorHAnsi" w:hAnsiTheme="majorHAnsi"/>
          <w:sz w:val="20"/>
          <w:szCs w:val="20"/>
          <w:lang w:val="es-ES_tradnl"/>
        </w:rPr>
        <w:t>disponible</w:t>
      </w:r>
      <w:r w:rsidR="00B644C6" w:rsidRPr="00E06DDF">
        <w:rPr>
          <w:rFonts w:asciiTheme="majorHAnsi" w:hAnsiTheme="majorHAnsi"/>
          <w:sz w:val="20"/>
          <w:szCs w:val="20"/>
          <w:lang w:val="es-ES_tradnl"/>
        </w:rPr>
        <w:t xml:space="preserve"> para la protección expedita de derechos fundamentales y humanos; puesto que los otros canales jurisdiccionales para impugnar los actos en cuestión podían conllevar a un proceso de más de </w:t>
      </w:r>
      <w:r w:rsidR="008D1EA6" w:rsidRPr="00E06DDF">
        <w:rPr>
          <w:rFonts w:asciiTheme="majorHAnsi" w:hAnsiTheme="majorHAnsi"/>
          <w:sz w:val="20"/>
          <w:szCs w:val="20"/>
          <w:lang w:val="es-ES_tradnl"/>
        </w:rPr>
        <w:t>cinco</w:t>
      </w:r>
      <w:r w:rsidR="00B644C6" w:rsidRPr="00E06DDF">
        <w:rPr>
          <w:rFonts w:asciiTheme="majorHAnsi" w:hAnsiTheme="majorHAnsi"/>
          <w:sz w:val="20"/>
          <w:szCs w:val="20"/>
          <w:lang w:val="es-ES_tradnl"/>
        </w:rPr>
        <w:t xml:space="preserve"> años y no proveían un remedio adecuado y eficaz para dilucidar un asunto urgente como lo era </w:t>
      </w:r>
      <w:r w:rsidR="003E6B50" w:rsidRPr="00E06DDF">
        <w:rPr>
          <w:rFonts w:asciiTheme="majorHAnsi" w:hAnsiTheme="majorHAnsi"/>
          <w:sz w:val="20"/>
          <w:szCs w:val="20"/>
          <w:lang w:val="es-ES_tradnl"/>
        </w:rPr>
        <w:t xml:space="preserve">una situación vigente de censura radical. </w:t>
      </w:r>
    </w:p>
    <w:p w14:paraId="147AC23D" w14:textId="6140B30C" w:rsidR="00290330" w:rsidRPr="00891834" w:rsidRDefault="003E6B50"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Tras el rechazo definitivo de su acción de amparo el Consorcio presentó, sin éxito, impugnaciones administrativas contra los actos del BCU. Luego, peticionó judicialmente la nulidad del acto administrativo. </w:t>
      </w:r>
      <w:r w:rsidR="007B6E82" w:rsidRPr="00E06DDF">
        <w:rPr>
          <w:rFonts w:asciiTheme="majorHAnsi" w:hAnsiTheme="majorHAnsi"/>
          <w:sz w:val="20"/>
          <w:szCs w:val="20"/>
          <w:lang w:val="es-ES_tradnl"/>
        </w:rPr>
        <w:t>Finalmente, e</w:t>
      </w:r>
      <w:r w:rsidRPr="00E06DDF">
        <w:rPr>
          <w:rFonts w:asciiTheme="majorHAnsi" w:hAnsiTheme="majorHAnsi"/>
          <w:sz w:val="20"/>
          <w:szCs w:val="20"/>
          <w:lang w:val="es-ES_tradnl"/>
        </w:rPr>
        <w:t xml:space="preserve">l </w:t>
      </w:r>
      <w:r w:rsidR="00B927EA" w:rsidRPr="00E06DDF">
        <w:rPr>
          <w:rFonts w:asciiTheme="majorHAnsi" w:hAnsiTheme="majorHAnsi"/>
          <w:sz w:val="20"/>
          <w:szCs w:val="20"/>
          <w:lang w:val="es-ES_tradnl"/>
        </w:rPr>
        <w:t>1</w:t>
      </w:r>
      <w:r w:rsidRPr="00E06DDF">
        <w:rPr>
          <w:rFonts w:asciiTheme="majorHAnsi" w:hAnsiTheme="majorHAnsi"/>
          <w:sz w:val="20"/>
          <w:szCs w:val="20"/>
          <w:lang w:val="es-ES_tradnl"/>
        </w:rPr>
        <w:t xml:space="preserve"> de junio de 2017 el Tribunal de lo Contencioso Administrativo</w:t>
      </w:r>
      <w:r w:rsidR="00A75B5A" w:rsidRPr="00E06DDF">
        <w:rPr>
          <w:rFonts w:asciiTheme="majorHAnsi" w:hAnsiTheme="majorHAnsi"/>
          <w:sz w:val="20"/>
          <w:szCs w:val="20"/>
          <w:lang w:val="es-ES_tradnl"/>
        </w:rPr>
        <w:t xml:space="preserve"> (en adelante “el TCA”)</w:t>
      </w:r>
      <w:r w:rsidRPr="00E06DDF">
        <w:rPr>
          <w:rFonts w:asciiTheme="majorHAnsi" w:hAnsiTheme="majorHAnsi"/>
          <w:sz w:val="20"/>
          <w:szCs w:val="20"/>
          <w:lang w:val="es-ES_tradnl"/>
        </w:rPr>
        <w:t xml:space="preserve"> resolvió a favor del Consorcio</w:t>
      </w:r>
      <w:r w:rsidR="00B927EA"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decretando la nulidad del </w:t>
      </w:r>
      <w:r w:rsidR="00290330" w:rsidRPr="00E06DDF">
        <w:rPr>
          <w:rFonts w:asciiTheme="majorHAnsi" w:hAnsiTheme="majorHAnsi"/>
          <w:sz w:val="20"/>
          <w:szCs w:val="20"/>
          <w:lang w:val="es-ES_tradnl"/>
        </w:rPr>
        <w:t>acto.</w:t>
      </w:r>
    </w:p>
    <w:p w14:paraId="54D57398" w14:textId="736A6FDA" w:rsidR="00584FE8" w:rsidRPr="00891834" w:rsidRDefault="006F09C2"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L</w:t>
      </w:r>
      <w:r w:rsidR="003E6B50" w:rsidRPr="00E06DDF">
        <w:rPr>
          <w:rFonts w:asciiTheme="majorHAnsi" w:hAnsiTheme="majorHAnsi"/>
          <w:sz w:val="20"/>
          <w:szCs w:val="20"/>
          <w:lang w:val="es-ES_tradnl"/>
        </w:rPr>
        <w:t>a parte peticionaria</w:t>
      </w:r>
      <w:r w:rsidRPr="00E06DDF">
        <w:rPr>
          <w:rFonts w:asciiTheme="majorHAnsi" w:hAnsiTheme="majorHAnsi"/>
          <w:sz w:val="20"/>
          <w:szCs w:val="20"/>
          <w:lang w:val="es-ES_tradnl"/>
        </w:rPr>
        <w:t xml:space="preserve"> </w:t>
      </w:r>
      <w:r w:rsidR="001E6C78" w:rsidRPr="00E06DDF">
        <w:rPr>
          <w:rFonts w:asciiTheme="majorHAnsi" w:hAnsiTheme="majorHAnsi"/>
          <w:sz w:val="20"/>
          <w:szCs w:val="20"/>
          <w:lang w:val="es-ES_tradnl"/>
        </w:rPr>
        <w:t>considera</w:t>
      </w:r>
      <w:r w:rsidRPr="00E06DDF">
        <w:rPr>
          <w:rFonts w:asciiTheme="majorHAnsi" w:hAnsiTheme="majorHAnsi"/>
          <w:sz w:val="20"/>
          <w:szCs w:val="20"/>
          <w:lang w:val="es-ES_tradnl"/>
        </w:rPr>
        <w:t xml:space="preserve"> que la sentencia del TCA, aunque importante, </w:t>
      </w:r>
      <w:r w:rsidR="003E6B50" w:rsidRPr="00E06DDF">
        <w:rPr>
          <w:rFonts w:asciiTheme="majorHAnsi" w:hAnsiTheme="majorHAnsi"/>
          <w:sz w:val="20"/>
          <w:szCs w:val="20"/>
          <w:lang w:val="es-ES_tradnl"/>
        </w:rPr>
        <w:t xml:space="preserve">no satisface el reclamo de la petición ni agota </w:t>
      </w:r>
      <w:r w:rsidR="00F358C6" w:rsidRPr="00E06DDF">
        <w:rPr>
          <w:rFonts w:asciiTheme="majorHAnsi" w:hAnsiTheme="majorHAnsi"/>
          <w:sz w:val="20"/>
          <w:szCs w:val="20"/>
          <w:lang w:val="es-ES_tradnl"/>
        </w:rPr>
        <w:t>su</w:t>
      </w:r>
      <w:r w:rsidR="003E6B50" w:rsidRPr="00E06DDF">
        <w:rPr>
          <w:rFonts w:asciiTheme="majorHAnsi" w:hAnsiTheme="majorHAnsi"/>
          <w:sz w:val="20"/>
          <w:szCs w:val="20"/>
          <w:lang w:val="es-ES_tradnl"/>
        </w:rPr>
        <w:t xml:space="preserve"> objeto.</w:t>
      </w:r>
      <w:r w:rsidR="00141E09" w:rsidRPr="00E06DDF">
        <w:rPr>
          <w:rFonts w:asciiTheme="majorHAnsi" w:hAnsiTheme="majorHAnsi"/>
          <w:sz w:val="20"/>
          <w:szCs w:val="20"/>
          <w:lang w:val="es-ES_tradnl"/>
        </w:rPr>
        <w:t xml:space="preserve"> </w:t>
      </w:r>
      <w:r w:rsidR="009728E1" w:rsidRPr="00E06DDF">
        <w:rPr>
          <w:rFonts w:asciiTheme="majorHAnsi" w:hAnsiTheme="majorHAnsi"/>
          <w:sz w:val="20"/>
          <w:szCs w:val="20"/>
          <w:lang w:val="es-ES_tradnl"/>
        </w:rPr>
        <w:t xml:space="preserve">Aduce que </w:t>
      </w:r>
      <w:r w:rsidR="00A3579B">
        <w:rPr>
          <w:rFonts w:asciiTheme="majorHAnsi" w:hAnsiTheme="majorHAnsi"/>
          <w:sz w:val="20"/>
          <w:szCs w:val="20"/>
          <w:lang w:val="es-ES_tradnl"/>
        </w:rPr>
        <w:t>la sentencia</w:t>
      </w:r>
      <w:r w:rsidR="00141E09" w:rsidRPr="00E06DDF">
        <w:rPr>
          <w:rFonts w:asciiTheme="majorHAnsi" w:hAnsiTheme="majorHAnsi"/>
          <w:sz w:val="20"/>
          <w:szCs w:val="20"/>
          <w:lang w:val="es-ES_tradnl"/>
        </w:rPr>
        <w:t xml:space="preserve"> no constituye </w:t>
      </w:r>
      <w:r w:rsidR="009728E1" w:rsidRPr="00E06DDF">
        <w:rPr>
          <w:rFonts w:asciiTheme="majorHAnsi" w:hAnsiTheme="majorHAnsi"/>
          <w:sz w:val="20"/>
          <w:szCs w:val="20"/>
          <w:lang w:val="es-ES_tradnl"/>
        </w:rPr>
        <w:t xml:space="preserve">una </w:t>
      </w:r>
      <w:r w:rsidR="00141E09" w:rsidRPr="00E06DDF">
        <w:rPr>
          <w:rFonts w:asciiTheme="majorHAnsi" w:hAnsiTheme="majorHAnsi"/>
          <w:sz w:val="20"/>
          <w:szCs w:val="20"/>
          <w:lang w:val="es-ES_tradnl"/>
        </w:rPr>
        <w:t>reparación integral</w:t>
      </w:r>
      <w:r w:rsidR="009728E1" w:rsidRPr="00E06DDF">
        <w:rPr>
          <w:rFonts w:asciiTheme="majorHAnsi" w:hAnsiTheme="majorHAnsi"/>
          <w:sz w:val="20"/>
          <w:szCs w:val="20"/>
          <w:lang w:val="es-ES_tradnl"/>
        </w:rPr>
        <w:t>,</w:t>
      </w:r>
      <w:r w:rsidR="00141E09" w:rsidRPr="00E06DDF">
        <w:rPr>
          <w:rFonts w:asciiTheme="majorHAnsi" w:hAnsiTheme="majorHAnsi"/>
          <w:sz w:val="20"/>
          <w:szCs w:val="20"/>
          <w:lang w:val="es-ES_tradnl"/>
        </w:rPr>
        <w:t xml:space="preserve"> </w:t>
      </w:r>
      <w:r w:rsidR="00A3579B">
        <w:rPr>
          <w:rFonts w:asciiTheme="majorHAnsi" w:hAnsiTheme="majorHAnsi"/>
          <w:sz w:val="20"/>
          <w:szCs w:val="20"/>
          <w:lang w:val="es-ES_tradnl"/>
        </w:rPr>
        <w:t>entre otras razones, porque</w:t>
      </w:r>
      <w:r w:rsidR="00141E09" w:rsidRPr="00E06DDF">
        <w:rPr>
          <w:rFonts w:asciiTheme="majorHAnsi" w:hAnsiTheme="majorHAnsi"/>
          <w:sz w:val="20"/>
          <w:szCs w:val="20"/>
          <w:lang w:val="es-ES_tradnl"/>
        </w:rPr>
        <w:t xml:space="preserve"> las sentencias del TCA constituyen una simple declaración de nulidad abstracta y no fijan ningún tipo de reparación para l</w:t>
      </w:r>
      <w:r w:rsidR="00C4280F" w:rsidRPr="00E06DDF">
        <w:rPr>
          <w:rFonts w:asciiTheme="majorHAnsi" w:hAnsiTheme="majorHAnsi"/>
          <w:sz w:val="20"/>
          <w:szCs w:val="20"/>
          <w:lang w:val="es-ES_tradnl"/>
        </w:rPr>
        <w:t>o</w:t>
      </w:r>
      <w:r w:rsidR="00141E09" w:rsidRPr="00E06DDF">
        <w:rPr>
          <w:rFonts w:asciiTheme="majorHAnsi" w:hAnsiTheme="majorHAnsi"/>
          <w:sz w:val="20"/>
          <w:szCs w:val="20"/>
          <w:lang w:val="es-ES_tradnl"/>
        </w:rPr>
        <w:t>s afect</w:t>
      </w:r>
      <w:r w:rsidR="008E65DA" w:rsidRPr="00E06DDF">
        <w:rPr>
          <w:rFonts w:asciiTheme="majorHAnsi" w:hAnsiTheme="majorHAnsi"/>
          <w:sz w:val="20"/>
          <w:szCs w:val="20"/>
          <w:lang w:val="es-ES_tradnl"/>
        </w:rPr>
        <w:t>ad</w:t>
      </w:r>
      <w:r w:rsidR="00C4280F" w:rsidRPr="00E06DDF">
        <w:rPr>
          <w:rFonts w:asciiTheme="majorHAnsi" w:hAnsiTheme="majorHAnsi"/>
          <w:sz w:val="20"/>
          <w:szCs w:val="20"/>
          <w:lang w:val="es-ES_tradnl"/>
        </w:rPr>
        <w:t>o</w:t>
      </w:r>
      <w:r w:rsidR="008E65DA" w:rsidRPr="00E06DDF">
        <w:rPr>
          <w:rFonts w:asciiTheme="majorHAnsi" w:hAnsiTheme="majorHAnsi"/>
          <w:sz w:val="20"/>
          <w:szCs w:val="20"/>
          <w:lang w:val="es-ES_tradnl"/>
        </w:rPr>
        <w:t>s por el acto anulado</w:t>
      </w:r>
      <w:r w:rsidR="00A75C79" w:rsidRPr="00E06DDF">
        <w:rPr>
          <w:rFonts w:asciiTheme="majorHAnsi" w:hAnsiTheme="majorHAnsi"/>
          <w:sz w:val="20"/>
          <w:szCs w:val="20"/>
          <w:lang w:val="es-ES_tradnl"/>
        </w:rPr>
        <w:t xml:space="preserve">. </w:t>
      </w:r>
      <w:r w:rsidR="000E69C6" w:rsidRPr="00E06DDF">
        <w:rPr>
          <w:rFonts w:asciiTheme="majorHAnsi" w:hAnsiTheme="majorHAnsi"/>
          <w:sz w:val="20"/>
          <w:szCs w:val="20"/>
          <w:lang w:val="es-ES_tradnl"/>
        </w:rPr>
        <w:t xml:space="preserve">Por tanto, </w:t>
      </w:r>
      <w:r w:rsidR="00A75B5A" w:rsidRPr="00E06DDF">
        <w:rPr>
          <w:rFonts w:asciiTheme="majorHAnsi" w:hAnsiTheme="majorHAnsi"/>
          <w:sz w:val="20"/>
          <w:szCs w:val="20"/>
          <w:lang w:val="es-ES_tradnl"/>
        </w:rPr>
        <w:t>el único camino que quedaría al Consorcio sería solicitar la reparación patrimonial en un proceso judicial aparte</w:t>
      </w:r>
      <w:r w:rsidR="000E69C6" w:rsidRPr="00E06DDF">
        <w:rPr>
          <w:rFonts w:asciiTheme="majorHAnsi" w:hAnsiTheme="majorHAnsi"/>
          <w:sz w:val="20"/>
          <w:szCs w:val="20"/>
          <w:lang w:val="es-ES_tradnl"/>
        </w:rPr>
        <w:t xml:space="preserve">. </w:t>
      </w:r>
      <w:r w:rsidR="00D531B3" w:rsidRPr="00E06DDF">
        <w:rPr>
          <w:rFonts w:asciiTheme="majorHAnsi" w:hAnsiTheme="majorHAnsi"/>
          <w:sz w:val="20"/>
          <w:szCs w:val="20"/>
          <w:lang w:val="es-ES_tradnl"/>
        </w:rPr>
        <w:t xml:space="preserve">Además, indica que no existía a nivel doméstico ningún recurso que pudiera haber sido agotado por las personas naturales afectadas por los actos del BCU, viéndose estas obligadas a interponer los recursos internos a través del Consorcio. </w:t>
      </w:r>
      <w:r w:rsidR="00290330" w:rsidRPr="00E06DDF">
        <w:rPr>
          <w:rFonts w:asciiTheme="majorHAnsi" w:hAnsiTheme="majorHAnsi"/>
          <w:sz w:val="20"/>
          <w:szCs w:val="20"/>
          <w:lang w:val="es-ES_tradnl"/>
        </w:rPr>
        <w:t>En este sentido indica que las personas naturales “</w:t>
      </w:r>
      <w:r w:rsidR="00290330" w:rsidRPr="00E06DDF">
        <w:rPr>
          <w:rFonts w:asciiTheme="majorHAnsi" w:hAnsiTheme="majorHAnsi"/>
          <w:i/>
          <w:iCs/>
          <w:sz w:val="20"/>
          <w:szCs w:val="20"/>
          <w:lang w:val="es-ES_tradnl"/>
        </w:rPr>
        <w:t>no podían invocar un interés legítimo o derecho personal agraviado por la censura del BCU, más allá de que fueran sus destinatarios últimos. De modo que no puede exigírseles que hubieren acudido a esos recursos administrativos y judiciales, ya que el ordenamiento interno les impide el acceso a los mismos</w:t>
      </w:r>
      <w:r w:rsidR="00290330" w:rsidRPr="00E06DDF">
        <w:rPr>
          <w:rFonts w:asciiTheme="majorHAnsi" w:hAnsiTheme="majorHAnsi"/>
          <w:sz w:val="20"/>
          <w:szCs w:val="20"/>
          <w:lang w:val="es-ES_tradnl"/>
        </w:rPr>
        <w:t>”.</w:t>
      </w:r>
    </w:p>
    <w:p w14:paraId="7628401E" w14:textId="51DE922F" w:rsidR="007B66AF" w:rsidRPr="00891834" w:rsidRDefault="00953AA9" w:rsidP="00891834">
      <w:pPr>
        <w:pStyle w:val="ListParagraph"/>
        <w:spacing w:before="240" w:after="240"/>
        <w:ind w:left="810"/>
        <w:jc w:val="both"/>
        <w:rPr>
          <w:rFonts w:asciiTheme="majorHAnsi" w:hAnsiTheme="majorHAnsi"/>
          <w:i/>
          <w:iCs/>
          <w:sz w:val="20"/>
          <w:szCs w:val="20"/>
          <w:lang w:val="es-ES_tradnl"/>
        </w:rPr>
      </w:pPr>
      <w:r w:rsidRPr="00E06DDF">
        <w:rPr>
          <w:rFonts w:asciiTheme="majorHAnsi" w:hAnsiTheme="majorHAnsi"/>
          <w:i/>
          <w:iCs/>
          <w:sz w:val="20"/>
          <w:szCs w:val="20"/>
          <w:lang w:val="es-ES_tradnl"/>
        </w:rPr>
        <w:t>Posición del Estado uruguayo</w:t>
      </w:r>
    </w:p>
    <w:p w14:paraId="78237966" w14:textId="0C64DC9C" w:rsidR="00D531B3" w:rsidRPr="00891834" w:rsidRDefault="007B66AF"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El Estado, por su parte, considera que la petición debe ser inadmitida p</w:t>
      </w:r>
      <w:r w:rsidR="00D531B3" w:rsidRPr="00E06DDF">
        <w:rPr>
          <w:rFonts w:asciiTheme="majorHAnsi" w:hAnsiTheme="majorHAnsi"/>
          <w:sz w:val="20"/>
          <w:szCs w:val="20"/>
          <w:lang w:val="es-ES_tradnl"/>
        </w:rPr>
        <w:t>or referirse a derechos de una persona jurídica</w:t>
      </w:r>
      <w:r w:rsidR="00046280" w:rsidRPr="00E06DDF">
        <w:rPr>
          <w:rFonts w:asciiTheme="majorHAnsi" w:hAnsiTheme="majorHAnsi"/>
          <w:sz w:val="20"/>
          <w:szCs w:val="20"/>
          <w:lang w:val="es-ES_tradnl"/>
        </w:rPr>
        <w:t>;</w:t>
      </w:r>
      <w:r w:rsidR="00D531B3" w:rsidRPr="00E06DDF">
        <w:rPr>
          <w:rFonts w:asciiTheme="majorHAnsi" w:hAnsiTheme="majorHAnsi"/>
          <w:sz w:val="20"/>
          <w:szCs w:val="20"/>
          <w:lang w:val="es-ES_tradnl"/>
        </w:rPr>
        <w:t xml:space="preserve"> porque</w:t>
      </w:r>
      <w:r w:rsidRPr="00E06DDF">
        <w:rPr>
          <w:rFonts w:asciiTheme="majorHAnsi" w:hAnsiTheme="majorHAnsi"/>
          <w:sz w:val="20"/>
          <w:szCs w:val="20"/>
          <w:lang w:val="es-ES_tradnl"/>
        </w:rPr>
        <w:t xml:space="preserve"> fue presentada sin que se hubiesen agotado los recursos de la jurisdicción interna</w:t>
      </w:r>
      <w:r w:rsidR="00046280" w:rsidRPr="00E06DDF">
        <w:rPr>
          <w:rFonts w:asciiTheme="majorHAnsi" w:hAnsiTheme="majorHAnsi"/>
          <w:sz w:val="20"/>
          <w:szCs w:val="20"/>
          <w:lang w:val="es-ES_tradnl"/>
        </w:rPr>
        <w:t>;</w:t>
      </w:r>
      <w:r w:rsidR="00D531B3" w:rsidRPr="00E06DDF">
        <w:rPr>
          <w:rFonts w:asciiTheme="majorHAnsi" w:hAnsiTheme="majorHAnsi"/>
          <w:sz w:val="20"/>
          <w:szCs w:val="20"/>
          <w:lang w:val="es-ES_tradnl"/>
        </w:rPr>
        <w:t xml:space="preserve"> y </w:t>
      </w:r>
      <w:r w:rsidRPr="00E06DDF">
        <w:rPr>
          <w:rFonts w:asciiTheme="majorHAnsi" w:hAnsiTheme="majorHAnsi"/>
          <w:sz w:val="20"/>
          <w:szCs w:val="20"/>
          <w:lang w:val="es-ES_tradnl"/>
        </w:rPr>
        <w:t>porque esta perdió su objeto a raíz de hechos posteriores al escrito inicial de la parte peticionaria</w:t>
      </w:r>
      <w:r w:rsidR="0005407A">
        <w:rPr>
          <w:rFonts w:asciiTheme="majorHAnsi" w:hAnsiTheme="majorHAnsi"/>
          <w:sz w:val="20"/>
          <w:szCs w:val="20"/>
          <w:lang w:val="es-ES_tradnl"/>
        </w:rPr>
        <w:t>.</w:t>
      </w:r>
    </w:p>
    <w:p w14:paraId="3E716347" w14:textId="63504ED2" w:rsidR="00134469" w:rsidRPr="00891834" w:rsidRDefault="001D4F39"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Uruguay plantea que</w:t>
      </w:r>
      <w:r w:rsidR="00D531B3" w:rsidRPr="00E06DDF">
        <w:rPr>
          <w:rFonts w:asciiTheme="majorHAnsi" w:hAnsiTheme="majorHAnsi"/>
          <w:sz w:val="20"/>
          <w:szCs w:val="20"/>
          <w:lang w:val="es-ES_tradnl"/>
        </w:rPr>
        <w:t xml:space="preserve"> la petición tiene relación directa con actuaciones del BCU respecto a una persona jurídica supervisada por </w:t>
      </w:r>
      <w:r w:rsidR="000358E0" w:rsidRPr="00E06DDF">
        <w:rPr>
          <w:rFonts w:asciiTheme="majorHAnsi" w:hAnsiTheme="majorHAnsi"/>
          <w:sz w:val="20"/>
          <w:szCs w:val="20"/>
          <w:lang w:val="es-ES_tradnl"/>
        </w:rPr>
        <w:t>é</w:t>
      </w:r>
      <w:r w:rsidR="00D531B3" w:rsidRPr="00E06DDF">
        <w:rPr>
          <w:rFonts w:asciiTheme="majorHAnsi" w:hAnsiTheme="majorHAnsi"/>
          <w:sz w:val="20"/>
          <w:szCs w:val="20"/>
          <w:lang w:val="es-ES_tradnl"/>
        </w:rPr>
        <w:t xml:space="preserve">ste; presentándose las personas naturales referidas como víctimas en la petición como “representantes y titulares” de esa persona jurídica. Por lo tanto, la petición sería inadmisible conforme a la jurisprudencia de la Corte Interamericana según la cual la Convención Americana solo consagra derechos a favor de personas </w:t>
      </w:r>
      <w:r w:rsidR="00904406" w:rsidRPr="00E06DDF">
        <w:rPr>
          <w:rFonts w:asciiTheme="majorHAnsi" w:hAnsiTheme="majorHAnsi"/>
          <w:sz w:val="20"/>
          <w:szCs w:val="20"/>
          <w:lang w:val="es-ES_tradnl"/>
        </w:rPr>
        <w:t xml:space="preserve">naturales y no </w:t>
      </w:r>
      <w:r w:rsidR="00D531B3" w:rsidRPr="00E06DDF">
        <w:rPr>
          <w:rFonts w:asciiTheme="majorHAnsi" w:hAnsiTheme="majorHAnsi"/>
          <w:sz w:val="20"/>
          <w:szCs w:val="20"/>
          <w:lang w:val="es-ES_tradnl"/>
        </w:rPr>
        <w:t>jurídicas</w:t>
      </w:r>
      <w:r w:rsidR="00904406" w:rsidRPr="00E06DDF">
        <w:rPr>
          <w:rFonts w:asciiTheme="majorHAnsi" w:hAnsiTheme="majorHAnsi"/>
          <w:sz w:val="20"/>
          <w:szCs w:val="20"/>
          <w:lang w:val="es-ES_tradnl"/>
        </w:rPr>
        <w:t>.</w:t>
      </w:r>
      <w:r w:rsidR="00D531B3" w:rsidRPr="00E06DDF">
        <w:rPr>
          <w:rFonts w:asciiTheme="majorHAnsi" w:hAnsiTheme="majorHAnsi"/>
          <w:sz w:val="20"/>
          <w:szCs w:val="20"/>
          <w:lang w:val="es-ES_tradnl"/>
        </w:rPr>
        <w:t xml:space="preserve"> </w:t>
      </w:r>
      <w:r w:rsidR="00F81D3A" w:rsidRPr="00E06DDF">
        <w:rPr>
          <w:rFonts w:asciiTheme="majorHAnsi" w:hAnsiTheme="majorHAnsi"/>
          <w:sz w:val="20"/>
          <w:szCs w:val="20"/>
          <w:lang w:val="es-ES_tradnl"/>
        </w:rPr>
        <w:t>En este sentido</w:t>
      </w:r>
      <w:r w:rsidR="00904406" w:rsidRPr="00E06DDF">
        <w:rPr>
          <w:rFonts w:asciiTheme="majorHAnsi" w:hAnsiTheme="majorHAnsi"/>
          <w:sz w:val="20"/>
          <w:szCs w:val="20"/>
          <w:lang w:val="es-ES_tradnl"/>
        </w:rPr>
        <w:t>,</w:t>
      </w:r>
      <w:r w:rsidR="00F81D3A" w:rsidRPr="00E06DDF">
        <w:rPr>
          <w:rFonts w:asciiTheme="majorHAnsi" w:hAnsiTheme="majorHAnsi"/>
          <w:sz w:val="20"/>
          <w:szCs w:val="20"/>
          <w:lang w:val="es-ES_tradnl"/>
        </w:rPr>
        <w:t xml:space="preserve"> destaca </w:t>
      </w:r>
      <w:r w:rsidR="00FA7402" w:rsidRPr="00E06DDF">
        <w:rPr>
          <w:rFonts w:asciiTheme="majorHAnsi" w:hAnsiTheme="majorHAnsi"/>
          <w:sz w:val="20"/>
          <w:szCs w:val="20"/>
          <w:lang w:val="es-ES_tradnl"/>
        </w:rPr>
        <w:t xml:space="preserve">que </w:t>
      </w:r>
      <w:r w:rsidR="00F81D3A" w:rsidRPr="00E06DDF">
        <w:rPr>
          <w:rFonts w:asciiTheme="majorHAnsi" w:hAnsiTheme="majorHAnsi"/>
          <w:sz w:val="20"/>
          <w:szCs w:val="20"/>
          <w:lang w:val="es-ES_tradnl"/>
        </w:rPr>
        <w:t xml:space="preserve">ninguna de las personas </w:t>
      </w:r>
      <w:r w:rsidR="00FA7402" w:rsidRPr="00E06DDF">
        <w:rPr>
          <w:rFonts w:asciiTheme="majorHAnsi" w:hAnsiTheme="majorHAnsi"/>
          <w:sz w:val="20"/>
          <w:szCs w:val="20"/>
          <w:lang w:val="es-ES_tradnl"/>
        </w:rPr>
        <w:t>naturales o físicas</w:t>
      </w:r>
      <w:r w:rsidR="00F81D3A" w:rsidRPr="00E06DDF">
        <w:rPr>
          <w:rFonts w:asciiTheme="majorHAnsi" w:hAnsiTheme="majorHAnsi"/>
          <w:sz w:val="20"/>
          <w:szCs w:val="20"/>
          <w:lang w:val="es-ES_tradnl"/>
        </w:rPr>
        <w:t xml:space="preserve"> que se presentan como presuntas víctimas han presentado demanda o reclamo alguno en el ámbito interno por los hechos planteados en la petición.</w:t>
      </w:r>
    </w:p>
    <w:p w14:paraId="14AD8C66" w14:textId="141B9A95" w:rsidR="00860107" w:rsidRPr="00891834" w:rsidRDefault="001D0F63"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lastRenderedPageBreak/>
        <w:t xml:space="preserve">También </w:t>
      </w:r>
      <w:r w:rsidR="007879C8" w:rsidRPr="00E06DDF">
        <w:rPr>
          <w:rFonts w:asciiTheme="majorHAnsi" w:hAnsiTheme="majorHAnsi"/>
          <w:sz w:val="20"/>
          <w:szCs w:val="20"/>
          <w:lang w:val="es-ES_tradnl"/>
        </w:rPr>
        <w:t>indica</w:t>
      </w:r>
      <w:r w:rsidRPr="00E06DDF">
        <w:rPr>
          <w:rFonts w:asciiTheme="majorHAnsi" w:hAnsiTheme="majorHAnsi"/>
          <w:sz w:val="20"/>
          <w:szCs w:val="20"/>
          <w:lang w:val="es-ES_tradnl"/>
        </w:rPr>
        <w:t xml:space="preserve"> el Estado</w:t>
      </w:r>
      <w:r w:rsidR="007879C8" w:rsidRPr="00E06DDF">
        <w:rPr>
          <w:rFonts w:asciiTheme="majorHAnsi" w:hAnsiTheme="majorHAnsi"/>
          <w:sz w:val="20"/>
          <w:szCs w:val="20"/>
          <w:lang w:val="es-ES_tradnl"/>
        </w:rPr>
        <w:t xml:space="preserve"> que</w:t>
      </w:r>
      <w:r w:rsidR="002C259B" w:rsidRPr="00E06DDF">
        <w:rPr>
          <w:rFonts w:asciiTheme="majorHAnsi" w:hAnsiTheme="majorHAnsi"/>
          <w:sz w:val="20"/>
          <w:szCs w:val="20"/>
          <w:lang w:val="es-ES_tradnl"/>
        </w:rPr>
        <w:t xml:space="preserve"> las pretensiones de la parte peticionaria fueron </w:t>
      </w:r>
      <w:r w:rsidR="00B76C35" w:rsidRPr="00E06DDF">
        <w:rPr>
          <w:rFonts w:asciiTheme="majorHAnsi" w:hAnsiTheme="majorHAnsi"/>
          <w:sz w:val="20"/>
          <w:szCs w:val="20"/>
          <w:lang w:val="es-ES_tradnl"/>
        </w:rPr>
        <w:t xml:space="preserve">en definitiva </w:t>
      </w:r>
      <w:r w:rsidR="002C259B" w:rsidRPr="00E06DDF">
        <w:rPr>
          <w:rFonts w:asciiTheme="majorHAnsi" w:hAnsiTheme="majorHAnsi"/>
          <w:sz w:val="20"/>
          <w:szCs w:val="20"/>
          <w:lang w:val="es-ES_tradnl"/>
        </w:rPr>
        <w:t xml:space="preserve">resueltas en sentido favorable a sus intereses luego de que el TCA emitiera </w:t>
      </w:r>
      <w:r w:rsidR="00134469" w:rsidRPr="00E06DDF">
        <w:rPr>
          <w:rFonts w:asciiTheme="majorHAnsi" w:hAnsiTheme="majorHAnsi"/>
          <w:sz w:val="20"/>
          <w:szCs w:val="20"/>
          <w:lang w:val="es-ES_tradnl"/>
        </w:rPr>
        <w:t xml:space="preserve">una sentencia a favor del Consorcio. </w:t>
      </w:r>
      <w:r w:rsidR="00860107" w:rsidRPr="00E06DDF">
        <w:rPr>
          <w:rFonts w:asciiTheme="majorHAnsi" w:hAnsiTheme="majorHAnsi"/>
          <w:sz w:val="20"/>
          <w:szCs w:val="20"/>
          <w:lang w:val="es-ES_tradnl"/>
        </w:rPr>
        <w:t>El Estado aporta</w:t>
      </w:r>
      <w:r w:rsidR="00134469" w:rsidRPr="00E06DDF">
        <w:rPr>
          <w:rFonts w:asciiTheme="majorHAnsi" w:hAnsiTheme="majorHAnsi"/>
          <w:sz w:val="20"/>
          <w:szCs w:val="20"/>
          <w:lang w:val="es-ES_tradnl"/>
        </w:rPr>
        <w:t xml:space="preserve"> copia de la sentencia en la que se observa que el TCA concluyó que</w:t>
      </w:r>
      <w:r w:rsidR="006E0A3E" w:rsidRPr="00E06DDF">
        <w:rPr>
          <w:rFonts w:asciiTheme="majorHAnsi" w:hAnsiTheme="majorHAnsi"/>
          <w:sz w:val="20"/>
          <w:szCs w:val="20"/>
          <w:lang w:val="es-ES_tradnl"/>
        </w:rPr>
        <w:t>:</w:t>
      </w:r>
      <w:r w:rsidR="00134469" w:rsidRPr="00E06DDF">
        <w:rPr>
          <w:rFonts w:asciiTheme="majorHAnsi" w:hAnsiTheme="majorHAnsi"/>
          <w:sz w:val="20"/>
          <w:szCs w:val="20"/>
          <w:lang w:val="es-ES_tradnl"/>
        </w:rPr>
        <w:t xml:space="preserve"> </w:t>
      </w:r>
    </w:p>
    <w:p w14:paraId="2D3EE2E6" w14:textId="7B5C2065" w:rsidR="00290330" w:rsidRPr="00E06DDF" w:rsidRDefault="00290330" w:rsidP="00891834">
      <w:pPr>
        <w:autoSpaceDE w:val="0"/>
        <w:autoSpaceDN w:val="0"/>
        <w:spacing w:before="240" w:after="240"/>
        <w:ind w:left="720" w:right="720"/>
        <w:jc w:val="both"/>
        <w:rPr>
          <w:rFonts w:asciiTheme="majorHAnsi" w:hAnsiTheme="majorHAnsi"/>
          <w:sz w:val="20"/>
          <w:szCs w:val="20"/>
          <w:lang w:val="es-ES_tradnl"/>
        </w:rPr>
      </w:pPr>
      <w:r w:rsidRPr="00E06DDF">
        <w:rPr>
          <w:rFonts w:asciiTheme="majorHAnsi" w:hAnsiTheme="majorHAnsi"/>
          <w:sz w:val="20"/>
          <w:szCs w:val="20"/>
          <w:lang w:val="es-ES_tradnl"/>
        </w:rPr>
        <w:t xml:space="preserve">No resulta de recibo el supuesto sobre el que reposan las decisiones adoptadas, esto es, que las potestades otorgadas al BCU supongan conferirle facultades para recortar o ponerle límites a derechos constitucionalmente protegidos, ya sea que se entienda que lo que se afecta es la libertad de empresa y no la de expresión del pensamiento. </w:t>
      </w:r>
      <w:r w:rsidR="00180E65" w:rsidRPr="00E06DDF">
        <w:rPr>
          <w:rFonts w:asciiTheme="majorHAnsi" w:hAnsiTheme="majorHAnsi"/>
          <w:sz w:val="20"/>
          <w:szCs w:val="20"/>
          <w:lang w:val="es-ES_tradnl"/>
        </w:rPr>
        <w:t>[</w:t>
      </w:r>
      <w:r w:rsidRPr="00E06DDF">
        <w:rPr>
          <w:rFonts w:asciiTheme="majorHAnsi" w:hAnsiTheme="majorHAnsi"/>
          <w:sz w:val="20"/>
          <w:szCs w:val="20"/>
          <w:lang w:val="es-ES_tradnl"/>
        </w:rPr>
        <w:t>…</w:t>
      </w:r>
      <w:r w:rsidR="00180E65" w:rsidRPr="00E06DDF">
        <w:rPr>
          <w:rFonts w:asciiTheme="majorHAnsi" w:hAnsiTheme="majorHAnsi"/>
          <w:sz w:val="20"/>
          <w:szCs w:val="20"/>
          <w:lang w:val="es-ES_tradnl"/>
        </w:rPr>
        <w:t>]</w:t>
      </w:r>
    </w:p>
    <w:p w14:paraId="0EDCFDC9" w14:textId="6F3FDBFB" w:rsidR="00290330" w:rsidRPr="00E06DDF" w:rsidRDefault="00290330" w:rsidP="00891834">
      <w:pPr>
        <w:autoSpaceDE w:val="0"/>
        <w:autoSpaceDN w:val="0"/>
        <w:spacing w:before="240" w:after="240"/>
        <w:ind w:left="720" w:right="720"/>
        <w:jc w:val="both"/>
        <w:rPr>
          <w:rFonts w:asciiTheme="majorHAnsi" w:hAnsiTheme="majorHAnsi"/>
          <w:sz w:val="20"/>
          <w:szCs w:val="20"/>
          <w:lang w:val="es-ES_tradnl"/>
        </w:rPr>
      </w:pPr>
      <w:r w:rsidRPr="00E06DDF">
        <w:rPr>
          <w:rFonts w:asciiTheme="majorHAnsi" w:hAnsiTheme="majorHAnsi"/>
          <w:sz w:val="20"/>
          <w:szCs w:val="20"/>
          <w:lang w:val="es-ES_tradnl"/>
        </w:rPr>
        <w:t>En segundo lugar, directamente relacionado con lo anterior y sin perjuicio de lo dicho, las restricciones impuestas por la ley, sobre los derechos constitucionalmente reconocidos se deben interpretar de forma restrictiva, sobre todo cuando su ejercicio está directamente relacionado con el funcionamiento del modelo de sociedad democrática que la Carta consagra.</w:t>
      </w:r>
    </w:p>
    <w:p w14:paraId="7F5557E3" w14:textId="11DC9BC0" w:rsidR="00290330" w:rsidRPr="00E06DDF" w:rsidRDefault="00290330" w:rsidP="00891834">
      <w:pPr>
        <w:autoSpaceDE w:val="0"/>
        <w:autoSpaceDN w:val="0"/>
        <w:spacing w:before="240" w:after="240"/>
        <w:ind w:left="720" w:right="720"/>
        <w:jc w:val="both"/>
        <w:rPr>
          <w:rFonts w:asciiTheme="majorHAnsi" w:hAnsiTheme="majorHAnsi"/>
          <w:sz w:val="20"/>
          <w:szCs w:val="20"/>
          <w:lang w:val="es-ES_tradnl"/>
        </w:rPr>
      </w:pPr>
      <w:r w:rsidRPr="00E06DDF">
        <w:rPr>
          <w:rFonts w:asciiTheme="majorHAnsi" w:hAnsiTheme="majorHAnsi"/>
          <w:sz w:val="20"/>
          <w:szCs w:val="20"/>
          <w:lang w:val="es-ES_tradnl"/>
        </w:rPr>
        <w:t>Y, en este sentido, el temperamento adoptado por el Ente regulador ha sido, aparentemente, el inverso, y, por la vía de la instrucción, se ha atribuido facultades limitativas de derechos fundamentales en franco desconocimiento del alcance de la atribución del legislador y, en definitiva, de los expresos límites sobre los que aquél delimitó el ámbito de acción del Banco Central</w:t>
      </w:r>
      <w:r w:rsidR="00180E65"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w:t>
      </w:r>
      <w:r w:rsidR="00180E65" w:rsidRPr="00E06DDF">
        <w:rPr>
          <w:rFonts w:asciiTheme="majorHAnsi" w:hAnsiTheme="majorHAnsi"/>
          <w:sz w:val="20"/>
          <w:szCs w:val="20"/>
          <w:lang w:val="es-ES_tradnl"/>
        </w:rPr>
        <w:t>[</w:t>
      </w:r>
      <w:r w:rsidRPr="00E06DDF">
        <w:rPr>
          <w:rFonts w:asciiTheme="majorHAnsi" w:hAnsiTheme="majorHAnsi"/>
          <w:sz w:val="20"/>
          <w:szCs w:val="20"/>
          <w:lang w:val="es-ES_tradnl"/>
        </w:rPr>
        <w:t>…</w:t>
      </w:r>
      <w:r w:rsidR="00180E65" w:rsidRPr="00E06DDF">
        <w:rPr>
          <w:rFonts w:asciiTheme="majorHAnsi" w:hAnsiTheme="majorHAnsi"/>
          <w:sz w:val="20"/>
          <w:szCs w:val="20"/>
          <w:lang w:val="es-ES_tradnl"/>
        </w:rPr>
        <w:t>]</w:t>
      </w:r>
    </w:p>
    <w:p w14:paraId="0DABEC43" w14:textId="51263F8C" w:rsidR="00860107" w:rsidRPr="00891834" w:rsidRDefault="00134469" w:rsidP="00891834">
      <w:pPr>
        <w:spacing w:before="240" w:after="240"/>
        <w:ind w:left="720" w:right="720"/>
        <w:jc w:val="both"/>
        <w:rPr>
          <w:rFonts w:asciiTheme="majorHAnsi" w:hAnsiTheme="majorHAnsi" w:cs="Cambria"/>
          <w:sz w:val="20"/>
          <w:szCs w:val="20"/>
          <w:lang w:val="es-ES_tradnl"/>
        </w:rPr>
      </w:pPr>
      <w:r w:rsidRPr="00E06DDF">
        <w:rPr>
          <w:rFonts w:asciiTheme="majorHAnsi" w:hAnsiTheme="majorHAnsi" w:cs="TimesNewRoman"/>
          <w:sz w:val="20"/>
          <w:szCs w:val="20"/>
          <w:lang w:val="es-ES_tradnl"/>
        </w:rPr>
        <w:t>Ninguna de las normas mencionadas por la parte demandada, ya sea en los actos recurridos y al contestar la demanda, le confiere competencia para restringir derechos cuya limitación compete exclusivamente a las leyes dictadas por razones de interés general</w:t>
      </w:r>
      <w:r w:rsidR="00180E65" w:rsidRPr="00E06DDF">
        <w:rPr>
          <w:rFonts w:asciiTheme="majorHAnsi" w:hAnsiTheme="majorHAnsi" w:cs="TimesNewRoman"/>
          <w:sz w:val="20"/>
          <w:szCs w:val="20"/>
          <w:lang w:val="es-ES_tradnl"/>
        </w:rPr>
        <w:t>.</w:t>
      </w:r>
      <w:r w:rsidR="000823F2" w:rsidRPr="00E06DDF">
        <w:rPr>
          <w:rFonts w:asciiTheme="majorHAnsi" w:hAnsiTheme="majorHAnsi" w:cs="TimesNewRoman"/>
          <w:sz w:val="20"/>
          <w:szCs w:val="20"/>
          <w:lang w:val="es-ES_tradnl"/>
        </w:rPr>
        <w:t xml:space="preserve"> </w:t>
      </w:r>
      <w:r w:rsidR="00180E65" w:rsidRPr="00E06DDF">
        <w:rPr>
          <w:rFonts w:asciiTheme="majorHAnsi" w:hAnsiTheme="majorHAnsi" w:cs="TimesNewRoman"/>
          <w:sz w:val="20"/>
          <w:szCs w:val="20"/>
          <w:lang w:val="es-ES_tradnl"/>
        </w:rPr>
        <w:t>[</w:t>
      </w:r>
      <w:r w:rsidR="000823F2" w:rsidRPr="00E06DDF">
        <w:rPr>
          <w:rFonts w:asciiTheme="majorHAnsi" w:hAnsiTheme="majorHAnsi" w:cs="TimesNewRoman"/>
          <w:sz w:val="20"/>
          <w:szCs w:val="20"/>
          <w:lang w:val="es-ES_tradnl"/>
        </w:rPr>
        <w:t>…</w:t>
      </w:r>
      <w:r w:rsidR="00180E65" w:rsidRPr="00E06DDF">
        <w:rPr>
          <w:rFonts w:asciiTheme="majorHAnsi" w:hAnsiTheme="majorHAnsi" w:cs="TimesNewRoman"/>
          <w:sz w:val="20"/>
          <w:szCs w:val="20"/>
          <w:lang w:val="es-ES_tradnl"/>
        </w:rPr>
        <w:t>]</w:t>
      </w:r>
    </w:p>
    <w:p w14:paraId="1E7C46EA" w14:textId="41A2E6CF" w:rsidR="001D0F63" w:rsidRPr="00891834" w:rsidRDefault="002C259B"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El Estado considera que </w:t>
      </w:r>
      <w:r w:rsidR="00860107" w:rsidRPr="00E06DDF">
        <w:rPr>
          <w:rFonts w:asciiTheme="majorHAnsi" w:hAnsiTheme="majorHAnsi"/>
          <w:sz w:val="20"/>
          <w:szCs w:val="20"/>
          <w:lang w:val="es-ES_tradnl"/>
        </w:rPr>
        <w:t>la decisión citada</w:t>
      </w:r>
      <w:r w:rsidRPr="00E06DDF">
        <w:rPr>
          <w:rFonts w:asciiTheme="majorHAnsi" w:hAnsiTheme="majorHAnsi"/>
          <w:sz w:val="20"/>
          <w:szCs w:val="20"/>
          <w:lang w:val="es-ES_tradnl"/>
        </w:rPr>
        <w:t xml:space="preserve"> puso fin al objeto de la petición</w:t>
      </w:r>
      <w:r w:rsidR="009A6176" w:rsidRPr="00E06DDF">
        <w:rPr>
          <w:rFonts w:asciiTheme="majorHAnsi" w:hAnsiTheme="majorHAnsi"/>
          <w:sz w:val="20"/>
          <w:szCs w:val="20"/>
          <w:lang w:val="es-ES_tradnl"/>
        </w:rPr>
        <w:t>,</w:t>
      </w:r>
      <w:r w:rsidRPr="00E06DDF">
        <w:rPr>
          <w:rFonts w:asciiTheme="majorHAnsi" w:hAnsiTheme="majorHAnsi"/>
          <w:sz w:val="20"/>
          <w:szCs w:val="20"/>
          <w:lang w:val="es-ES_tradnl"/>
        </w:rPr>
        <w:t xml:space="preserve"> y que </w:t>
      </w:r>
      <w:r w:rsidR="00863DA8" w:rsidRPr="00E06DDF">
        <w:rPr>
          <w:rFonts w:asciiTheme="majorHAnsi" w:hAnsiTheme="majorHAnsi"/>
          <w:sz w:val="20"/>
          <w:szCs w:val="20"/>
          <w:lang w:val="es-ES_tradnl"/>
        </w:rPr>
        <w:t>esta</w:t>
      </w:r>
      <w:r w:rsidR="00860107" w:rsidRPr="00E06DDF">
        <w:rPr>
          <w:rFonts w:asciiTheme="majorHAnsi" w:hAnsiTheme="majorHAnsi"/>
          <w:sz w:val="20"/>
          <w:szCs w:val="20"/>
          <w:lang w:val="es-ES_tradnl"/>
        </w:rPr>
        <w:t xml:space="preserve"> </w:t>
      </w:r>
      <w:r w:rsidRPr="00E06DDF">
        <w:rPr>
          <w:rFonts w:asciiTheme="majorHAnsi" w:hAnsiTheme="majorHAnsi"/>
          <w:sz w:val="20"/>
          <w:szCs w:val="20"/>
          <w:lang w:val="es-ES_tradnl"/>
        </w:rPr>
        <w:t xml:space="preserve">evidencia que los recursos internos no se encontraban agotados al momento en que la petición fue presentada ante la Comisión. </w:t>
      </w:r>
      <w:r w:rsidR="007879C8" w:rsidRPr="00E06DDF">
        <w:rPr>
          <w:rFonts w:asciiTheme="majorHAnsi" w:hAnsiTheme="majorHAnsi"/>
          <w:sz w:val="20"/>
          <w:szCs w:val="20"/>
          <w:lang w:val="es-ES_tradnl"/>
        </w:rPr>
        <w:t>También resalta que la decisión del TCA extinguió de pleno derecho el acto administrativo del BCU</w:t>
      </w:r>
      <w:r w:rsidR="002F2105" w:rsidRPr="00E06DDF">
        <w:rPr>
          <w:rFonts w:asciiTheme="majorHAnsi" w:hAnsiTheme="majorHAnsi"/>
          <w:sz w:val="20"/>
          <w:szCs w:val="20"/>
          <w:lang w:val="es-ES_tradnl"/>
        </w:rPr>
        <w:t>;</w:t>
      </w:r>
      <w:r w:rsidR="007879C8" w:rsidRPr="00E06DDF">
        <w:rPr>
          <w:rFonts w:asciiTheme="majorHAnsi" w:hAnsiTheme="majorHAnsi"/>
          <w:sz w:val="20"/>
          <w:szCs w:val="20"/>
          <w:lang w:val="es-ES_tradnl"/>
        </w:rPr>
        <w:t xml:space="preserve"> que la sentencia del TCA ha sido cumplida por el BCU y no ha sido resistida por el Estado</w:t>
      </w:r>
      <w:r w:rsidR="000823F2" w:rsidRPr="00E06DDF">
        <w:rPr>
          <w:rFonts w:asciiTheme="majorHAnsi" w:hAnsiTheme="majorHAnsi"/>
          <w:sz w:val="20"/>
          <w:szCs w:val="20"/>
          <w:lang w:val="es-ES_tradnl"/>
        </w:rPr>
        <w:t xml:space="preserve">. </w:t>
      </w:r>
      <w:r w:rsidR="002F2105" w:rsidRPr="00E06DDF">
        <w:rPr>
          <w:rFonts w:asciiTheme="majorHAnsi" w:hAnsiTheme="majorHAnsi"/>
          <w:sz w:val="20"/>
          <w:szCs w:val="20"/>
          <w:lang w:val="es-ES_tradnl"/>
        </w:rPr>
        <w:t>Además,</w:t>
      </w:r>
      <w:r w:rsidR="007879C8" w:rsidRPr="00E06DDF">
        <w:rPr>
          <w:rFonts w:asciiTheme="majorHAnsi" w:hAnsiTheme="majorHAnsi"/>
          <w:sz w:val="20"/>
          <w:szCs w:val="20"/>
          <w:lang w:val="es-ES_tradnl"/>
        </w:rPr>
        <w:t xml:space="preserve"> </w:t>
      </w:r>
      <w:r w:rsidR="00F81D3A" w:rsidRPr="00E06DDF">
        <w:rPr>
          <w:rFonts w:asciiTheme="majorHAnsi" w:hAnsiTheme="majorHAnsi"/>
          <w:sz w:val="20"/>
          <w:szCs w:val="20"/>
          <w:lang w:val="es-ES_tradnl"/>
        </w:rPr>
        <w:t>que desde la emisión de la sentencia del TCA las presuntas víctimas han tenido abierta la vía para</w:t>
      </w:r>
      <w:r w:rsidR="007879C8" w:rsidRPr="00E06DDF">
        <w:rPr>
          <w:rFonts w:asciiTheme="majorHAnsi" w:hAnsiTheme="majorHAnsi"/>
          <w:sz w:val="20"/>
          <w:szCs w:val="20"/>
          <w:lang w:val="es-ES_tradnl"/>
        </w:rPr>
        <w:t xml:space="preserve"> ejercer la acción reparatoria </w:t>
      </w:r>
      <w:r w:rsidR="006D6BE3" w:rsidRPr="00E06DDF">
        <w:rPr>
          <w:rFonts w:asciiTheme="majorHAnsi" w:hAnsiTheme="majorHAnsi"/>
          <w:sz w:val="20"/>
          <w:szCs w:val="20"/>
          <w:lang w:val="es-ES_tradnl"/>
        </w:rPr>
        <w:t>ante las autoridades judiciales pertinentes si desean resarcimiento por daños que el acto anulado les pudiera haber ocasionado</w:t>
      </w:r>
      <w:r w:rsidR="00F81D3A" w:rsidRPr="00E06DDF">
        <w:rPr>
          <w:rFonts w:asciiTheme="majorHAnsi" w:hAnsiTheme="majorHAnsi"/>
          <w:sz w:val="20"/>
          <w:szCs w:val="20"/>
          <w:lang w:val="es-ES_tradnl"/>
        </w:rPr>
        <w:t>; y que fue recién en febrero de 2022 que el Consorcio interpuso una demanda de daños y perjuicios contra el BCA solicitando una indemnización superior a los 21 millones de dólares por daños presuntamente generados por la limitación a su libertad de expresión.</w:t>
      </w:r>
    </w:p>
    <w:p w14:paraId="1B61ECA8" w14:textId="4967B360" w:rsidR="00491C7D" w:rsidRPr="00891834" w:rsidRDefault="001D0F63"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El Estado además ha trasladado a la Comisión un informe rendido por el BCU </w:t>
      </w:r>
      <w:r w:rsidR="00061FCB" w:rsidRPr="00E06DDF">
        <w:rPr>
          <w:rFonts w:asciiTheme="majorHAnsi" w:hAnsiTheme="majorHAnsi"/>
          <w:sz w:val="20"/>
          <w:szCs w:val="20"/>
          <w:lang w:val="es-ES_tradnl"/>
        </w:rPr>
        <w:t>en el que este</w:t>
      </w:r>
      <w:r w:rsidRPr="00E06DDF">
        <w:rPr>
          <w:rFonts w:asciiTheme="majorHAnsi" w:hAnsiTheme="majorHAnsi"/>
          <w:sz w:val="20"/>
          <w:szCs w:val="20"/>
          <w:lang w:val="es-ES_tradnl"/>
        </w:rPr>
        <w:t xml:space="preserve"> destaca que las presuntas víctimas tuvieron</w:t>
      </w:r>
      <w:r w:rsidR="00FB1501" w:rsidRPr="00E06DDF">
        <w:rPr>
          <w:rFonts w:asciiTheme="majorHAnsi" w:hAnsiTheme="majorHAnsi"/>
          <w:sz w:val="20"/>
          <w:szCs w:val="20"/>
          <w:lang w:val="es-ES_tradnl"/>
        </w:rPr>
        <w:t xml:space="preserve"> a su disposición</w:t>
      </w:r>
      <w:r w:rsidRPr="00E06DDF">
        <w:rPr>
          <w:rFonts w:asciiTheme="majorHAnsi" w:hAnsiTheme="majorHAnsi"/>
          <w:sz w:val="20"/>
          <w:szCs w:val="20"/>
          <w:lang w:val="es-ES_tradnl"/>
        </w:rPr>
        <w:t xml:space="preserve"> (y no utilizaron) </w:t>
      </w:r>
      <w:r w:rsidR="00FB1501" w:rsidRPr="00E06DDF">
        <w:rPr>
          <w:rFonts w:asciiTheme="majorHAnsi" w:hAnsiTheme="majorHAnsi"/>
          <w:sz w:val="20"/>
          <w:szCs w:val="20"/>
          <w:lang w:val="es-ES_tradnl"/>
        </w:rPr>
        <w:t>mecanismos legales</w:t>
      </w:r>
      <w:r w:rsidRPr="00E06DDF">
        <w:rPr>
          <w:rFonts w:asciiTheme="majorHAnsi" w:hAnsiTheme="majorHAnsi"/>
          <w:sz w:val="20"/>
          <w:szCs w:val="20"/>
          <w:lang w:val="es-ES_tradnl"/>
        </w:rPr>
        <w:t xml:space="preserve"> </w:t>
      </w:r>
      <w:r w:rsidR="00FB1501" w:rsidRPr="00E06DDF">
        <w:rPr>
          <w:rFonts w:asciiTheme="majorHAnsi" w:hAnsiTheme="majorHAnsi"/>
          <w:sz w:val="20"/>
          <w:szCs w:val="20"/>
          <w:lang w:val="es-ES_tradnl"/>
        </w:rPr>
        <w:t>para</w:t>
      </w:r>
      <w:r w:rsidRPr="00E06DDF">
        <w:rPr>
          <w:rFonts w:asciiTheme="majorHAnsi" w:hAnsiTheme="majorHAnsi"/>
          <w:sz w:val="20"/>
          <w:szCs w:val="20"/>
          <w:lang w:val="es-ES_tradnl"/>
        </w:rPr>
        <w:t xml:space="preserve"> solicitar</w:t>
      </w:r>
      <w:r w:rsidR="00FB1501" w:rsidRPr="00E06DDF">
        <w:rPr>
          <w:rFonts w:asciiTheme="majorHAnsi" w:hAnsiTheme="majorHAnsi"/>
          <w:sz w:val="20"/>
          <w:szCs w:val="20"/>
          <w:lang w:val="es-ES_tradnl"/>
        </w:rPr>
        <w:t xml:space="preserve"> a las autoridades administrativas o al TCA</w:t>
      </w:r>
      <w:r w:rsidRPr="00E06DDF">
        <w:rPr>
          <w:rFonts w:asciiTheme="majorHAnsi" w:hAnsiTheme="majorHAnsi"/>
          <w:sz w:val="20"/>
          <w:szCs w:val="20"/>
          <w:lang w:val="es-ES_tradnl"/>
        </w:rPr>
        <w:t xml:space="preserve"> la suspensión del acto administrativo que consideraban violatorio de sus derechos</w:t>
      </w:r>
      <w:r w:rsidR="00FB1501" w:rsidRPr="00E06DDF">
        <w:rPr>
          <w:rFonts w:asciiTheme="majorHAnsi" w:hAnsiTheme="majorHAnsi"/>
          <w:sz w:val="20"/>
          <w:szCs w:val="20"/>
          <w:lang w:val="es-ES_tradnl"/>
        </w:rPr>
        <w:t xml:space="preserve">. En </w:t>
      </w:r>
      <w:r w:rsidR="006B2521" w:rsidRPr="00E06DDF">
        <w:rPr>
          <w:rFonts w:asciiTheme="majorHAnsi" w:hAnsiTheme="majorHAnsi"/>
          <w:sz w:val="20"/>
          <w:szCs w:val="20"/>
          <w:lang w:val="es-ES_tradnl"/>
        </w:rPr>
        <w:t>dicho</w:t>
      </w:r>
      <w:r w:rsidR="00FB1501" w:rsidRPr="00E06DDF">
        <w:rPr>
          <w:rFonts w:asciiTheme="majorHAnsi" w:hAnsiTheme="majorHAnsi"/>
          <w:sz w:val="20"/>
          <w:szCs w:val="20"/>
          <w:lang w:val="es-ES_tradnl"/>
        </w:rPr>
        <w:t xml:space="preserve"> informe el BCU también </w:t>
      </w:r>
      <w:r w:rsidR="006B2521" w:rsidRPr="00E06DDF">
        <w:rPr>
          <w:rFonts w:asciiTheme="majorHAnsi" w:hAnsiTheme="majorHAnsi"/>
          <w:sz w:val="20"/>
          <w:szCs w:val="20"/>
          <w:lang w:val="es-ES_tradnl"/>
        </w:rPr>
        <w:t>señaló</w:t>
      </w:r>
      <w:r w:rsidR="00FB1501" w:rsidRPr="00E06DDF">
        <w:rPr>
          <w:rFonts w:asciiTheme="majorHAnsi" w:hAnsiTheme="majorHAnsi"/>
          <w:sz w:val="20"/>
          <w:szCs w:val="20"/>
          <w:lang w:val="es-ES_tradnl"/>
        </w:rPr>
        <w:t xml:space="preserve"> que los actos administrativos dictados </w:t>
      </w:r>
      <w:r w:rsidR="009D0293" w:rsidRPr="00E06DDF">
        <w:rPr>
          <w:rFonts w:asciiTheme="majorHAnsi" w:hAnsiTheme="majorHAnsi"/>
          <w:sz w:val="20"/>
          <w:szCs w:val="20"/>
          <w:lang w:val="es-ES_tradnl"/>
        </w:rPr>
        <w:t>con relación al</w:t>
      </w:r>
      <w:r w:rsidR="00FB1501" w:rsidRPr="00E06DDF">
        <w:rPr>
          <w:rFonts w:asciiTheme="majorHAnsi" w:hAnsiTheme="majorHAnsi"/>
          <w:sz w:val="20"/>
          <w:szCs w:val="20"/>
          <w:lang w:val="es-ES_tradnl"/>
        </w:rPr>
        <w:t xml:space="preserve"> Consorcio no supusieron censura previa ni violación a la libertad de expresión. El informe</w:t>
      </w:r>
      <w:r w:rsidR="002245AE" w:rsidRPr="00E06DDF">
        <w:rPr>
          <w:rFonts w:asciiTheme="majorHAnsi" w:hAnsiTheme="majorHAnsi"/>
          <w:sz w:val="20"/>
          <w:szCs w:val="20"/>
          <w:lang w:val="es-ES_tradnl"/>
        </w:rPr>
        <w:t xml:space="preserve"> también</w:t>
      </w:r>
      <w:r w:rsidR="00FB1501" w:rsidRPr="00E06DDF">
        <w:rPr>
          <w:rFonts w:asciiTheme="majorHAnsi" w:hAnsiTheme="majorHAnsi"/>
          <w:sz w:val="20"/>
          <w:szCs w:val="20"/>
          <w:lang w:val="es-ES_tradnl"/>
        </w:rPr>
        <w:t xml:space="preserve"> indica que el BCU actuó conforme al ordenamiento vigente y dentro de los límites de su competencia y atribuciones para regular la actividad del sistema financiero. </w:t>
      </w:r>
      <w:r w:rsidR="009D5FDD" w:rsidRPr="00E06DDF">
        <w:rPr>
          <w:rFonts w:asciiTheme="majorHAnsi" w:hAnsiTheme="majorHAnsi"/>
          <w:sz w:val="20"/>
          <w:szCs w:val="20"/>
          <w:lang w:val="es-ES_tradnl"/>
        </w:rPr>
        <w:t>Asimismo, este</w:t>
      </w:r>
      <w:r w:rsidR="002245AE" w:rsidRPr="00E06DDF">
        <w:rPr>
          <w:rFonts w:asciiTheme="majorHAnsi" w:hAnsiTheme="majorHAnsi"/>
          <w:sz w:val="20"/>
          <w:szCs w:val="20"/>
          <w:lang w:val="es-ES_tradnl"/>
        </w:rPr>
        <w:t xml:space="preserve"> informe señala que </w:t>
      </w:r>
      <w:r w:rsidR="00AA4E84" w:rsidRPr="00E06DDF">
        <w:rPr>
          <w:rFonts w:asciiTheme="majorHAnsi" w:hAnsiTheme="majorHAnsi"/>
          <w:sz w:val="20"/>
          <w:szCs w:val="20"/>
          <w:lang w:val="es-ES_tradnl"/>
        </w:rPr>
        <w:t>la actividad publicitaria del Consorcio estaba enfocada a obtener mayores beneficios económicos, por lo que la información vertida por su parte era parcial e interesada. También indica que el Consorcio y la empresa competidora se habían adentrado en una guerra mediática consistente en comunicaciones parcializadas</w:t>
      </w:r>
      <w:r w:rsidR="001019E8" w:rsidRPr="00E06DDF">
        <w:rPr>
          <w:rFonts w:asciiTheme="majorHAnsi" w:hAnsiTheme="majorHAnsi"/>
          <w:sz w:val="20"/>
          <w:szCs w:val="20"/>
          <w:lang w:val="es-ES_tradnl"/>
        </w:rPr>
        <w:t xml:space="preserve">, afectando al </w:t>
      </w:r>
      <w:r w:rsidR="00AA4E84" w:rsidRPr="00E06DDF">
        <w:rPr>
          <w:rFonts w:asciiTheme="majorHAnsi" w:hAnsiTheme="majorHAnsi"/>
          <w:sz w:val="20"/>
          <w:szCs w:val="20"/>
          <w:lang w:val="es-ES_tradnl"/>
        </w:rPr>
        <w:t xml:space="preserve">sistema </w:t>
      </w:r>
      <w:r w:rsidR="002245AE" w:rsidRPr="00E06DDF">
        <w:rPr>
          <w:rFonts w:asciiTheme="majorHAnsi" w:hAnsiTheme="majorHAnsi"/>
          <w:sz w:val="20"/>
          <w:szCs w:val="20"/>
          <w:lang w:val="es-ES_tradnl"/>
        </w:rPr>
        <w:t xml:space="preserve">financiero </w:t>
      </w:r>
      <w:r w:rsidR="00AA4E84" w:rsidRPr="00E06DDF">
        <w:rPr>
          <w:rFonts w:asciiTheme="majorHAnsi" w:hAnsiTheme="majorHAnsi"/>
          <w:sz w:val="20"/>
          <w:szCs w:val="20"/>
          <w:lang w:val="es-ES_tradnl"/>
        </w:rPr>
        <w:t>nacional en su conjunto.</w:t>
      </w:r>
      <w:r w:rsidR="002245AE" w:rsidRPr="00E06DDF">
        <w:rPr>
          <w:rFonts w:asciiTheme="majorHAnsi" w:hAnsiTheme="majorHAnsi"/>
          <w:sz w:val="20"/>
          <w:szCs w:val="20"/>
          <w:lang w:val="es-ES_tradnl"/>
        </w:rPr>
        <w:t xml:space="preserve"> </w:t>
      </w:r>
      <w:r w:rsidR="00AA4E84" w:rsidRPr="00E06DDF">
        <w:rPr>
          <w:rFonts w:asciiTheme="majorHAnsi" w:hAnsiTheme="majorHAnsi"/>
          <w:sz w:val="20"/>
          <w:szCs w:val="20"/>
          <w:lang w:val="es-ES_tradnl"/>
        </w:rPr>
        <w:t>Por estas raz</w:t>
      </w:r>
      <w:r w:rsidR="00491C7D" w:rsidRPr="00E06DDF">
        <w:rPr>
          <w:rFonts w:asciiTheme="majorHAnsi" w:hAnsiTheme="majorHAnsi"/>
          <w:sz w:val="20"/>
          <w:szCs w:val="20"/>
          <w:lang w:val="es-ES_tradnl"/>
        </w:rPr>
        <w:t>o</w:t>
      </w:r>
      <w:r w:rsidR="00AA4E84" w:rsidRPr="00E06DDF">
        <w:rPr>
          <w:rFonts w:asciiTheme="majorHAnsi" w:hAnsiTheme="majorHAnsi"/>
          <w:sz w:val="20"/>
          <w:szCs w:val="20"/>
          <w:lang w:val="es-ES_tradnl"/>
        </w:rPr>
        <w:t>n</w:t>
      </w:r>
      <w:r w:rsidR="00491C7D" w:rsidRPr="00E06DDF">
        <w:rPr>
          <w:rFonts w:asciiTheme="majorHAnsi" w:hAnsiTheme="majorHAnsi"/>
          <w:sz w:val="20"/>
          <w:szCs w:val="20"/>
          <w:lang w:val="es-ES_tradnl"/>
        </w:rPr>
        <w:t>es</w:t>
      </w:r>
      <w:r w:rsidR="00AA4E84" w:rsidRPr="00E06DDF">
        <w:rPr>
          <w:rFonts w:asciiTheme="majorHAnsi" w:hAnsiTheme="majorHAnsi"/>
          <w:sz w:val="20"/>
          <w:szCs w:val="20"/>
          <w:lang w:val="es-ES_tradnl"/>
        </w:rPr>
        <w:t xml:space="preserve">, el informe sostiene que la limitación de ciertos aspectos de la libertad de expresión de las empresas que integran un sistema financiero es admisible dado el </w:t>
      </w:r>
      <w:r w:rsidR="00491C7D" w:rsidRPr="00E06DDF">
        <w:rPr>
          <w:rFonts w:asciiTheme="majorHAnsi" w:hAnsiTheme="majorHAnsi"/>
          <w:sz w:val="20"/>
          <w:szCs w:val="20"/>
          <w:lang w:val="es-ES_tradnl"/>
        </w:rPr>
        <w:t>carácter particularmente sensible del sector financier</w:t>
      </w:r>
      <w:r w:rsidR="002245AE" w:rsidRPr="00E06DDF">
        <w:rPr>
          <w:rFonts w:asciiTheme="majorHAnsi" w:hAnsiTheme="majorHAnsi"/>
          <w:sz w:val="20"/>
          <w:szCs w:val="20"/>
          <w:lang w:val="es-ES_tradnl"/>
        </w:rPr>
        <w:t xml:space="preserve">o. </w:t>
      </w:r>
    </w:p>
    <w:p w14:paraId="16056F00" w14:textId="23605513" w:rsidR="00AE1297" w:rsidRPr="00891834" w:rsidRDefault="00AE1297" w:rsidP="00891834">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El informe también resalta</w:t>
      </w:r>
      <w:r w:rsidR="00491C7D" w:rsidRPr="00E06DDF">
        <w:rPr>
          <w:rFonts w:asciiTheme="majorHAnsi" w:hAnsiTheme="majorHAnsi"/>
          <w:sz w:val="20"/>
          <w:szCs w:val="20"/>
          <w:lang w:val="es-ES_tradnl"/>
        </w:rPr>
        <w:t xml:space="preserve"> que las restricciones a la actividad publicitari</w:t>
      </w:r>
      <w:r w:rsidR="000823F2" w:rsidRPr="00E06DDF">
        <w:rPr>
          <w:rFonts w:asciiTheme="majorHAnsi" w:hAnsiTheme="majorHAnsi"/>
          <w:sz w:val="20"/>
          <w:szCs w:val="20"/>
          <w:lang w:val="es-ES_tradnl"/>
        </w:rPr>
        <w:t>a</w:t>
      </w:r>
      <w:r w:rsidR="00491C7D" w:rsidRPr="00E06DDF">
        <w:rPr>
          <w:rFonts w:asciiTheme="majorHAnsi" w:hAnsiTheme="majorHAnsi"/>
          <w:sz w:val="20"/>
          <w:szCs w:val="20"/>
          <w:lang w:val="es-ES_tradnl"/>
        </w:rPr>
        <w:t xml:space="preserve"> fueron aplicadas en igual forma a las dos empresas involucradas en la guerra mediática. De igual manera</w:t>
      </w:r>
      <w:r w:rsidR="000823F2" w:rsidRPr="00E06DDF">
        <w:rPr>
          <w:rFonts w:asciiTheme="majorHAnsi" w:hAnsiTheme="majorHAnsi"/>
          <w:sz w:val="20"/>
          <w:szCs w:val="20"/>
          <w:lang w:val="es-ES_tradnl"/>
        </w:rPr>
        <w:t xml:space="preserve"> sostiene</w:t>
      </w:r>
      <w:r w:rsidR="00491C7D" w:rsidRPr="00E06DDF">
        <w:rPr>
          <w:rFonts w:asciiTheme="majorHAnsi" w:hAnsiTheme="majorHAnsi"/>
          <w:sz w:val="20"/>
          <w:szCs w:val="20"/>
          <w:lang w:val="es-ES_tradnl"/>
        </w:rPr>
        <w:t xml:space="preserve">, que el BCU solo comunicó sus instrucciones a las dos empresas sin imponer censura a ningún medio de prensa, y que las medidas adoptadas por el BCU fueron actos a posteriori a las comunicaciones realizadas por las empresas. </w:t>
      </w:r>
    </w:p>
    <w:p w14:paraId="35338F19" w14:textId="3027B7AB" w:rsidR="00AE1297" w:rsidRPr="00E06DDF" w:rsidRDefault="009649CA" w:rsidP="00E06DDF">
      <w:pPr>
        <w:pStyle w:val="ListParagraph"/>
        <w:numPr>
          <w:ilvl w:val="0"/>
          <w:numId w:val="55"/>
        </w:numPr>
        <w:spacing w:before="240" w:after="240"/>
        <w:jc w:val="both"/>
        <w:rPr>
          <w:rFonts w:asciiTheme="majorHAnsi" w:hAnsiTheme="majorHAnsi"/>
          <w:sz w:val="20"/>
          <w:szCs w:val="20"/>
          <w:lang w:val="es-ES_tradnl"/>
        </w:rPr>
      </w:pPr>
      <w:r w:rsidRPr="00E06DDF">
        <w:rPr>
          <w:rFonts w:asciiTheme="majorHAnsi" w:hAnsiTheme="majorHAnsi"/>
          <w:sz w:val="20"/>
          <w:szCs w:val="20"/>
          <w:lang w:val="es-ES_tradnl"/>
        </w:rPr>
        <w:t xml:space="preserve">En su comunicación del 15 de noviembre de 2021, el Estado envió copia de otro informe rendido por el BCU. Tal informe </w:t>
      </w:r>
      <w:r w:rsidR="004F6F5B" w:rsidRPr="00E06DDF">
        <w:rPr>
          <w:rFonts w:asciiTheme="majorHAnsi" w:hAnsiTheme="majorHAnsi"/>
          <w:sz w:val="20"/>
          <w:szCs w:val="20"/>
          <w:lang w:val="es-ES_tradnl"/>
        </w:rPr>
        <w:t xml:space="preserve">destaca que el BCU ha publicado en su página web el fallo del TCA que anuló </w:t>
      </w:r>
      <w:r w:rsidR="004F6F5B" w:rsidRPr="00E06DDF">
        <w:rPr>
          <w:rFonts w:asciiTheme="majorHAnsi" w:hAnsiTheme="majorHAnsi"/>
          <w:sz w:val="20"/>
          <w:szCs w:val="20"/>
          <w:lang w:val="es-ES_tradnl"/>
        </w:rPr>
        <w:lastRenderedPageBreak/>
        <w:t xml:space="preserve">los actos reclamados por la parte peticionaria y que desde que se emitió ese fallo lo ha tenido en cuenta </w:t>
      </w:r>
      <w:r w:rsidR="00C703C2" w:rsidRPr="00E06DDF">
        <w:rPr>
          <w:rFonts w:asciiTheme="majorHAnsi" w:hAnsiTheme="majorHAnsi"/>
          <w:sz w:val="20"/>
          <w:szCs w:val="20"/>
          <w:lang w:val="es-ES_tradnl"/>
        </w:rPr>
        <w:t>para gu</w:t>
      </w:r>
      <w:r w:rsidR="00B77EF6" w:rsidRPr="00E06DDF">
        <w:rPr>
          <w:rFonts w:asciiTheme="majorHAnsi" w:hAnsiTheme="majorHAnsi"/>
          <w:sz w:val="20"/>
          <w:szCs w:val="20"/>
          <w:lang w:val="es-ES_tradnl"/>
        </w:rPr>
        <w:t>i</w:t>
      </w:r>
      <w:r w:rsidR="00C703C2" w:rsidRPr="00E06DDF">
        <w:rPr>
          <w:rFonts w:asciiTheme="majorHAnsi" w:hAnsiTheme="majorHAnsi"/>
          <w:sz w:val="20"/>
          <w:szCs w:val="20"/>
          <w:lang w:val="es-ES_tradnl"/>
        </w:rPr>
        <w:t>a</w:t>
      </w:r>
      <w:r w:rsidR="00FF67DC" w:rsidRPr="00E06DDF">
        <w:rPr>
          <w:rFonts w:asciiTheme="majorHAnsi" w:hAnsiTheme="majorHAnsi"/>
          <w:sz w:val="20"/>
          <w:szCs w:val="20"/>
          <w:lang w:val="es-ES_tradnl"/>
        </w:rPr>
        <w:t>r</w:t>
      </w:r>
      <w:r w:rsidR="00C703C2" w:rsidRPr="00E06DDF">
        <w:rPr>
          <w:rFonts w:asciiTheme="majorHAnsi" w:hAnsiTheme="majorHAnsi"/>
          <w:sz w:val="20"/>
          <w:szCs w:val="20"/>
          <w:lang w:val="es-ES_tradnl"/>
        </w:rPr>
        <w:t xml:space="preserve"> su accionar administrativo. </w:t>
      </w:r>
      <w:r w:rsidR="00B77EF6" w:rsidRPr="00E06DDF">
        <w:rPr>
          <w:rFonts w:asciiTheme="majorHAnsi" w:hAnsiTheme="majorHAnsi"/>
          <w:sz w:val="20"/>
          <w:szCs w:val="20"/>
          <w:lang w:val="es-ES_tradnl"/>
        </w:rPr>
        <w:t>Este</w:t>
      </w:r>
      <w:r w:rsidR="00C703C2" w:rsidRPr="00E06DDF">
        <w:rPr>
          <w:rFonts w:asciiTheme="majorHAnsi" w:hAnsiTheme="majorHAnsi"/>
          <w:sz w:val="20"/>
          <w:szCs w:val="20"/>
          <w:lang w:val="es-ES_tradnl"/>
        </w:rPr>
        <w:t xml:space="preserve"> informe también </w:t>
      </w:r>
      <w:r w:rsidR="00481025" w:rsidRPr="00E06DDF">
        <w:rPr>
          <w:rFonts w:asciiTheme="majorHAnsi" w:hAnsiTheme="majorHAnsi"/>
          <w:sz w:val="20"/>
          <w:szCs w:val="20"/>
          <w:lang w:val="es-ES_tradnl"/>
        </w:rPr>
        <w:t>sostiene</w:t>
      </w:r>
      <w:r w:rsidR="00C703C2" w:rsidRPr="00E06DDF">
        <w:rPr>
          <w:rFonts w:asciiTheme="majorHAnsi" w:hAnsiTheme="majorHAnsi"/>
          <w:sz w:val="20"/>
          <w:szCs w:val="20"/>
          <w:lang w:val="es-ES_tradnl"/>
        </w:rPr>
        <w:t xml:space="preserve"> </w:t>
      </w:r>
      <w:r w:rsidR="00481025" w:rsidRPr="00E06DDF">
        <w:rPr>
          <w:rFonts w:asciiTheme="majorHAnsi" w:hAnsiTheme="majorHAnsi"/>
          <w:sz w:val="20"/>
          <w:szCs w:val="20"/>
          <w:lang w:val="es-ES_tradnl"/>
        </w:rPr>
        <w:t xml:space="preserve">que la parte peticionaria no explica </w:t>
      </w:r>
      <w:r w:rsidR="00C703C2" w:rsidRPr="00E06DDF">
        <w:rPr>
          <w:rFonts w:asciiTheme="majorHAnsi" w:hAnsiTheme="majorHAnsi"/>
          <w:sz w:val="20"/>
          <w:szCs w:val="20"/>
          <w:lang w:val="es-ES_tradnl"/>
        </w:rPr>
        <w:t>de qu</w:t>
      </w:r>
      <w:r w:rsidR="00481025" w:rsidRPr="00E06DDF">
        <w:rPr>
          <w:rFonts w:asciiTheme="majorHAnsi" w:hAnsiTheme="majorHAnsi"/>
          <w:sz w:val="20"/>
          <w:szCs w:val="20"/>
          <w:lang w:val="es-ES_tradnl"/>
        </w:rPr>
        <w:t>é</w:t>
      </w:r>
      <w:r w:rsidR="00C703C2" w:rsidRPr="00E06DDF">
        <w:rPr>
          <w:rFonts w:asciiTheme="majorHAnsi" w:hAnsiTheme="majorHAnsi"/>
          <w:sz w:val="20"/>
          <w:szCs w:val="20"/>
          <w:lang w:val="es-ES_tradnl"/>
        </w:rPr>
        <w:t xml:space="preserve"> modo concreto el actuar del BCU habría afectado los derechos de las personas naturales señaladas como presuntas </w:t>
      </w:r>
      <w:r w:rsidR="00687DBA" w:rsidRPr="00E06DDF">
        <w:rPr>
          <w:rFonts w:asciiTheme="majorHAnsi" w:hAnsiTheme="majorHAnsi"/>
          <w:sz w:val="20"/>
          <w:szCs w:val="20"/>
          <w:lang w:val="es-ES_tradnl"/>
        </w:rPr>
        <w:t>víctimas</w:t>
      </w:r>
      <w:r w:rsidR="00C703C2" w:rsidRPr="00E06DDF">
        <w:rPr>
          <w:rFonts w:asciiTheme="majorHAnsi" w:hAnsiTheme="majorHAnsi"/>
          <w:sz w:val="20"/>
          <w:szCs w:val="20"/>
          <w:lang w:val="es-ES_tradnl"/>
        </w:rPr>
        <w:t xml:space="preserve"> en la petición</w:t>
      </w:r>
      <w:r w:rsidR="00687DBA" w:rsidRPr="00E06DDF">
        <w:rPr>
          <w:rFonts w:asciiTheme="majorHAnsi" w:hAnsiTheme="majorHAnsi"/>
          <w:sz w:val="20"/>
          <w:szCs w:val="20"/>
          <w:lang w:val="es-ES_tradnl"/>
        </w:rPr>
        <w:t>,</w:t>
      </w:r>
      <w:r w:rsidR="007F63D8" w:rsidRPr="00E06DDF">
        <w:rPr>
          <w:rFonts w:asciiTheme="majorHAnsi" w:hAnsiTheme="majorHAnsi"/>
          <w:sz w:val="20"/>
          <w:szCs w:val="20"/>
          <w:lang w:val="es-ES_tradnl"/>
        </w:rPr>
        <w:t xml:space="preserve"> </w:t>
      </w:r>
      <w:r w:rsidR="00A3579B">
        <w:rPr>
          <w:rFonts w:asciiTheme="majorHAnsi" w:hAnsiTheme="majorHAnsi"/>
          <w:sz w:val="20"/>
          <w:szCs w:val="20"/>
          <w:lang w:val="es-ES_tradnl"/>
        </w:rPr>
        <w:t>sosteniendo que el</w:t>
      </w:r>
      <w:r w:rsidR="007F63D8" w:rsidRPr="00E06DDF">
        <w:rPr>
          <w:rFonts w:asciiTheme="majorHAnsi" w:hAnsiTheme="majorHAnsi"/>
          <w:sz w:val="20"/>
          <w:szCs w:val="20"/>
          <w:lang w:val="es-ES_tradnl"/>
        </w:rPr>
        <w:t xml:space="preserve"> Consorcio </w:t>
      </w:r>
      <w:r w:rsidR="00A3579B">
        <w:rPr>
          <w:rFonts w:asciiTheme="majorHAnsi" w:hAnsiTheme="majorHAnsi"/>
          <w:sz w:val="20"/>
          <w:szCs w:val="20"/>
          <w:lang w:val="es-ES_tradnl"/>
        </w:rPr>
        <w:t>no ha</w:t>
      </w:r>
      <w:r w:rsidR="007F63D8" w:rsidRPr="00E06DDF">
        <w:rPr>
          <w:rFonts w:asciiTheme="majorHAnsi" w:hAnsiTheme="majorHAnsi"/>
          <w:sz w:val="20"/>
          <w:szCs w:val="20"/>
          <w:lang w:val="es-ES_tradnl"/>
        </w:rPr>
        <w:t xml:space="preserve"> sido víctima de retaliaciones tras el fallo del TCA, </w:t>
      </w:r>
      <w:r w:rsidR="00687DBA" w:rsidRPr="00E06DDF">
        <w:rPr>
          <w:rFonts w:asciiTheme="majorHAnsi" w:hAnsiTheme="majorHAnsi"/>
          <w:sz w:val="20"/>
          <w:szCs w:val="20"/>
          <w:lang w:val="es-ES_tradnl"/>
        </w:rPr>
        <w:t>y</w:t>
      </w:r>
      <w:r w:rsidR="007F63D8" w:rsidRPr="00E06DDF">
        <w:rPr>
          <w:rFonts w:asciiTheme="majorHAnsi" w:hAnsiTheme="majorHAnsi"/>
          <w:sz w:val="20"/>
          <w:szCs w:val="20"/>
          <w:lang w:val="es-ES_tradnl"/>
        </w:rPr>
        <w:t xml:space="preserve"> </w:t>
      </w:r>
      <w:r w:rsidR="00A3579B">
        <w:rPr>
          <w:rFonts w:asciiTheme="majorHAnsi" w:hAnsiTheme="majorHAnsi"/>
          <w:sz w:val="20"/>
          <w:szCs w:val="20"/>
          <w:lang w:val="es-ES_tradnl"/>
        </w:rPr>
        <w:t xml:space="preserve">destacando </w:t>
      </w:r>
      <w:r w:rsidR="007F63D8" w:rsidRPr="00E06DDF">
        <w:rPr>
          <w:rFonts w:asciiTheme="majorHAnsi" w:hAnsiTheme="majorHAnsi"/>
          <w:sz w:val="20"/>
          <w:szCs w:val="20"/>
          <w:lang w:val="es-ES_tradnl"/>
        </w:rPr>
        <w:t xml:space="preserve">que dicha empresa continúa operando en Uruguay sin ningún tipo de limitación, amenaza o especial sospecha. </w:t>
      </w:r>
    </w:p>
    <w:p w14:paraId="33B0C340" w14:textId="1C716989" w:rsidR="006051FA" w:rsidRPr="00E06DDF" w:rsidRDefault="006051FA" w:rsidP="00E06DDF">
      <w:pPr>
        <w:spacing w:before="240" w:after="240"/>
        <w:ind w:firstLine="720"/>
        <w:jc w:val="both"/>
        <w:rPr>
          <w:rFonts w:asciiTheme="majorHAnsi" w:hAnsiTheme="majorHAnsi"/>
          <w:b/>
          <w:bCs/>
          <w:sz w:val="20"/>
          <w:szCs w:val="20"/>
          <w:lang w:val="es-ES_tradnl"/>
        </w:rPr>
      </w:pPr>
      <w:r w:rsidRPr="00E06DDF">
        <w:rPr>
          <w:rFonts w:asciiTheme="majorHAnsi" w:eastAsia="Cambria" w:hAnsiTheme="majorHAnsi" w:cs="Cambria"/>
          <w:b/>
          <w:bCs/>
          <w:color w:val="000000"/>
          <w:sz w:val="20"/>
          <w:szCs w:val="20"/>
          <w:u w:color="000000"/>
          <w:lang w:val="es-ES_tradnl" w:eastAsia="es-ES"/>
        </w:rPr>
        <w:t>VI.</w:t>
      </w:r>
      <w:r w:rsidRPr="00E06DDF">
        <w:rPr>
          <w:rFonts w:asciiTheme="majorHAnsi" w:eastAsia="Cambria" w:hAnsiTheme="majorHAnsi" w:cs="Cambria"/>
          <w:b/>
          <w:bCs/>
          <w:color w:val="000000"/>
          <w:sz w:val="20"/>
          <w:szCs w:val="20"/>
          <w:u w:color="000000"/>
          <w:lang w:val="es-ES_tradnl" w:eastAsia="es-ES"/>
        </w:rPr>
        <w:tab/>
      </w:r>
      <w:r w:rsidR="001F727E" w:rsidRPr="00E06DDF">
        <w:rPr>
          <w:rFonts w:asciiTheme="majorHAnsi" w:eastAsia="Cambria" w:hAnsiTheme="majorHAnsi" w:cs="Cambria"/>
          <w:b/>
          <w:bCs/>
          <w:color w:val="000000"/>
          <w:sz w:val="20"/>
          <w:szCs w:val="20"/>
          <w:u w:color="000000"/>
          <w:lang w:val="es-ES_tradnl" w:eastAsia="es-ES"/>
        </w:rPr>
        <w:t xml:space="preserve">ANÁLISIS DE LA </w:t>
      </w:r>
      <w:r w:rsidR="0052477F" w:rsidRPr="00E06DDF">
        <w:rPr>
          <w:rFonts w:asciiTheme="majorHAnsi" w:eastAsia="Cambria" w:hAnsiTheme="majorHAnsi" w:cs="Cambria"/>
          <w:b/>
          <w:bCs/>
          <w:color w:val="000000"/>
          <w:sz w:val="20"/>
          <w:szCs w:val="20"/>
          <w:u w:color="000000"/>
          <w:lang w:val="es-ES_tradnl" w:eastAsia="es-ES"/>
        </w:rPr>
        <w:t xml:space="preserve">COMPETENCIA </w:t>
      </w:r>
      <w:r w:rsidR="0052477F" w:rsidRPr="00E06DDF">
        <w:rPr>
          <w:rFonts w:asciiTheme="majorHAnsi" w:eastAsia="Cambria" w:hAnsiTheme="majorHAnsi" w:cs="Cambria"/>
          <w:b/>
          <w:bCs/>
          <w:i/>
          <w:iCs/>
          <w:color w:val="000000"/>
          <w:sz w:val="20"/>
          <w:szCs w:val="20"/>
          <w:u w:color="000000"/>
          <w:lang w:val="es-ES_tradnl" w:eastAsia="es-ES"/>
        </w:rPr>
        <w:t>RATIONE PERSONAE</w:t>
      </w:r>
      <w:r w:rsidR="001F727E" w:rsidRPr="00E06DDF">
        <w:rPr>
          <w:rFonts w:asciiTheme="majorHAnsi" w:eastAsia="Cambria" w:hAnsiTheme="majorHAnsi" w:cs="Cambria"/>
          <w:i/>
          <w:iCs/>
          <w:color w:val="000000"/>
          <w:sz w:val="20"/>
          <w:szCs w:val="20"/>
          <w:u w:color="000000"/>
          <w:lang w:val="es-ES_tradnl" w:eastAsia="es-ES"/>
        </w:rPr>
        <w:t xml:space="preserve"> </w:t>
      </w:r>
      <w:r w:rsidR="001F727E" w:rsidRPr="00E06DDF">
        <w:rPr>
          <w:rFonts w:asciiTheme="majorHAnsi" w:eastAsia="Cambria" w:hAnsiTheme="majorHAnsi" w:cs="Cambria"/>
          <w:b/>
          <w:bCs/>
          <w:color w:val="000000"/>
          <w:sz w:val="20"/>
          <w:szCs w:val="20"/>
          <w:u w:color="000000"/>
          <w:lang w:val="es-ES_tradnl" w:eastAsia="es-ES"/>
        </w:rPr>
        <w:t>DE LA CIDH</w:t>
      </w:r>
    </w:p>
    <w:p w14:paraId="4E2FE364" w14:textId="45FF2D27" w:rsidR="001F727E" w:rsidRPr="00E06DDF" w:rsidRDefault="001F727E"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sz w:val="20"/>
          <w:szCs w:val="20"/>
          <w:lang w:val="es-ES_tradnl"/>
        </w:rPr>
        <w:t xml:space="preserve">Como primer paso lógico antes de entrar a considerar cualquier aspecto de admisibilidad la Comisión Interamericana debe referirse a su competencia para pronunciarse respecto del presente caso. Así, la Comisión observa que el Estado mantiene que los hechos que dan objeto a la petición se refieren exclusivamente a acciones adoptadas por el BCU respecto una persona jurídica supervisada por éste. </w:t>
      </w:r>
      <w:r w:rsidR="00C707FC" w:rsidRPr="00E06DDF">
        <w:rPr>
          <w:rFonts w:asciiTheme="majorHAnsi" w:hAnsiTheme="majorHAnsi"/>
          <w:sz w:val="20"/>
          <w:szCs w:val="20"/>
          <w:lang w:val="es-ES_tradnl"/>
        </w:rPr>
        <w:t xml:space="preserve">A su vez, la parte peticionaria sostiene que los actos del BCU afectaron derechos de personas naturales, incluyendo las tres que presenta como presuntas víctimas. </w:t>
      </w:r>
    </w:p>
    <w:p w14:paraId="69740E9A" w14:textId="78E78F13" w:rsidR="00C707FC" w:rsidRPr="00E06DDF" w:rsidRDefault="00C707FC"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sz w:val="20"/>
          <w:szCs w:val="20"/>
          <w:lang w:val="es-ES_tradnl"/>
        </w:rPr>
        <w:t>A este respecto, la Comisión Interamericana destaca que el artículo 1.2 de la Convención Americana establece claramente: “</w:t>
      </w:r>
      <w:r w:rsidRPr="00E06DDF">
        <w:rPr>
          <w:rFonts w:asciiTheme="majorHAnsi" w:hAnsiTheme="majorHAnsi"/>
          <w:i/>
          <w:iCs/>
          <w:sz w:val="20"/>
          <w:szCs w:val="20"/>
          <w:lang w:val="es-ES_tradnl"/>
        </w:rPr>
        <w:t>Para los efectos de esta Convención, persona es todo ser humano</w:t>
      </w:r>
      <w:r w:rsidRPr="00E06DDF">
        <w:rPr>
          <w:rFonts w:asciiTheme="majorHAnsi" w:hAnsiTheme="majorHAnsi"/>
          <w:sz w:val="20"/>
          <w:szCs w:val="20"/>
          <w:lang w:val="es-ES_tradnl"/>
        </w:rPr>
        <w:t>”. Esta disposición es congruente con el objeto y fin de la Convención Americana definidos expresamente en el Preámbulo de dicho tratado, el cual se refiere de manera enfática a conceptos como “</w:t>
      </w:r>
      <w:r w:rsidRPr="00E06DDF">
        <w:rPr>
          <w:rFonts w:asciiTheme="majorHAnsi" w:hAnsiTheme="majorHAnsi"/>
          <w:i/>
          <w:iCs/>
          <w:sz w:val="20"/>
          <w:szCs w:val="20"/>
          <w:lang w:val="es-ES_tradnl"/>
        </w:rPr>
        <w:t>los derechos esenciales del hombre</w:t>
      </w:r>
      <w:r w:rsidRPr="00E06DDF">
        <w:rPr>
          <w:rFonts w:asciiTheme="majorHAnsi" w:hAnsiTheme="majorHAnsi"/>
          <w:sz w:val="20"/>
          <w:szCs w:val="20"/>
          <w:lang w:val="es-ES_tradnl"/>
        </w:rPr>
        <w:t>”, “</w:t>
      </w:r>
      <w:r w:rsidRPr="00E06DDF">
        <w:rPr>
          <w:rFonts w:asciiTheme="majorHAnsi" w:hAnsiTheme="majorHAnsi"/>
          <w:i/>
          <w:iCs/>
          <w:sz w:val="20"/>
          <w:szCs w:val="20"/>
          <w:lang w:val="es-ES_tradnl"/>
        </w:rPr>
        <w:t>los atributos de la persona humana</w:t>
      </w:r>
      <w:r w:rsidRPr="00E06DDF">
        <w:rPr>
          <w:rFonts w:asciiTheme="majorHAnsi" w:hAnsiTheme="majorHAnsi"/>
          <w:sz w:val="20"/>
          <w:szCs w:val="20"/>
          <w:lang w:val="es-ES_tradnl"/>
        </w:rPr>
        <w:t>” y el “</w:t>
      </w:r>
      <w:r w:rsidRPr="00E06DDF">
        <w:rPr>
          <w:rFonts w:asciiTheme="majorHAnsi" w:hAnsiTheme="majorHAnsi"/>
          <w:i/>
          <w:iCs/>
          <w:sz w:val="20"/>
          <w:szCs w:val="20"/>
          <w:lang w:val="es-ES_tradnl"/>
        </w:rPr>
        <w:t>ideal del ser humano</w:t>
      </w:r>
      <w:r w:rsidRPr="00E06DDF">
        <w:rPr>
          <w:rFonts w:asciiTheme="majorHAnsi" w:hAnsiTheme="majorHAnsi"/>
          <w:sz w:val="20"/>
          <w:szCs w:val="20"/>
          <w:lang w:val="es-ES_tradnl"/>
        </w:rPr>
        <w:t>”. Enfoque que es consistente a lo largo de todo el tratado.</w:t>
      </w:r>
    </w:p>
    <w:p w14:paraId="2888AB61" w14:textId="1BB335CF" w:rsidR="004C5268" w:rsidRPr="00E06DDF" w:rsidRDefault="006D1739"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sz w:val="20"/>
          <w:szCs w:val="20"/>
          <w:lang w:val="es-ES_tradnl"/>
        </w:rPr>
        <w:t>Así, l</w:t>
      </w:r>
      <w:r w:rsidR="00C707FC" w:rsidRPr="00E06DDF">
        <w:rPr>
          <w:rFonts w:asciiTheme="majorHAnsi" w:hAnsiTheme="majorHAnsi"/>
          <w:sz w:val="20"/>
          <w:szCs w:val="20"/>
          <w:lang w:val="es-ES_tradnl"/>
        </w:rPr>
        <w:t>a Corte IDH en su Opinión Consultiva 22 del 26 de febrero de 2016, relativa precisamente a la titularidad de derechos de las personas jurídicas en el Sistema Interamericano de Derechos Humanos, indicó  que al margen del Sistema Europeo, “</w:t>
      </w:r>
      <w:r w:rsidR="00C707FC" w:rsidRPr="00E06DDF">
        <w:rPr>
          <w:rFonts w:asciiTheme="majorHAnsi" w:hAnsiTheme="majorHAnsi"/>
          <w:i/>
          <w:iCs/>
          <w:sz w:val="20"/>
          <w:szCs w:val="20"/>
          <w:lang w:val="es-ES_tradnl"/>
        </w:rPr>
        <w:t>actualmente en el derecho internacional de los derechos humanos no existe una tendencia clara, interesada en otorgar derechos a las personas jurídicas o en permitirles acceder como víctimas a los procesos de peticiones individuales que establezcan los tratados</w:t>
      </w:r>
      <w:r w:rsidR="00C707FC" w:rsidRPr="00E06DDF">
        <w:rPr>
          <w:rFonts w:asciiTheme="majorHAnsi" w:hAnsiTheme="majorHAnsi"/>
          <w:sz w:val="20"/>
          <w:szCs w:val="20"/>
          <w:lang w:val="es-ES_tradnl"/>
        </w:rPr>
        <w:t>” (párr. 62). Más adelante, luego de analizar distintos criterios hermenéuticos, la Corte IDH concluy</w:t>
      </w:r>
      <w:r w:rsidR="00AE06B9" w:rsidRPr="00E06DDF">
        <w:rPr>
          <w:rFonts w:asciiTheme="majorHAnsi" w:hAnsiTheme="majorHAnsi"/>
          <w:sz w:val="20"/>
          <w:szCs w:val="20"/>
          <w:lang w:val="es-ES_tradnl"/>
        </w:rPr>
        <w:t>ó</w:t>
      </w:r>
      <w:r w:rsidR="00C707FC" w:rsidRPr="00E06DDF">
        <w:rPr>
          <w:rFonts w:asciiTheme="majorHAnsi" w:hAnsiTheme="majorHAnsi"/>
          <w:sz w:val="20"/>
          <w:szCs w:val="20"/>
          <w:lang w:val="es-ES_tradnl"/>
        </w:rPr>
        <w:t xml:space="preserve"> que “</w:t>
      </w:r>
      <w:r w:rsidR="00C707FC" w:rsidRPr="00E06DDF">
        <w:rPr>
          <w:rFonts w:asciiTheme="majorHAnsi" w:hAnsiTheme="majorHAnsi"/>
          <w:i/>
          <w:iCs/>
          <w:sz w:val="20"/>
          <w:szCs w:val="20"/>
          <w:lang w:val="es-ES_tradnl"/>
        </w:rPr>
        <w:t>de una interpretación del artículo 1.2 de la Convención Americana, de buena fe, acorde con el sentido natural de los términos empleados en la Convención […] y teniendo en cuenta el contexto […] y el objeto y fin de la misma […]</w:t>
      </w:r>
      <w:r w:rsidR="00AE06B9" w:rsidRPr="00E06DDF">
        <w:rPr>
          <w:rFonts w:asciiTheme="majorHAnsi" w:hAnsiTheme="majorHAnsi"/>
          <w:i/>
          <w:iCs/>
          <w:sz w:val="20"/>
          <w:szCs w:val="20"/>
          <w:lang w:val="es-ES_tradnl"/>
        </w:rPr>
        <w:t xml:space="preserve"> </w:t>
      </w:r>
      <w:r w:rsidR="00C707FC" w:rsidRPr="00E06DDF">
        <w:rPr>
          <w:rFonts w:asciiTheme="majorHAnsi" w:hAnsiTheme="majorHAnsi"/>
          <w:i/>
          <w:iCs/>
          <w:sz w:val="20"/>
          <w:szCs w:val="20"/>
          <w:lang w:val="es-ES_tradnl"/>
        </w:rPr>
        <w:t>se desprende con claridad que las personas jurídicas no son titulares de derechos convencionales […]</w:t>
      </w:r>
      <w:r w:rsidR="00C707FC" w:rsidRPr="00E06DDF">
        <w:rPr>
          <w:rFonts w:asciiTheme="majorHAnsi" w:hAnsiTheme="majorHAnsi"/>
          <w:sz w:val="20"/>
          <w:szCs w:val="20"/>
          <w:lang w:val="es-ES_tradnl"/>
        </w:rPr>
        <w:t>” (párr. 70).</w:t>
      </w:r>
      <w:r w:rsidR="004C5268" w:rsidRPr="00E06DDF">
        <w:rPr>
          <w:rFonts w:asciiTheme="majorHAnsi" w:hAnsiTheme="majorHAnsi"/>
          <w:sz w:val="20"/>
          <w:szCs w:val="20"/>
          <w:lang w:val="es-ES_tradnl"/>
        </w:rPr>
        <w:t xml:space="preserve"> </w:t>
      </w:r>
    </w:p>
    <w:p w14:paraId="67042AEC" w14:textId="77777777" w:rsidR="00F80B48" w:rsidRPr="00E06DDF" w:rsidRDefault="00F80B48"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cs="Calibri"/>
          <w:sz w:val="20"/>
          <w:szCs w:val="20"/>
          <w:lang w:val="es-ES_tradnl"/>
        </w:rPr>
        <w:t>En la misma opinión la Corte también manifestó:</w:t>
      </w:r>
    </w:p>
    <w:p w14:paraId="7930B16C" w14:textId="4FD490BA" w:rsidR="00F80B48" w:rsidRPr="007A2C4F" w:rsidRDefault="00666AD2" w:rsidP="00CE0CFC">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720"/>
        <w:jc w:val="both"/>
        <w:rPr>
          <w:rFonts w:asciiTheme="majorHAnsi" w:hAnsiTheme="majorHAnsi"/>
          <w:sz w:val="20"/>
          <w:szCs w:val="20"/>
          <w:lang w:val="es-ES"/>
        </w:rPr>
      </w:pPr>
      <w:r w:rsidRPr="00E06DDF">
        <w:rPr>
          <w:rFonts w:asciiTheme="majorHAnsi" w:hAnsiTheme="majorHAnsi"/>
          <w:sz w:val="20"/>
          <w:szCs w:val="20"/>
          <w:lang w:val="es-ES_tradnl"/>
        </w:rPr>
        <w:t>[</w:t>
      </w:r>
      <w:r w:rsidR="00F80B48" w:rsidRPr="00E06DDF">
        <w:rPr>
          <w:rFonts w:asciiTheme="majorHAnsi" w:hAnsiTheme="majorHAnsi"/>
          <w:sz w:val="20"/>
          <w:szCs w:val="20"/>
          <w:lang w:val="es-ES_tradnl"/>
        </w:rPr>
        <w:t>…</w:t>
      </w:r>
      <w:r w:rsidRPr="00E06DDF">
        <w:rPr>
          <w:rFonts w:asciiTheme="majorHAnsi" w:hAnsiTheme="majorHAnsi"/>
          <w:sz w:val="20"/>
          <w:szCs w:val="20"/>
          <w:lang w:val="es-ES_tradnl"/>
        </w:rPr>
        <w:t>]</w:t>
      </w:r>
      <w:r w:rsidR="00F80B48" w:rsidRPr="00E06DDF">
        <w:rPr>
          <w:rFonts w:asciiTheme="majorHAnsi" w:hAnsiTheme="majorHAnsi"/>
          <w:sz w:val="20"/>
          <w:szCs w:val="20"/>
          <w:lang w:val="es-ES_tradnl"/>
        </w:rPr>
        <w:t xml:space="preserve"> independientemente de la especificidad de cada caso, este Tribunal considera que el ejercicio del derecho a través de una persona jurídica debe involucrar una relación esencial y directa entre la persona natural que requiere protección por parte del sistema interamericano y la persona jurídica a través de la cual se produjo la violación, por cuanto no es suficiente con un simple vínculo entre ambas personas para concluir que efectivamente se están protegiendo los derechos de personas físicas y no de las personas jurídicas. En efecto, se debe probar más allá de la simple participación de la persona natural en las actividades propias de la persona jurídica, de forma que dicha participación se relacione de manera sustancial con los derechos alegados como vulnerados. </w:t>
      </w:r>
      <w:r w:rsidR="003508B1" w:rsidRPr="00E06DDF">
        <w:rPr>
          <w:rFonts w:asciiTheme="majorHAnsi" w:hAnsiTheme="majorHAnsi"/>
          <w:sz w:val="20"/>
          <w:szCs w:val="20"/>
          <w:lang w:val="es-ES_tradnl"/>
        </w:rPr>
        <w:t>[…]</w:t>
      </w:r>
      <w:r w:rsidR="003508B1">
        <w:rPr>
          <w:rFonts w:asciiTheme="majorHAnsi" w:hAnsiTheme="majorHAnsi"/>
          <w:sz w:val="20"/>
          <w:szCs w:val="20"/>
          <w:lang w:val="es-ES_tradnl"/>
        </w:rPr>
        <w:t xml:space="preserve"> (párr 119).</w:t>
      </w:r>
    </w:p>
    <w:p w14:paraId="78821247" w14:textId="2755A564" w:rsidR="005E7D48" w:rsidRPr="00E06DDF" w:rsidRDefault="005E7D48" w:rsidP="00E06DDF">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right="720"/>
        <w:jc w:val="both"/>
        <w:rPr>
          <w:rFonts w:asciiTheme="majorHAnsi" w:hAnsiTheme="majorHAnsi" w:cs="Calibri"/>
          <w:i/>
          <w:iCs/>
          <w:sz w:val="20"/>
          <w:szCs w:val="20"/>
          <w:lang w:val="es-ES_tradnl"/>
        </w:rPr>
      </w:pPr>
      <w:r w:rsidRPr="00E06DDF">
        <w:rPr>
          <w:rFonts w:asciiTheme="majorHAnsi" w:hAnsiTheme="majorHAnsi"/>
          <w:sz w:val="20"/>
          <w:szCs w:val="20"/>
          <w:lang w:val="es-ES_tradnl"/>
        </w:rPr>
        <w:t xml:space="preserve">Teniendo en cuenta lo anterior, la Corte considera que debido a las múltiples formas que pueden surgir de la figura de personas jurídicas, tales como empresas o sociedades comerciales, partidos políticos, asociaciones religiosas u organizaciones no gubernamentales, no es viable establecer una fórmula única que sirva para reconocer la existencia del ejercicio de derechos de personas naturales a través de su participación en una persona jurídica, de manera como lo ha realizado con el derecho a la propiedad y a la libertad de expresión. Por ello, la Corte determinará la manera de probar el vínculo cuando analice la alegada violación de uno de los derechos presuntamente vulnerados en un caso contencioso concreto </w:t>
      </w:r>
      <w:r w:rsidR="00EC54B8" w:rsidRPr="00E06DDF">
        <w:rPr>
          <w:rFonts w:asciiTheme="majorHAnsi" w:hAnsiTheme="majorHAnsi"/>
          <w:sz w:val="20"/>
          <w:szCs w:val="20"/>
          <w:lang w:val="es-ES_tradnl"/>
        </w:rPr>
        <w:t>[</w:t>
      </w:r>
      <w:r w:rsidRPr="00E06DDF">
        <w:rPr>
          <w:rFonts w:asciiTheme="majorHAnsi" w:hAnsiTheme="majorHAnsi"/>
          <w:sz w:val="20"/>
          <w:szCs w:val="20"/>
          <w:lang w:val="es-ES_tradnl"/>
        </w:rPr>
        <w:t>…</w:t>
      </w:r>
      <w:r w:rsidR="00695EA2" w:rsidRPr="00E06DDF">
        <w:rPr>
          <w:rFonts w:asciiTheme="majorHAnsi" w:hAnsiTheme="majorHAnsi"/>
          <w:sz w:val="20"/>
          <w:szCs w:val="20"/>
          <w:lang w:val="es-ES_tradnl"/>
        </w:rPr>
        <w:t>]</w:t>
      </w:r>
    </w:p>
    <w:p w14:paraId="3C67D82B" w14:textId="53DCAB84" w:rsidR="005E7D48" w:rsidRPr="00E06DDF" w:rsidRDefault="005E7D48"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cs="Calibri"/>
          <w:sz w:val="20"/>
          <w:szCs w:val="20"/>
          <w:lang w:val="es-ES_tradnl"/>
        </w:rPr>
        <w:lastRenderedPageBreak/>
        <w:t>En atención a estos criterios, la Comisión toma nota que no existe controversia respecto a que</w:t>
      </w:r>
      <w:r w:rsidR="005370B8" w:rsidRPr="00E06DDF">
        <w:rPr>
          <w:rFonts w:asciiTheme="majorHAnsi" w:hAnsiTheme="majorHAnsi" w:cs="Calibri"/>
          <w:sz w:val="20"/>
          <w:szCs w:val="20"/>
          <w:lang w:val="es-ES_tradnl"/>
        </w:rPr>
        <w:t>:</w:t>
      </w:r>
      <w:r w:rsidRPr="00E06DDF">
        <w:rPr>
          <w:rFonts w:asciiTheme="majorHAnsi" w:hAnsiTheme="majorHAnsi" w:cs="Calibri"/>
          <w:sz w:val="20"/>
          <w:szCs w:val="20"/>
          <w:lang w:val="es-ES_tradnl"/>
        </w:rPr>
        <w:t xml:space="preserve"> i) los actos del BCU que se denuncian como violatorios de la Convención Americana fueron dirigidos exclusivamente contra el Consorcio en su condición de persona jurídica</w:t>
      </w:r>
      <w:r w:rsidR="0035082A" w:rsidRPr="00E06DDF">
        <w:rPr>
          <w:rFonts w:asciiTheme="majorHAnsi" w:hAnsiTheme="majorHAnsi" w:cs="Calibri"/>
          <w:sz w:val="20"/>
          <w:szCs w:val="20"/>
          <w:lang w:val="es-ES_tradnl"/>
        </w:rPr>
        <w:t>;</w:t>
      </w:r>
      <w:r w:rsidRPr="00E06DDF">
        <w:rPr>
          <w:rFonts w:asciiTheme="majorHAnsi" w:hAnsiTheme="majorHAnsi" w:cs="Calibri"/>
          <w:sz w:val="20"/>
          <w:szCs w:val="20"/>
          <w:lang w:val="es-ES_tradnl"/>
        </w:rPr>
        <w:t xml:space="preserve"> y ii) todos los recursos que han sido interpuestos a nivel doméstico con relación a esos actos conciernen derechos Consorcio como persona jurídica, sin que se hayan presentado a nivel doméstico recursos con relación a los derechos de las personas naturales que se presentan como presuntas víctimas. </w:t>
      </w:r>
      <w:r w:rsidR="006E49C3" w:rsidRPr="00E06DDF">
        <w:rPr>
          <w:rFonts w:asciiTheme="majorHAnsi" w:hAnsiTheme="majorHAnsi" w:cs="Calibri"/>
          <w:sz w:val="20"/>
          <w:szCs w:val="20"/>
          <w:lang w:val="es-ES_tradnl"/>
        </w:rPr>
        <w:t xml:space="preserve">En este sentido, la Comisión recuerda que </w:t>
      </w:r>
      <w:r w:rsidR="00417EF5" w:rsidRPr="00E06DDF">
        <w:rPr>
          <w:rFonts w:asciiTheme="majorHAnsi" w:hAnsiTheme="majorHAnsi" w:cs="Calibri"/>
          <w:sz w:val="20"/>
          <w:szCs w:val="20"/>
          <w:lang w:val="es-ES_tradnl"/>
        </w:rPr>
        <w:t>de acuerdo con el derecho interno las personas jurídicas son entidades separadas de las personas naturales que están detrás,</w:t>
      </w:r>
      <w:r w:rsidR="009707BF" w:rsidRPr="00E06DDF">
        <w:rPr>
          <w:rFonts w:asciiTheme="majorHAnsi" w:hAnsiTheme="majorHAnsi" w:cs="Calibri"/>
          <w:sz w:val="20"/>
          <w:szCs w:val="20"/>
          <w:lang w:val="es-ES_tradnl"/>
        </w:rPr>
        <w:t xml:space="preserve"> con derechos</w:t>
      </w:r>
      <w:r w:rsidR="005A6392" w:rsidRPr="00E06DDF">
        <w:rPr>
          <w:rFonts w:asciiTheme="majorHAnsi" w:hAnsiTheme="majorHAnsi" w:cs="Calibri"/>
          <w:sz w:val="20"/>
          <w:szCs w:val="20"/>
          <w:lang w:val="es-ES_tradnl"/>
        </w:rPr>
        <w:t xml:space="preserve"> y</w:t>
      </w:r>
      <w:r w:rsidR="009707BF" w:rsidRPr="00E06DDF">
        <w:rPr>
          <w:rFonts w:asciiTheme="majorHAnsi" w:hAnsiTheme="majorHAnsi" w:cs="Calibri"/>
          <w:sz w:val="20"/>
          <w:szCs w:val="20"/>
          <w:lang w:val="es-ES_tradnl"/>
        </w:rPr>
        <w:t xml:space="preserve"> obligaciones </w:t>
      </w:r>
      <w:r w:rsidR="005A6392" w:rsidRPr="00E06DDF">
        <w:rPr>
          <w:rFonts w:asciiTheme="majorHAnsi" w:hAnsiTheme="majorHAnsi" w:cs="Calibri"/>
          <w:sz w:val="20"/>
          <w:szCs w:val="20"/>
          <w:lang w:val="es-ES_tradnl"/>
        </w:rPr>
        <w:t xml:space="preserve">propios, </w:t>
      </w:r>
      <w:r w:rsidR="009707BF" w:rsidRPr="00E06DDF">
        <w:rPr>
          <w:rFonts w:asciiTheme="majorHAnsi" w:hAnsiTheme="majorHAnsi" w:cs="Calibri"/>
          <w:sz w:val="20"/>
          <w:szCs w:val="20"/>
          <w:lang w:val="es-ES_tradnl"/>
        </w:rPr>
        <w:t xml:space="preserve">y un patrimonio separado de el de sus accionistas o dueños, </w:t>
      </w:r>
      <w:r w:rsidR="00807092" w:rsidRPr="00E06DDF">
        <w:rPr>
          <w:rFonts w:asciiTheme="majorHAnsi" w:hAnsiTheme="majorHAnsi" w:cs="Calibri"/>
          <w:sz w:val="20"/>
          <w:szCs w:val="20"/>
          <w:lang w:val="es-ES_tradnl"/>
        </w:rPr>
        <w:t>tal arreglo permite que estas puedan ejercer sus funciones mercantiles</w:t>
      </w:r>
      <w:r w:rsidR="00145309" w:rsidRPr="00E06DDF">
        <w:rPr>
          <w:rStyle w:val="FootnoteReference"/>
          <w:rFonts w:asciiTheme="majorHAnsi" w:hAnsiTheme="majorHAnsi" w:cs="Calibri"/>
          <w:sz w:val="20"/>
          <w:szCs w:val="20"/>
          <w:lang w:val="es-ES_tradnl"/>
        </w:rPr>
        <w:footnoteReference w:id="6"/>
      </w:r>
      <w:r w:rsidR="00807092" w:rsidRPr="00E06DDF">
        <w:rPr>
          <w:rFonts w:asciiTheme="majorHAnsi" w:hAnsiTheme="majorHAnsi" w:cs="Calibri"/>
          <w:sz w:val="20"/>
          <w:szCs w:val="20"/>
          <w:lang w:val="es-ES_tradnl"/>
        </w:rPr>
        <w:t xml:space="preserve">. </w:t>
      </w:r>
      <w:r w:rsidR="00FB12BE" w:rsidRPr="00E06DDF">
        <w:rPr>
          <w:rFonts w:asciiTheme="majorHAnsi" w:hAnsiTheme="majorHAnsi" w:cs="Calibri"/>
          <w:sz w:val="20"/>
          <w:szCs w:val="20"/>
          <w:lang w:val="es-ES_tradnl"/>
        </w:rPr>
        <w:t xml:space="preserve">Así, </w:t>
      </w:r>
      <w:r w:rsidR="00FB12BE" w:rsidRPr="00E06DDF">
        <w:rPr>
          <w:rFonts w:asciiTheme="majorHAnsi" w:hAnsiTheme="majorHAnsi" w:cs="Arial"/>
          <w:sz w:val="20"/>
          <w:szCs w:val="20"/>
          <w:lang w:val="es-ES_tradnl"/>
        </w:rPr>
        <w:t>La Comisión ha establecido constante e invariable jurisprudencia sobre la inadmisibilidad de peticiones interpuestas por personas jurídicas empresariales bajo la condición de víctimas directas, o donde el agotamiento de los recursos internos fue realizado por éstas y no por las personas naturales que se presentan como peticionarios ante la Comisión</w:t>
      </w:r>
      <w:r w:rsidR="00FB12BE" w:rsidRPr="00E06DDF">
        <w:rPr>
          <w:rStyle w:val="FootnoteReference"/>
          <w:rFonts w:asciiTheme="majorHAnsi" w:hAnsiTheme="majorHAnsi" w:cs="Arial"/>
          <w:sz w:val="20"/>
          <w:szCs w:val="20"/>
          <w:lang w:val="es-ES_tradnl"/>
        </w:rPr>
        <w:footnoteReference w:id="7"/>
      </w:r>
      <w:r w:rsidR="00FB12BE" w:rsidRPr="00E06DDF">
        <w:rPr>
          <w:rFonts w:asciiTheme="majorHAnsi" w:hAnsiTheme="majorHAnsi" w:cs="Arial"/>
          <w:sz w:val="20"/>
          <w:szCs w:val="20"/>
          <w:lang w:val="es-ES_tradnl"/>
        </w:rPr>
        <w:t>.</w:t>
      </w:r>
      <w:r w:rsidR="00FB12BE" w:rsidRPr="00E06DDF">
        <w:rPr>
          <w:rFonts w:asciiTheme="majorHAnsi" w:hAnsiTheme="majorHAnsi" w:cs="Arial"/>
          <w:sz w:val="20"/>
          <w:szCs w:val="20"/>
          <w:vertAlign w:val="superscript"/>
          <w:lang w:val="es-ES_tradnl"/>
        </w:rPr>
        <w:t xml:space="preserve"> </w:t>
      </w:r>
      <w:r w:rsidR="00FB12BE" w:rsidRPr="00E06DDF">
        <w:rPr>
          <w:rFonts w:asciiTheme="majorHAnsi" w:hAnsiTheme="majorHAnsi" w:cs="Arial"/>
          <w:sz w:val="20"/>
          <w:szCs w:val="20"/>
          <w:lang w:val="es-ES_tradnl"/>
        </w:rPr>
        <w:t xml:space="preserve"> </w:t>
      </w:r>
    </w:p>
    <w:p w14:paraId="65695C6A" w14:textId="316C0087" w:rsidR="003922D4" w:rsidRPr="00E06DDF" w:rsidRDefault="005E7D48"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cs="Calibri"/>
          <w:sz w:val="20"/>
          <w:szCs w:val="20"/>
          <w:lang w:val="es-ES_tradnl"/>
        </w:rPr>
        <w:t xml:space="preserve"> </w:t>
      </w:r>
      <w:r w:rsidR="0004496A" w:rsidRPr="00E06DDF">
        <w:rPr>
          <w:rFonts w:asciiTheme="majorHAnsi" w:hAnsiTheme="majorHAnsi" w:cs="Calibri"/>
          <w:sz w:val="20"/>
          <w:szCs w:val="20"/>
          <w:lang w:val="es-ES_tradnl"/>
        </w:rPr>
        <w:t xml:space="preserve">La Comisión además observa que la parte peticionaria sostiene que los derechos de las tres personas naturales se vieron afectados por los actos del BCU, pero sin explicar la forma concreta en que esto ocurrió. Así, la parte peticionaria ha destacado el vínculo de estas personas con el Consorcio en calidad de accionistas o directores pero no ha </w:t>
      </w:r>
      <w:r w:rsidR="00AA4994" w:rsidRPr="00E06DDF">
        <w:rPr>
          <w:rFonts w:asciiTheme="majorHAnsi" w:hAnsiTheme="majorHAnsi" w:cs="Calibri"/>
          <w:sz w:val="20"/>
          <w:szCs w:val="20"/>
          <w:lang w:val="es-ES_tradnl"/>
        </w:rPr>
        <w:t>probado</w:t>
      </w:r>
      <w:r w:rsidR="0004496A" w:rsidRPr="00E06DDF">
        <w:rPr>
          <w:rFonts w:asciiTheme="majorHAnsi" w:hAnsiTheme="majorHAnsi" w:cs="Calibri"/>
          <w:sz w:val="20"/>
          <w:szCs w:val="20"/>
          <w:lang w:val="es-ES_tradnl"/>
        </w:rPr>
        <w:t xml:space="preserve"> que los actos del BCU </w:t>
      </w:r>
      <w:r w:rsidR="003922D4" w:rsidRPr="00E06DDF">
        <w:rPr>
          <w:rFonts w:asciiTheme="majorHAnsi" w:hAnsiTheme="majorHAnsi" w:cs="Calibri"/>
          <w:sz w:val="20"/>
          <w:szCs w:val="20"/>
          <w:lang w:val="es-ES_tradnl"/>
        </w:rPr>
        <w:t>les hayan restringido su capacidad de difundir a título personal la información que tuvieran a bien</w:t>
      </w:r>
      <w:r w:rsidR="0004496A" w:rsidRPr="00E06DDF">
        <w:rPr>
          <w:rFonts w:asciiTheme="majorHAnsi" w:hAnsiTheme="majorHAnsi" w:cs="Calibri"/>
          <w:sz w:val="20"/>
          <w:szCs w:val="20"/>
          <w:lang w:val="es-ES_tradnl"/>
        </w:rPr>
        <w:t>; o que existiera una relación esencial entre estas personas y el consorcio en lo pertinente al ejercicio de su libertad de expresión y su capacidad de difundir la información</w:t>
      </w:r>
      <w:r w:rsidR="003922D4" w:rsidRPr="00E06DDF">
        <w:rPr>
          <w:rFonts w:asciiTheme="majorHAnsi" w:hAnsiTheme="majorHAnsi" w:cs="Calibri"/>
          <w:sz w:val="20"/>
          <w:szCs w:val="20"/>
          <w:lang w:val="es-ES_tradnl"/>
        </w:rPr>
        <w:t xml:space="preserve"> cuya diseminación habría sido restringida por los actos del BCU. La parte peticionaria tampoco ha explicado el papel concreto que las presuntas víctimas desarrollaban dentro del Consorcio en lo relacionado con la determinación de las comunicaciones y publicaciones empresariales de esa persona jurídica. </w:t>
      </w:r>
      <w:r w:rsidR="00A91D8C" w:rsidRPr="00E06DDF">
        <w:rPr>
          <w:rFonts w:asciiTheme="majorHAnsi" w:hAnsiTheme="majorHAnsi" w:cs="Calibri"/>
          <w:sz w:val="20"/>
          <w:szCs w:val="20"/>
          <w:lang w:val="es-ES_tradnl"/>
        </w:rPr>
        <w:t>El mero hecho de que las personas naturales que se presentan en l</w:t>
      </w:r>
      <w:r w:rsidR="00617606">
        <w:rPr>
          <w:rFonts w:asciiTheme="majorHAnsi" w:hAnsiTheme="majorHAnsi" w:cs="Calibri"/>
          <w:sz w:val="20"/>
          <w:szCs w:val="20"/>
          <w:lang w:val="es-ES_tradnl"/>
        </w:rPr>
        <w:t>a</w:t>
      </w:r>
      <w:r w:rsidR="00A91D8C" w:rsidRPr="00E06DDF">
        <w:rPr>
          <w:rFonts w:asciiTheme="majorHAnsi" w:hAnsiTheme="majorHAnsi" w:cs="Calibri"/>
          <w:sz w:val="20"/>
          <w:szCs w:val="20"/>
          <w:lang w:val="es-ES_tradnl"/>
        </w:rPr>
        <w:t xml:space="preserve"> presente petición tengan un vínculo accionario con la empresa, no significa por sí mismo que se haya</w:t>
      </w:r>
      <w:r w:rsidR="00627C60" w:rsidRPr="00E06DDF">
        <w:rPr>
          <w:rFonts w:asciiTheme="majorHAnsi" w:hAnsiTheme="majorHAnsi" w:cs="Calibri"/>
          <w:sz w:val="20"/>
          <w:szCs w:val="20"/>
          <w:lang w:val="es-ES_tradnl"/>
        </w:rPr>
        <w:t xml:space="preserve"> violado su derecho a la libertad de expresión. </w:t>
      </w:r>
      <w:r w:rsidR="00391977" w:rsidRPr="00E06DDF">
        <w:rPr>
          <w:rFonts w:asciiTheme="majorHAnsi" w:hAnsiTheme="majorHAnsi" w:cs="Calibri"/>
          <w:sz w:val="20"/>
          <w:szCs w:val="20"/>
          <w:lang w:val="es-ES_tradnl"/>
        </w:rPr>
        <w:t>Cosa distinta es establecer si se vulner</w:t>
      </w:r>
      <w:r w:rsidR="00F9022C" w:rsidRPr="00E06DDF">
        <w:rPr>
          <w:rFonts w:asciiTheme="majorHAnsi" w:hAnsiTheme="majorHAnsi" w:cs="Calibri"/>
          <w:sz w:val="20"/>
          <w:szCs w:val="20"/>
          <w:lang w:val="es-ES_tradnl"/>
        </w:rPr>
        <w:t>aron o no los derechos de la empresa en tanto persona jurídica, lo que ha sido ampliamente argumentado por los peticionarios, pero que</w:t>
      </w:r>
      <w:r w:rsidR="008B3041" w:rsidRPr="00E06DDF">
        <w:rPr>
          <w:rFonts w:asciiTheme="majorHAnsi" w:hAnsiTheme="majorHAnsi" w:cs="Calibri"/>
          <w:sz w:val="20"/>
          <w:szCs w:val="20"/>
          <w:lang w:val="es-ES_tradnl"/>
        </w:rPr>
        <w:t xml:space="preserve"> cae fuera de la competencia </w:t>
      </w:r>
      <w:r w:rsidR="008B3041" w:rsidRPr="00E06DDF">
        <w:rPr>
          <w:rFonts w:asciiTheme="majorHAnsi" w:hAnsiTheme="majorHAnsi" w:cs="Calibri"/>
          <w:i/>
          <w:iCs/>
          <w:sz w:val="20"/>
          <w:szCs w:val="20"/>
          <w:lang w:val="es-ES_tradnl"/>
        </w:rPr>
        <w:t>ratione personae</w:t>
      </w:r>
      <w:r w:rsidR="008B3041" w:rsidRPr="00E06DDF">
        <w:rPr>
          <w:rFonts w:asciiTheme="majorHAnsi" w:hAnsiTheme="majorHAnsi" w:cs="Calibri"/>
          <w:sz w:val="20"/>
          <w:szCs w:val="20"/>
          <w:lang w:val="es-ES_tradnl"/>
        </w:rPr>
        <w:t xml:space="preserve"> de la Comisión Interamericana. </w:t>
      </w:r>
    </w:p>
    <w:p w14:paraId="462C1A6D" w14:textId="554762D6" w:rsidR="003354C7" w:rsidRPr="00E06DDF" w:rsidRDefault="003922D4"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cs="Calibri"/>
          <w:sz w:val="20"/>
          <w:szCs w:val="20"/>
          <w:lang w:val="es-ES_tradnl"/>
        </w:rPr>
        <w:t>La parte peticionaria tampoco ha brindado información concreta sobre</w:t>
      </w:r>
      <w:r w:rsidR="003354C7" w:rsidRPr="00E06DDF">
        <w:rPr>
          <w:rFonts w:asciiTheme="majorHAnsi" w:hAnsiTheme="majorHAnsi" w:cs="Calibri"/>
          <w:sz w:val="20"/>
          <w:szCs w:val="20"/>
          <w:lang w:val="es-ES_tradnl"/>
        </w:rPr>
        <w:t xml:space="preserve"> daños o</w:t>
      </w:r>
      <w:r w:rsidRPr="00E06DDF">
        <w:rPr>
          <w:rFonts w:asciiTheme="majorHAnsi" w:hAnsiTheme="majorHAnsi" w:cs="Calibri"/>
          <w:sz w:val="20"/>
          <w:szCs w:val="20"/>
          <w:lang w:val="es-ES_tradnl"/>
        </w:rPr>
        <w:t xml:space="preserve"> perjuicios que hayan sufrido las tres personas naturales por razón de los actos adoptados contra el consorcio</w:t>
      </w:r>
      <w:r w:rsidR="00B21982" w:rsidRPr="00E06DDF">
        <w:rPr>
          <w:rFonts w:asciiTheme="majorHAnsi" w:hAnsiTheme="majorHAnsi" w:cs="Calibri"/>
          <w:sz w:val="20"/>
          <w:szCs w:val="20"/>
          <w:lang w:val="es-ES_tradnl"/>
        </w:rPr>
        <w:t xml:space="preserve">. Por el contrario, </w:t>
      </w:r>
      <w:r w:rsidR="00B21982" w:rsidRPr="00E06DDF">
        <w:rPr>
          <w:rFonts w:asciiTheme="majorHAnsi" w:hAnsiTheme="majorHAnsi"/>
          <w:sz w:val="20"/>
          <w:szCs w:val="20"/>
          <w:lang w:val="es-ES_tradnl"/>
        </w:rPr>
        <w:t>ha reconocido que estas no pudieron interponer recursos domésticos a título propio porque “</w:t>
      </w:r>
      <w:r w:rsidR="00B21982" w:rsidRPr="00E06DDF">
        <w:rPr>
          <w:rFonts w:asciiTheme="majorHAnsi" w:hAnsiTheme="majorHAnsi"/>
          <w:i/>
          <w:iCs/>
          <w:sz w:val="20"/>
          <w:szCs w:val="20"/>
          <w:lang w:val="es-ES_tradnl"/>
        </w:rPr>
        <w:t>no podían invocar un interés legítimo o derecho personal agraviado por la censura del BCU</w:t>
      </w:r>
      <w:r w:rsidR="00B21982" w:rsidRPr="00E06DDF">
        <w:rPr>
          <w:rFonts w:asciiTheme="majorHAnsi" w:hAnsiTheme="majorHAnsi"/>
          <w:sz w:val="20"/>
          <w:szCs w:val="20"/>
          <w:lang w:val="es-ES_tradnl"/>
        </w:rPr>
        <w:t xml:space="preserve">”. </w:t>
      </w:r>
      <w:r w:rsidR="007A2C4F">
        <w:rPr>
          <w:rFonts w:asciiTheme="majorHAnsi" w:hAnsiTheme="majorHAnsi"/>
          <w:sz w:val="20"/>
          <w:szCs w:val="20"/>
          <w:lang w:val="es-ES_tradnl"/>
        </w:rPr>
        <w:t>La CIDH observa que esto responde precisamente a que</w:t>
      </w:r>
      <w:r w:rsidR="009C2D29" w:rsidRPr="00E06DDF">
        <w:rPr>
          <w:rFonts w:asciiTheme="majorHAnsi" w:hAnsiTheme="majorHAnsi"/>
          <w:sz w:val="20"/>
          <w:szCs w:val="20"/>
          <w:lang w:val="es-ES_tradnl"/>
        </w:rPr>
        <w:t xml:space="preserve"> la prohibición </w:t>
      </w:r>
      <w:r w:rsidR="002A0E27" w:rsidRPr="00E06DDF">
        <w:rPr>
          <w:rFonts w:asciiTheme="majorHAnsi" w:hAnsiTheme="majorHAnsi"/>
          <w:sz w:val="20"/>
          <w:szCs w:val="20"/>
          <w:lang w:val="es-ES_tradnl"/>
        </w:rPr>
        <w:t>emitida por el BCU, que luego fue levantada, estuvo dirigida al Consorcio en tanto persona jurídica</w:t>
      </w:r>
      <w:r w:rsidR="00402063" w:rsidRPr="00E06DDF">
        <w:rPr>
          <w:rFonts w:asciiTheme="majorHAnsi" w:hAnsiTheme="majorHAnsi"/>
          <w:sz w:val="20"/>
          <w:szCs w:val="20"/>
          <w:lang w:val="es-ES_tradnl"/>
        </w:rPr>
        <w:t>.</w:t>
      </w:r>
      <w:r w:rsidR="003C27B1" w:rsidRPr="00E06DDF">
        <w:rPr>
          <w:rFonts w:asciiTheme="majorHAnsi" w:hAnsiTheme="majorHAnsi"/>
          <w:sz w:val="20"/>
          <w:szCs w:val="20"/>
          <w:lang w:val="es-ES_tradnl"/>
        </w:rPr>
        <w:t xml:space="preserve"> </w:t>
      </w:r>
    </w:p>
    <w:p w14:paraId="27128086" w14:textId="51B00AFD" w:rsidR="008A5732" w:rsidRPr="00E06DDF" w:rsidRDefault="003354C7" w:rsidP="00E06DD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Calibri"/>
          <w:i/>
          <w:iCs/>
          <w:sz w:val="20"/>
          <w:szCs w:val="20"/>
          <w:lang w:val="es-ES_tradnl"/>
        </w:rPr>
      </w:pPr>
      <w:r w:rsidRPr="00E06DDF">
        <w:rPr>
          <w:rFonts w:asciiTheme="majorHAnsi" w:hAnsiTheme="majorHAnsi" w:cs="Calibri"/>
          <w:sz w:val="20"/>
          <w:szCs w:val="20"/>
          <w:lang w:val="es-ES_tradnl"/>
        </w:rPr>
        <w:t>Por lo tanto, la Comisión concluye que carece de competencia personal para conocer el presente asunto</w:t>
      </w:r>
      <w:r w:rsidR="00D4255F">
        <w:rPr>
          <w:rFonts w:asciiTheme="majorHAnsi" w:hAnsiTheme="majorHAnsi" w:cs="Calibri"/>
          <w:sz w:val="20"/>
          <w:szCs w:val="20"/>
          <w:lang w:val="es-ES_tradnl"/>
        </w:rPr>
        <w:t xml:space="preserve">, en </w:t>
      </w:r>
      <w:r w:rsidR="00E4329E">
        <w:rPr>
          <w:rFonts w:asciiTheme="majorHAnsi" w:hAnsiTheme="majorHAnsi" w:cs="Calibri"/>
          <w:sz w:val="20"/>
          <w:szCs w:val="20"/>
          <w:lang w:val="es-ES_tradnl"/>
        </w:rPr>
        <w:t xml:space="preserve">los términos del artículo 1.2 de la Convención Americana. </w:t>
      </w:r>
    </w:p>
    <w:p w14:paraId="1912D242" w14:textId="5CB3CEF4" w:rsidR="006051FA" w:rsidRPr="00E06DDF" w:rsidRDefault="006051FA" w:rsidP="00E06D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810"/>
        <w:jc w:val="both"/>
        <w:rPr>
          <w:rFonts w:asciiTheme="majorHAnsi" w:hAnsiTheme="majorHAnsi"/>
          <w:b/>
          <w:bCs/>
          <w:sz w:val="20"/>
          <w:szCs w:val="20"/>
          <w:lang w:val="es-ES_tradnl"/>
        </w:rPr>
      </w:pPr>
      <w:r w:rsidRPr="00E06DDF">
        <w:rPr>
          <w:rFonts w:asciiTheme="majorHAnsi" w:hAnsiTheme="majorHAnsi"/>
          <w:b/>
          <w:bCs/>
          <w:sz w:val="20"/>
          <w:szCs w:val="20"/>
          <w:lang w:val="es-ES_tradnl"/>
        </w:rPr>
        <w:t xml:space="preserve">VII. </w:t>
      </w:r>
      <w:r w:rsidRPr="00E06DDF">
        <w:rPr>
          <w:rFonts w:asciiTheme="majorHAnsi" w:hAnsiTheme="majorHAnsi"/>
          <w:b/>
          <w:bCs/>
          <w:sz w:val="20"/>
          <w:szCs w:val="20"/>
          <w:lang w:val="es-ES_tradnl"/>
        </w:rPr>
        <w:tab/>
        <w:t>DECISIÓN</w:t>
      </w:r>
    </w:p>
    <w:p w14:paraId="628DBDE8" w14:textId="60503454" w:rsidR="005F4BA7" w:rsidRPr="00E06DDF" w:rsidRDefault="006051FA" w:rsidP="003373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900"/>
        <w:jc w:val="both"/>
        <w:rPr>
          <w:rFonts w:asciiTheme="majorHAnsi" w:hAnsiTheme="majorHAnsi"/>
          <w:sz w:val="20"/>
          <w:szCs w:val="20"/>
          <w:lang w:val="es-ES_tradnl"/>
        </w:rPr>
      </w:pPr>
      <w:r w:rsidRPr="00E06DDF">
        <w:rPr>
          <w:rFonts w:asciiTheme="majorHAnsi" w:hAnsiTheme="majorHAnsi"/>
          <w:sz w:val="20"/>
          <w:szCs w:val="20"/>
          <w:lang w:val="es-ES_tradnl"/>
        </w:rPr>
        <w:t xml:space="preserve">Declarar </w:t>
      </w:r>
      <w:r w:rsidR="00831901" w:rsidRPr="00E06DDF">
        <w:rPr>
          <w:rFonts w:asciiTheme="majorHAnsi" w:hAnsiTheme="majorHAnsi"/>
          <w:sz w:val="20"/>
          <w:szCs w:val="20"/>
          <w:lang w:val="es-ES_tradnl"/>
        </w:rPr>
        <w:t>inadmisible la presente petición; y</w:t>
      </w:r>
    </w:p>
    <w:p w14:paraId="53F2F572" w14:textId="093A4F34" w:rsidR="00722C9F" w:rsidRDefault="006051FA" w:rsidP="000C7A4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900"/>
        <w:jc w:val="both"/>
        <w:rPr>
          <w:rFonts w:cs="Calibri"/>
          <w:sz w:val="20"/>
          <w:szCs w:val="20"/>
          <w:lang w:val="es-ES"/>
        </w:rPr>
      </w:pPr>
      <w:r w:rsidRPr="00E06DDF">
        <w:rPr>
          <w:rFonts w:asciiTheme="majorHAnsi" w:hAnsiTheme="majorHAnsi"/>
          <w:sz w:val="20"/>
          <w:szCs w:val="20"/>
          <w:lang w:val="es-ES_tradnl"/>
        </w:rPr>
        <w:lastRenderedPageBreak/>
        <w:t xml:space="preserve">Notificar a las partes la presente decisión; y publicar esta decisión e incluirla en su Informe Anual a la Asamblea General de la </w:t>
      </w:r>
      <w:r w:rsidR="008A1039" w:rsidRPr="00E06DDF">
        <w:rPr>
          <w:rFonts w:asciiTheme="majorHAnsi" w:hAnsiTheme="majorHAnsi"/>
          <w:sz w:val="20"/>
          <w:szCs w:val="20"/>
          <w:lang w:val="es-ES_tradnl"/>
        </w:rPr>
        <w:t>Organización</w:t>
      </w:r>
      <w:r w:rsidRPr="00DF284C">
        <w:rPr>
          <w:rFonts w:asciiTheme="majorHAnsi" w:hAnsiTheme="majorHAnsi"/>
          <w:sz w:val="20"/>
          <w:szCs w:val="20"/>
          <w:lang w:val="es-ES"/>
        </w:rPr>
        <w:t xml:space="preserve"> de los Estados Americanos.</w:t>
      </w:r>
      <w:r w:rsidRPr="00DF284C">
        <w:rPr>
          <w:rFonts w:cs="Calibri"/>
          <w:sz w:val="20"/>
          <w:szCs w:val="20"/>
          <w:lang w:val="es-ES"/>
        </w:rPr>
        <w:t xml:space="preserve"> </w:t>
      </w:r>
    </w:p>
    <w:p w14:paraId="074A75DF" w14:textId="44B98648" w:rsidR="000C7A43" w:rsidRPr="00617606" w:rsidRDefault="00016B1B" w:rsidP="0061760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E7494">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FE7494">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61760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0C7A43" w:rsidRPr="0061760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4D32" w14:textId="77777777" w:rsidR="004C021D" w:rsidRDefault="004C021D">
      <w:r>
        <w:separator/>
      </w:r>
    </w:p>
  </w:endnote>
  <w:endnote w:type="continuationSeparator" w:id="0">
    <w:p w14:paraId="4FC8F512" w14:textId="77777777" w:rsidR="004C021D" w:rsidRDefault="004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3010CA7" w14:textId="4076FAD2" w:rsidR="007B432F" w:rsidRPr="00934A2C" w:rsidRDefault="007B432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5379">
          <w:rPr>
            <w:noProof/>
            <w:sz w:val="16"/>
            <w:szCs w:val="22"/>
          </w:rPr>
          <w:t>2</w:t>
        </w:r>
        <w:r w:rsidRPr="00934A2C">
          <w:rPr>
            <w:noProof/>
            <w:sz w:val="16"/>
            <w:szCs w:val="22"/>
          </w:rPr>
          <w:fldChar w:fldCharType="end"/>
        </w:r>
      </w:p>
    </w:sdtContent>
  </w:sdt>
  <w:p w14:paraId="1A4F39D0" w14:textId="77777777" w:rsidR="007B432F" w:rsidRDefault="007B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E2" w14:textId="77777777" w:rsidR="007B432F" w:rsidRPr="00934A2C" w:rsidRDefault="007B432F">
    <w:pPr>
      <w:pStyle w:val="Footer"/>
      <w:jc w:val="center"/>
      <w:rPr>
        <w:sz w:val="16"/>
        <w:szCs w:val="22"/>
      </w:rPr>
    </w:pPr>
  </w:p>
  <w:p w14:paraId="4169B2EA" w14:textId="77777777" w:rsidR="007B432F" w:rsidRDefault="007B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1E73" w14:textId="77777777" w:rsidR="004C021D" w:rsidRPr="000F35ED" w:rsidRDefault="004C021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9AB274" w14:textId="77777777" w:rsidR="004C021D" w:rsidRPr="000F35ED" w:rsidRDefault="004C021D" w:rsidP="000F35ED">
      <w:pPr>
        <w:rPr>
          <w:rFonts w:asciiTheme="majorHAnsi" w:hAnsiTheme="majorHAnsi"/>
          <w:sz w:val="16"/>
          <w:szCs w:val="16"/>
        </w:rPr>
      </w:pPr>
      <w:r w:rsidRPr="000F35ED">
        <w:rPr>
          <w:rFonts w:asciiTheme="majorHAnsi" w:hAnsiTheme="majorHAnsi"/>
          <w:sz w:val="16"/>
          <w:szCs w:val="16"/>
        </w:rPr>
        <w:separator/>
      </w:r>
    </w:p>
    <w:p w14:paraId="1ABCCA7C" w14:textId="77777777" w:rsidR="004C021D" w:rsidRPr="000F35ED" w:rsidRDefault="004C021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42A013" w14:textId="77777777" w:rsidR="004C021D" w:rsidRPr="000F35ED" w:rsidRDefault="004C021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4E6316" w14:textId="5B203F5F" w:rsidR="004A792A" w:rsidRPr="00E06DDF" w:rsidRDefault="004A792A" w:rsidP="004A792A">
      <w:pPr>
        <w:pStyle w:val="FootnoteText"/>
        <w:ind w:firstLine="720"/>
        <w:jc w:val="both"/>
        <w:rPr>
          <w:rFonts w:asciiTheme="majorHAnsi" w:hAnsiTheme="majorHAnsi"/>
          <w:sz w:val="16"/>
          <w:szCs w:val="16"/>
          <w:lang w:val="es-PA"/>
        </w:rPr>
      </w:pPr>
      <w:r w:rsidRPr="00E06DDF">
        <w:rPr>
          <w:rStyle w:val="FootnoteReference"/>
          <w:rFonts w:asciiTheme="majorHAnsi" w:hAnsiTheme="majorHAnsi"/>
          <w:sz w:val="16"/>
          <w:szCs w:val="16"/>
        </w:rPr>
        <w:footnoteRef/>
      </w:r>
      <w:r w:rsidRPr="00E06DDF">
        <w:rPr>
          <w:rFonts w:asciiTheme="majorHAnsi" w:hAnsiTheme="majorHAnsi"/>
          <w:sz w:val="16"/>
          <w:szCs w:val="16"/>
          <w:lang w:val="es-PA"/>
        </w:rPr>
        <w:t xml:space="preserve"> Al presentarse la petición también se listaba como abogado patrocinante a Edison Lanza</w:t>
      </w:r>
      <w:r w:rsidR="000C63D9" w:rsidRPr="00E06DDF">
        <w:rPr>
          <w:rFonts w:asciiTheme="majorHAnsi" w:hAnsiTheme="majorHAnsi"/>
          <w:sz w:val="16"/>
          <w:szCs w:val="16"/>
          <w:lang w:val="es-PA"/>
        </w:rPr>
        <w:t>,</w:t>
      </w:r>
      <w:r w:rsidRPr="00E06DDF">
        <w:rPr>
          <w:rFonts w:asciiTheme="majorHAnsi" w:hAnsiTheme="majorHAnsi"/>
          <w:sz w:val="16"/>
          <w:szCs w:val="16"/>
          <w:lang w:val="es-PA"/>
        </w:rPr>
        <w:t xml:space="preserve"> quien renunció a esta condición el 7 de agosto de 2014 tras ser designado Relator Especial para la Libertad de Expresión de la Comisión Interamericana de Derechos Humanos.</w:t>
      </w:r>
    </w:p>
  </w:footnote>
  <w:footnote w:id="3">
    <w:p w14:paraId="6FFE0F31" w14:textId="6B01A25E" w:rsidR="007B432F" w:rsidRPr="00E06DDF" w:rsidRDefault="007B432F" w:rsidP="00F46E7D">
      <w:pPr>
        <w:pStyle w:val="FootnoteText"/>
        <w:ind w:firstLine="720"/>
        <w:jc w:val="both"/>
        <w:rPr>
          <w:rFonts w:asciiTheme="majorHAnsi" w:hAnsiTheme="majorHAnsi"/>
          <w:sz w:val="16"/>
          <w:szCs w:val="16"/>
          <w:lang w:val="es-ES"/>
        </w:rPr>
      </w:pPr>
      <w:r w:rsidRPr="00E06DDF">
        <w:rPr>
          <w:rStyle w:val="FootnoteReference"/>
          <w:rFonts w:asciiTheme="majorHAnsi" w:hAnsiTheme="majorHAnsi"/>
          <w:sz w:val="16"/>
          <w:szCs w:val="16"/>
          <w:lang w:val="es-ES"/>
        </w:rPr>
        <w:footnoteRef/>
      </w:r>
      <w:r w:rsidR="002B4DA5" w:rsidRPr="00E06DDF">
        <w:rPr>
          <w:rFonts w:asciiTheme="majorHAnsi" w:hAnsiTheme="majorHAnsi"/>
          <w:sz w:val="16"/>
          <w:szCs w:val="16"/>
          <w:lang w:val="es-ES"/>
        </w:rPr>
        <w:t xml:space="preserve"> En </w:t>
      </w:r>
      <w:r w:rsidRPr="00E06DDF">
        <w:rPr>
          <w:rFonts w:asciiTheme="majorHAnsi" w:hAnsiTheme="majorHAnsi"/>
          <w:sz w:val="16"/>
          <w:szCs w:val="16"/>
          <w:lang w:val="es-ES"/>
        </w:rPr>
        <w:t>adelante “la Convención Americana” o “la Convención”.</w:t>
      </w:r>
    </w:p>
  </w:footnote>
  <w:footnote w:id="4">
    <w:p w14:paraId="0099B67A" w14:textId="77777777" w:rsidR="007B432F" w:rsidRPr="00E06DDF" w:rsidRDefault="007B432F" w:rsidP="00F46E7D">
      <w:pPr>
        <w:pStyle w:val="FootnoteText"/>
        <w:spacing w:after="120"/>
        <w:ind w:firstLine="720"/>
        <w:jc w:val="both"/>
        <w:rPr>
          <w:rFonts w:asciiTheme="majorHAnsi" w:hAnsiTheme="majorHAnsi"/>
          <w:sz w:val="16"/>
          <w:szCs w:val="16"/>
          <w:lang w:val="es-ES"/>
        </w:rPr>
      </w:pPr>
      <w:r w:rsidRPr="00E06DDF">
        <w:rPr>
          <w:rStyle w:val="FootnoteReference"/>
          <w:rFonts w:asciiTheme="majorHAnsi" w:hAnsiTheme="majorHAnsi"/>
          <w:sz w:val="16"/>
          <w:szCs w:val="16"/>
          <w:lang w:val="es-ES"/>
        </w:rPr>
        <w:footnoteRef/>
      </w:r>
      <w:r w:rsidRPr="00E06DDF">
        <w:rPr>
          <w:rFonts w:asciiTheme="majorHAnsi" w:hAnsiTheme="majorHAnsi"/>
          <w:sz w:val="16"/>
          <w:szCs w:val="16"/>
          <w:lang w:val="es-ES"/>
        </w:rPr>
        <w:t xml:space="preserve"> Las observaciones de cada parte fueron debidamente trasladadas a la parte contraria.</w:t>
      </w:r>
    </w:p>
  </w:footnote>
  <w:footnote w:id="5">
    <w:p w14:paraId="5FD05521" w14:textId="42C2CBA3" w:rsidR="00A57443" w:rsidRPr="00E06DDF" w:rsidRDefault="00A57443" w:rsidP="00A57443">
      <w:pPr>
        <w:pStyle w:val="FootnoteText"/>
        <w:ind w:firstLine="720"/>
        <w:jc w:val="both"/>
        <w:rPr>
          <w:rFonts w:asciiTheme="majorHAnsi" w:hAnsiTheme="majorHAnsi"/>
          <w:sz w:val="16"/>
          <w:szCs w:val="16"/>
          <w:lang w:val="es-PA"/>
        </w:rPr>
      </w:pPr>
      <w:r w:rsidRPr="00E06DDF">
        <w:rPr>
          <w:rStyle w:val="FootnoteReference"/>
          <w:rFonts w:asciiTheme="majorHAnsi" w:hAnsiTheme="majorHAnsi"/>
          <w:sz w:val="16"/>
          <w:szCs w:val="16"/>
        </w:rPr>
        <w:footnoteRef/>
      </w:r>
      <w:r w:rsidRPr="00E06DDF">
        <w:rPr>
          <w:rFonts w:asciiTheme="majorHAnsi" w:hAnsiTheme="majorHAnsi"/>
          <w:sz w:val="16"/>
          <w:szCs w:val="16"/>
          <w:lang w:val="es-PA"/>
        </w:rPr>
        <w:t xml:space="preserve"> La parte peticionaria </w:t>
      </w:r>
      <w:r w:rsidR="00FD6B45" w:rsidRPr="00E06DDF">
        <w:rPr>
          <w:rFonts w:asciiTheme="majorHAnsi" w:hAnsiTheme="majorHAnsi"/>
          <w:sz w:val="16"/>
          <w:szCs w:val="16"/>
          <w:lang w:val="es-PA"/>
        </w:rPr>
        <w:t xml:space="preserve">señala que la publicidad comparativa estaba expresamente permitida en Uruguay bajo la ley de Relaciones de Consumo y asevera que las publicaciones del Consorcio se ajustaban estrictamente a las disposiciones de esa ley. </w:t>
      </w:r>
    </w:p>
  </w:footnote>
  <w:footnote w:id="6">
    <w:p w14:paraId="53ACCB48" w14:textId="18A2DCB1" w:rsidR="00145309" w:rsidRPr="00E06DDF" w:rsidRDefault="00145309" w:rsidP="00363006">
      <w:pPr>
        <w:pStyle w:val="FootnoteText"/>
        <w:ind w:firstLine="720"/>
        <w:jc w:val="both"/>
        <w:rPr>
          <w:rFonts w:asciiTheme="majorHAnsi" w:hAnsiTheme="majorHAnsi"/>
          <w:sz w:val="16"/>
          <w:szCs w:val="16"/>
          <w:lang w:val="es-ES"/>
        </w:rPr>
      </w:pPr>
      <w:r w:rsidRPr="00E06DDF">
        <w:rPr>
          <w:rStyle w:val="FootnoteReference"/>
          <w:rFonts w:asciiTheme="majorHAnsi" w:hAnsiTheme="majorHAnsi"/>
          <w:sz w:val="16"/>
          <w:szCs w:val="16"/>
        </w:rPr>
        <w:footnoteRef/>
      </w:r>
      <w:r w:rsidRPr="00E06DDF">
        <w:rPr>
          <w:rFonts w:asciiTheme="majorHAnsi" w:hAnsiTheme="majorHAnsi"/>
          <w:sz w:val="16"/>
          <w:szCs w:val="16"/>
          <w:lang w:val="es-ES"/>
        </w:rPr>
        <w:t xml:space="preserve"> </w:t>
      </w:r>
      <w:r w:rsidR="008E3215" w:rsidRPr="00E06DDF">
        <w:rPr>
          <w:rFonts w:asciiTheme="majorHAnsi" w:hAnsiTheme="majorHAnsi" w:cs="Times"/>
          <w:sz w:val="16"/>
          <w:szCs w:val="16"/>
          <w:lang w:val="es-AR"/>
        </w:rPr>
        <w:t>CIDH, Informe Nº 40/05 (Inadmisibilidad), Petición 12.139, José Luis Forzanni Ballardo, Perú, 9 de marzo de 2005, párrs. 35 y 40. Otro precedente internacional relevante relativo a la importancia de distinguir entre los derechos de una persona jurídica y los de las personas naturales vinculadas a esta</w:t>
      </w:r>
      <w:r w:rsidR="00363006" w:rsidRPr="00E06DDF">
        <w:rPr>
          <w:rFonts w:asciiTheme="majorHAnsi" w:hAnsiTheme="majorHAnsi" w:cs="Times"/>
          <w:sz w:val="16"/>
          <w:szCs w:val="16"/>
          <w:lang w:val="es-AR"/>
        </w:rPr>
        <w:t xml:space="preserve">, a fin de establecer posibles violaciones a los derechos de las personas naturales, lo constituye la sentencia de la Corte Internacional de Justicia </w:t>
      </w:r>
      <w:r w:rsidR="00B37B9E" w:rsidRPr="00E06DDF">
        <w:rPr>
          <w:rFonts w:asciiTheme="majorHAnsi" w:hAnsiTheme="majorHAnsi" w:cs="Times"/>
          <w:sz w:val="16"/>
          <w:szCs w:val="16"/>
          <w:lang w:val="es-AR"/>
        </w:rPr>
        <w:t xml:space="preserve">en el caso de </w:t>
      </w:r>
      <w:r w:rsidR="00AE57DE" w:rsidRPr="00E06DDF">
        <w:rPr>
          <w:rFonts w:asciiTheme="majorHAnsi" w:hAnsiTheme="majorHAnsi" w:cs="Times"/>
          <w:sz w:val="16"/>
          <w:szCs w:val="16"/>
          <w:lang w:val="es-AR"/>
        </w:rPr>
        <w:t>Ahmadou Sadio Diallo (República de Guinea vs. Re</w:t>
      </w:r>
      <w:r w:rsidR="00211D4D" w:rsidRPr="00E06DDF">
        <w:rPr>
          <w:rFonts w:asciiTheme="majorHAnsi" w:hAnsiTheme="majorHAnsi" w:cs="Times"/>
          <w:sz w:val="16"/>
          <w:szCs w:val="16"/>
          <w:lang w:val="es-AR"/>
        </w:rPr>
        <w:t xml:space="preserve">pública Democrática del Congo) del 30 de noviembre de 2010. </w:t>
      </w:r>
      <w:r w:rsidR="00E06DDF" w:rsidRPr="00E06DDF">
        <w:rPr>
          <w:rFonts w:asciiTheme="majorHAnsi" w:hAnsiTheme="majorHAnsi" w:cs="Times"/>
          <w:sz w:val="16"/>
          <w:szCs w:val="16"/>
          <w:lang w:val="es-AR"/>
        </w:rPr>
        <w:t xml:space="preserve">Disponible en: </w:t>
      </w:r>
      <w:hyperlink r:id="rId1" w:history="1">
        <w:r w:rsidR="00E06DDF" w:rsidRPr="00CE0CFC">
          <w:rPr>
            <w:rStyle w:val="Hyperlink"/>
            <w:rFonts w:asciiTheme="majorHAnsi" w:hAnsiTheme="majorHAnsi"/>
            <w:sz w:val="16"/>
            <w:szCs w:val="16"/>
            <w:lang w:val="es-ES"/>
          </w:rPr>
          <w:t>103-20101130-JUD-01-00-EN.pdf (icj-cij.org)</w:t>
        </w:r>
      </w:hyperlink>
    </w:p>
  </w:footnote>
  <w:footnote w:id="7">
    <w:p w14:paraId="6106873B" w14:textId="65F902A7" w:rsidR="00FB12BE" w:rsidRPr="00E06DDF" w:rsidRDefault="00FB12BE" w:rsidP="00FF63E7">
      <w:pPr>
        <w:pStyle w:val="FootnoteText"/>
        <w:spacing w:after="120"/>
        <w:ind w:firstLine="720"/>
        <w:jc w:val="both"/>
        <w:rPr>
          <w:rFonts w:asciiTheme="majorHAnsi" w:hAnsiTheme="majorHAnsi"/>
          <w:sz w:val="16"/>
          <w:szCs w:val="16"/>
          <w:lang w:val="pt-BR"/>
        </w:rPr>
      </w:pPr>
      <w:r w:rsidRPr="00E06DDF">
        <w:rPr>
          <w:rStyle w:val="FootnoteReference"/>
          <w:rFonts w:asciiTheme="majorHAnsi" w:hAnsiTheme="majorHAnsi" w:cs="Times"/>
          <w:sz w:val="16"/>
          <w:szCs w:val="16"/>
        </w:rPr>
        <w:footnoteRef/>
      </w:r>
      <w:r w:rsidRPr="00E06DDF">
        <w:rPr>
          <w:rFonts w:asciiTheme="majorHAnsi" w:hAnsiTheme="majorHAnsi" w:cs="Times"/>
          <w:sz w:val="16"/>
          <w:szCs w:val="16"/>
          <w:vertAlign w:val="superscript"/>
          <w:lang w:val="es-AR"/>
        </w:rPr>
        <w:t xml:space="preserve"> </w:t>
      </w:r>
      <w:r w:rsidRPr="00E06DDF">
        <w:rPr>
          <w:rFonts w:asciiTheme="majorHAnsi" w:hAnsiTheme="majorHAnsi" w:cs="Times"/>
          <w:sz w:val="16"/>
          <w:szCs w:val="16"/>
          <w:lang w:val="es-AR"/>
        </w:rPr>
        <w:t xml:space="preserve">Los siguientes casos, entre otros:  </w:t>
      </w:r>
      <w:r w:rsidR="00E71C59" w:rsidRPr="00E06DDF">
        <w:rPr>
          <w:rFonts w:asciiTheme="majorHAnsi" w:hAnsiTheme="majorHAnsi"/>
          <w:sz w:val="16"/>
          <w:szCs w:val="16"/>
          <w:lang w:val="es-ES"/>
        </w:rPr>
        <w:t>CIDH, Informe No. 62/22. Petición 1096-12. Inadmisibilidad. Julio Carrizosa Mutis y familia (Corporación Grancolombiana de Ahorro y Vivienda. Colombia. 7 de marzo de 2022</w:t>
      </w:r>
      <w:r w:rsidR="00FF63E7" w:rsidRPr="00E06DDF">
        <w:rPr>
          <w:rFonts w:asciiTheme="majorHAnsi" w:hAnsiTheme="majorHAnsi"/>
          <w:sz w:val="16"/>
          <w:szCs w:val="16"/>
          <w:lang w:val="es-ES"/>
        </w:rPr>
        <w:t>, párrs. 14 y</w:t>
      </w:r>
      <w:r w:rsidR="00492396" w:rsidRPr="00E06DDF">
        <w:rPr>
          <w:rFonts w:asciiTheme="majorHAnsi" w:hAnsiTheme="majorHAnsi"/>
          <w:sz w:val="16"/>
          <w:szCs w:val="16"/>
          <w:lang w:val="es-ES"/>
        </w:rPr>
        <w:t xml:space="preserve"> </w:t>
      </w:r>
      <w:r w:rsidR="00FF63E7" w:rsidRPr="00E06DDF">
        <w:rPr>
          <w:rFonts w:asciiTheme="majorHAnsi" w:hAnsiTheme="majorHAnsi"/>
          <w:sz w:val="16"/>
          <w:szCs w:val="16"/>
          <w:lang w:val="es-ES"/>
        </w:rPr>
        <w:t xml:space="preserve">ss. </w:t>
      </w:r>
      <w:r w:rsidR="00F425A5" w:rsidRPr="00E06DDF">
        <w:rPr>
          <w:rFonts w:asciiTheme="majorHAnsi" w:hAnsiTheme="majorHAnsi" w:cs="Times"/>
          <w:sz w:val="16"/>
          <w:szCs w:val="16"/>
          <w:lang w:val="es-AR"/>
        </w:rPr>
        <w:t xml:space="preserve">CIDH, Informe Nº 40/05 (Inadmisibilidad), Petición 12.139, José Luis Forzanni Ballardo, Perú, 9 de marzo de 2005, párrs. 35 y 40. </w:t>
      </w:r>
      <w:r w:rsidRPr="00E06DDF">
        <w:rPr>
          <w:rFonts w:asciiTheme="majorHAnsi" w:hAnsiTheme="majorHAnsi" w:cs="Times"/>
          <w:sz w:val="16"/>
          <w:szCs w:val="16"/>
          <w:lang w:val="es-AR"/>
        </w:rPr>
        <w:t xml:space="preserve">CIDH, </w:t>
      </w:r>
      <w:r w:rsidRPr="00E06DDF">
        <w:rPr>
          <w:rFonts w:asciiTheme="majorHAnsi" w:hAnsiTheme="majorHAnsi" w:cs="Times"/>
          <w:i/>
          <w:sz w:val="16"/>
          <w:szCs w:val="16"/>
          <w:lang w:val="es-AR"/>
        </w:rPr>
        <w:t xml:space="preserve">Banco de Lima, </w:t>
      </w:r>
      <w:r w:rsidRPr="00E06DDF">
        <w:rPr>
          <w:rFonts w:asciiTheme="majorHAnsi" w:hAnsiTheme="majorHAnsi" w:cs="Times"/>
          <w:sz w:val="16"/>
          <w:szCs w:val="16"/>
          <w:lang w:val="es-AR"/>
        </w:rPr>
        <w:t xml:space="preserve">Informe N° 10/91, Caso 10.169, Perú, Informe Anual 1990-1991, p. 452 y sig.  </w:t>
      </w:r>
      <w:r w:rsidRPr="00617606">
        <w:rPr>
          <w:rFonts w:asciiTheme="majorHAnsi" w:hAnsiTheme="majorHAnsi" w:cs="Times"/>
          <w:sz w:val="16"/>
          <w:szCs w:val="16"/>
          <w:lang w:val="pt-BR"/>
        </w:rPr>
        <w:t xml:space="preserve">CIDH, </w:t>
      </w:r>
      <w:r w:rsidRPr="00617606">
        <w:rPr>
          <w:rFonts w:asciiTheme="majorHAnsi" w:hAnsiTheme="majorHAnsi" w:cs="Times"/>
          <w:i/>
          <w:sz w:val="16"/>
          <w:szCs w:val="16"/>
          <w:lang w:val="pt-BR"/>
        </w:rPr>
        <w:t xml:space="preserve">Tabacalera Boquerón, </w:t>
      </w:r>
      <w:r w:rsidRPr="00617606">
        <w:rPr>
          <w:rFonts w:asciiTheme="majorHAnsi" w:hAnsiTheme="majorHAnsi" w:cs="Times"/>
          <w:sz w:val="16"/>
          <w:szCs w:val="16"/>
          <w:lang w:val="pt-BR"/>
        </w:rPr>
        <w:t xml:space="preserve">Informe N° 47/97, Paraguay, Informe Anual 1997, p. 229 y sig.  </w:t>
      </w:r>
      <w:r w:rsidRPr="00E06DDF">
        <w:rPr>
          <w:rFonts w:asciiTheme="majorHAnsi" w:hAnsiTheme="majorHAnsi" w:cs="Times"/>
          <w:sz w:val="16"/>
          <w:szCs w:val="16"/>
          <w:lang w:val="pt-BR"/>
        </w:rPr>
        <w:t xml:space="preserve">CIDH, </w:t>
      </w:r>
      <w:r w:rsidRPr="00E06DDF">
        <w:rPr>
          <w:rFonts w:asciiTheme="majorHAnsi" w:hAnsiTheme="majorHAnsi" w:cs="Times"/>
          <w:i/>
          <w:sz w:val="16"/>
          <w:szCs w:val="16"/>
          <w:lang w:val="pt-BR"/>
        </w:rPr>
        <w:t>Mevopal, S.A.,</w:t>
      </w:r>
      <w:r w:rsidRPr="00E06DDF">
        <w:rPr>
          <w:rFonts w:asciiTheme="majorHAnsi" w:hAnsiTheme="majorHAnsi" w:cs="Times"/>
          <w:sz w:val="16"/>
          <w:szCs w:val="16"/>
          <w:lang w:val="pt-BR"/>
        </w:rPr>
        <w:t xml:space="preserve"> Informe N° 39/99, Argentina, Informe Anual 1999.  CIDH, </w:t>
      </w:r>
      <w:r w:rsidRPr="00E06DDF">
        <w:rPr>
          <w:rFonts w:asciiTheme="majorHAnsi" w:hAnsiTheme="majorHAnsi" w:cs="Times"/>
          <w:i/>
          <w:sz w:val="16"/>
          <w:szCs w:val="16"/>
          <w:lang w:val="pt-BR"/>
        </w:rPr>
        <w:t xml:space="preserve">Bernard Merens y Familia, </w:t>
      </w:r>
      <w:r w:rsidRPr="00E06DDF">
        <w:rPr>
          <w:rFonts w:asciiTheme="majorHAnsi" w:hAnsiTheme="majorHAnsi" w:cs="Times"/>
          <w:sz w:val="16"/>
          <w:szCs w:val="16"/>
          <w:lang w:val="pt-BR"/>
        </w:rPr>
        <w:t xml:space="preserve">Informe N° 103/99, Argentina, Informe Anual 1999.  CIDH, </w:t>
      </w:r>
      <w:r w:rsidRPr="00E06DDF">
        <w:rPr>
          <w:rFonts w:asciiTheme="majorHAnsi" w:hAnsiTheme="majorHAnsi" w:cs="Times"/>
          <w:i/>
          <w:sz w:val="16"/>
          <w:szCs w:val="16"/>
          <w:lang w:val="pt-BR"/>
        </w:rPr>
        <w:t>Bendeck- COHDINSA,</w:t>
      </w:r>
      <w:r w:rsidRPr="00E06DDF">
        <w:rPr>
          <w:rFonts w:asciiTheme="majorHAnsi" w:hAnsiTheme="majorHAnsi" w:cs="Times"/>
          <w:sz w:val="16"/>
          <w:szCs w:val="16"/>
          <w:lang w:val="pt-BR"/>
        </w:rPr>
        <w:t xml:space="preserve"> Informe N° 106/99, Honduras, Informe Anual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43D" w14:textId="77777777" w:rsidR="007B432F" w:rsidRDefault="007B432F" w:rsidP="007B43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A29244" w14:textId="77777777" w:rsidR="007B432F" w:rsidRDefault="007B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E1D5" w14:textId="77777777" w:rsidR="007B432F" w:rsidRDefault="007B432F" w:rsidP="00A50FCF">
    <w:pPr>
      <w:pStyle w:val="Header"/>
      <w:tabs>
        <w:tab w:val="clear" w:pos="4320"/>
        <w:tab w:val="clear" w:pos="8640"/>
      </w:tabs>
      <w:jc w:val="center"/>
      <w:rPr>
        <w:sz w:val="22"/>
        <w:szCs w:val="22"/>
      </w:rPr>
    </w:pPr>
    <w:r>
      <w:rPr>
        <w:noProof/>
        <w:sz w:val="22"/>
        <w:szCs w:val="22"/>
      </w:rPr>
      <w:drawing>
        <wp:inline distT="0" distB="0" distL="0" distR="0" wp14:anchorId="5AA4DB95" wp14:editId="0188C8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09B05" w14:textId="77777777" w:rsidR="007B432F" w:rsidRPr="00EC7D62" w:rsidRDefault="009A661A" w:rsidP="00A50FCF">
    <w:pPr>
      <w:pStyle w:val="Header"/>
      <w:tabs>
        <w:tab w:val="clear" w:pos="4320"/>
        <w:tab w:val="clear" w:pos="8640"/>
      </w:tabs>
      <w:jc w:val="center"/>
      <w:rPr>
        <w:sz w:val="22"/>
        <w:szCs w:val="22"/>
      </w:rPr>
    </w:pPr>
    <w:r>
      <w:rPr>
        <w:noProof/>
        <w:sz w:val="22"/>
        <w:szCs w:val="22"/>
        <w:bdr w:val="nil"/>
      </w:rPr>
      <w:pict w14:anchorId="7775745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3622844"/>
    <w:lvl w:ilvl="0" w:tplc="596E38EE">
      <w:start w:val="1"/>
      <w:numFmt w:val="decimal"/>
      <w:lvlText w:val="%1."/>
      <w:lvlJc w:val="left"/>
      <w:pPr>
        <w:tabs>
          <w:tab w:val="num" w:pos="810"/>
        </w:tabs>
        <w:ind w:left="90" w:firstLine="720"/>
      </w:pPr>
      <w:rPr>
        <w:rFonts w:hint="default"/>
        <w:b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09642697">
    <w:abstractNumId w:val="3"/>
  </w:num>
  <w:num w:numId="2" w16cid:durableId="1842042469">
    <w:abstractNumId w:val="5"/>
  </w:num>
  <w:num w:numId="3" w16cid:durableId="785612323">
    <w:abstractNumId w:val="50"/>
  </w:num>
  <w:num w:numId="4" w16cid:durableId="1092045669">
    <w:abstractNumId w:val="20"/>
  </w:num>
  <w:num w:numId="5" w16cid:durableId="1228031405">
    <w:abstractNumId w:val="44"/>
  </w:num>
  <w:num w:numId="6" w16cid:durableId="1136143467">
    <w:abstractNumId w:val="25"/>
  </w:num>
  <w:num w:numId="7" w16cid:durableId="1994679584">
    <w:abstractNumId w:val="6"/>
  </w:num>
  <w:num w:numId="8" w16cid:durableId="741564675">
    <w:abstractNumId w:val="16"/>
  </w:num>
  <w:num w:numId="9" w16cid:durableId="1623808286">
    <w:abstractNumId w:val="35"/>
  </w:num>
  <w:num w:numId="10" w16cid:durableId="1435243640">
    <w:abstractNumId w:val="39"/>
  </w:num>
  <w:num w:numId="11" w16cid:durableId="1422725534">
    <w:abstractNumId w:val="0"/>
  </w:num>
  <w:num w:numId="12" w16cid:durableId="129636955">
    <w:abstractNumId w:val="34"/>
  </w:num>
  <w:num w:numId="13" w16cid:durableId="653680225">
    <w:abstractNumId w:val="41"/>
  </w:num>
  <w:num w:numId="14" w16cid:durableId="1768652105">
    <w:abstractNumId w:val="1"/>
  </w:num>
  <w:num w:numId="15" w16cid:durableId="1879970876">
    <w:abstractNumId w:val="2"/>
  </w:num>
  <w:num w:numId="16" w16cid:durableId="2069911048">
    <w:abstractNumId w:val="7"/>
  </w:num>
  <w:num w:numId="17" w16cid:durableId="1142842432">
    <w:abstractNumId w:val="8"/>
  </w:num>
  <w:num w:numId="18" w16cid:durableId="449783252">
    <w:abstractNumId w:val="9"/>
  </w:num>
  <w:num w:numId="19" w16cid:durableId="2033875406">
    <w:abstractNumId w:val="10"/>
  </w:num>
  <w:num w:numId="20" w16cid:durableId="1847670543">
    <w:abstractNumId w:val="11"/>
  </w:num>
  <w:num w:numId="21" w16cid:durableId="286277814">
    <w:abstractNumId w:val="12"/>
  </w:num>
  <w:num w:numId="22" w16cid:durableId="226888626">
    <w:abstractNumId w:val="13"/>
  </w:num>
  <w:num w:numId="23" w16cid:durableId="1765026825">
    <w:abstractNumId w:val="14"/>
  </w:num>
  <w:num w:numId="24" w16cid:durableId="2141259543">
    <w:abstractNumId w:val="15"/>
  </w:num>
  <w:num w:numId="25" w16cid:durableId="1606302275">
    <w:abstractNumId w:val="17"/>
  </w:num>
  <w:num w:numId="26" w16cid:durableId="1374622738">
    <w:abstractNumId w:val="18"/>
  </w:num>
  <w:num w:numId="27" w16cid:durableId="1675449047">
    <w:abstractNumId w:val="21"/>
  </w:num>
  <w:num w:numId="28" w16cid:durableId="1914972545">
    <w:abstractNumId w:val="22"/>
  </w:num>
  <w:num w:numId="29" w16cid:durableId="1494908734">
    <w:abstractNumId w:val="23"/>
  </w:num>
  <w:num w:numId="30" w16cid:durableId="1691443470">
    <w:abstractNumId w:val="24"/>
  </w:num>
  <w:num w:numId="31" w16cid:durableId="241568414">
    <w:abstractNumId w:val="26"/>
  </w:num>
  <w:num w:numId="32" w16cid:durableId="1270284317">
    <w:abstractNumId w:val="27"/>
  </w:num>
  <w:num w:numId="33" w16cid:durableId="1850489053">
    <w:abstractNumId w:val="28"/>
  </w:num>
  <w:num w:numId="34" w16cid:durableId="1126895192">
    <w:abstractNumId w:val="29"/>
  </w:num>
  <w:num w:numId="35" w16cid:durableId="2059935118">
    <w:abstractNumId w:val="30"/>
  </w:num>
  <w:num w:numId="36" w16cid:durableId="1322662038">
    <w:abstractNumId w:val="31"/>
  </w:num>
  <w:num w:numId="37" w16cid:durableId="1741323256">
    <w:abstractNumId w:val="32"/>
  </w:num>
  <w:num w:numId="38" w16cid:durableId="796996663">
    <w:abstractNumId w:val="33"/>
  </w:num>
  <w:num w:numId="39" w16cid:durableId="1874683034">
    <w:abstractNumId w:val="36"/>
  </w:num>
  <w:num w:numId="40" w16cid:durableId="1465194188">
    <w:abstractNumId w:val="37"/>
  </w:num>
  <w:num w:numId="41" w16cid:durableId="1607956073">
    <w:abstractNumId w:val="43"/>
  </w:num>
  <w:num w:numId="42" w16cid:durableId="1397899924">
    <w:abstractNumId w:val="45"/>
  </w:num>
  <w:num w:numId="43" w16cid:durableId="1044476733">
    <w:abstractNumId w:val="46"/>
  </w:num>
  <w:num w:numId="44" w16cid:durableId="720982601">
    <w:abstractNumId w:val="48"/>
  </w:num>
  <w:num w:numId="45" w16cid:durableId="797184593">
    <w:abstractNumId w:val="49"/>
  </w:num>
  <w:num w:numId="46" w16cid:durableId="984773058">
    <w:abstractNumId w:val="51"/>
  </w:num>
  <w:num w:numId="47" w16cid:durableId="1575706015">
    <w:abstractNumId w:val="52"/>
  </w:num>
  <w:num w:numId="48" w16cid:durableId="562257939">
    <w:abstractNumId w:val="53"/>
  </w:num>
  <w:num w:numId="49" w16cid:durableId="1959526737">
    <w:abstractNumId w:val="54"/>
  </w:num>
  <w:num w:numId="50" w16cid:durableId="2140495475">
    <w:abstractNumId w:val="55"/>
  </w:num>
  <w:num w:numId="51" w16cid:durableId="1739743781">
    <w:abstractNumId w:val="19"/>
  </w:num>
  <w:num w:numId="52" w16cid:durableId="1979529851">
    <w:abstractNumId w:val="38"/>
  </w:num>
  <w:num w:numId="53" w16cid:durableId="282468400">
    <w:abstractNumId w:val="47"/>
  </w:num>
  <w:num w:numId="54" w16cid:durableId="1108814053">
    <w:abstractNumId w:val="42"/>
  </w:num>
  <w:num w:numId="55" w16cid:durableId="501049662">
    <w:abstractNumId w:val="4"/>
  </w:num>
  <w:num w:numId="56" w16cid:durableId="1465850525">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22B0"/>
    <w:rsid w:val="00003745"/>
    <w:rsid w:val="00006E1F"/>
    <w:rsid w:val="000070D7"/>
    <w:rsid w:val="000102F7"/>
    <w:rsid w:val="00010CBA"/>
    <w:rsid w:val="000140E5"/>
    <w:rsid w:val="00016B1B"/>
    <w:rsid w:val="0001788C"/>
    <w:rsid w:val="000206E3"/>
    <w:rsid w:val="00020D2E"/>
    <w:rsid w:val="000242EB"/>
    <w:rsid w:val="00024EB6"/>
    <w:rsid w:val="000252A6"/>
    <w:rsid w:val="00025880"/>
    <w:rsid w:val="0002692C"/>
    <w:rsid w:val="00026F52"/>
    <w:rsid w:val="00030A52"/>
    <w:rsid w:val="000337EF"/>
    <w:rsid w:val="000358E0"/>
    <w:rsid w:val="00037601"/>
    <w:rsid w:val="00040C3A"/>
    <w:rsid w:val="000419AD"/>
    <w:rsid w:val="000433C9"/>
    <w:rsid w:val="0004496A"/>
    <w:rsid w:val="00046280"/>
    <w:rsid w:val="000507A5"/>
    <w:rsid w:val="0005407A"/>
    <w:rsid w:val="00061FCB"/>
    <w:rsid w:val="00062DC3"/>
    <w:rsid w:val="000668A3"/>
    <w:rsid w:val="00067D40"/>
    <w:rsid w:val="000702B8"/>
    <w:rsid w:val="000716C5"/>
    <w:rsid w:val="00072B18"/>
    <w:rsid w:val="00075E23"/>
    <w:rsid w:val="00077DD7"/>
    <w:rsid w:val="00080029"/>
    <w:rsid w:val="000817A7"/>
    <w:rsid w:val="000822BC"/>
    <w:rsid w:val="000823F2"/>
    <w:rsid w:val="0009344A"/>
    <w:rsid w:val="000939A6"/>
    <w:rsid w:val="000945B4"/>
    <w:rsid w:val="00094F2C"/>
    <w:rsid w:val="00096C18"/>
    <w:rsid w:val="000A170E"/>
    <w:rsid w:val="000A392E"/>
    <w:rsid w:val="000A575F"/>
    <w:rsid w:val="000A7EB0"/>
    <w:rsid w:val="000B3B14"/>
    <w:rsid w:val="000B4D0C"/>
    <w:rsid w:val="000C1018"/>
    <w:rsid w:val="000C3683"/>
    <w:rsid w:val="000C3823"/>
    <w:rsid w:val="000C3B4B"/>
    <w:rsid w:val="000C63D9"/>
    <w:rsid w:val="000C7A43"/>
    <w:rsid w:val="000D10DB"/>
    <w:rsid w:val="000D4A50"/>
    <w:rsid w:val="000D5FC8"/>
    <w:rsid w:val="000D7384"/>
    <w:rsid w:val="000E41D0"/>
    <w:rsid w:val="000E5EB5"/>
    <w:rsid w:val="000E6070"/>
    <w:rsid w:val="000E69C6"/>
    <w:rsid w:val="000F35ED"/>
    <w:rsid w:val="000F55D1"/>
    <w:rsid w:val="000F5700"/>
    <w:rsid w:val="001019E8"/>
    <w:rsid w:val="001035DC"/>
    <w:rsid w:val="00104EE5"/>
    <w:rsid w:val="00107131"/>
    <w:rsid w:val="0010736F"/>
    <w:rsid w:val="0011089C"/>
    <w:rsid w:val="00113F73"/>
    <w:rsid w:val="00115429"/>
    <w:rsid w:val="00121CC2"/>
    <w:rsid w:val="00122DCB"/>
    <w:rsid w:val="0012346A"/>
    <w:rsid w:val="00124270"/>
    <w:rsid w:val="00133EE5"/>
    <w:rsid w:val="00134469"/>
    <w:rsid w:val="001353D0"/>
    <w:rsid w:val="00141E09"/>
    <w:rsid w:val="0014307E"/>
    <w:rsid w:val="00143A9E"/>
    <w:rsid w:val="00145309"/>
    <w:rsid w:val="00147F0C"/>
    <w:rsid w:val="00152D17"/>
    <w:rsid w:val="0015374A"/>
    <w:rsid w:val="0015460A"/>
    <w:rsid w:val="00155BDD"/>
    <w:rsid w:val="00164699"/>
    <w:rsid w:val="00165AA7"/>
    <w:rsid w:val="00167A34"/>
    <w:rsid w:val="00174EAD"/>
    <w:rsid w:val="00180E65"/>
    <w:rsid w:val="001811C0"/>
    <w:rsid w:val="001813BD"/>
    <w:rsid w:val="00183321"/>
    <w:rsid w:val="00186CC5"/>
    <w:rsid w:val="001874F6"/>
    <w:rsid w:val="00196E0B"/>
    <w:rsid w:val="001A1C10"/>
    <w:rsid w:val="001A4F9D"/>
    <w:rsid w:val="001A7870"/>
    <w:rsid w:val="001B0411"/>
    <w:rsid w:val="001B3A00"/>
    <w:rsid w:val="001B6187"/>
    <w:rsid w:val="001C012A"/>
    <w:rsid w:val="001C1B41"/>
    <w:rsid w:val="001D0F63"/>
    <w:rsid w:val="001D14C6"/>
    <w:rsid w:val="001D4F39"/>
    <w:rsid w:val="001D5096"/>
    <w:rsid w:val="001D65EF"/>
    <w:rsid w:val="001D7D40"/>
    <w:rsid w:val="001E49E7"/>
    <w:rsid w:val="001E6C78"/>
    <w:rsid w:val="001E716F"/>
    <w:rsid w:val="001F7201"/>
    <w:rsid w:val="001F727E"/>
    <w:rsid w:val="00201903"/>
    <w:rsid w:val="00201B1D"/>
    <w:rsid w:val="00203530"/>
    <w:rsid w:val="00204DDF"/>
    <w:rsid w:val="00205BBD"/>
    <w:rsid w:val="00205E91"/>
    <w:rsid w:val="002069E9"/>
    <w:rsid w:val="00210596"/>
    <w:rsid w:val="00211D4D"/>
    <w:rsid w:val="00213BA1"/>
    <w:rsid w:val="00215FA8"/>
    <w:rsid w:val="00217F25"/>
    <w:rsid w:val="00221165"/>
    <w:rsid w:val="00222DDF"/>
    <w:rsid w:val="00223972"/>
    <w:rsid w:val="00223A29"/>
    <w:rsid w:val="002245AE"/>
    <w:rsid w:val="00224B57"/>
    <w:rsid w:val="00224D7B"/>
    <w:rsid w:val="002250A3"/>
    <w:rsid w:val="002266E9"/>
    <w:rsid w:val="002318F3"/>
    <w:rsid w:val="002347D1"/>
    <w:rsid w:val="00235217"/>
    <w:rsid w:val="002368AE"/>
    <w:rsid w:val="00240898"/>
    <w:rsid w:val="002446A6"/>
    <w:rsid w:val="00244ED0"/>
    <w:rsid w:val="00246D1F"/>
    <w:rsid w:val="00247403"/>
    <w:rsid w:val="00247542"/>
    <w:rsid w:val="0025709A"/>
    <w:rsid w:val="002613C3"/>
    <w:rsid w:val="00264D82"/>
    <w:rsid w:val="00265356"/>
    <w:rsid w:val="00265E13"/>
    <w:rsid w:val="00266B61"/>
    <w:rsid w:val="0026712A"/>
    <w:rsid w:val="002704DB"/>
    <w:rsid w:val="00274908"/>
    <w:rsid w:val="00276C43"/>
    <w:rsid w:val="0028172E"/>
    <w:rsid w:val="00281AE4"/>
    <w:rsid w:val="00284FD9"/>
    <w:rsid w:val="002902E3"/>
    <w:rsid w:val="00290330"/>
    <w:rsid w:val="00290F24"/>
    <w:rsid w:val="002A0AAE"/>
    <w:rsid w:val="002A0E27"/>
    <w:rsid w:val="002A5820"/>
    <w:rsid w:val="002A70CC"/>
    <w:rsid w:val="002B1765"/>
    <w:rsid w:val="002B4DA5"/>
    <w:rsid w:val="002C124E"/>
    <w:rsid w:val="002C259B"/>
    <w:rsid w:val="002C3243"/>
    <w:rsid w:val="002C41DB"/>
    <w:rsid w:val="002D237F"/>
    <w:rsid w:val="002D2B26"/>
    <w:rsid w:val="002D303E"/>
    <w:rsid w:val="002D5195"/>
    <w:rsid w:val="002D5405"/>
    <w:rsid w:val="002D6148"/>
    <w:rsid w:val="002D7EA2"/>
    <w:rsid w:val="002E187C"/>
    <w:rsid w:val="002E2434"/>
    <w:rsid w:val="002E659C"/>
    <w:rsid w:val="002E7570"/>
    <w:rsid w:val="002E7644"/>
    <w:rsid w:val="002F1A39"/>
    <w:rsid w:val="002F2105"/>
    <w:rsid w:val="002F2185"/>
    <w:rsid w:val="002F3B80"/>
    <w:rsid w:val="00302733"/>
    <w:rsid w:val="00302AFC"/>
    <w:rsid w:val="00302C95"/>
    <w:rsid w:val="00304AE9"/>
    <w:rsid w:val="003106A1"/>
    <w:rsid w:val="003108C3"/>
    <w:rsid w:val="00310CED"/>
    <w:rsid w:val="00314078"/>
    <w:rsid w:val="0031535D"/>
    <w:rsid w:val="00317150"/>
    <w:rsid w:val="0032367D"/>
    <w:rsid w:val="003239B8"/>
    <w:rsid w:val="00323B00"/>
    <w:rsid w:val="00326A1A"/>
    <w:rsid w:val="00326CA0"/>
    <w:rsid w:val="0033169F"/>
    <w:rsid w:val="00332FA9"/>
    <w:rsid w:val="003354C7"/>
    <w:rsid w:val="00336D92"/>
    <w:rsid w:val="00337357"/>
    <w:rsid w:val="0033761F"/>
    <w:rsid w:val="003431D0"/>
    <w:rsid w:val="00344977"/>
    <w:rsid w:val="00346C95"/>
    <w:rsid w:val="00347757"/>
    <w:rsid w:val="0035082A"/>
    <w:rsid w:val="003508B1"/>
    <w:rsid w:val="003511CC"/>
    <w:rsid w:val="00356185"/>
    <w:rsid w:val="00360380"/>
    <w:rsid w:val="00363006"/>
    <w:rsid w:val="0037519E"/>
    <w:rsid w:val="003837F3"/>
    <w:rsid w:val="00383CD2"/>
    <w:rsid w:val="003845DE"/>
    <w:rsid w:val="00386CF0"/>
    <w:rsid w:val="00386EFD"/>
    <w:rsid w:val="00387B9F"/>
    <w:rsid w:val="00391977"/>
    <w:rsid w:val="003919D8"/>
    <w:rsid w:val="003922D4"/>
    <w:rsid w:val="00397262"/>
    <w:rsid w:val="003A2AC8"/>
    <w:rsid w:val="003A35EB"/>
    <w:rsid w:val="003A6905"/>
    <w:rsid w:val="003A7C2C"/>
    <w:rsid w:val="003B0937"/>
    <w:rsid w:val="003B70FB"/>
    <w:rsid w:val="003C27B1"/>
    <w:rsid w:val="003C2998"/>
    <w:rsid w:val="003C49FC"/>
    <w:rsid w:val="003C676B"/>
    <w:rsid w:val="003D250C"/>
    <w:rsid w:val="003D3BC2"/>
    <w:rsid w:val="003D3D37"/>
    <w:rsid w:val="003D606F"/>
    <w:rsid w:val="003E2897"/>
    <w:rsid w:val="003E3F6E"/>
    <w:rsid w:val="003E667E"/>
    <w:rsid w:val="003E6B50"/>
    <w:rsid w:val="003E6CA1"/>
    <w:rsid w:val="003F44D4"/>
    <w:rsid w:val="003F5952"/>
    <w:rsid w:val="0040077C"/>
    <w:rsid w:val="00402063"/>
    <w:rsid w:val="004065A8"/>
    <w:rsid w:val="004068CA"/>
    <w:rsid w:val="00413B6B"/>
    <w:rsid w:val="0041460E"/>
    <w:rsid w:val="004165C2"/>
    <w:rsid w:val="00417EF5"/>
    <w:rsid w:val="00420A41"/>
    <w:rsid w:val="00424707"/>
    <w:rsid w:val="00426574"/>
    <w:rsid w:val="00427CBD"/>
    <w:rsid w:val="00441ECB"/>
    <w:rsid w:val="00445193"/>
    <w:rsid w:val="00445912"/>
    <w:rsid w:val="004559D0"/>
    <w:rsid w:val="004564FF"/>
    <w:rsid w:val="004577AB"/>
    <w:rsid w:val="00461B24"/>
    <w:rsid w:val="00462981"/>
    <w:rsid w:val="00462C1B"/>
    <w:rsid w:val="00466608"/>
    <w:rsid w:val="00467B7E"/>
    <w:rsid w:val="00472858"/>
    <w:rsid w:val="00473BB4"/>
    <w:rsid w:val="00475223"/>
    <w:rsid w:val="00477592"/>
    <w:rsid w:val="00481025"/>
    <w:rsid w:val="00486F1C"/>
    <w:rsid w:val="00487B1D"/>
    <w:rsid w:val="00491C7D"/>
    <w:rsid w:val="00492396"/>
    <w:rsid w:val="0049419D"/>
    <w:rsid w:val="004A00B6"/>
    <w:rsid w:val="004A16F7"/>
    <w:rsid w:val="004A199E"/>
    <w:rsid w:val="004A6A54"/>
    <w:rsid w:val="004A792A"/>
    <w:rsid w:val="004B4C99"/>
    <w:rsid w:val="004C021D"/>
    <w:rsid w:val="004C029D"/>
    <w:rsid w:val="004C0967"/>
    <w:rsid w:val="004C20D2"/>
    <w:rsid w:val="004C2312"/>
    <w:rsid w:val="004C4B62"/>
    <w:rsid w:val="004C5268"/>
    <w:rsid w:val="004C54C9"/>
    <w:rsid w:val="004D4ABA"/>
    <w:rsid w:val="004D58A1"/>
    <w:rsid w:val="004D6025"/>
    <w:rsid w:val="004D7042"/>
    <w:rsid w:val="004E1931"/>
    <w:rsid w:val="004E2649"/>
    <w:rsid w:val="004E3158"/>
    <w:rsid w:val="004E3780"/>
    <w:rsid w:val="004F6F5B"/>
    <w:rsid w:val="00501103"/>
    <w:rsid w:val="00501399"/>
    <w:rsid w:val="005019FA"/>
    <w:rsid w:val="00501E31"/>
    <w:rsid w:val="00505C94"/>
    <w:rsid w:val="0050633D"/>
    <w:rsid w:val="00506991"/>
    <w:rsid w:val="00506FE1"/>
    <w:rsid w:val="00507BC4"/>
    <w:rsid w:val="005128E4"/>
    <w:rsid w:val="005133DB"/>
    <w:rsid w:val="005209DF"/>
    <w:rsid w:val="005213F7"/>
    <w:rsid w:val="00521D90"/>
    <w:rsid w:val="0052477F"/>
    <w:rsid w:val="0052523B"/>
    <w:rsid w:val="00525560"/>
    <w:rsid w:val="00525ADC"/>
    <w:rsid w:val="00525B02"/>
    <w:rsid w:val="00525C7E"/>
    <w:rsid w:val="005261FD"/>
    <w:rsid w:val="00533A27"/>
    <w:rsid w:val="00533F4E"/>
    <w:rsid w:val="00536BE5"/>
    <w:rsid w:val="005370B8"/>
    <w:rsid w:val="005412FC"/>
    <w:rsid w:val="00542777"/>
    <w:rsid w:val="00544C49"/>
    <w:rsid w:val="005516A1"/>
    <w:rsid w:val="005537FF"/>
    <w:rsid w:val="00553D15"/>
    <w:rsid w:val="0055668D"/>
    <w:rsid w:val="0055700A"/>
    <w:rsid w:val="005570D0"/>
    <w:rsid w:val="00560224"/>
    <w:rsid w:val="00560D72"/>
    <w:rsid w:val="00563207"/>
    <w:rsid w:val="00563557"/>
    <w:rsid w:val="00566277"/>
    <w:rsid w:val="00571863"/>
    <w:rsid w:val="00572011"/>
    <w:rsid w:val="0057402A"/>
    <w:rsid w:val="00576ADD"/>
    <w:rsid w:val="005771D0"/>
    <w:rsid w:val="00577E88"/>
    <w:rsid w:val="00584FE8"/>
    <w:rsid w:val="00587759"/>
    <w:rsid w:val="0059191A"/>
    <w:rsid w:val="005921FF"/>
    <w:rsid w:val="00593FBA"/>
    <w:rsid w:val="00595D00"/>
    <w:rsid w:val="005A1426"/>
    <w:rsid w:val="005A24ED"/>
    <w:rsid w:val="005A6392"/>
    <w:rsid w:val="005A6D0E"/>
    <w:rsid w:val="005B00C0"/>
    <w:rsid w:val="005B2A1E"/>
    <w:rsid w:val="005B474D"/>
    <w:rsid w:val="005B52B0"/>
    <w:rsid w:val="005B6806"/>
    <w:rsid w:val="005C2B5C"/>
    <w:rsid w:val="005C4225"/>
    <w:rsid w:val="005C452A"/>
    <w:rsid w:val="005C6CE1"/>
    <w:rsid w:val="005E5A30"/>
    <w:rsid w:val="005E7D48"/>
    <w:rsid w:val="005F0DAD"/>
    <w:rsid w:val="005F0F33"/>
    <w:rsid w:val="005F17BD"/>
    <w:rsid w:val="005F2EE5"/>
    <w:rsid w:val="005F4BA7"/>
    <w:rsid w:val="005F56A5"/>
    <w:rsid w:val="005F5881"/>
    <w:rsid w:val="005F7E27"/>
    <w:rsid w:val="00600DEB"/>
    <w:rsid w:val="00601E66"/>
    <w:rsid w:val="006030CA"/>
    <w:rsid w:val="006051FA"/>
    <w:rsid w:val="00607C65"/>
    <w:rsid w:val="00607FBC"/>
    <w:rsid w:val="00617606"/>
    <w:rsid w:val="006202EB"/>
    <w:rsid w:val="0062156D"/>
    <w:rsid w:val="00627C60"/>
    <w:rsid w:val="00627C9F"/>
    <w:rsid w:val="006311E9"/>
    <w:rsid w:val="00631494"/>
    <w:rsid w:val="00632354"/>
    <w:rsid w:val="00636973"/>
    <w:rsid w:val="00642810"/>
    <w:rsid w:val="00645495"/>
    <w:rsid w:val="00650AE7"/>
    <w:rsid w:val="00651459"/>
    <w:rsid w:val="00651F93"/>
    <w:rsid w:val="00652333"/>
    <w:rsid w:val="006529B1"/>
    <w:rsid w:val="00660A6F"/>
    <w:rsid w:val="00666AD2"/>
    <w:rsid w:val="00671AA7"/>
    <w:rsid w:val="006776B3"/>
    <w:rsid w:val="0068009E"/>
    <w:rsid w:val="00681112"/>
    <w:rsid w:val="0068341E"/>
    <w:rsid w:val="00685F59"/>
    <w:rsid w:val="00687DBA"/>
    <w:rsid w:val="00692219"/>
    <w:rsid w:val="0069280E"/>
    <w:rsid w:val="00693B2F"/>
    <w:rsid w:val="00693D33"/>
    <w:rsid w:val="006950F1"/>
    <w:rsid w:val="00695A73"/>
    <w:rsid w:val="00695EA2"/>
    <w:rsid w:val="006A17D2"/>
    <w:rsid w:val="006A199F"/>
    <w:rsid w:val="006A4149"/>
    <w:rsid w:val="006A73E6"/>
    <w:rsid w:val="006A78A1"/>
    <w:rsid w:val="006B2521"/>
    <w:rsid w:val="006B2D5C"/>
    <w:rsid w:val="006C119B"/>
    <w:rsid w:val="006C4EB1"/>
    <w:rsid w:val="006C718C"/>
    <w:rsid w:val="006D0259"/>
    <w:rsid w:val="006D04D8"/>
    <w:rsid w:val="006D0E64"/>
    <w:rsid w:val="006D1739"/>
    <w:rsid w:val="006D4A18"/>
    <w:rsid w:val="006D5379"/>
    <w:rsid w:val="006D6BE3"/>
    <w:rsid w:val="006E0166"/>
    <w:rsid w:val="006E0A3E"/>
    <w:rsid w:val="006E49C3"/>
    <w:rsid w:val="006E6CB2"/>
    <w:rsid w:val="006E716E"/>
    <w:rsid w:val="006E7486"/>
    <w:rsid w:val="006E7B34"/>
    <w:rsid w:val="006F09C2"/>
    <w:rsid w:val="006F1BA9"/>
    <w:rsid w:val="006F289D"/>
    <w:rsid w:val="006F3F0E"/>
    <w:rsid w:val="006F45AF"/>
    <w:rsid w:val="006F52FE"/>
    <w:rsid w:val="006F67D4"/>
    <w:rsid w:val="007010B4"/>
    <w:rsid w:val="007027FA"/>
    <w:rsid w:val="007043D2"/>
    <w:rsid w:val="0070697F"/>
    <w:rsid w:val="007167B2"/>
    <w:rsid w:val="0072199C"/>
    <w:rsid w:val="00722C9F"/>
    <w:rsid w:val="00723684"/>
    <w:rsid w:val="00723691"/>
    <w:rsid w:val="007242E1"/>
    <w:rsid w:val="007253B8"/>
    <w:rsid w:val="00730D1F"/>
    <w:rsid w:val="0073426D"/>
    <w:rsid w:val="00735536"/>
    <w:rsid w:val="0073741F"/>
    <w:rsid w:val="00743CB3"/>
    <w:rsid w:val="00744C50"/>
    <w:rsid w:val="00746B6A"/>
    <w:rsid w:val="00752471"/>
    <w:rsid w:val="00755975"/>
    <w:rsid w:val="00755EC3"/>
    <w:rsid w:val="00761BDF"/>
    <w:rsid w:val="0076643F"/>
    <w:rsid w:val="007678E0"/>
    <w:rsid w:val="0077632B"/>
    <w:rsid w:val="00777F63"/>
    <w:rsid w:val="00781E9D"/>
    <w:rsid w:val="007879C8"/>
    <w:rsid w:val="007976D9"/>
    <w:rsid w:val="00797793"/>
    <w:rsid w:val="007A2C4F"/>
    <w:rsid w:val="007A49EF"/>
    <w:rsid w:val="007A5817"/>
    <w:rsid w:val="007A73B1"/>
    <w:rsid w:val="007A7B1F"/>
    <w:rsid w:val="007B05C4"/>
    <w:rsid w:val="007B38BB"/>
    <w:rsid w:val="007B432F"/>
    <w:rsid w:val="007B60E9"/>
    <w:rsid w:val="007B66AF"/>
    <w:rsid w:val="007B6CC3"/>
    <w:rsid w:val="007B6E82"/>
    <w:rsid w:val="007B76D3"/>
    <w:rsid w:val="007C3334"/>
    <w:rsid w:val="007D163A"/>
    <w:rsid w:val="007D280A"/>
    <w:rsid w:val="007D2B98"/>
    <w:rsid w:val="007D6F77"/>
    <w:rsid w:val="007D7671"/>
    <w:rsid w:val="007E092A"/>
    <w:rsid w:val="007E21BC"/>
    <w:rsid w:val="007E27D2"/>
    <w:rsid w:val="007E5646"/>
    <w:rsid w:val="007E5F92"/>
    <w:rsid w:val="007E7C82"/>
    <w:rsid w:val="007F0BBB"/>
    <w:rsid w:val="007F2555"/>
    <w:rsid w:val="007F3AE1"/>
    <w:rsid w:val="007F588D"/>
    <w:rsid w:val="007F63D8"/>
    <w:rsid w:val="008011FB"/>
    <w:rsid w:val="0080124B"/>
    <w:rsid w:val="00801720"/>
    <w:rsid w:val="00803F1C"/>
    <w:rsid w:val="00805CE3"/>
    <w:rsid w:val="0080600E"/>
    <w:rsid w:val="00806058"/>
    <w:rsid w:val="00806321"/>
    <w:rsid w:val="00807092"/>
    <w:rsid w:val="0081107E"/>
    <w:rsid w:val="00813ADC"/>
    <w:rsid w:val="00813EC3"/>
    <w:rsid w:val="00814A2D"/>
    <w:rsid w:val="0081723E"/>
    <w:rsid w:val="00817612"/>
    <w:rsid w:val="008254E4"/>
    <w:rsid w:val="00825A2F"/>
    <w:rsid w:val="00830813"/>
    <w:rsid w:val="00831901"/>
    <w:rsid w:val="008338A4"/>
    <w:rsid w:val="00834D49"/>
    <w:rsid w:val="00837C45"/>
    <w:rsid w:val="00841063"/>
    <w:rsid w:val="00843EB7"/>
    <w:rsid w:val="008441BD"/>
    <w:rsid w:val="00844730"/>
    <w:rsid w:val="00844AE5"/>
    <w:rsid w:val="00844E48"/>
    <w:rsid w:val="008457C2"/>
    <w:rsid w:val="0084703A"/>
    <w:rsid w:val="00851B41"/>
    <w:rsid w:val="00851F7F"/>
    <w:rsid w:val="008567BE"/>
    <w:rsid w:val="00857A82"/>
    <w:rsid w:val="00860107"/>
    <w:rsid w:val="0086016B"/>
    <w:rsid w:val="008613C7"/>
    <w:rsid w:val="00861733"/>
    <w:rsid w:val="00863DA8"/>
    <w:rsid w:val="00873836"/>
    <w:rsid w:val="00876F1B"/>
    <w:rsid w:val="00882F28"/>
    <w:rsid w:val="008831C8"/>
    <w:rsid w:val="0088481B"/>
    <w:rsid w:val="00885737"/>
    <w:rsid w:val="0088791A"/>
    <w:rsid w:val="00890650"/>
    <w:rsid w:val="008911F7"/>
    <w:rsid w:val="00891834"/>
    <w:rsid w:val="00892758"/>
    <w:rsid w:val="00893CD3"/>
    <w:rsid w:val="00893D97"/>
    <w:rsid w:val="00895D7C"/>
    <w:rsid w:val="00896822"/>
    <w:rsid w:val="00897E12"/>
    <w:rsid w:val="008A08BA"/>
    <w:rsid w:val="008A1039"/>
    <w:rsid w:val="008A20C1"/>
    <w:rsid w:val="008A3F7C"/>
    <w:rsid w:val="008A5316"/>
    <w:rsid w:val="008A5732"/>
    <w:rsid w:val="008A7E0F"/>
    <w:rsid w:val="008B12F5"/>
    <w:rsid w:val="008B1A35"/>
    <w:rsid w:val="008B3041"/>
    <w:rsid w:val="008B7BEE"/>
    <w:rsid w:val="008C1D70"/>
    <w:rsid w:val="008C63AD"/>
    <w:rsid w:val="008D18FA"/>
    <w:rsid w:val="008D1EA6"/>
    <w:rsid w:val="008D4C7A"/>
    <w:rsid w:val="008D68A4"/>
    <w:rsid w:val="008D768D"/>
    <w:rsid w:val="008E250D"/>
    <w:rsid w:val="008E3215"/>
    <w:rsid w:val="008E3759"/>
    <w:rsid w:val="008E3BFE"/>
    <w:rsid w:val="008E65DA"/>
    <w:rsid w:val="008F1912"/>
    <w:rsid w:val="008F236F"/>
    <w:rsid w:val="00900E37"/>
    <w:rsid w:val="0090270B"/>
    <w:rsid w:val="009041DC"/>
    <w:rsid w:val="00904406"/>
    <w:rsid w:val="0090558F"/>
    <w:rsid w:val="00911CBF"/>
    <w:rsid w:val="0091654D"/>
    <w:rsid w:val="00917B5A"/>
    <w:rsid w:val="00920A58"/>
    <w:rsid w:val="00920A8C"/>
    <w:rsid w:val="00931A73"/>
    <w:rsid w:val="0093268A"/>
    <w:rsid w:val="00934A2C"/>
    <w:rsid w:val="00935881"/>
    <w:rsid w:val="00935DC2"/>
    <w:rsid w:val="009428CE"/>
    <w:rsid w:val="00943AF0"/>
    <w:rsid w:val="00952BB1"/>
    <w:rsid w:val="00953A14"/>
    <w:rsid w:val="00953AA9"/>
    <w:rsid w:val="0095461E"/>
    <w:rsid w:val="009562EA"/>
    <w:rsid w:val="00960052"/>
    <w:rsid w:val="009631F3"/>
    <w:rsid w:val="009649CA"/>
    <w:rsid w:val="0096580D"/>
    <w:rsid w:val="0096706E"/>
    <w:rsid w:val="00970131"/>
    <w:rsid w:val="009707BF"/>
    <w:rsid w:val="009728E1"/>
    <w:rsid w:val="00974491"/>
    <w:rsid w:val="009758CC"/>
    <w:rsid w:val="00975C4E"/>
    <w:rsid w:val="00977219"/>
    <w:rsid w:val="0098038D"/>
    <w:rsid w:val="00981FBA"/>
    <w:rsid w:val="00985691"/>
    <w:rsid w:val="0098622D"/>
    <w:rsid w:val="00992A16"/>
    <w:rsid w:val="00997BC5"/>
    <w:rsid w:val="009A4F41"/>
    <w:rsid w:val="009A570C"/>
    <w:rsid w:val="009A6176"/>
    <w:rsid w:val="009A661A"/>
    <w:rsid w:val="009B381B"/>
    <w:rsid w:val="009B3CA2"/>
    <w:rsid w:val="009B726B"/>
    <w:rsid w:val="009C02AA"/>
    <w:rsid w:val="009C0936"/>
    <w:rsid w:val="009C2D29"/>
    <w:rsid w:val="009C337F"/>
    <w:rsid w:val="009C470B"/>
    <w:rsid w:val="009C6323"/>
    <w:rsid w:val="009D0293"/>
    <w:rsid w:val="009D1753"/>
    <w:rsid w:val="009D2BC7"/>
    <w:rsid w:val="009D3DFE"/>
    <w:rsid w:val="009D3E72"/>
    <w:rsid w:val="009D474D"/>
    <w:rsid w:val="009D4942"/>
    <w:rsid w:val="009D54B3"/>
    <w:rsid w:val="009D5FDD"/>
    <w:rsid w:val="009D6E48"/>
    <w:rsid w:val="009D7611"/>
    <w:rsid w:val="009E0B61"/>
    <w:rsid w:val="009E53DE"/>
    <w:rsid w:val="009F19BB"/>
    <w:rsid w:val="009F221C"/>
    <w:rsid w:val="009F75F3"/>
    <w:rsid w:val="009F7830"/>
    <w:rsid w:val="00A00523"/>
    <w:rsid w:val="00A00ED0"/>
    <w:rsid w:val="00A01704"/>
    <w:rsid w:val="00A01BE4"/>
    <w:rsid w:val="00A05E9E"/>
    <w:rsid w:val="00A0696A"/>
    <w:rsid w:val="00A11212"/>
    <w:rsid w:val="00A11E44"/>
    <w:rsid w:val="00A12929"/>
    <w:rsid w:val="00A15285"/>
    <w:rsid w:val="00A1615F"/>
    <w:rsid w:val="00A16552"/>
    <w:rsid w:val="00A30762"/>
    <w:rsid w:val="00A315B9"/>
    <w:rsid w:val="00A328B3"/>
    <w:rsid w:val="00A35682"/>
    <w:rsid w:val="00A3579B"/>
    <w:rsid w:val="00A4095B"/>
    <w:rsid w:val="00A41605"/>
    <w:rsid w:val="00A43091"/>
    <w:rsid w:val="00A506DA"/>
    <w:rsid w:val="00A50FCF"/>
    <w:rsid w:val="00A528D1"/>
    <w:rsid w:val="00A54205"/>
    <w:rsid w:val="00A57443"/>
    <w:rsid w:val="00A603E4"/>
    <w:rsid w:val="00A610CD"/>
    <w:rsid w:val="00A61158"/>
    <w:rsid w:val="00A619A7"/>
    <w:rsid w:val="00A637C2"/>
    <w:rsid w:val="00A65A69"/>
    <w:rsid w:val="00A758AA"/>
    <w:rsid w:val="00A75B5A"/>
    <w:rsid w:val="00A75C79"/>
    <w:rsid w:val="00A76C2A"/>
    <w:rsid w:val="00A83321"/>
    <w:rsid w:val="00A86F50"/>
    <w:rsid w:val="00A878D8"/>
    <w:rsid w:val="00A91D8C"/>
    <w:rsid w:val="00A97DD2"/>
    <w:rsid w:val="00AA09A2"/>
    <w:rsid w:val="00AA4994"/>
    <w:rsid w:val="00AA4E84"/>
    <w:rsid w:val="00AA5D41"/>
    <w:rsid w:val="00AA710A"/>
    <w:rsid w:val="00AA7996"/>
    <w:rsid w:val="00AB4358"/>
    <w:rsid w:val="00AB46D2"/>
    <w:rsid w:val="00AB5F53"/>
    <w:rsid w:val="00AC1371"/>
    <w:rsid w:val="00AC19CB"/>
    <w:rsid w:val="00AC2206"/>
    <w:rsid w:val="00AC3D59"/>
    <w:rsid w:val="00AC48E6"/>
    <w:rsid w:val="00AC4CDC"/>
    <w:rsid w:val="00AD2B4B"/>
    <w:rsid w:val="00AD2FC0"/>
    <w:rsid w:val="00AD3A1B"/>
    <w:rsid w:val="00AD54F9"/>
    <w:rsid w:val="00AE06B9"/>
    <w:rsid w:val="00AE1297"/>
    <w:rsid w:val="00AE19AB"/>
    <w:rsid w:val="00AE1CC8"/>
    <w:rsid w:val="00AE5488"/>
    <w:rsid w:val="00AE57DE"/>
    <w:rsid w:val="00AE6F91"/>
    <w:rsid w:val="00AF05D1"/>
    <w:rsid w:val="00AF0ADF"/>
    <w:rsid w:val="00AF18C8"/>
    <w:rsid w:val="00AF5571"/>
    <w:rsid w:val="00B0079C"/>
    <w:rsid w:val="00B01817"/>
    <w:rsid w:val="00B026FA"/>
    <w:rsid w:val="00B0620D"/>
    <w:rsid w:val="00B07341"/>
    <w:rsid w:val="00B15607"/>
    <w:rsid w:val="00B16E84"/>
    <w:rsid w:val="00B21849"/>
    <w:rsid w:val="00B21982"/>
    <w:rsid w:val="00B25E8F"/>
    <w:rsid w:val="00B30539"/>
    <w:rsid w:val="00B312E4"/>
    <w:rsid w:val="00B314DB"/>
    <w:rsid w:val="00B361F2"/>
    <w:rsid w:val="00B36213"/>
    <w:rsid w:val="00B3718B"/>
    <w:rsid w:val="00B37B9E"/>
    <w:rsid w:val="00B40BC6"/>
    <w:rsid w:val="00B434C3"/>
    <w:rsid w:val="00B4632A"/>
    <w:rsid w:val="00B466F3"/>
    <w:rsid w:val="00B4757B"/>
    <w:rsid w:val="00B50027"/>
    <w:rsid w:val="00B530F1"/>
    <w:rsid w:val="00B57599"/>
    <w:rsid w:val="00B608B6"/>
    <w:rsid w:val="00B620DC"/>
    <w:rsid w:val="00B6300E"/>
    <w:rsid w:val="00B644C6"/>
    <w:rsid w:val="00B659B2"/>
    <w:rsid w:val="00B7224D"/>
    <w:rsid w:val="00B73F99"/>
    <w:rsid w:val="00B76C35"/>
    <w:rsid w:val="00B77EF6"/>
    <w:rsid w:val="00B84713"/>
    <w:rsid w:val="00B866EA"/>
    <w:rsid w:val="00B927EA"/>
    <w:rsid w:val="00B97870"/>
    <w:rsid w:val="00BA15D7"/>
    <w:rsid w:val="00BA276C"/>
    <w:rsid w:val="00BB0041"/>
    <w:rsid w:val="00BB306F"/>
    <w:rsid w:val="00BB61CD"/>
    <w:rsid w:val="00BB61D0"/>
    <w:rsid w:val="00BC353D"/>
    <w:rsid w:val="00BC366C"/>
    <w:rsid w:val="00BC7D91"/>
    <w:rsid w:val="00BD4B89"/>
    <w:rsid w:val="00BD5922"/>
    <w:rsid w:val="00BD70DF"/>
    <w:rsid w:val="00BE4E90"/>
    <w:rsid w:val="00BE69F5"/>
    <w:rsid w:val="00BF02CB"/>
    <w:rsid w:val="00BF2659"/>
    <w:rsid w:val="00BF31E1"/>
    <w:rsid w:val="00BF5406"/>
    <w:rsid w:val="00BF6FD8"/>
    <w:rsid w:val="00C03680"/>
    <w:rsid w:val="00C054DF"/>
    <w:rsid w:val="00C05E0E"/>
    <w:rsid w:val="00C15B4B"/>
    <w:rsid w:val="00C213A9"/>
    <w:rsid w:val="00C21762"/>
    <w:rsid w:val="00C21FEF"/>
    <w:rsid w:val="00C2394C"/>
    <w:rsid w:val="00C2407B"/>
    <w:rsid w:val="00C242B4"/>
    <w:rsid w:val="00C24543"/>
    <w:rsid w:val="00C24909"/>
    <w:rsid w:val="00C2542B"/>
    <w:rsid w:val="00C256A2"/>
    <w:rsid w:val="00C26F4F"/>
    <w:rsid w:val="00C272F3"/>
    <w:rsid w:val="00C334F3"/>
    <w:rsid w:val="00C40E7B"/>
    <w:rsid w:val="00C4104D"/>
    <w:rsid w:val="00C412A8"/>
    <w:rsid w:val="00C4280F"/>
    <w:rsid w:val="00C43F55"/>
    <w:rsid w:val="00C44893"/>
    <w:rsid w:val="00C44D2B"/>
    <w:rsid w:val="00C45184"/>
    <w:rsid w:val="00C46BE9"/>
    <w:rsid w:val="00C51515"/>
    <w:rsid w:val="00C51F4F"/>
    <w:rsid w:val="00C524AB"/>
    <w:rsid w:val="00C52906"/>
    <w:rsid w:val="00C535F5"/>
    <w:rsid w:val="00C547CF"/>
    <w:rsid w:val="00C55F74"/>
    <w:rsid w:val="00C5660B"/>
    <w:rsid w:val="00C57114"/>
    <w:rsid w:val="00C61728"/>
    <w:rsid w:val="00C66B72"/>
    <w:rsid w:val="00C67FCC"/>
    <w:rsid w:val="00C703C2"/>
    <w:rsid w:val="00C707FC"/>
    <w:rsid w:val="00C726D8"/>
    <w:rsid w:val="00C75034"/>
    <w:rsid w:val="00C76FCF"/>
    <w:rsid w:val="00C77B9A"/>
    <w:rsid w:val="00C81191"/>
    <w:rsid w:val="00C87281"/>
    <w:rsid w:val="00C87AC4"/>
    <w:rsid w:val="00C92E0A"/>
    <w:rsid w:val="00C948DE"/>
    <w:rsid w:val="00C9567A"/>
    <w:rsid w:val="00C95B4F"/>
    <w:rsid w:val="00CA3704"/>
    <w:rsid w:val="00CA5A71"/>
    <w:rsid w:val="00CA71FF"/>
    <w:rsid w:val="00CB212D"/>
    <w:rsid w:val="00CB2660"/>
    <w:rsid w:val="00CB3E8D"/>
    <w:rsid w:val="00CB48A4"/>
    <w:rsid w:val="00CC49C5"/>
    <w:rsid w:val="00CC5E90"/>
    <w:rsid w:val="00CC65BC"/>
    <w:rsid w:val="00CC73B6"/>
    <w:rsid w:val="00CD046C"/>
    <w:rsid w:val="00CD04ED"/>
    <w:rsid w:val="00CD5784"/>
    <w:rsid w:val="00CE01E2"/>
    <w:rsid w:val="00CE076C"/>
    <w:rsid w:val="00CE0CFC"/>
    <w:rsid w:val="00CE23B5"/>
    <w:rsid w:val="00CE30BC"/>
    <w:rsid w:val="00CE5199"/>
    <w:rsid w:val="00CE66D5"/>
    <w:rsid w:val="00CF01EF"/>
    <w:rsid w:val="00CF09DF"/>
    <w:rsid w:val="00CF231B"/>
    <w:rsid w:val="00CF58C8"/>
    <w:rsid w:val="00CF637A"/>
    <w:rsid w:val="00CF71C5"/>
    <w:rsid w:val="00D011F2"/>
    <w:rsid w:val="00D024F9"/>
    <w:rsid w:val="00D02B04"/>
    <w:rsid w:val="00D059DE"/>
    <w:rsid w:val="00D05ABD"/>
    <w:rsid w:val="00D0621E"/>
    <w:rsid w:val="00D10F2C"/>
    <w:rsid w:val="00D13FCE"/>
    <w:rsid w:val="00D141E1"/>
    <w:rsid w:val="00D21358"/>
    <w:rsid w:val="00D25609"/>
    <w:rsid w:val="00D306D1"/>
    <w:rsid w:val="00D30800"/>
    <w:rsid w:val="00D319CE"/>
    <w:rsid w:val="00D32062"/>
    <w:rsid w:val="00D32573"/>
    <w:rsid w:val="00D32D73"/>
    <w:rsid w:val="00D34786"/>
    <w:rsid w:val="00D35132"/>
    <w:rsid w:val="00D37BFC"/>
    <w:rsid w:val="00D4255F"/>
    <w:rsid w:val="00D47A8E"/>
    <w:rsid w:val="00D52B0D"/>
    <w:rsid w:val="00D52D14"/>
    <w:rsid w:val="00D531B3"/>
    <w:rsid w:val="00D55731"/>
    <w:rsid w:val="00D569C6"/>
    <w:rsid w:val="00D60E92"/>
    <w:rsid w:val="00D6343C"/>
    <w:rsid w:val="00D660EB"/>
    <w:rsid w:val="00D66D60"/>
    <w:rsid w:val="00D67170"/>
    <w:rsid w:val="00D712D3"/>
    <w:rsid w:val="00D71422"/>
    <w:rsid w:val="00D72DC6"/>
    <w:rsid w:val="00D740E1"/>
    <w:rsid w:val="00D751D8"/>
    <w:rsid w:val="00D7558D"/>
    <w:rsid w:val="00D75C98"/>
    <w:rsid w:val="00D77A7E"/>
    <w:rsid w:val="00D80351"/>
    <w:rsid w:val="00D81D92"/>
    <w:rsid w:val="00D876F9"/>
    <w:rsid w:val="00D911E6"/>
    <w:rsid w:val="00D934D0"/>
    <w:rsid w:val="00D94F69"/>
    <w:rsid w:val="00DA01AE"/>
    <w:rsid w:val="00DA1E2F"/>
    <w:rsid w:val="00DA2637"/>
    <w:rsid w:val="00DA3687"/>
    <w:rsid w:val="00DA3C2B"/>
    <w:rsid w:val="00DA7B5F"/>
    <w:rsid w:val="00DB06AD"/>
    <w:rsid w:val="00DB3A4F"/>
    <w:rsid w:val="00DB4648"/>
    <w:rsid w:val="00DB4BEC"/>
    <w:rsid w:val="00DB5A51"/>
    <w:rsid w:val="00DB5BE2"/>
    <w:rsid w:val="00DB5D05"/>
    <w:rsid w:val="00DB77B6"/>
    <w:rsid w:val="00DC0561"/>
    <w:rsid w:val="00DC11E7"/>
    <w:rsid w:val="00DC3D6C"/>
    <w:rsid w:val="00DC7023"/>
    <w:rsid w:val="00DC769A"/>
    <w:rsid w:val="00DD125E"/>
    <w:rsid w:val="00DD3D86"/>
    <w:rsid w:val="00DD4AD2"/>
    <w:rsid w:val="00DE133E"/>
    <w:rsid w:val="00DE2EB6"/>
    <w:rsid w:val="00DE6CF6"/>
    <w:rsid w:val="00DE71EB"/>
    <w:rsid w:val="00DF14DC"/>
    <w:rsid w:val="00DF1EC4"/>
    <w:rsid w:val="00DF284C"/>
    <w:rsid w:val="00DF69A8"/>
    <w:rsid w:val="00DF7E9A"/>
    <w:rsid w:val="00E02C9E"/>
    <w:rsid w:val="00E0340B"/>
    <w:rsid w:val="00E04A90"/>
    <w:rsid w:val="00E04B55"/>
    <w:rsid w:val="00E052B6"/>
    <w:rsid w:val="00E0551F"/>
    <w:rsid w:val="00E06DDF"/>
    <w:rsid w:val="00E13A53"/>
    <w:rsid w:val="00E13BAA"/>
    <w:rsid w:val="00E219C7"/>
    <w:rsid w:val="00E232DC"/>
    <w:rsid w:val="00E236F2"/>
    <w:rsid w:val="00E243F9"/>
    <w:rsid w:val="00E24F76"/>
    <w:rsid w:val="00E2543C"/>
    <w:rsid w:val="00E36074"/>
    <w:rsid w:val="00E4118C"/>
    <w:rsid w:val="00E4273D"/>
    <w:rsid w:val="00E43157"/>
    <w:rsid w:val="00E4329E"/>
    <w:rsid w:val="00E43B59"/>
    <w:rsid w:val="00E46094"/>
    <w:rsid w:val="00E460E1"/>
    <w:rsid w:val="00E461CE"/>
    <w:rsid w:val="00E47765"/>
    <w:rsid w:val="00E506BF"/>
    <w:rsid w:val="00E50E92"/>
    <w:rsid w:val="00E515BF"/>
    <w:rsid w:val="00E564A3"/>
    <w:rsid w:val="00E66865"/>
    <w:rsid w:val="00E669DD"/>
    <w:rsid w:val="00E66AD0"/>
    <w:rsid w:val="00E66F82"/>
    <w:rsid w:val="00E671B0"/>
    <w:rsid w:val="00E71186"/>
    <w:rsid w:val="00E71C59"/>
    <w:rsid w:val="00E720CA"/>
    <w:rsid w:val="00E75DBC"/>
    <w:rsid w:val="00E76906"/>
    <w:rsid w:val="00E77FD1"/>
    <w:rsid w:val="00E80343"/>
    <w:rsid w:val="00E80514"/>
    <w:rsid w:val="00E84EB5"/>
    <w:rsid w:val="00E85662"/>
    <w:rsid w:val="00E8789F"/>
    <w:rsid w:val="00E97B71"/>
    <w:rsid w:val="00EA3D34"/>
    <w:rsid w:val="00EA4461"/>
    <w:rsid w:val="00EA6ACB"/>
    <w:rsid w:val="00EB454D"/>
    <w:rsid w:val="00EB65BC"/>
    <w:rsid w:val="00EB7C85"/>
    <w:rsid w:val="00EC05AA"/>
    <w:rsid w:val="00EC3FE8"/>
    <w:rsid w:val="00EC54B8"/>
    <w:rsid w:val="00EC5DDE"/>
    <w:rsid w:val="00EC5E14"/>
    <w:rsid w:val="00EC77BB"/>
    <w:rsid w:val="00ED549D"/>
    <w:rsid w:val="00ED6807"/>
    <w:rsid w:val="00ED76BE"/>
    <w:rsid w:val="00EE00E9"/>
    <w:rsid w:val="00EE04DC"/>
    <w:rsid w:val="00EE1220"/>
    <w:rsid w:val="00EE14A1"/>
    <w:rsid w:val="00EE5390"/>
    <w:rsid w:val="00EF5C06"/>
    <w:rsid w:val="00EF6159"/>
    <w:rsid w:val="00EF619B"/>
    <w:rsid w:val="00F00B55"/>
    <w:rsid w:val="00F01A44"/>
    <w:rsid w:val="00F026FB"/>
    <w:rsid w:val="00F02AD1"/>
    <w:rsid w:val="00F02D3D"/>
    <w:rsid w:val="00F05490"/>
    <w:rsid w:val="00F1003A"/>
    <w:rsid w:val="00F142CC"/>
    <w:rsid w:val="00F16578"/>
    <w:rsid w:val="00F16A87"/>
    <w:rsid w:val="00F20C01"/>
    <w:rsid w:val="00F21A33"/>
    <w:rsid w:val="00F253CC"/>
    <w:rsid w:val="00F3183E"/>
    <w:rsid w:val="00F330FC"/>
    <w:rsid w:val="00F358C6"/>
    <w:rsid w:val="00F37106"/>
    <w:rsid w:val="00F40DB9"/>
    <w:rsid w:val="00F40EED"/>
    <w:rsid w:val="00F41E12"/>
    <w:rsid w:val="00F425A5"/>
    <w:rsid w:val="00F46E7D"/>
    <w:rsid w:val="00F478F4"/>
    <w:rsid w:val="00F519CF"/>
    <w:rsid w:val="00F528BB"/>
    <w:rsid w:val="00F53C00"/>
    <w:rsid w:val="00F56BA5"/>
    <w:rsid w:val="00F56ED0"/>
    <w:rsid w:val="00F60E22"/>
    <w:rsid w:val="00F659C6"/>
    <w:rsid w:val="00F662B7"/>
    <w:rsid w:val="00F711D8"/>
    <w:rsid w:val="00F8092D"/>
    <w:rsid w:val="00F80B48"/>
    <w:rsid w:val="00F81395"/>
    <w:rsid w:val="00F81577"/>
    <w:rsid w:val="00F81BB8"/>
    <w:rsid w:val="00F81D3A"/>
    <w:rsid w:val="00F868D1"/>
    <w:rsid w:val="00F87647"/>
    <w:rsid w:val="00F9022C"/>
    <w:rsid w:val="00F917D1"/>
    <w:rsid w:val="00F925A5"/>
    <w:rsid w:val="00F9653B"/>
    <w:rsid w:val="00FA10BE"/>
    <w:rsid w:val="00FA41D4"/>
    <w:rsid w:val="00FA7402"/>
    <w:rsid w:val="00FB12BE"/>
    <w:rsid w:val="00FB1501"/>
    <w:rsid w:val="00FB5F83"/>
    <w:rsid w:val="00FB62CF"/>
    <w:rsid w:val="00FB69E4"/>
    <w:rsid w:val="00FC18B2"/>
    <w:rsid w:val="00FC2852"/>
    <w:rsid w:val="00FD3C3B"/>
    <w:rsid w:val="00FD6129"/>
    <w:rsid w:val="00FD6B45"/>
    <w:rsid w:val="00FE07DD"/>
    <w:rsid w:val="00FE35E2"/>
    <w:rsid w:val="00FE3BAD"/>
    <w:rsid w:val="00FE41C5"/>
    <w:rsid w:val="00FE6B45"/>
    <w:rsid w:val="00FE7494"/>
    <w:rsid w:val="00FF0197"/>
    <w:rsid w:val="00FF2A16"/>
    <w:rsid w:val="00FF3314"/>
    <w:rsid w:val="00FF55F3"/>
    <w:rsid w:val="00FF5851"/>
    <w:rsid w:val="00FF63E7"/>
    <w:rsid w:val="00FF666B"/>
    <w:rsid w:val="00FF67D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4D4"/>
    <w:rPr>
      <w:sz w:val="16"/>
      <w:szCs w:val="16"/>
    </w:rPr>
  </w:style>
  <w:style w:type="paragraph" w:styleId="CommentText">
    <w:name w:val="annotation text"/>
    <w:basedOn w:val="Normal"/>
    <w:link w:val="CommentTextChar"/>
    <w:uiPriority w:val="99"/>
    <w:unhideWhenUsed/>
    <w:rsid w:val="003F44D4"/>
    <w:rPr>
      <w:sz w:val="20"/>
      <w:szCs w:val="20"/>
    </w:rPr>
  </w:style>
  <w:style w:type="character" w:customStyle="1" w:styleId="CommentTextChar">
    <w:name w:val="Comment Text Char"/>
    <w:basedOn w:val="DefaultParagraphFont"/>
    <w:link w:val="CommentText"/>
    <w:uiPriority w:val="99"/>
    <w:rsid w:val="003F44D4"/>
    <w:rPr>
      <w:lang w:val="en-US" w:eastAsia="en-US"/>
    </w:rPr>
  </w:style>
  <w:style w:type="paragraph" w:styleId="CommentSubject">
    <w:name w:val="annotation subject"/>
    <w:basedOn w:val="CommentText"/>
    <w:next w:val="CommentText"/>
    <w:link w:val="CommentSubjectChar"/>
    <w:uiPriority w:val="99"/>
    <w:semiHidden/>
    <w:unhideWhenUsed/>
    <w:rsid w:val="003F44D4"/>
    <w:rPr>
      <w:b/>
      <w:bCs/>
    </w:rPr>
  </w:style>
  <w:style w:type="character" w:customStyle="1" w:styleId="CommentSubjectChar">
    <w:name w:val="Comment Subject Char"/>
    <w:basedOn w:val="CommentTextChar"/>
    <w:link w:val="CommentSubject"/>
    <w:uiPriority w:val="99"/>
    <w:semiHidden/>
    <w:rsid w:val="003F44D4"/>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77E8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Numberedparagraphs">
    <w:name w:val="Numbered paragraphs"/>
    <w:basedOn w:val="Normal"/>
    <w:qFormat/>
    <w:rsid w:val="0012346A"/>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ascii="Verdana" w:eastAsia="MS Mincho" w:hAnsi="Verdana"/>
      <w:color w:val="000000"/>
      <w:sz w:val="20"/>
      <w:szCs w:val="20"/>
      <w:bdr w:val="none" w:sz="0" w:space="0" w:color="auto"/>
      <w:lang w:val="es-ES_tradnl"/>
    </w:rPr>
  </w:style>
  <w:style w:type="paragraph" w:customStyle="1" w:styleId="paragraph">
    <w:name w:val="paragraph"/>
    <w:basedOn w:val="Normal"/>
    <w:rsid w:val="00016B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16B1B"/>
  </w:style>
  <w:style w:type="character" w:customStyle="1" w:styleId="eop">
    <w:name w:val="eop"/>
    <w:basedOn w:val="DefaultParagraphFont"/>
    <w:rsid w:val="0001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840">
      <w:bodyDiv w:val="1"/>
      <w:marLeft w:val="0"/>
      <w:marRight w:val="0"/>
      <w:marTop w:val="0"/>
      <w:marBottom w:val="0"/>
      <w:divBdr>
        <w:top w:val="none" w:sz="0" w:space="0" w:color="auto"/>
        <w:left w:val="none" w:sz="0" w:space="0" w:color="auto"/>
        <w:bottom w:val="none" w:sz="0" w:space="0" w:color="auto"/>
        <w:right w:val="none" w:sz="0" w:space="0" w:color="auto"/>
      </w:divBdr>
    </w:div>
    <w:div w:id="751582276">
      <w:bodyDiv w:val="1"/>
      <w:marLeft w:val="0"/>
      <w:marRight w:val="0"/>
      <w:marTop w:val="0"/>
      <w:marBottom w:val="0"/>
      <w:divBdr>
        <w:top w:val="none" w:sz="0" w:space="0" w:color="auto"/>
        <w:left w:val="none" w:sz="0" w:space="0" w:color="auto"/>
        <w:bottom w:val="none" w:sz="0" w:space="0" w:color="auto"/>
        <w:right w:val="none" w:sz="0" w:space="0" w:color="auto"/>
      </w:divBdr>
    </w:div>
    <w:div w:id="17249392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sites/default/files/case-related/103/103-20101130-JUD-01-0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FE7"/>
    <w:rsid w:val="000823A9"/>
    <w:rsid w:val="000C1F9D"/>
    <w:rsid w:val="000D79F4"/>
    <w:rsid w:val="001104B7"/>
    <w:rsid w:val="00156D13"/>
    <w:rsid w:val="001D7739"/>
    <w:rsid w:val="00200821"/>
    <w:rsid w:val="00296B1F"/>
    <w:rsid w:val="00394049"/>
    <w:rsid w:val="003A140B"/>
    <w:rsid w:val="003F3C35"/>
    <w:rsid w:val="004615B7"/>
    <w:rsid w:val="004D7B6B"/>
    <w:rsid w:val="004F2DF8"/>
    <w:rsid w:val="005B601B"/>
    <w:rsid w:val="00601069"/>
    <w:rsid w:val="00633646"/>
    <w:rsid w:val="006C5513"/>
    <w:rsid w:val="00734D3E"/>
    <w:rsid w:val="0080223B"/>
    <w:rsid w:val="0082191E"/>
    <w:rsid w:val="008927E4"/>
    <w:rsid w:val="00997C6C"/>
    <w:rsid w:val="009A261B"/>
    <w:rsid w:val="009F5EF7"/>
    <w:rsid w:val="00AC15A4"/>
    <w:rsid w:val="00B0336C"/>
    <w:rsid w:val="00B52830"/>
    <w:rsid w:val="00CE3EE6"/>
    <w:rsid w:val="00D04368"/>
    <w:rsid w:val="00D669D5"/>
    <w:rsid w:val="00E63DBA"/>
    <w:rsid w:val="00F00D2F"/>
    <w:rsid w:val="00F128DF"/>
    <w:rsid w:val="00F554D0"/>
    <w:rsid w:val="00F71409"/>
    <w:rsid w:val="00FD4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9470-B003-437C-884F-CF5E45D8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4220</Words>
  <Characters>24056</Characters>
  <Application>Microsoft Office Word</Application>
  <DocSecurity>0</DocSecurity>
  <Lines>200</Lines>
  <Paragraphs>56</Paragraphs>
  <ScaleCrop>false</ScaleCrop>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2024-01-26T18:02:00Z</dcterms:created>
  <dcterms:modified xsi:type="dcterms:W3CDTF">2024-01-26T18:02:00Z</dcterms:modified>
</cp:coreProperties>
</file>