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762A2D31">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04DC11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F51373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423A3">
                              <w:rPr>
                                <w:rFonts w:asciiTheme="majorHAnsi" w:hAnsiTheme="majorHAnsi" w:cs="Arial"/>
                                <w:b/>
                                <w:bCs/>
                                <w:color w:val="0D0D0D" w:themeColor="text1" w:themeTint="F2"/>
                                <w:sz w:val="36"/>
                                <w:szCs w:val="22"/>
                                <w:lang w:val="es-ES_tradnl"/>
                              </w:rPr>
                              <w:t>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5061BC">
                              <w:rPr>
                                <w:rFonts w:asciiTheme="majorHAnsi" w:hAnsiTheme="majorHAnsi" w:cs="Arial"/>
                                <w:b/>
                                <w:bCs/>
                                <w:color w:val="0D0D0D" w:themeColor="text1" w:themeTint="F2"/>
                                <w:sz w:val="36"/>
                                <w:szCs w:val="22"/>
                                <w:lang w:val="es-ES_tradnl"/>
                              </w:rPr>
                              <w:t>4</w:t>
                            </w:r>
                          </w:p>
                          <w:p w14:paraId="09C54AB3" w14:textId="30FBF70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81836">
                              <w:rPr>
                                <w:rFonts w:asciiTheme="majorHAnsi" w:hAnsiTheme="majorHAnsi" w:cs="Arial"/>
                                <w:b/>
                                <w:color w:val="0D0D0D" w:themeColor="text1" w:themeTint="F2"/>
                                <w:sz w:val="36"/>
                                <w:szCs w:val="22"/>
                                <w:lang w:val="es-ES_tradnl"/>
                              </w:rPr>
                              <w:t>2716</w:t>
                            </w:r>
                            <w:r w:rsidR="00246D1F" w:rsidRPr="004E2649">
                              <w:rPr>
                                <w:rFonts w:asciiTheme="majorHAnsi" w:hAnsiTheme="majorHAnsi" w:cs="Arial"/>
                                <w:b/>
                                <w:color w:val="0D0D0D" w:themeColor="text1" w:themeTint="F2"/>
                                <w:sz w:val="36"/>
                                <w:szCs w:val="22"/>
                                <w:lang w:val="es-ES_tradnl"/>
                              </w:rPr>
                              <w:t>-</w:t>
                            </w:r>
                            <w:r w:rsidR="009135C4">
                              <w:rPr>
                                <w:rFonts w:asciiTheme="majorHAnsi" w:hAnsiTheme="majorHAnsi" w:cs="Arial"/>
                                <w:b/>
                                <w:color w:val="0D0D0D" w:themeColor="text1" w:themeTint="F2"/>
                                <w:sz w:val="36"/>
                                <w:szCs w:val="22"/>
                                <w:lang w:val="es-ES_tradnl"/>
                              </w:rPr>
                              <w:t>1</w:t>
                            </w:r>
                            <w:r w:rsidR="00981836">
                              <w:rPr>
                                <w:rFonts w:asciiTheme="majorHAnsi" w:hAnsiTheme="majorHAnsi" w:cs="Arial"/>
                                <w:b/>
                                <w:color w:val="0D0D0D" w:themeColor="text1" w:themeTint="F2"/>
                                <w:sz w:val="36"/>
                                <w:szCs w:val="22"/>
                                <w:lang w:val="es-ES_tradnl"/>
                              </w:rPr>
                              <w:t>8</w:t>
                            </w:r>
                            <w:r w:rsidR="00246D1F" w:rsidRPr="004E2649">
                              <w:rPr>
                                <w:rFonts w:asciiTheme="majorHAnsi" w:hAnsiTheme="majorHAnsi" w:cs="Arial"/>
                                <w:b/>
                                <w:color w:val="0D0D0D" w:themeColor="text1" w:themeTint="F2"/>
                                <w:sz w:val="36"/>
                                <w:szCs w:val="22"/>
                                <w:lang w:val="es-ES_tradnl"/>
                              </w:rPr>
                              <w:t xml:space="preserve"> </w:t>
                            </w:r>
                          </w:p>
                          <w:p w14:paraId="70CF6833" w14:textId="71298A7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16AB05D9" w:rsidR="005B52B0" w:rsidRPr="00D143FC" w:rsidRDefault="00981836" w:rsidP="00997BC5">
                            <w:pPr>
                              <w:spacing w:line="276" w:lineRule="auto"/>
                              <w:rPr>
                                <w:rFonts w:asciiTheme="majorHAnsi" w:hAnsiTheme="majorHAnsi" w:cs="Arial"/>
                                <w:color w:val="0D0D0D" w:themeColor="text1" w:themeTint="F2"/>
                                <w:szCs w:val="22"/>
                                <w:lang w:val="es-US"/>
                              </w:rPr>
                            </w:pPr>
                            <w:r>
                              <w:rPr>
                                <w:rFonts w:asciiTheme="majorHAnsi" w:hAnsiTheme="majorHAnsi" w:cs="Arial"/>
                                <w:color w:val="0D0D0D" w:themeColor="text1" w:themeTint="F2"/>
                                <w:szCs w:val="22"/>
                                <w:lang w:val="es-US"/>
                              </w:rPr>
                              <w:t>JESÚS OVIEDO SUNCIÓN</w:t>
                            </w:r>
                          </w:p>
                          <w:bookmarkEnd w:id="0"/>
                          <w:p w14:paraId="575DFD52" w14:textId="7A34C13E" w:rsidR="005B52B0" w:rsidRPr="00D143FC" w:rsidRDefault="003242EF" w:rsidP="007A5817">
                            <w:pPr>
                              <w:rPr>
                                <w:color w:val="0D0D0D" w:themeColor="text1" w:themeTint="F2"/>
                                <w:lang w:val="es-US"/>
                              </w:rPr>
                            </w:pPr>
                            <w:r>
                              <w:rPr>
                                <w:rFonts w:asciiTheme="majorHAnsi" w:hAnsiTheme="majorHAnsi" w:cs="Arial"/>
                                <w:color w:val="0D0D0D" w:themeColor="text1" w:themeTint="F2"/>
                                <w:szCs w:val="22"/>
                                <w:lang w:val="es-US"/>
                              </w:rPr>
                              <w:t>PERÚ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5F51373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423A3">
                        <w:rPr>
                          <w:rFonts w:asciiTheme="majorHAnsi" w:hAnsiTheme="majorHAnsi" w:cs="Arial"/>
                          <w:b/>
                          <w:bCs/>
                          <w:color w:val="0D0D0D" w:themeColor="text1" w:themeTint="F2"/>
                          <w:sz w:val="36"/>
                          <w:szCs w:val="22"/>
                          <w:lang w:val="es-ES_tradnl"/>
                        </w:rPr>
                        <w:t>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5061BC">
                        <w:rPr>
                          <w:rFonts w:asciiTheme="majorHAnsi" w:hAnsiTheme="majorHAnsi" w:cs="Arial"/>
                          <w:b/>
                          <w:bCs/>
                          <w:color w:val="0D0D0D" w:themeColor="text1" w:themeTint="F2"/>
                          <w:sz w:val="36"/>
                          <w:szCs w:val="22"/>
                          <w:lang w:val="es-ES_tradnl"/>
                        </w:rPr>
                        <w:t>4</w:t>
                      </w:r>
                    </w:p>
                    <w:p w14:paraId="09C54AB3" w14:textId="30FBF70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81836">
                        <w:rPr>
                          <w:rFonts w:asciiTheme="majorHAnsi" w:hAnsiTheme="majorHAnsi" w:cs="Arial"/>
                          <w:b/>
                          <w:color w:val="0D0D0D" w:themeColor="text1" w:themeTint="F2"/>
                          <w:sz w:val="36"/>
                          <w:szCs w:val="22"/>
                          <w:lang w:val="es-ES_tradnl"/>
                        </w:rPr>
                        <w:t>2716</w:t>
                      </w:r>
                      <w:r w:rsidR="00246D1F" w:rsidRPr="004E2649">
                        <w:rPr>
                          <w:rFonts w:asciiTheme="majorHAnsi" w:hAnsiTheme="majorHAnsi" w:cs="Arial"/>
                          <w:b/>
                          <w:color w:val="0D0D0D" w:themeColor="text1" w:themeTint="F2"/>
                          <w:sz w:val="36"/>
                          <w:szCs w:val="22"/>
                          <w:lang w:val="es-ES_tradnl"/>
                        </w:rPr>
                        <w:t>-</w:t>
                      </w:r>
                      <w:r w:rsidR="009135C4">
                        <w:rPr>
                          <w:rFonts w:asciiTheme="majorHAnsi" w:hAnsiTheme="majorHAnsi" w:cs="Arial"/>
                          <w:b/>
                          <w:color w:val="0D0D0D" w:themeColor="text1" w:themeTint="F2"/>
                          <w:sz w:val="36"/>
                          <w:szCs w:val="22"/>
                          <w:lang w:val="es-ES_tradnl"/>
                        </w:rPr>
                        <w:t>1</w:t>
                      </w:r>
                      <w:r w:rsidR="00981836">
                        <w:rPr>
                          <w:rFonts w:asciiTheme="majorHAnsi" w:hAnsiTheme="majorHAnsi" w:cs="Arial"/>
                          <w:b/>
                          <w:color w:val="0D0D0D" w:themeColor="text1" w:themeTint="F2"/>
                          <w:sz w:val="36"/>
                          <w:szCs w:val="22"/>
                          <w:lang w:val="es-ES_tradnl"/>
                        </w:rPr>
                        <w:t>8</w:t>
                      </w:r>
                      <w:r w:rsidR="00246D1F" w:rsidRPr="004E2649">
                        <w:rPr>
                          <w:rFonts w:asciiTheme="majorHAnsi" w:hAnsiTheme="majorHAnsi" w:cs="Arial"/>
                          <w:b/>
                          <w:color w:val="0D0D0D" w:themeColor="text1" w:themeTint="F2"/>
                          <w:sz w:val="36"/>
                          <w:szCs w:val="22"/>
                          <w:lang w:val="es-ES_tradnl"/>
                        </w:rPr>
                        <w:t xml:space="preserve"> </w:t>
                      </w:r>
                    </w:p>
                    <w:p w14:paraId="70CF6833" w14:textId="71298A7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16AB05D9" w:rsidR="005B52B0" w:rsidRPr="00D143FC" w:rsidRDefault="00981836" w:rsidP="00997BC5">
                      <w:pPr>
                        <w:spacing w:line="276" w:lineRule="auto"/>
                        <w:rPr>
                          <w:rFonts w:asciiTheme="majorHAnsi" w:hAnsiTheme="majorHAnsi" w:cs="Arial"/>
                          <w:color w:val="0D0D0D" w:themeColor="text1" w:themeTint="F2"/>
                          <w:szCs w:val="22"/>
                          <w:lang w:val="es-US"/>
                        </w:rPr>
                      </w:pPr>
                      <w:r>
                        <w:rPr>
                          <w:rFonts w:asciiTheme="majorHAnsi" w:hAnsiTheme="majorHAnsi" w:cs="Arial"/>
                          <w:color w:val="0D0D0D" w:themeColor="text1" w:themeTint="F2"/>
                          <w:szCs w:val="22"/>
                          <w:lang w:val="es-US"/>
                        </w:rPr>
                        <w:t>JESÚS OVIEDO SUNCIÓN</w:t>
                      </w:r>
                    </w:p>
                    <w:bookmarkEnd w:id="1"/>
                    <w:p w14:paraId="575DFD52" w14:textId="7A34C13E" w:rsidR="005B52B0" w:rsidRPr="00D143FC" w:rsidRDefault="003242EF" w:rsidP="007A5817">
                      <w:pPr>
                        <w:rPr>
                          <w:color w:val="0D0D0D" w:themeColor="text1" w:themeTint="F2"/>
                          <w:lang w:val="es-US"/>
                        </w:rPr>
                      </w:pPr>
                      <w:r>
                        <w:rPr>
                          <w:rFonts w:asciiTheme="majorHAnsi" w:hAnsiTheme="majorHAnsi" w:cs="Arial"/>
                          <w:color w:val="0D0D0D" w:themeColor="text1" w:themeTint="F2"/>
                          <w:szCs w:val="22"/>
                          <w:lang w:val="es-US"/>
                        </w:rPr>
                        <w:t>PERÚ</w:t>
                      </w: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CEBEA23" w:rsidR="00627C9F" w:rsidRPr="00121046" w:rsidRDefault="00834D49" w:rsidP="007A5817">
                            <w:pPr>
                              <w:spacing w:line="276" w:lineRule="auto"/>
                              <w:jc w:val="right"/>
                              <w:rPr>
                                <w:rFonts w:asciiTheme="minorHAnsi" w:hAnsiTheme="minorHAnsi"/>
                                <w:color w:val="FFFFFF" w:themeColor="background1"/>
                                <w:sz w:val="22"/>
                                <w:lang w:val="es-ES"/>
                              </w:rPr>
                            </w:pPr>
                            <w:r w:rsidRPr="00121046">
                              <w:rPr>
                                <w:rFonts w:asciiTheme="minorHAnsi" w:hAnsiTheme="minorHAnsi"/>
                                <w:color w:val="FFFFFF" w:themeColor="background1"/>
                                <w:sz w:val="22"/>
                                <w:lang w:val="es-ES"/>
                              </w:rPr>
                              <w:t>OEA/Ser.L/V/II</w:t>
                            </w:r>
                          </w:p>
                          <w:p w14:paraId="6A41611B" w14:textId="60EA1528" w:rsidR="00627C9F" w:rsidRPr="00121046" w:rsidRDefault="00627C9F" w:rsidP="007A5817">
                            <w:pPr>
                              <w:spacing w:line="276" w:lineRule="auto"/>
                              <w:jc w:val="right"/>
                              <w:rPr>
                                <w:rFonts w:asciiTheme="minorHAnsi" w:hAnsiTheme="minorHAnsi"/>
                                <w:color w:val="FFFFFF" w:themeColor="background1"/>
                                <w:sz w:val="22"/>
                                <w:lang w:val="es-ES"/>
                              </w:rPr>
                            </w:pPr>
                            <w:r w:rsidRPr="00121046">
                              <w:rPr>
                                <w:rFonts w:asciiTheme="minorHAnsi" w:hAnsiTheme="minorHAnsi"/>
                                <w:color w:val="FFFFFF" w:themeColor="background1"/>
                                <w:sz w:val="22"/>
                                <w:lang w:val="es-ES"/>
                              </w:rPr>
                              <w:t xml:space="preserve">Doc. </w:t>
                            </w:r>
                            <w:r w:rsidR="006423A3" w:rsidRPr="00121046">
                              <w:rPr>
                                <w:rFonts w:asciiTheme="minorHAnsi" w:hAnsiTheme="minorHAnsi"/>
                                <w:color w:val="FFFFFF" w:themeColor="background1"/>
                                <w:sz w:val="22"/>
                                <w:lang w:val="es-ES"/>
                              </w:rPr>
                              <w:t>3</w:t>
                            </w:r>
                          </w:p>
                          <w:p w14:paraId="69373ED2" w14:textId="046E70A0" w:rsidR="00627C9F" w:rsidRPr="00C25ADB" w:rsidRDefault="006423A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22 marzo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5061BC">
                              <w:rPr>
                                <w:rFonts w:asciiTheme="minorHAnsi" w:hAnsiTheme="minorHAnsi"/>
                                <w:color w:val="FFFFFF" w:themeColor="background1"/>
                                <w:sz w:val="22"/>
                                <w:lang w:val="es-PA"/>
                              </w:rPr>
                              <w:t>4</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7CEBEA23" w:rsidR="00627C9F" w:rsidRPr="00121046" w:rsidRDefault="00834D49" w:rsidP="007A5817">
                      <w:pPr>
                        <w:spacing w:line="276" w:lineRule="auto"/>
                        <w:jc w:val="right"/>
                        <w:rPr>
                          <w:rFonts w:asciiTheme="minorHAnsi" w:hAnsiTheme="minorHAnsi"/>
                          <w:color w:val="FFFFFF" w:themeColor="background1"/>
                          <w:sz w:val="22"/>
                          <w:lang w:val="es-ES"/>
                        </w:rPr>
                      </w:pPr>
                      <w:r w:rsidRPr="00121046">
                        <w:rPr>
                          <w:rFonts w:asciiTheme="minorHAnsi" w:hAnsiTheme="minorHAnsi"/>
                          <w:color w:val="FFFFFF" w:themeColor="background1"/>
                          <w:sz w:val="22"/>
                          <w:lang w:val="es-ES"/>
                        </w:rPr>
                        <w:t>OEA/Ser.L/V/II</w:t>
                      </w:r>
                    </w:p>
                    <w:p w14:paraId="6A41611B" w14:textId="60EA1528" w:rsidR="00627C9F" w:rsidRPr="00121046" w:rsidRDefault="00627C9F" w:rsidP="007A5817">
                      <w:pPr>
                        <w:spacing w:line="276" w:lineRule="auto"/>
                        <w:jc w:val="right"/>
                        <w:rPr>
                          <w:rFonts w:asciiTheme="minorHAnsi" w:hAnsiTheme="minorHAnsi"/>
                          <w:color w:val="FFFFFF" w:themeColor="background1"/>
                          <w:sz w:val="22"/>
                          <w:lang w:val="es-ES"/>
                        </w:rPr>
                      </w:pPr>
                      <w:r w:rsidRPr="00121046">
                        <w:rPr>
                          <w:rFonts w:asciiTheme="minorHAnsi" w:hAnsiTheme="minorHAnsi"/>
                          <w:color w:val="FFFFFF" w:themeColor="background1"/>
                          <w:sz w:val="22"/>
                          <w:lang w:val="es-ES"/>
                        </w:rPr>
                        <w:t xml:space="preserve">Doc. </w:t>
                      </w:r>
                      <w:r w:rsidR="006423A3" w:rsidRPr="00121046">
                        <w:rPr>
                          <w:rFonts w:asciiTheme="minorHAnsi" w:hAnsiTheme="minorHAnsi"/>
                          <w:color w:val="FFFFFF" w:themeColor="background1"/>
                          <w:sz w:val="22"/>
                          <w:lang w:val="es-ES"/>
                        </w:rPr>
                        <w:t>3</w:t>
                      </w:r>
                    </w:p>
                    <w:p w14:paraId="69373ED2" w14:textId="046E70A0" w:rsidR="00627C9F" w:rsidRPr="00C25ADB" w:rsidRDefault="006423A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22 marzo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5061BC">
                        <w:rPr>
                          <w:rFonts w:asciiTheme="minorHAnsi" w:hAnsiTheme="minorHAnsi"/>
                          <w:color w:val="FFFFFF" w:themeColor="background1"/>
                          <w:sz w:val="22"/>
                          <w:lang w:val="es-PA"/>
                        </w:rPr>
                        <w:t>4</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FECAB0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6423A3">
                              <w:rPr>
                                <w:rFonts w:asciiTheme="majorHAnsi" w:hAnsiTheme="majorHAnsi"/>
                                <w:color w:val="0D0D0D" w:themeColor="text1" w:themeTint="F2"/>
                                <w:sz w:val="18"/>
                                <w:szCs w:val="22"/>
                                <w:lang w:val="es-ES"/>
                              </w:rPr>
                              <w:t>22</w:t>
                            </w:r>
                            <w:r w:rsidRPr="00890650">
                              <w:rPr>
                                <w:rFonts w:asciiTheme="majorHAnsi" w:hAnsiTheme="majorHAnsi"/>
                                <w:color w:val="0D0D0D" w:themeColor="text1" w:themeTint="F2"/>
                                <w:sz w:val="18"/>
                                <w:szCs w:val="22"/>
                                <w:lang w:val="es-ES"/>
                              </w:rPr>
                              <w:t xml:space="preserve"> de </w:t>
                            </w:r>
                            <w:r w:rsidR="006423A3">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061BC">
                              <w:rPr>
                                <w:rFonts w:asciiTheme="majorHAnsi" w:hAnsiTheme="majorHAnsi"/>
                                <w:color w:val="0D0D0D" w:themeColor="text1" w:themeTint="F2"/>
                                <w:sz w:val="18"/>
                                <w:szCs w:val="22"/>
                                <w:lang w:val="es-ES"/>
                              </w:rPr>
                              <w:t>4</w:t>
                            </w:r>
                            <w:r w:rsidR="006423A3">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6FECAB0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6423A3">
                        <w:rPr>
                          <w:rFonts w:asciiTheme="majorHAnsi" w:hAnsiTheme="majorHAnsi"/>
                          <w:color w:val="0D0D0D" w:themeColor="text1" w:themeTint="F2"/>
                          <w:sz w:val="18"/>
                          <w:szCs w:val="22"/>
                          <w:lang w:val="es-ES"/>
                        </w:rPr>
                        <w:t>22</w:t>
                      </w:r>
                      <w:r w:rsidRPr="00890650">
                        <w:rPr>
                          <w:rFonts w:asciiTheme="majorHAnsi" w:hAnsiTheme="majorHAnsi"/>
                          <w:color w:val="0D0D0D" w:themeColor="text1" w:themeTint="F2"/>
                          <w:sz w:val="18"/>
                          <w:szCs w:val="22"/>
                          <w:lang w:val="es-ES"/>
                        </w:rPr>
                        <w:t xml:space="preserve"> de </w:t>
                      </w:r>
                      <w:r w:rsidR="006423A3">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061BC">
                        <w:rPr>
                          <w:rFonts w:asciiTheme="majorHAnsi" w:hAnsiTheme="majorHAnsi"/>
                          <w:color w:val="0D0D0D" w:themeColor="text1" w:themeTint="F2"/>
                          <w:sz w:val="18"/>
                          <w:szCs w:val="22"/>
                          <w:lang w:val="es-ES"/>
                        </w:rPr>
                        <w:t>4</w:t>
                      </w:r>
                      <w:r w:rsidR="006423A3">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6379A8C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F1B4904"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423A3" w:rsidRPr="006423A3">
                              <w:rPr>
                                <w:rFonts w:asciiTheme="majorHAnsi" w:hAnsiTheme="majorHAnsi"/>
                                <w:color w:val="595959" w:themeColor="text1" w:themeTint="A6"/>
                                <w:sz w:val="18"/>
                                <w:szCs w:val="18"/>
                                <w:lang w:val="pt-BR"/>
                              </w:rPr>
                              <w:t>2</w:t>
                            </w:r>
                            <w:r w:rsidR="007B05C4" w:rsidRPr="006423A3">
                              <w:rPr>
                                <w:rFonts w:asciiTheme="majorHAnsi" w:hAnsiTheme="majorHAnsi"/>
                                <w:color w:val="595959" w:themeColor="text1" w:themeTint="A6"/>
                                <w:sz w:val="18"/>
                                <w:szCs w:val="18"/>
                                <w:lang w:val="pt-BR"/>
                              </w:rPr>
                              <w:t>/</w:t>
                            </w:r>
                            <w:r w:rsidR="006423A3" w:rsidRPr="006423A3">
                              <w:rPr>
                                <w:rFonts w:asciiTheme="majorHAnsi" w:hAnsiTheme="majorHAnsi"/>
                                <w:color w:val="595959" w:themeColor="text1" w:themeTint="A6"/>
                                <w:sz w:val="18"/>
                                <w:szCs w:val="18"/>
                                <w:lang w:val="pt-BR"/>
                              </w:rPr>
                              <w:t>24</w:t>
                            </w:r>
                            <w:r w:rsidRPr="006423A3">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981836">
                              <w:rPr>
                                <w:rFonts w:asciiTheme="majorHAnsi" w:hAnsiTheme="majorHAnsi"/>
                                <w:color w:val="595959" w:themeColor="text1" w:themeTint="A6"/>
                                <w:sz w:val="18"/>
                                <w:szCs w:val="18"/>
                                <w:lang w:val="es-ES"/>
                              </w:rPr>
                              <w:t>2716-18</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981836">
                              <w:rPr>
                                <w:rFonts w:asciiTheme="majorHAnsi" w:hAnsiTheme="majorHAnsi"/>
                                <w:color w:val="595959" w:themeColor="text1" w:themeTint="A6"/>
                                <w:sz w:val="18"/>
                                <w:szCs w:val="18"/>
                                <w:lang w:val="es-ES_tradnl"/>
                              </w:rPr>
                              <w:t>Jesús Oviedo Sunción</w:t>
                            </w:r>
                            <w:r w:rsidRPr="00890650">
                              <w:rPr>
                                <w:rFonts w:asciiTheme="majorHAnsi" w:hAnsiTheme="majorHAnsi"/>
                                <w:color w:val="595959" w:themeColor="text1" w:themeTint="A6"/>
                                <w:sz w:val="18"/>
                                <w:szCs w:val="18"/>
                                <w:lang w:val="es-ES_tradnl"/>
                              </w:rPr>
                              <w:t xml:space="preserve">. </w:t>
                            </w:r>
                            <w:r w:rsidR="003242EF">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6423A3">
                              <w:rPr>
                                <w:rFonts w:asciiTheme="majorHAnsi" w:hAnsiTheme="majorHAnsi"/>
                                <w:color w:val="595959" w:themeColor="text1" w:themeTint="A6"/>
                                <w:sz w:val="18"/>
                                <w:szCs w:val="18"/>
                                <w:lang w:val="es-ES"/>
                              </w:rPr>
                              <w:t>22 de marzo de 2024</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1F1B4904"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423A3" w:rsidRPr="006423A3">
                        <w:rPr>
                          <w:rFonts w:asciiTheme="majorHAnsi" w:hAnsiTheme="majorHAnsi"/>
                          <w:color w:val="595959" w:themeColor="text1" w:themeTint="A6"/>
                          <w:sz w:val="18"/>
                          <w:szCs w:val="18"/>
                          <w:lang w:val="pt-BR"/>
                        </w:rPr>
                        <w:t>2</w:t>
                      </w:r>
                      <w:r w:rsidR="007B05C4" w:rsidRPr="006423A3">
                        <w:rPr>
                          <w:rFonts w:asciiTheme="majorHAnsi" w:hAnsiTheme="majorHAnsi"/>
                          <w:color w:val="595959" w:themeColor="text1" w:themeTint="A6"/>
                          <w:sz w:val="18"/>
                          <w:szCs w:val="18"/>
                          <w:lang w:val="pt-BR"/>
                        </w:rPr>
                        <w:t>/</w:t>
                      </w:r>
                      <w:r w:rsidR="006423A3" w:rsidRPr="006423A3">
                        <w:rPr>
                          <w:rFonts w:asciiTheme="majorHAnsi" w:hAnsiTheme="majorHAnsi"/>
                          <w:color w:val="595959" w:themeColor="text1" w:themeTint="A6"/>
                          <w:sz w:val="18"/>
                          <w:szCs w:val="18"/>
                          <w:lang w:val="pt-BR"/>
                        </w:rPr>
                        <w:t>24</w:t>
                      </w:r>
                      <w:r w:rsidRPr="006423A3">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981836">
                        <w:rPr>
                          <w:rFonts w:asciiTheme="majorHAnsi" w:hAnsiTheme="majorHAnsi"/>
                          <w:color w:val="595959" w:themeColor="text1" w:themeTint="A6"/>
                          <w:sz w:val="18"/>
                          <w:szCs w:val="18"/>
                          <w:lang w:val="es-ES"/>
                        </w:rPr>
                        <w:t>2716-18</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981836">
                        <w:rPr>
                          <w:rFonts w:asciiTheme="majorHAnsi" w:hAnsiTheme="majorHAnsi"/>
                          <w:color w:val="595959" w:themeColor="text1" w:themeTint="A6"/>
                          <w:sz w:val="18"/>
                          <w:szCs w:val="18"/>
                          <w:lang w:val="es-ES_tradnl"/>
                        </w:rPr>
                        <w:t>Jesús Oviedo Sunción</w:t>
                      </w:r>
                      <w:r w:rsidRPr="00890650">
                        <w:rPr>
                          <w:rFonts w:asciiTheme="majorHAnsi" w:hAnsiTheme="majorHAnsi"/>
                          <w:color w:val="595959" w:themeColor="text1" w:themeTint="A6"/>
                          <w:sz w:val="18"/>
                          <w:szCs w:val="18"/>
                          <w:lang w:val="es-ES_tradnl"/>
                        </w:rPr>
                        <w:t xml:space="preserve">. </w:t>
                      </w:r>
                      <w:r w:rsidR="003242EF">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6423A3">
                        <w:rPr>
                          <w:rFonts w:asciiTheme="majorHAnsi" w:hAnsiTheme="majorHAnsi"/>
                          <w:color w:val="595959" w:themeColor="text1" w:themeTint="A6"/>
                          <w:sz w:val="18"/>
                          <w:szCs w:val="18"/>
                          <w:lang w:val="es-ES"/>
                        </w:rPr>
                        <w:t>22 de marzo de 2024</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2F32D2FC" w:rsidR="00D72DC6" w:rsidRPr="00D72DC6" w:rsidRDefault="006423A3" w:rsidP="00F02AD1">
                            <w:pPr>
                              <w:rPr>
                                <w:color w:val="FFFFFF" w:themeColor="background1"/>
                                <w14:textFill>
                                  <w14:noFill/>
                                </w14:textFill>
                              </w:rPr>
                            </w:pPr>
                            <w:r>
                              <w:rPr>
                                <w:noProof/>
                                <w:color w:val="FFFFFF" w:themeColor="background1"/>
                              </w:rPr>
                              <w:drawing>
                                <wp:inline distT="0" distB="0" distL="0" distR="0" wp14:anchorId="4BD4D601" wp14:editId="3F22B0A4">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2F32D2FC" w:rsidR="00D72DC6" w:rsidRPr="00D72DC6" w:rsidRDefault="006423A3" w:rsidP="00F02AD1">
                      <w:pPr>
                        <w:rPr>
                          <w:color w:val="FFFFFF" w:themeColor="background1"/>
                          <w14:textFill>
                            <w14:noFill/>
                          </w14:textFill>
                        </w:rPr>
                      </w:pPr>
                      <w:r>
                        <w:rPr>
                          <w:noProof/>
                          <w:color w:val="FFFFFF" w:themeColor="background1"/>
                        </w:rPr>
                        <w:drawing>
                          <wp:inline distT="0" distB="0" distL="0" distR="0" wp14:anchorId="4BD4D601" wp14:editId="3F22B0A4">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030283">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981836"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1D86A2FE" w:rsidR="003239B8" w:rsidRPr="00981836" w:rsidRDefault="00981836" w:rsidP="008D2290">
            <w:pPr>
              <w:jc w:val="both"/>
              <w:rPr>
                <w:rFonts w:asciiTheme="majorHAnsi" w:hAnsiTheme="majorHAnsi"/>
                <w:bCs/>
                <w:sz w:val="20"/>
                <w:szCs w:val="20"/>
                <w:lang w:val="es-US"/>
              </w:rPr>
            </w:pPr>
            <w:r>
              <w:rPr>
                <w:rFonts w:asciiTheme="majorHAnsi" w:hAnsiTheme="majorHAnsi"/>
                <w:bCs/>
                <w:sz w:val="20"/>
                <w:szCs w:val="20"/>
                <w:lang w:val="es-US"/>
              </w:rPr>
              <w:t>Jesús Oviedo Sunción</w:t>
            </w:r>
          </w:p>
        </w:tc>
      </w:tr>
      <w:tr w:rsidR="003239B8" w:rsidRPr="00981836"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F576DC"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695D14C9" w:rsidR="003239B8" w:rsidRPr="00981836" w:rsidRDefault="00981836" w:rsidP="00684BFC">
            <w:pPr>
              <w:rPr>
                <w:rFonts w:asciiTheme="majorHAnsi" w:hAnsiTheme="majorHAnsi"/>
                <w:sz w:val="20"/>
                <w:szCs w:val="20"/>
                <w:lang w:val="es-US"/>
              </w:rPr>
            </w:pPr>
            <w:r w:rsidRPr="00981836">
              <w:rPr>
                <w:rFonts w:asciiTheme="majorHAnsi" w:hAnsiTheme="majorHAnsi"/>
                <w:sz w:val="20"/>
                <w:szCs w:val="20"/>
                <w:lang w:val="es-US"/>
              </w:rPr>
              <w:t>Jes</w:t>
            </w:r>
            <w:r>
              <w:rPr>
                <w:rFonts w:asciiTheme="majorHAnsi" w:hAnsiTheme="majorHAnsi"/>
                <w:sz w:val="20"/>
                <w:szCs w:val="20"/>
                <w:lang w:val="es-US"/>
              </w:rPr>
              <w:t>ús Oviedo Sunción</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739064C2" w:rsidR="003239B8" w:rsidRPr="000D05CB" w:rsidRDefault="003242EF" w:rsidP="008D2290">
            <w:pPr>
              <w:jc w:val="both"/>
              <w:rPr>
                <w:rFonts w:ascii="Cambria" w:hAnsi="Cambria"/>
                <w:bCs/>
                <w:sz w:val="20"/>
                <w:szCs w:val="20"/>
              </w:rPr>
            </w:pPr>
            <w:r>
              <w:rPr>
                <w:rFonts w:ascii="Cambria" w:hAnsi="Cambria"/>
                <w:bCs/>
                <w:sz w:val="20"/>
                <w:szCs w:val="20"/>
              </w:rPr>
              <w:t>Perú</w:t>
            </w:r>
          </w:p>
        </w:tc>
      </w:tr>
      <w:tr w:rsidR="00223A29" w:rsidRPr="00003EA7"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7D214AD6" w:rsidR="00223A29" w:rsidRPr="00406D7B" w:rsidRDefault="00FE2907" w:rsidP="008D2290">
            <w:pPr>
              <w:jc w:val="both"/>
              <w:rPr>
                <w:rFonts w:ascii="Cambria" w:hAnsi="Cambria"/>
                <w:bCs/>
                <w:sz w:val="20"/>
                <w:szCs w:val="20"/>
                <w:lang w:val="es-US"/>
              </w:rPr>
            </w:pPr>
            <w:r>
              <w:rPr>
                <w:rFonts w:ascii="Cambria" w:hAnsi="Cambria"/>
                <w:bCs/>
                <w:sz w:val="20"/>
                <w:szCs w:val="20"/>
                <w:lang w:val="es-ES"/>
              </w:rPr>
              <w:t xml:space="preserve">Artículos </w:t>
            </w:r>
            <w:r w:rsidR="001E344C">
              <w:rPr>
                <w:rFonts w:ascii="Cambria" w:hAnsi="Cambria"/>
                <w:bCs/>
                <w:sz w:val="20"/>
                <w:szCs w:val="20"/>
                <w:lang w:val="es-ES"/>
              </w:rPr>
              <w:t>4 (derecho a la vida), 8 (garantías judiciales), 25 (protección judicial) y 26 (derechos económicos, sociales, culturales y medioambientales)</w:t>
            </w:r>
            <w:r w:rsidR="00D2425E">
              <w:rPr>
                <w:rFonts w:ascii="Cambria" w:hAnsi="Cambria"/>
                <w:bCs/>
                <w:sz w:val="20"/>
                <w:szCs w:val="20"/>
                <w:lang w:val="es-ES"/>
              </w:rPr>
              <w:t xml:space="preserve"> </w:t>
            </w:r>
            <w:r w:rsidR="00406D7B">
              <w:rPr>
                <w:rFonts w:ascii="Cambria" w:hAnsi="Cambria"/>
                <w:bCs/>
                <w:sz w:val="20"/>
                <w:szCs w:val="20"/>
                <w:lang w:val="es-ES"/>
              </w:rPr>
              <w:t>de la Convención Americana sobre Derechos Humanos</w:t>
            </w:r>
            <w:r w:rsidR="00916C1D">
              <w:rPr>
                <w:rStyle w:val="FootnoteReference"/>
                <w:rFonts w:ascii="Cambria" w:hAnsi="Cambria"/>
                <w:bCs/>
                <w:sz w:val="20"/>
                <w:szCs w:val="20"/>
                <w:lang w:val="es-ES"/>
              </w:rPr>
              <w:footnoteReference w:id="2"/>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1D100C39" w:rsidR="004C2312" w:rsidRPr="003239B8" w:rsidRDefault="00087D75" w:rsidP="002625EA">
            <w:pPr>
              <w:jc w:val="both"/>
              <w:rPr>
                <w:rFonts w:ascii="Cambria" w:hAnsi="Cambria"/>
                <w:bCs/>
                <w:sz w:val="20"/>
                <w:szCs w:val="20"/>
                <w:lang w:val="es-ES"/>
              </w:rPr>
            </w:pPr>
            <w:r>
              <w:rPr>
                <w:rFonts w:ascii="Cambria" w:hAnsi="Cambria"/>
                <w:bCs/>
                <w:sz w:val="20"/>
                <w:szCs w:val="20"/>
                <w:lang w:val="es-ES"/>
              </w:rPr>
              <w:t>14 de diciembre de 2018</w:t>
            </w:r>
          </w:p>
        </w:tc>
      </w:tr>
      <w:tr w:rsidR="0080493E" w:rsidRPr="00003EA7" w14:paraId="79EBA584" w14:textId="77777777" w:rsidTr="004A6A54">
        <w:tc>
          <w:tcPr>
            <w:tcW w:w="3600" w:type="dxa"/>
            <w:tcBorders>
              <w:top w:val="single" w:sz="6" w:space="0" w:color="auto"/>
              <w:bottom w:val="single" w:sz="6" w:space="0" w:color="auto"/>
            </w:tcBorders>
            <w:shd w:val="clear" w:color="auto" w:fill="386294"/>
            <w:vAlign w:val="center"/>
          </w:tcPr>
          <w:p w14:paraId="371D250B" w14:textId="5B15DB17" w:rsidR="0080493E" w:rsidRDefault="00FA1333"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7422E658" w14:textId="63B22FE0" w:rsidR="0080493E" w:rsidRPr="00014889" w:rsidRDefault="00C755E9" w:rsidP="002625EA">
            <w:pPr>
              <w:jc w:val="both"/>
              <w:rPr>
                <w:rFonts w:ascii="Cambria" w:hAnsi="Cambria"/>
                <w:bCs/>
                <w:sz w:val="20"/>
                <w:szCs w:val="20"/>
                <w:lang w:val="es-US"/>
              </w:rPr>
            </w:pPr>
            <w:r>
              <w:rPr>
                <w:rFonts w:ascii="Cambria" w:hAnsi="Cambria"/>
                <w:bCs/>
                <w:sz w:val="20"/>
                <w:szCs w:val="20"/>
                <w:lang w:val="es-US"/>
              </w:rPr>
              <w:t xml:space="preserve">28 de mayo de </w:t>
            </w:r>
            <w:r w:rsidR="00D4664C">
              <w:rPr>
                <w:rFonts w:ascii="Cambria" w:hAnsi="Cambria"/>
                <w:bCs/>
                <w:sz w:val="20"/>
                <w:szCs w:val="20"/>
                <w:lang w:val="es-US"/>
              </w:rPr>
              <w:t xml:space="preserve">2019, 17 de julio de 2019, </w:t>
            </w:r>
            <w:r w:rsidR="0058201B">
              <w:rPr>
                <w:rFonts w:ascii="Cambria" w:hAnsi="Cambria"/>
                <w:bCs/>
                <w:sz w:val="20"/>
                <w:szCs w:val="20"/>
                <w:lang w:val="es-US"/>
              </w:rPr>
              <w:t>31 de enero de 2020, 6 de febrero de 2020</w:t>
            </w:r>
            <w:r w:rsidR="00F225A0">
              <w:rPr>
                <w:rFonts w:ascii="Cambria" w:hAnsi="Cambria"/>
                <w:bCs/>
                <w:sz w:val="20"/>
                <w:szCs w:val="20"/>
                <w:lang w:val="es-US"/>
              </w:rPr>
              <w:t xml:space="preserve"> y</w:t>
            </w:r>
            <w:r w:rsidR="0058201B">
              <w:rPr>
                <w:rFonts w:ascii="Cambria" w:hAnsi="Cambria"/>
                <w:bCs/>
                <w:sz w:val="20"/>
                <w:szCs w:val="20"/>
                <w:lang w:val="es-US"/>
              </w:rPr>
              <w:t xml:space="preserve"> 29 de octubre de 2020 </w:t>
            </w:r>
          </w:p>
        </w:tc>
      </w:tr>
      <w:tr w:rsidR="004C2312" w:rsidRPr="009135C4"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7F370FBD" w:rsidR="004C2312" w:rsidRPr="003239B8" w:rsidRDefault="00F225A0" w:rsidP="008D2290">
            <w:pPr>
              <w:jc w:val="both"/>
              <w:rPr>
                <w:rFonts w:ascii="Cambria" w:hAnsi="Cambria"/>
                <w:bCs/>
                <w:sz w:val="20"/>
                <w:szCs w:val="20"/>
                <w:lang w:val="es-ES"/>
              </w:rPr>
            </w:pPr>
            <w:r>
              <w:rPr>
                <w:rFonts w:ascii="Cambria" w:hAnsi="Cambria"/>
                <w:bCs/>
                <w:sz w:val="20"/>
                <w:szCs w:val="20"/>
                <w:lang w:val="es-ES"/>
              </w:rPr>
              <w:t>31 de agosto de 2021</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6D2C811F" w:rsidR="004C2312" w:rsidRPr="003239B8" w:rsidRDefault="00A425DB" w:rsidP="008D2290">
            <w:pPr>
              <w:jc w:val="both"/>
              <w:rPr>
                <w:rFonts w:ascii="Cambria" w:hAnsi="Cambria"/>
                <w:bCs/>
                <w:sz w:val="20"/>
                <w:szCs w:val="20"/>
                <w:lang w:val="es-ES"/>
              </w:rPr>
            </w:pPr>
            <w:r>
              <w:rPr>
                <w:rFonts w:ascii="Cambria" w:hAnsi="Cambria"/>
                <w:bCs/>
                <w:sz w:val="20"/>
                <w:szCs w:val="20"/>
                <w:lang w:val="es-ES"/>
              </w:rPr>
              <w:t>3 de marzo de 2022</w:t>
            </w:r>
          </w:p>
        </w:tc>
      </w:tr>
      <w:tr w:rsidR="00855ADB" w:rsidRPr="00003EA7" w14:paraId="370C6B67" w14:textId="77777777" w:rsidTr="004A6A54">
        <w:tc>
          <w:tcPr>
            <w:tcW w:w="3600" w:type="dxa"/>
            <w:tcBorders>
              <w:top w:val="single" w:sz="6" w:space="0" w:color="auto"/>
              <w:bottom w:val="single" w:sz="6" w:space="0" w:color="auto"/>
            </w:tcBorders>
            <w:shd w:val="clear" w:color="auto" w:fill="386294"/>
            <w:vAlign w:val="center"/>
          </w:tcPr>
          <w:p w14:paraId="673449BE" w14:textId="0058B676" w:rsidR="00855ADB" w:rsidRDefault="00855ADB"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Observaciones adicionales de la parte peticionaria</w:t>
            </w:r>
          </w:p>
        </w:tc>
        <w:tc>
          <w:tcPr>
            <w:tcW w:w="5760" w:type="dxa"/>
            <w:vAlign w:val="center"/>
          </w:tcPr>
          <w:p w14:paraId="5BFDEA25" w14:textId="470CB486" w:rsidR="00855ADB" w:rsidRDefault="007B27BC" w:rsidP="008D2290">
            <w:pPr>
              <w:jc w:val="both"/>
              <w:rPr>
                <w:rFonts w:ascii="Cambria" w:hAnsi="Cambria"/>
                <w:bCs/>
                <w:sz w:val="20"/>
                <w:szCs w:val="20"/>
                <w:lang w:val="es-ES"/>
              </w:rPr>
            </w:pPr>
            <w:r>
              <w:rPr>
                <w:rFonts w:ascii="Cambria" w:hAnsi="Cambria"/>
                <w:bCs/>
                <w:sz w:val="20"/>
                <w:szCs w:val="20"/>
                <w:lang w:val="es-ES"/>
              </w:rPr>
              <w:t>31 de marzo de 2023</w:t>
            </w:r>
            <w:r w:rsidR="00702696">
              <w:rPr>
                <w:rFonts w:ascii="Cambria" w:hAnsi="Cambria"/>
                <w:bCs/>
                <w:sz w:val="20"/>
                <w:szCs w:val="20"/>
                <w:lang w:val="es-ES"/>
              </w:rPr>
              <w:t xml:space="preserve">, 1 </w:t>
            </w:r>
            <w:r w:rsidR="00934D36">
              <w:rPr>
                <w:rFonts w:ascii="Cambria" w:hAnsi="Cambria"/>
                <w:bCs/>
                <w:sz w:val="20"/>
                <w:szCs w:val="20"/>
                <w:lang w:val="es-ES"/>
              </w:rPr>
              <w:t>de septiembre de 2023</w:t>
            </w:r>
            <w:r w:rsidR="00702696">
              <w:rPr>
                <w:rFonts w:ascii="Cambria" w:hAnsi="Cambria"/>
                <w:bCs/>
                <w:sz w:val="20"/>
                <w:szCs w:val="20"/>
                <w:lang w:val="es-ES"/>
              </w:rPr>
              <w:t xml:space="preserve"> y</w:t>
            </w:r>
            <w:r w:rsidR="00F05C68">
              <w:rPr>
                <w:rFonts w:ascii="Cambria" w:hAnsi="Cambria"/>
                <w:bCs/>
                <w:sz w:val="20"/>
                <w:szCs w:val="20"/>
                <w:lang w:val="es-ES"/>
              </w:rPr>
              <w:t xml:space="preserve"> 17 de enero de 2024</w:t>
            </w:r>
          </w:p>
        </w:tc>
      </w:tr>
      <w:tr w:rsidR="00567899" w:rsidRPr="00D2425E" w14:paraId="5813B860" w14:textId="77777777" w:rsidTr="004A6A54">
        <w:tc>
          <w:tcPr>
            <w:tcW w:w="3600" w:type="dxa"/>
            <w:tcBorders>
              <w:top w:val="single" w:sz="6" w:space="0" w:color="auto"/>
              <w:bottom w:val="single" w:sz="6" w:space="0" w:color="auto"/>
            </w:tcBorders>
            <w:shd w:val="clear" w:color="auto" w:fill="386294"/>
            <w:vAlign w:val="center"/>
          </w:tcPr>
          <w:p w14:paraId="6AE76605" w14:textId="460735D6" w:rsidR="00567899" w:rsidRDefault="00567899"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Observaciones adicionales del Estado</w:t>
            </w:r>
          </w:p>
        </w:tc>
        <w:tc>
          <w:tcPr>
            <w:tcW w:w="5760" w:type="dxa"/>
            <w:vAlign w:val="center"/>
          </w:tcPr>
          <w:p w14:paraId="4A41C447" w14:textId="2F98B453" w:rsidR="00567899" w:rsidRDefault="00FF021E" w:rsidP="008D2290">
            <w:pPr>
              <w:jc w:val="both"/>
              <w:rPr>
                <w:rFonts w:ascii="Cambria" w:hAnsi="Cambria"/>
                <w:bCs/>
                <w:sz w:val="20"/>
                <w:szCs w:val="20"/>
                <w:lang w:val="es-ES"/>
              </w:rPr>
            </w:pPr>
            <w:r>
              <w:rPr>
                <w:rFonts w:ascii="Cambria" w:hAnsi="Cambria"/>
                <w:bCs/>
                <w:sz w:val="20"/>
                <w:szCs w:val="20"/>
                <w:lang w:val="es-ES"/>
              </w:rPr>
              <w:t>10 de noviembre de 2023</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072532AD" w14:textId="77777777" w:rsidTr="00F25A13">
        <w:trPr>
          <w:cantSplit/>
        </w:trPr>
        <w:tc>
          <w:tcPr>
            <w:tcW w:w="3561"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76" w:type="dxa"/>
            <w:vAlign w:val="center"/>
          </w:tcPr>
          <w:p w14:paraId="7707F3E9" w14:textId="473D63A6" w:rsidR="003239B8" w:rsidRPr="00B3745F" w:rsidRDefault="004A12C7" w:rsidP="008D2290">
            <w:pPr>
              <w:rPr>
                <w:rFonts w:ascii="Cambria" w:hAnsi="Cambria"/>
                <w:bCs/>
                <w:sz w:val="20"/>
                <w:szCs w:val="20"/>
              </w:rPr>
            </w:pPr>
            <w:r>
              <w:rPr>
                <w:rFonts w:ascii="Cambria" w:hAnsi="Cambria"/>
                <w:bCs/>
                <w:sz w:val="20"/>
                <w:szCs w:val="20"/>
                <w:lang w:val="es-ES"/>
              </w:rPr>
              <w:t>Sí</w:t>
            </w:r>
          </w:p>
        </w:tc>
      </w:tr>
      <w:tr w:rsidR="003239B8" w:rsidRPr="00540F17" w14:paraId="4B8802DA" w14:textId="77777777" w:rsidTr="00F25A13">
        <w:trPr>
          <w:cantSplit/>
        </w:trPr>
        <w:tc>
          <w:tcPr>
            <w:tcW w:w="3561"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76" w:type="dxa"/>
            <w:vAlign w:val="center"/>
          </w:tcPr>
          <w:p w14:paraId="12C931CB" w14:textId="5804B26A" w:rsidR="003239B8" w:rsidRPr="00B3745F" w:rsidRDefault="004A12C7" w:rsidP="008D2290">
            <w:pPr>
              <w:rPr>
                <w:rFonts w:ascii="Cambria" w:hAnsi="Cambria"/>
                <w:bCs/>
                <w:sz w:val="20"/>
                <w:szCs w:val="20"/>
              </w:rPr>
            </w:pPr>
            <w:r>
              <w:rPr>
                <w:rFonts w:ascii="Cambria" w:hAnsi="Cambria"/>
                <w:bCs/>
                <w:sz w:val="20"/>
                <w:szCs w:val="20"/>
                <w:lang w:val="es-ES"/>
              </w:rPr>
              <w:t>Sí</w:t>
            </w:r>
          </w:p>
        </w:tc>
      </w:tr>
      <w:tr w:rsidR="003239B8" w:rsidRPr="00540F17" w14:paraId="4362FDF3" w14:textId="77777777" w:rsidTr="00F25A13">
        <w:trPr>
          <w:cantSplit/>
        </w:trPr>
        <w:tc>
          <w:tcPr>
            <w:tcW w:w="3561"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76" w:type="dxa"/>
            <w:vAlign w:val="center"/>
          </w:tcPr>
          <w:p w14:paraId="6F8B059B" w14:textId="5851DFD4" w:rsidR="003239B8" w:rsidRPr="00B3745F" w:rsidRDefault="004A12C7" w:rsidP="008D2290">
            <w:pPr>
              <w:rPr>
                <w:rFonts w:ascii="Cambria" w:hAnsi="Cambria"/>
                <w:bCs/>
                <w:sz w:val="20"/>
                <w:szCs w:val="20"/>
              </w:rPr>
            </w:pPr>
            <w:r>
              <w:rPr>
                <w:rFonts w:ascii="Cambria" w:hAnsi="Cambria"/>
                <w:bCs/>
                <w:sz w:val="20"/>
                <w:szCs w:val="20"/>
                <w:lang w:val="es-ES"/>
              </w:rPr>
              <w:t>Sí</w:t>
            </w:r>
          </w:p>
        </w:tc>
      </w:tr>
      <w:tr w:rsidR="003239B8" w:rsidRPr="00003EA7" w14:paraId="30ABEC3E" w14:textId="77777777" w:rsidTr="00F25A13">
        <w:trPr>
          <w:cantSplit/>
        </w:trPr>
        <w:tc>
          <w:tcPr>
            <w:tcW w:w="3561"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76" w:type="dxa"/>
            <w:vAlign w:val="center"/>
          </w:tcPr>
          <w:p w14:paraId="0C122F44" w14:textId="43AF0903" w:rsidR="003239B8" w:rsidRPr="00B3745F" w:rsidRDefault="004A12C7" w:rsidP="008D2290">
            <w:pPr>
              <w:jc w:val="both"/>
              <w:rPr>
                <w:rFonts w:ascii="Cambria" w:hAnsi="Cambria"/>
                <w:bCs/>
                <w:sz w:val="20"/>
                <w:szCs w:val="20"/>
                <w:lang w:val="es-ES"/>
              </w:rPr>
            </w:pPr>
            <w:r>
              <w:rPr>
                <w:rFonts w:ascii="Cambria" w:hAnsi="Cambria"/>
                <w:bCs/>
                <w:sz w:val="20"/>
                <w:szCs w:val="20"/>
                <w:lang w:val="es-ES"/>
              </w:rPr>
              <w:t xml:space="preserve">Sí, Convención Americana (depósito del instrumento de ratificación realizado el </w:t>
            </w:r>
            <w:r w:rsidR="00B4104C">
              <w:rPr>
                <w:rFonts w:ascii="Cambria" w:hAnsi="Cambria"/>
                <w:bCs/>
                <w:sz w:val="20"/>
                <w:szCs w:val="20"/>
                <w:lang w:val="es-ES"/>
              </w:rPr>
              <w:t>28</w:t>
            </w:r>
            <w:r>
              <w:rPr>
                <w:rFonts w:ascii="Cambria" w:hAnsi="Cambria"/>
                <w:bCs/>
                <w:sz w:val="20"/>
                <w:szCs w:val="20"/>
                <w:lang w:val="es-ES"/>
              </w:rPr>
              <w:t xml:space="preserve"> de </w:t>
            </w:r>
            <w:r w:rsidR="00C25C23">
              <w:rPr>
                <w:rFonts w:ascii="Cambria" w:hAnsi="Cambria"/>
                <w:bCs/>
                <w:sz w:val="20"/>
                <w:szCs w:val="20"/>
                <w:lang w:val="es-ES"/>
              </w:rPr>
              <w:t>julio</w:t>
            </w:r>
            <w:r>
              <w:rPr>
                <w:rFonts w:ascii="Cambria" w:hAnsi="Cambria"/>
                <w:bCs/>
                <w:sz w:val="20"/>
                <w:szCs w:val="20"/>
                <w:lang w:val="es-ES"/>
              </w:rPr>
              <w:t xml:space="preserve"> de 197</w:t>
            </w:r>
            <w:r w:rsidR="00B4104C">
              <w:rPr>
                <w:rFonts w:ascii="Cambria" w:hAnsi="Cambria"/>
                <w:bCs/>
                <w:sz w:val="20"/>
                <w:szCs w:val="20"/>
                <w:lang w:val="es-ES"/>
              </w:rPr>
              <w:t>8</w:t>
            </w:r>
            <w:r>
              <w:rPr>
                <w:rFonts w:ascii="Cambria" w:hAnsi="Cambria"/>
                <w:bCs/>
                <w:sz w:val="20"/>
                <w:szCs w:val="20"/>
                <w:lang w:val="es-ES"/>
              </w:rPr>
              <w:t>)</w:t>
            </w:r>
          </w:p>
        </w:tc>
      </w:tr>
    </w:tbl>
    <w:p w14:paraId="4E92C444" w14:textId="140CB1E7" w:rsidR="003239B8" w:rsidRPr="007A677F" w:rsidRDefault="003239B8" w:rsidP="003239B8">
      <w:pPr>
        <w:spacing w:before="240" w:after="240"/>
        <w:ind w:firstLine="720"/>
        <w:jc w:val="both"/>
        <w:rPr>
          <w:rFonts w:asciiTheme="majorHAnsi" w:hAnsiTheme="majorHAnsi"/>
          <w:b/>
          <w:bCs/>
          <w:sz w:val="20"/>
          <w:szCs w:val="20"/>
          <w:lang w:val="es-ES_tradnl"/>
        </w:rPr>
      </w:pPr>
      <w:r w:rsidRPr="007A677F">
        <w:rPr>
          <w:rFonts w:asciiTheme="majorHAnsi" w:hAnsiTheme="majorHAnsi"/>
          <w:b/>
          <w:bCs/>
          <w:sz w:val="20"/>
          <w:szCs w:val="20"/>
          <w:lang w:val="es-ES_tradnl"/>
        </w:rPr>
        <w:t xml:space="preserve">IV. </w:t>
      </w:r>
      <w:r w:rsidRPr="007A677F">
        <w:rPr>
          <w:rFonts w:asciiTheme="majorHAnsi" w:hAnsiTheme="majorHAnsi"/>
          <w:b/>
          <w:bCs/>
          <w:sz w:val="20"/>
          <w:szCs w:val="20"/>
          <w:lang w:val="es-ES_tradnl"/>
        </w:rPr>
        <w:tab/>
      </w:r>
      <w:r w:rsidR="00EE00E9" w:rsidRPr="007A677F">
        <w:rPr>
          <w:rFonts w:asciiTheme="majorHAnsi" w:hAnsiTheme="majorHAnsi"/>
          <w:b/>
          <w:bCs/>
          <w:sz w:val="20"/>
          <w:szCs w:val="20"/>
          <w:lang w:val="es-ES_tradnl"/>
        </w:rPr>
        <w:t>DUPLICACIÓN</w:t>
      </w:r>
      <w:r w:rsidR="00EE00E9" w:rsidRPr="007A677F">
        <w:rPr>
          <w:rFonts w:asciiTheme="majorHAnsi" w:hAnsiTheme="majorHAnsi"/>
          <w:b/>
          <w:bCs/>
          <w:color w:val="FFFFFF" w:themeColor="background1"/>
          <w:sz w:val="20"/>
          <w:szCs w:val="20"/>
          <w:lang w:val="es-ES_tradnl"/>
        </w:rPr>
        <w:t xml:space="preserve"> </w:t>
      </w:r>
      <w:r w:rsidR="00EE00E9" w:rsidRPr="007A677F">
        <w:rPr>
          <w:rFonts w:asciiTheme="majorHAnsi" w:hAnsiTheme="majorHAnsi"/>
          <w:b/>
          <w:bCs/>
          <w:sz w:val="20"/>
          <w:szCs w:val="20"/>
          <w:lang w:val="es-ES_tradnl"/>
        </w:rPr>
        <w:t>DE PROCEDIMIENTOS Y COSA JUZGADA</w:t>
      </w:r>
      <w:r w:rsidR="00EE00E9" w:rsidRPr="007A677F">
        <w:rPr>
          <w:rFonts w:asciiTheme="majorHAnsi" w:hAnsiTheme="majorHAnsi"/>
          <w:b/>
          <w:bCs/>
          <w:i/>
          <w:sz w:val="20"/>
          <w:szCs w:val="20"/>
          <w:lang w:val="es-ES_tradnl"/>
        </w:rPr>
        <w:t xml:space="preserve"> </w:t>
      </w:r>
      <w:r w:rsidR="00EE00E9" w:rsidRPr="007A677F">
        <w:rPr>
          <w:rFonts w:asciiTheme="majorHAnsi" w:hAnsiTheme="majorHAnsi"/>
          <w:b/>
          <w:bCs/>
          <w:sz w:val="20"/>
          <w:szCs w:val="20"/>
          <w:lang w:val="es-ES_tradnl"/>
        </w:rPr>
        <w:t>INTERNACIONAL</w:t>
      </w:r>
      <w:r w:rsidR="005D38F9" w:rsidRPr="007A677F">
        <w:rPr>
          <w:rFonts w:asciiTheme="majorHAnsi" w:hAnsiTheme="majorHAnsi"/>
          <w:b/>
          <w:bCs/>
          <w:sz w:val="20"/>
          <w:szCs w:val="20"/>
          <w:lang w:val="es-ES_tradnl"/>
        </w:rPr>
        <w:t>,</w:t>
      </w:r>
      <w:r w:rsidRPr="007A677F">
        <w:rPr>
          <w:rFonts w:asciiTheme="majorHAnsi" w:hAnsiTheme="majorHAnsi"/>
          <w:b/>
          <w:bCs/>
          <w:sz w:val="20"/>
          <w:szCs w:val="20"/>
          <w:lang w:val="es-ES_tradnl"/>
        </w:rPr>
        <w:t xml:space="preserve"> CARACTERIZACIÓN, </w:t>
      </w:r>
      <w:r w:rsidRPr="007A677F">
        <w:rPr>
          <w:rFonts w:asciiTheme="majorHAnsi" w:hAnsiTheme="majorHAnsi"/>
          <w:b/>
          <w:sz w:val="20"/>
          <w:szCs w:val="20"/>
          <w:lang w:val="es-ES_tradnl"/>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EE00E9" w:rsidRPr="00C21395" w14:paraId="1231C988" w14:textId="77777777" w:rsidTr="00F25A13">
        <w:trPr>
          <w:cantSplit/>
        </w:trPr>
        <w:tc>
          <w:tcPr>
            <w:tcW w:w="3561" w:type="dxa"/>
            <w:tcBorders>
              <w:top w:val="single" w:sz="4" w:space="0" w:color="auto"/>
              <w:bottom w:val="single" w:sz="6" w:space="0" w:color="auto"/>
            </w:tcBorders>
            <w:shd w:val="clear" w:color="auto" w:fill="386294"/>
            <w:vAlign w:val="center"/>
          </w:tcPr>
          <w:p w14:paraId="6F8031F4" w14:textId="77777777" w:rsidR="00EE00E9" w:rsidRPr="007A677F" w:rsidRDefault="00EE00E9" w:rsidP="008D2290">
            <w:pPr>
              <w:jc w:val="center"/>
              <w:rPr>
                <w:rFonts w:ascii="Cambria" w:hAnsi="Cambria"/>
                <w:b/>
                <w:bCs/>
                <w:color w:val="FFFFFF" w:themeColor="background1"/>
                <w:sz w:val="20"/>
                <w:szCs w:val="20"/>
                <w:lang w:val="es-ES_tradnl"/>
              </w:rPr>
            </w:pPr>
            <w:r w:rsidRPr="007A677F">
              <w:rPr>
                <w:rFonts w:ascii="Cambria" w:hAnsi="Cambria"/>
                <w:b/>
                <w:bCs/>
                <w:color w:val="FFFFFF" w:themeColor="background1"/>
                <w:sz w:val="20"/>
                <w:szCs w:val="20"/>
                <w:lang w:val="es-ES_tradnl"/>
              </w:rPr>
              <w:t>Duplicación de procedimientos y cosa juzgada internacional:</w:t>
            </w:r>
          </w:p>
        </w:tc>
        <w:tc>
          <w:tcPr>
            <w:tcW w:w="5776" w:type="dxa"/>
            <w:vAlign w:val="center"/>
          </w:tcPr>
          <w:p w14:paraId="240941E6" w14:textId="76C4AA8C" w:rsidR="00EE00E9" w:rsidRPr="007A677F" w:rsidRDefault="006515DB" w:rsidP="008D2290">
            <w:pPr>
              <w:jc w:val="both"/>
              <w:rPr>
                <w:rFonts w:ascii="Cambria" w:hAnsi="Cambria"/>
                <w:bCs/>
                <w:sz w:val="20"/>
                <w:szCs w:val="20"/>
                <w:lang w:val="es-ES_tradnl"/>
              </w:rPr>
            </w:pPr>
            <w:r>
              <w:rPr>
                <w:rFonts w:ascii="Cambria" w:hAnsi="Cambria"/>
                <w:bCs/>
                <w:sz w:val="20"/>
                <w:szCs w:val="20"/>
                <w:lang w:val="es-ES_tradnl"/>
              </w:rPr>
              <w:t>No</w:t>
            </w:r>
          </w:p>
        </w:tc>
      </w:tr>
      <w:tr w:rsidR="003239B8" w:rsidRPr="00003EA7" w14:paraId="15FAA7D1" w14:textId="77777777" w:rsidTr="00F25A13">
        <w:trPr>
          <w:cantSplit/>
        </w:trPr>
        <w:tc>
          <w:tcPr>
            <w:tcW w:w="3561" w:type="dxa"/>
            <w:tcBorders>
              <w:top w:val="single" w:sz="4" w:space="0" w:color="auto"/>
              <w:bottom w:val="single" w:sz="6" w:space="0" w:color="auto"/>
            </w:tcBorders>
            <w:shd w:val="clear" w:color="auto" w:fill="386294"/>
            <w:vAlign w:val="center"/>
          </w:tcPr>
          <w:p w14:paraId="1B0D29FF" w14:textId="77777777" w:rsidR="003239B8" w:rsidRPr="007A677F" w:rsidRDefault="003239B8" w:rsidP="008D2290">
            <w:pPr>
              <w:jc w:val="center"/>
              <w:rPr>
                <w:rFonts w:ascii="Cambria" w:hAnsi="Cambria"/>
                <w:b/>
                <w:bCs/>
                <w:i/>
                <w:color w:val="FFFFFF" w:themeColor="background1"/>
                <w:sz w:val="20"/>
                <w:szCs w:val="20"/>
                <w:lang w:val="es-ES_tradnl"/>
              </w:rPr>
            </w:pPr>
            <w:r w:rsidRPr="007A677F">
              <w:rPr>
                <w:rFonts w:ascii="Cambria" w:hAnsi="Cambria"/>
                <w:b/>
                <w:bCs/>
                <w:color w:val="FFFFFF" w:themeColor="background1"/>
                <w:sz w:val="20"/>
                <w:szCs w:val="20"/>
                <w:lang w:val="es-ES_tradnl"/>
              </w:rPr>
              <w:t>Derechos declarados admisibles</w:t>
            </w:r>
            <w:r w:rsidRPr="007A677F">
              <w:rPr>
                <w:rFonts w:ascii="Cambria" w:hAnsi="Cambria"/>
                <w:b/>
                <w:bCs/>
                <w:i/>
                <w:color w:val="FFFFFF" w:themeColor="background1"/>
                <w:sz w:val="20"/>
                <w:szCs w:val="20"/>
                <w:lang w:val="es-ES_tradnl"/>
              </w:rPr>
              <w:t>:</w:t>
            </w:r>
          </w:p>
        </w:tc>
        <w:tc>
          <w:tcPr>
            <w:tcW w:w="5776" w:type="dxa"/>
            <w:vAlign w:val="center"/>
          </w:tcPr>
          <w:p w14:paraId="6310C8F7" w14:textId="5AE1BE8B" w:rsidR="003239B8" w:rsidRPr="007A677F" w:rsidRDefault="006515DB" w:rsidP="008D2290">
            <w:pPr>
              <w:jc w:val="both"/>
              <w:rPr>
                <w:rFonts w:ascii="Cambria" w:hAnsi="Cambria"/>
                <w:bCs/>
                <w:sz w:val="20"/>
                <w:szCs w:val="20"/>
                <w:lang w:val="es-ES_tradnl"/>
              </w:rPr>
            </w:pPr>
            <w:r>
              <w:rPr>
                <w:rFonts w:ascii="Cambria" w:hAnsi="Cambria"/>
                <w:bCs/>
                <w:sz w:val="20"/>
                <w:szCs w:val="20"/>
                <w:lang w:val="es-ES"/>
              </w:rPr>
              <w:t>Artículos 4 (derecho a la vida), 8 (garantías judiciales), 25 (protección judicial)</w:t>
            </w:r>
            <w:r w:rsidR="007A5A83">
              <w:rPr>
                <w:rFonts w:ascii="Cambria" w:hAnsi="Cambria"/>
                <w:bCs/>
                <w:sz w:val="20"/>
                <w:szCs w:val="20"/>
                <w:lang w:val="es-ES"/>
              </w:rPr>
              <w:t xml:space="preserve"> y 26 (derechos económicos, sociales, culturales y medioambientales)</w:t>
            </w:r>
            <w:r>
              <w:rPr>
                <w:rFonts w:ascii="Cambria" w:hAnsi="Cambria"/>
                <w:bCs/>
                <w:sz w:val="20"/>
                <w:szCs w:val="20"/>
                <w:lang w:val="es-ES"/>
              </w:rPr>
              <w:t xml:space="preserve"> de la Convención Americana</w:t>
            </w:r>
          </w:p>
        </w:tc>
      </w:tr>
      <w:tr w:rsidR="003239B8" w:rsidRPr="00003EA7" w14:paraId="4EFD141E" w14:textId="77777777" w:rsidTr="00F25A13">
        <w:trPr>
          <w:cantSplit/>
        </w:trPr>
        <w:tc>
          <w:tcPr>
            <w:tcW w:w="3561" w:type="dxa"/>
            <w:tcBorders>
              <w:top w:val="single" w:sz="6" w:space="0" w:color="auto"/>
              <w:bottom w:val="single" w:sz="6" w:space="0" w:color="auto"/>
            </w:tcBorders>
            <w:shd w:val="clear" w:color="auto" w:fill="386294"/>
            <w:vAlign w:val="center"/>
          </w:tcPr>
          <w:p w14:paraId="4C04A89C" w14:textId="77777777" w:rsidR="003239B8" w:rsidRPr="007A677F" w:rsidRDefault="003239B8" w:rsidP="008D2290">
            <w:pPr>
              <w:jc w:val="center"/>
              <w:rPr>
                <w:rFonts w:ascii="Cambria" w:hAnsi="Cambria"/>
                <w:b/>
                <w:bCs/>
                <w:color w:val="FFFFFF" w:themeColor="background1"/>
                <w:sz w:val="20"/>
                <w:szCs w:val="20"/>
                <w:lang w:val="es-ES_tradnl"/>
              </w:rPr>
            </w:pPr>
            <w:r w:rsidRPr="007A677F">
              <w:rPr>
                <w:rFonts w:ascii="Cambria" w:hAnsi="Cambria"/>
                <w:b/>
                <w:bCs/>
                <w:color w:val="FFFFFF" w:themeColor="background1"/>
                <w:sz w:val="20"/>
                <w:szCs w:val="20"/>
                <w:lang w:val="es-ES_tradnl"/>
              </w:rPr>
              <w:t>Agotamiento de recursos internos</w:t>
            </w:r>
            <w:r w:rsidR="00EE00E9" w:rsidRPr="007A677F">
              <w:rPr>
                <w:rFonts w:ascii="Cambria" w:hAnsi="Cambria"/>
                <w:b/>
                <w:bCs/>
                <w:color w:val="FFFFFF" w:themeColor="background1"/>
                <w:sz w:val="20"/>
                <w:szCs w:val="20"/>
                <w:lang w:val="es-ES_tradnl"/>
              </w:rPr>
              <w:t xml:space="preserve"> o procedencia de una excepción</w:t>
            </w:r>
            <w:r w:rsidRPr="007A677F">
              <w:rPr>
                <w:rFonts w:ascii="Cambria" w:hAnsi="Cambria"/>
                <w:b/>
                <w:bCs/>
                <w:color w:val="FFFFFF" w:themeColor="background1"/>
                <w:sz w:val="20"/>
                <w:szCs w:val="20"/>
                <w:lang w:val="es-ES_tradnl"/>
              </w:rPr>
              <w:t>:</w:t>
            </w:r>
          </w:p>
        </w:tc>
        <w:tc>
          <w:tcPr>
            <w:tcW w:w="5776" w:type="dxa"/>
            <w:vAlign w:val="center"/>
          </w:tcPr>
          <w:p w14:paraId="69C53E8A" w14:textId="3050CCC4" w:rsidR="003239B8" w:rsidRPr="007A677F" w:rsidRDefault="006515DB" w:rsidP="008D2290">
            <w:pPr>
              <w:rPr>
                <w:rFonts w:ascii="Cambria" w:hAnsi="Cambria"/>
                <w:bCs/>
                <w:sz w:val="20"/>
                <w:szCs w:val="20"/>
                <w:lang w:val="es-ES_tradnl"/>
              </w:rPr>
            </w:pPr>
            <w:r>
              <w:rPr>
                <w:rFonts w:ascii="Cambria" w:hAnsi="Cambria"/>
                <w:bCs/>
                <w:sz w:val="20"/>
                <w:szCs w:val="20"/>
                <w:lang w:val="es-ES_tradnl"/>
              </w:rPr>
              <w:t>Sí, en los términos de la sección VI</w:t>
            </w:r>
          </w:p>
        </w:tc>
      </w:tr>
      <w:tr w:rsidR="003239B8" w:rsidRPr="00003EA7" w14:paraId="52B5BA17" w14:textId="77777777" w:rsidTr="00F25A13">
        <w:trPr>
          <w:cantSplit/>
        </w:trPr>
        <w:tc>
          <w:tcPr>
            <w:tcW w:w="3561" w:type="dxa"/>
            <w:tcBorders>
              <w:top w:val="single" w:sz="6" w:space="0" w:color="auto"/>
              <w:bottom w:val="single" w:sz="6" w:space="0" w:color="auto"/>
            </w:tcBorders>
            <w:shd w:val="clear" w:color="auto" w:fill="386294"/>
            <w:vAlign w:val="center"/>
          </w:tcPr>
          <w:p w14:paraId="5DF99086" w14:textId="77777777" w:rsidR="003239B8" w:rsidRPr="007A677F" w:rsidRDefault="003239B8" w:rsidP="008D2290">
            <w:pPr>
              <w:jc w:val="center"/>
              <w:rPr>
                <w:rFonts w:ascii="Cambria" w:hAnsi="Cambria"/>
                <w:b/>
                <w:bCs/>
                <w:color w:val="FFFFFF" w:themeColor="background1"/>
                <w:sz w:val="20"/>
                <w:szCs w:val="20"/>
                <w:lang w:val="es-ES_tradnl"/>
              </w:rPr>
            </w:pPr>
            <w:r w:rsidRPr="007A677F">
              <w:rPr>
                <w:rFonts w:ascii="Cambria" w:hAnsi="Cambria"/>
                <w:b/>
                <w:bCs/>
                <w:color w:val="FFFFFF" w:themeColor="background1"/>
                <w:sz w:val="20"/>
                <w:szCs w:val="20"/>
                <w:lang w:val="es-ES_tradnl"/>
              </w:rPr>
              <w:t>Presentación dentro de plazo:</w:t>
            </w:r>
          </w:p>
        </w:tc>
        <w:tc>
          <w:tcPr>
            <w:tcW w:w="5776" w:type="dxa"/>
            <w:vAlign w:val="center"/>
          </w:tcPr>
          <w:p w14:paraId="4A2A4569" w14:textId="56ECA615" w:rsidR="003239B8" w:rsidRPr="007A677F" w:rsidRDefault="006515DB" w:rsidP="008D2290">
            <w:pPr>
              <w:rPr>
                <w:rFonts w:ascii="Cambria" w:hAnsi="Cambria"/>
                <w:bCs/>
                <w:sz w:val="20"/>
                <w:szCs w:val="20"/>
                <w:lang w:val="es-ES_tradnl"/>
              </w:rPr>
            </w:pPr>
            <w:r>
              <w:rPr>
                <w:rFonts w:ascii="Cambria" w:hAnsi="Cambria"/>
                <w:bCs/>
                <w:sz w:val="20"/>
                <w:szCs w:val="20"/>
                <w:lang w:val="es-ES_tradnl"/>
              </w:rPr>
              <w:t>Sí, en los términos de la sección VI</w:t>
            </w:r>
          </w:p>
        </w:tc>
      </w:tr>
    </w:tbl>
    <w:p w14:paraId="18E6423B" w14:textId="5762B3E0" w:rsidR="003239B8" w:rsidRPr="00FB4BA7" w:rsidRDefault="00223A29" w:rsidP="003239B8">
      <w:pPr>
        <w:spacing w:before="240" w:after="240"/>
        <w:ind w:firstLine="720"/>
        <w:jc w:val="both"/>
        <w:rPr>
          <w:rFonts w:asciiTheme="majorHAnsi" w:hAnsiTheme="majorHAnsi"/>
          <w:b/>
          <w:sz w:val="20"/>
          <w:szCs w:val="20"/>
          <w:lang w:val="es-ES_tradnl"/>
        </w:rPr>
      </w:pPr>
      <w:r w:rsidRPr="007A677F">
        <w:rPr>
          <w:rFonts w:asciiTheme="majorHAnsi" w:hAnsiTheme="majorHAnsi"/>
          <w:b/>
          <w:sz w:val="20"/>
          <w:szCs w:val="20"/>
          <w:lang w:val="es-ES_tradnl"/>
        </w:rPr>
        <w:t xml:space="preserve">V. </w:t>
      </w:r>
      <w:r w:rsidRPr="007A677F">
        <w:rPr>
          <w:rFonts w:asciiTheme="majorHAnsi" w:hAnsiTheme="majorHAnsi"/>
          <w:b/>
          <w:sz w:val="20"/>
          <w:szCs w:val="20"/>
          <w:lang w:val="es-ES_tradnl"/>
        </w:rPr>
        <w:tab/>
      </w:r>
      <w:r w:rsidR="0039144C" w:rsidRPr="00FB4BA7">
        <w:rPr>
          <w:rFonts w:asciiTheme="majorHAnsi" w:hAnsiTheme="majorHAnsi"/>
          <w:b/>
          <w:sz w:val="20"/>
          <w:szCs w:val="20"/>
          <w:lang w:val="es-ES_tradnl"/>
        </w:rPr>
        <w:t>POSICIÓN DE LAS PARTES</w:t>
      </w:r>
      <w:r w:rsidR="003239B8" w:rsidRPr="00FB4BA7">
        <w:rPr>
          <w:rFonts w:asciiTheme="majorHAnsi" w:hAnsiTheme="majorHAnsi"/>
          <w:b/>
          <w:sz w:val="20"/>
          <w:szCs w:val="20"/>
          <w:lang w:val="es-ES_tradnl"/>
        </w:rPr>
        <w:t xml:space="preserve"> </w:t>
      </w:r>
    </w:p>
    <w:p w14:paraId="4A204065" w14:textId="4BE5F251" w:rsidR="00702696" w:rsidRPr="00FB4BA7" w:rsidRDefault="0071759F" w:rsidP="00702696">
      <w:pPr>
        <w:spacing w:before="120" w:after="120"/>
        <w:ind w:firstLine="720"/>
        <w:jc w:val="both"/>
        <w:rPr>
          <w:rFonts w:asciiTheme="majorHAnsi" w:hAnsiTheme="majorHAnsi"/>
          <w:bCs/>
          <w:i/>
          <w:iCs/>
          <w:sz w:val="20"/>
          <w:szCs w:val="20"/>
          <w:lang w:val="es-ES_tradnl"/>
        </w:rPr>
      </w:pPr>
      <w:r w:rsidRPr="00FB4BA7">
        <w:rPr>
          <w:rFonts w:asciiTheme="majorHAnsi" w:hAnsiTheme="majorHAnsi"/>
          <w:bCs/>
          <w:i/>
          <w:iCs/>
          <w:sz w:val="20"/>
          <w:szCs w:val="20"/>
          <w:lang w:val="es-ES_tradnl"/>
        </w:rPr>
        <w:t>Alegatos de la parte peticionaria</w:t>
      </w:r>
    </w:p>
    <w:p w14:paraId="0C490289" w14:textId="06F9BA85" w:rsidR="00981836" w:rsidRPr="00FB4BA7" w:rsidRDefault="00B94FF6" w:rsidP="009818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AR"/>
        </w:rPr>
      </w:pPr>
      <w:r w:rsidRPr="00FB4BA7">
        <w:rPr>
          <w:rFonts w:ascii="Cambria" w:hAnsi="Cambria"/>
          <w:sz w:val="20"/>
          <w:szCs w:val="20"/>
          <w:lang w:val="es-AR"/>
        </w:rPr>
        <w:t>La parte peticionaria denuncia que</w:t>
      </w:r>
      <w:r w:rsidR="00227133" w:rsidRPr="00FB4BA7">
        <w:rPr>
          <w:rFonts w:ascii="Cambria" w:hAnsi="Cambria"/>
          <w:sz w:val="20"/>
          <w:szCs w:val="20"/>
          <w:lang w:val="es-AR"/>
        </w:rPr>
        <w:t xml:space="preserve"> las autoridades no han adoptado medidas</w:t>
      </w:r>
      <w:r w:rsidR="00983F29" w:rsidRPr="00FB4BA7">
        <w:rPr>
          <w:rFonts w:ascii="Cambria" w:hAnsi="Cambria"/>
          <w:sz w:val="20"/>
          <w:szCs w:val="20"/>
          <w:lang w:val="es-AR"/>
        </w:rPr>
        <w:t xml:space="preserve"> para</w:t>
      </w:r>
      <w:r w:rsidR="00227133" w:rsidRPr="00FB4BA7">
        <w:rPr>
          <w:rFonts w:ascii="Cambria" w:hAnsi="Cambria"/>
          <w:sz w:val="20"/>
          <w:szCs w:val="20"/>
          <w:lang w:val="es-AR"/>
        </w:rPr>
        <w:t xml:space="preserve"> prevenir y reparar la contaminación del río </w:t>
      </w:r>
      <w:r w:rsidR="00983F29" w:rsidRPr="00FB4BA7">
        <w:rPr>
          <w:rFonts w:ascii="Cambria" w:hAnsi="Cambria"/>
          <w:sz w:val="20"/>
          <w:szCs w:val="20"/>
          <w:lang w:val="es-AR"/>
        </w:rPr>
        <w:t xml:space="preserve">ubicado </w:t>
      </w:r>
      <w:r w:rsidR="00D061BD" w:rsidRPr="00FB4BA7">
        <w:rPr>
          <w:rFonts w:ascii="Cambria" w:hAnsi="Cambria"/>
          <w:sz w:val="20"/>
          <w:szCs w:val="20"/>
          <w:lang w:val="es-AR"/>
        </w:rPr>
        <w:t>en el departamento de Tumbes</w:t>
      </w:r>
      <w:r w:rsidR="00227133" w:rsidRPr="00FB4BA7">
        <w:rPr>
          <w:rFonts w:ascii="Cambria" w:hAnsi="Cambria"/>
          <w:sz w:val="20"/>
          <w:szCs w:val="20"/>
          <w:lang w:val="es-AR"/>
        </w:rPr>
        <w:t xml:space="preserve">, </w:t>
      </w:r>
      <w:r w:rsidR="00983F29" w:rsidRPr="00FB4BA7">
        <w:rPr>
          <w:rFonts w:ascii="Cambria" w:hAnsi="Cambria"/>
          <w:sz w:val="20"/>
          <w:szCs w:val="20"/>
          <w:lang w:val="es-AR"/>
        </w:rPr>
        <w:t xml:space="preserve">lo cual viene afectando hace varios años </w:t>
      </w:r>
      <w:r w:rsidR="00227133" w:rsidRPr="00FB4BA7">
        <w:rPr>
          <w:rFonts w:ascii="Cambria" w:hAnsi="Cambria"/>
          <w:sz w:val="20"/>
          <w:szCs w:val="20"/>
          <w:lang w:val="es-AR"/>
        </w:rPr>
        <w:t xml:space="preserve">la calidad del agua </w:t>
      </w:r>
      <w:r w:rsidR="00983F29" w:rsidRPr="00FB4BA7">
        <w:rPr>
          <w:rFonts w:ascii="Cambria" w:hAnsi="Cambria"/>
          <w:sz w:val="20"/>
          <w:szCs w:val="20"/>
          <w:lang w:val="es-AR"/>
        </w:rPr>
        <w:t xml:space="preserve">potable </w:t>
      </w:r>
      <w:r w:rsidR="00227133" w:rsidRPr="00FB4BA7">
        <w:rPr>
          <w:rFonts w:ascii="Cambria" w:hAnsi="Cambria"/>
          <w:sz w:val="20"/>
          <w:szCs w:val="20"/>
          <w:lang w:val="es-AR"/>
        </w:rPr>
        <w:t xml:space="preserve">de </w:t>
      </w:r>
      <w:r w:rsidR="005F12EB" w:rsidRPr="00FB4BA7">
        <w:rPr>
          <w:rFonts w:ascii="Cambria" w:hAnsi="Cambria"/>
          <w:sz w:val="20"/>
          <w:szCs w:val="20"/>
          <w:lang w:val="es-AR"/>
        </w:rPr>
        <w:t xml:space="preserve">la </w:t>
      </w:r>
      <w:r w:rsidR="00C950E9" w:rsidRPr="00FB4BA7">
        <w:rPr>
          <w:rFonts w:ascii="Cambria" w:hAnsi="Cambria"/>
          <w:sz w:val="20"/>
          <w:szCs w:val="20"/>
          <w:lang w:val="es-AR"/>
        </w:rPr>
        <w:t>población</w:t>
      </w:r>
      <w:r w:rsidR="005F12EB" w:rsidRPr="00FB4BA7">
        <w:rPr>
          <w:rFonts w:ascii="Cambria" w:hAnsi="Cambria"/>
          <w:sz w:val="20"/>
          <w:szCs w:val="20"/>
          <w:lang w:val="es-AR"/>
        </w:rPr>
        <w:t xml:space="preserve"> </w:t>
      </w:r>
      <w:r w:rsidR="00D061BD" w:rsidRPr="00FB4BA7">
        <w:rPr>
          <w:rFonts w:ascii="Cambria" w:hAnsi="Cambria"/>
          <w:sz w:val="20"/>
          <w:szCs w:val="20"/>
          <w:lang w:val="es-AR"/>
        </w:rPr>
        <w:t xml:space="preserve">de tal localidad. </w:t>
      </w:r>
    </w:p>
    <w:p w14:paraId="56A9D723" w14:textId="616A1F58" w:rsidR="00C81177" w:rsidRPr="00FB4BA7" w:rsidRDefault="00225190"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FB4BA7">
        <w:rPr>
          <w:rFonts w:ascii="Cambria" w:hAnsi="Cambria"/>
          <w:sz w:val="20"/>
          <w:szCs w:val="20"/>
          <w:lang w:val="es-AR"/>
        </w:rPr>
        <w:lastRenderedPageBreak/>
        <w:t>Explica que la cuenca del río Puyango-Tumbes es una de las nueve cuencas transfronterizas que comparten Perú y Ecuador</w:t>
      </w:r>
      <w:r w:rsidR="001478EE" w:rsidRPr="00FB4BA7">
        <w:rPr>
          <w:rFonts w:ascii="Cambria" w:hAnsi="Cambria"/>
          <w:sz w:val="20"/>
          <w:szCs w:val="20"/>
          <w:lang w:val="es-AR"/>
        </w:rPr>
        <w:t xml:space="preserve"> y que</w:t>
      </w:r>
      <w:r w:rsidR="00FD2506" w:rsidRPr="00FB4BA7">
        <w:rPr>
          <w:rFonts w:ascii="Cambria" w:hAnsi="Cambria"/>
          <w:sz w:val="20"/>
          <w:szCs w:val="20"/>
          <w:lang w:val="es-AR"/>
        </w:rPr>
        <w:t>,</w:t>
      </w:r>
      <w:r w:rsidRPr="00FB4BA7">
        <w:rPr>
          <w:rFonts w:ascii="Cambria" w:hAnsi="Cambria"/>
          <w:sz w:val="20"/>
          <w:szCs w:val="20"/>
          <w:lang w:val="es-AR"/>
        </w:rPr>
        <w:t xml:space="preserve"> desde hace años, </w:t>
      </w:r>
      <w:r w:rsidR="00C47E6E" w:rsidRPr="00FB4BA7">
        <w:rPr>
          <w:rFonts w:ascii="Cambria" w:hAnsi="Cambria"/>
          <w:sz w:val="20"/>
          <w:szCs w:val="20"/>
          <w:lang w:val="es-AR"/>
        </w:rPr>
        <w:t>debido a la actividad minera formal e informal en Ecuador, la citada cuenca se ha contaminado</w:t>
      </w:r>
      <w:r w:rsidR="00AA3DCE" w:rsidRPr="00FB4BA7">
        <w:rPr>
          <w:rFonts w:ascii="Cambria" w:hAnsi="Cambria"/>
          <w:sz w:val="20"/>
          <w:szCs w:val="20"/>
          <w:lang w:val="es-AR"/>
        </w:rPr>
        <w:t xml:space="preserve"> con</w:t>
      </w:r>
      <w:r w:rsidR="00E76B6D" w:rsidRPr="00FB4BA7">
        <w:rPr>
          <w:rFonts w:ascii="Cambria" w:hAnsi="Cambria"/>
          <w:sz w:val="20"/>
          <w:szCs w:val="20"/>
          <w:lang w:val="es-AR"/>
        </w:rPr>
        <w:t xml:space="preserve"> la presencia de metales pesados, </w:t>
      </w:r>
      <w:r w:rsidR="00C47E6E" w:rsidRPr="00FB4BA7">
        <w:rPr>
          <w:rFonts w:ascii="Cambria" w:hAnsi="Cambria"/>
          <w:sz w:val="20"/>
          <w:szCs w:val="20"/>
          <w:lang w:val="es-AR"/>
        </w:rPr>
        <w:t xml:space="preserve">perjudicando la calidad del agua de </w:t>
      </w:r>
      <w:r w:rsidR="005F12EB" w:rsidRPr="00FB4BA7">
        <w:rPr>
          <w:rFonts w:ascii="Cambria" w:hAnsi="Cambria"/>
          <w:sz w:val="20"/>
          <w:szCs w:val="20"/>
          <w:lang w:val="es-AR"/>
        </w:rPr>
        <w:t xml:space="preserve">la </w:t>
      </w:r>
      <w:r w:rsidR="00C950E9" w:rsidRPr="00FB4BA7">
        <w:rPr>
          <w:rFonts w:ascii="Cambria" w:hAnsi="Cambria"/>
          <w:sz w:val="20"/>
          <w:szCs w:val="20"/>
          <w:lang w:val="es-AR"/>
        </w:rPr>
        <w:t>población</w:t>
      </w:r>
      <w:r w:rsidR="005F12EB" w:rsidRPr="00FB4BA7">
        <w:rPr>
          <w:rFonts w:ascii="Cambria" w:hAnsi="Cambria"/>
          <w:sz w:val="20"/>
          <w:szCs w:val="20"/>
          <w:lang w:val="es-AR"/>
        </w:rPr>
        <w:t xml:space="preserve"> de </w:t>
      </w:r>
      <w:r w:rsidR="00C47E6E" w:rsidRPr="00FB4BA7">
        <w:rPr>
          <w:rFonts w:ascii="Cambria" w:hAnsi="Cambria"/>
          <w:sz w:val="20"/>
          <w:szCs w:val="20"/>
          <w:lang w:val="es-AR"/>
        </w:rPr>
        <w:t>dicho departamento</w:t>
      </w:r>
      <w:r w:rsidR="00533B56" w:rsidRPr="00FB4BA7">
        <w:rPr>
          <w:rFonts w:ascii="Cambria" w:hAnsi="Cambria"/>
          <w:sz w:val="20"/>
          <w:szCs w:val="20"/>
          <w:lang w:val="es-AR"/>
        </w:rPr>
        <w:t xml:space="preserve">, así como la fauna y flora de la zona. </w:t>
      </w:r>
    </w:p>
    <w:p w14:paraId="76D4CAE5" w14:textId="08EC4E2E" w:rsidR="00225190" w:rsidRPr="00FB4BA7" w:rsidRDefault="00A81D3A"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FB4BA7">
        <w:rPr>
          <w:rFonts w:ascii="Cambria" w:hAnsi="Cambria"/>
          <w:sz w:val="20"/>
          <w:szCs w:val="20"/>
          <w:lang w:val="es-AR"/>
        </w:rPr>
        <w:t>Para probar tal situación, la parte peticionaria aporta distintos informes emitidos por organismos públicos peruanos que, en línea generales</w:t>
      </w:r>
      <w:r w:rsidR="00FD2506" w:rsidRPr="00FB4BA7">
        <w:rPr>
          <w:rFonts w:ascii="Cambria" w:hAnsi="Cambria"/>
          <w:sz w:val="20"/>
          <w:szCs w:val="20"/>
          <w:lang w:val="es-AR"/>
        </w:rPr>
        <w:t>,</w:t>
      </w:r>
      <w:r w:rsidRPr="00FB4BA7">
        <w:rPr>
          <w:rFonts w:ascii="Cambria" w:hAnsi="Cambria"/>
          <w:sz w:val="20"/>
          <w:szCs w:val="20"/>
          <w:lang w:val="es-AR"/>
        </w:rPr>
        <w:t xml:space="preserve"> demuestran que</w:t>
      </w:r>
      <w:r w:rsidR="00BC06A6" w:rsidRPr="00FB4BA7">
        <w:rPr>
          <w:rFonts w:ascii="Cambria" w:hAnsi="Cambria"/>
          <w:sz w:val="20"/>
          <w:szCs w:val="20"/>
          <w:lang w:val="es-AR"/>
        </w:rPr>
        <w:t xml:space="preserve"> la contaminación por plomo en la cuenca del río </w:t>
      </w:r>
      <w:r w:rsidR="00C81177" w:rsidRPr="00FB4BA7">
        <w:rPr>
          <w:rFonts w:ascii="Cambria" w:hAnsi="Cambria"/>
          <w:sz w:val="20"/>
          <w:szCs w:val="20"/>
          <w:lang w:val="es-AR"/>
        </w:rPr>
        <w:t>Tumbes</w:t>
      </w:r>
      <w:r w:rsidR="00BC06A6" w:rsidRPr="00FB4BA7">
        <w:rPr>
          <w:rFonts w:ascii="Cambria" w:hAnsi="Cambria"/>
          <w:sz w:val="20"/>
          <w:szCs w:val="20"/>
          <w:lang w:val="es-AR"/>
        </w:rPr>
        <w:t xml:space="preserve"> </w:t>
      </w:r>
      <w:r w:rsidR="00C661B7" w:rsidRPr="00FB4BA7">
        <w:rPr>
          <w:rFonts w:ascii="Cambria" w:hAnsi="Cambria"/>
          <w:sz w:val="20"/>
          <w:szCs w:val="20"/>
          <w:lang w:val="es-AR"/>
        </w:rPr>
        <w:t xml:space="preserve">se debe </w:t>
      </w:r>
      <w:r w:rsidR="00BC06A6" w:rsidRPr="00FB4BA7">
        <w:rPr>
          <w:rFonts w:ascii="Cambria" w:hAnsi="Cambria"/>
          <w:sz w:val="20"/>
          <w:szCs w:val="20"/>
          <w:lang w:val="es-AR"/>
        </w:rPr>
        <w:t>a las actividades humanas como la minería informal en la parte alta de la Cuenca, en los ríos Calera y Amarillo en Ecuador</w:t>
      </w:r>
      <w:r w:rsidR="00F730E9" w:rsidRPr="00FB4BA7">
        <w:rPr>
          <w:rFonts w:ascii="Cambria" w:hAnsi="Cambria"/>
          <w:sz w:val="20"/>
          <w:szCs w:val="20"/>
          <w:lang w:val="es-AR"/>
        </w:rPr>
        <w:t>. Sin perjuicio de ello, los documentos precisan que también</w:t>
      </w:r>
      <w:r w:rsidRPr="00FB4BA7">
        <w:rPr>
          <w:rFonts w:ascii="Cambria" w:hAnsi="Cambria"/>
          <w:sz w:val="20"/>
          <w:szCs w:val="20"/>
          <w:lang w:val="es-AR"/>
        </w:rPr>
        <w:t xml:space="preserve"> </w:t>
      </w:r>
      <w:r w:rsidR="0086648B" w:rsidRPr="00FB4BA7">
        <w:rPr>
          <w:rFonts w:ascii="Cambria" w:hAnsi="Cambria"/>
          <w:sz w:val="20"/>
          <w:szCs w:val="20"/>
          <w:lang w:val="es-AR"/>
        </w:rPr>
        <w:t>existen</w:t>
      </w:r>
      <w:r w:rsidR="001478EE" w:rsidRPr="00FB4BA7">
        <w:rPr>
          <w:rFonts w:ascii="Cambria" w:hAnsi="Cambria"/>
          <w:sz w:val="20"/>
          <w:szCs w:val="20"/>
          <w:lang w:val="es-AR"/>
        </w:rPr>
        <w:t xml:space="preserve"> otras</w:t>
      </w:r>
      <w:r w:rsidR="0086648B" w:rsidRPr="00FB4BA7">
        <w:rPr>
          <w:rFonts w:ascii="Cambria" w:hAnsi="Cambria"/>
          <w:sz w:val="20"/>
          <w:szCs w:val="20"/>
          <w:lang w:val="es-AR"/>
        </w:rPr>
        <w:t xml:space="preserve"> fuentes contaminantes en Perú</w:t>
      </w:r>
      <w:r w:rsidR="00C81177" w:rsidRPr="00FB4BA7">
        <w:rPr>
          <w:rFonts w:ascii="Cambria" w:hAnsi="Cambria"/>
          <w:sz w:val="20"/>
          <w:szCs w:val="20"/>
          <w:lang w:val="es-AR"/>
        </w:rPr>
        <w:t>, debido a vertimientos de aguas residuales domésticas, letrinas sanitarias y botaderos de residuos sólidos dispuestos en las riberas de los cuerpos naturales de agua</w:t>
      </w:r>
      <w:r w:rsidR="00F730E9" w:rsidRPr="00FB4BA7">
        <w:rPr>
          <w:rFonts w:ascii="Cambria" w:hAnsi="Cambria"/>
          <w:sz w:val="20"/>
          <w:szCs w:val="20"/>
          <w:lang w:val="es-AR"/>
        </w:rPr>
        <w:t>.</w:t>
      </w:r>
      <w:r w:rsidR="00C81177" w:rsidRPr="00FB4BA7">
        <w:rPr>
          <w:rFonts w:ascii="Cambria" w:hAnsi="Cambria"/>
          <w:sz w:val="20"/>
          <w:szCs w:val="20"/>
          <w:lang w:val="es-AR"/>
        </w:rPr>
        <w:t xml:space="preserve"> </w:t>
      </w:r>
      <w:r w:rsidR="00C661B7" w:rsidRPr="00FB4BA7">
        <w:rPr>
          <w:rFonts w:ascii="Cambria" w:hAnsi="Cambria"/>
          <w:sz w:val="20"/>
          <w:szCs w:val="20"/>
          <w:lang w:val="es-AR"/>
        </w:rPr>
        <w:t>Como consecuencia</w:t>
      </w:r>
      <w:r w:rsidR="00BC06A6" w:rsidRPr="00FB4BA7">
        <w:rPr>
          <w:rFonts w:ascii="Cambria" w:hAnsi="Cambria"/>
          <w:sz w:val="20"/>
          <w:szCs w:val="20"/>
          <w:lang w:val="es-AR"/>
        </w:rPr>
        <w:t xml:space="preserve">, </w:t>
      </w:r>
      <w:r w:rsidR="00E4447C" w:rsidRPr="00FB4BA7">
        <w:rPr>
          <w:rFonts w:ascii="Cambria" w:hAnsi="Cambria"/>
          <w:sz w:val="20"/>
          <w:szCs w:val="20"/>
          <w:lang w:val="es-AR"/>
        </w:rPr>
        <w:t>l</w:t>
      </w:r>
      <w:r w:rsidR="000D1E42" w:rsidRPr="00FB4BA7">
        <w:rPr>
          <w:rFonts w:ascii="Cambria" w:hAnsi="Cambria"/>
          <w:sz w:val="20"/>
          <w:szCs w:val="20"/>
          <w:lang w:val="es-AR"/>
        </w:rPr>
        <w:t>a concentración de plomo</w:t>
      </w:r>
      <w:r w:rsidR="00A4362C" w:rsidRPr="00FB4BA7">
        <w:rPr>
          <w:rFonts w:ascii="Cambria" w:hAnsi="Cambria"/>
          <w:sz w:val="20"/>
          <w:szCs w:val="20"/>
          <w:lang w:val="es-AR"/>
        </w:rPr>
        <w:t>, arsénico, aluminio y hierro</w:t>
      </w:r>
      <w:r w:rsidR="000D1E42" w:rsidRPr="00FB4BA7">
        <w:rPr>
          <w:rFonts w:ascii="Cambria" w:hAnsi="Cambria"/>
          <w:sz w:val="20"/>
          <w:szCs w:val="20"/>
          <w:lang w:val="es-AR"/>
        </w:rPr>
        <w:t xml:space="preserve"> rebasa los estándares de calidad de agua para Perú, provocando que no sea recomendable para el consumo directo de la población</w:t>
      </w:r>
      <w:r w:rsidR="00596D90" w:rsidRPr="00FB4BA7">
        <w:rPr>
          <w:rFonts w:ascii="Cambria" w:hAnsi="Cambria"/>
          <w:sz w:val="20"/>
          <w:szCs w:val="20"/>
          <w:lang w:val="es-AR"/>
        </w:rPr>
        <w:t>,</w:t>
      </w:r>
      <w:r w:rsidR="00C661B7" w:rsidRPr="00FB4BA7">
        <w:rPr>
          <w:rFonts w:ascii="Cambria" w:hAnsi="Cambria"/>
          <w:sz w:val="20"/>
          <w:szCs w:val="20"/>
          <w:lang w:val="es-AR"/>
        </w:rPr>
        <w:t xml:space="preserve"> y </w:t>
      </w:r>
      <w:r w:rsidR="005221E9" w:rsidRPr="00FB4BA7">
        <w:rPr>
          <w:rFonts w:ascii="Cambria" w:hAnsi="Cambria"/>
          <w:sz w:val="20"/>
          <w:szCs w:val="20"/>
          <w:lang w:val="es-AR"/>
        </w:rPr>
        <w:t>exist</w:t>
      </w:r>
      <w:r w:rsidR="00C661B7" w:rsidRPr="00FB4BA7">
        <w:rPr>
          <w:rFonts w:ascii="Cambria" w:hAnsi="Cambria"/>
          <w:sz w:val="20"/>
          <w:szCs w:val="20"/>
          <w:lang w:val="es-AR"/>
        </w:rPr>
        <w:t>a</w:t>
      </w:r>
      <w:r w:rsidR="005221E9" w:rsidRPr="00FB4BA7">
        <w:rPr>
          <w:rFonts w:ascii="Cambria" w:hAnsi="Cambria"/>
          <w:sz w:val="20"/>
          <w:szCs w:val="20"/>
          <w:lang w:val="es-AR"/>
        </w:rPr>
        <w:t>n personas con niveles más altos de concentración de plomo en la sangre, pero aún por debajo del límite de envenenamiento</w:t>
      </w:r>
      <w:r w:rsidR="00724EAD" w:rsidRPr="00FB4BA7">
        <w:rPr>
          <w:rFonts w:ascii="Cambria" w:hAnsi="Cambria"/>
          <w:sz w:val="20"/>
          <w:szCs w:val="20"/>
          <w:lang w:val="es-AR"/>
        </w:rPr>
        <w:t>. Resalta que</w:t>
      </w:r>
      <w:r w:rsidR="001C0F8A" w:rsidRPr="00FB4BA7">
        <w:rPr>
          <w:rFonts w:ascii="Cambria" w:hAnsi="Cambria"/>
          <w:sz w:val="20"/>
          <w:szCs w:val="20"/>
          <w:lang w:val="es-AR"/>
        </w:rPr>
        <w:t xml:space="preserve"> por esto</w:t>
      </w:r>
      <w:r w:rsidR="009B11CC" w:rsidRPr="00FB4BA7">
        <w:rPr>
          <w:rFonts w:ascii="Cambria" w:hAnsi="Cambria"/>
          <w:sz w:val="20"/>
          <w:szCs w:val="20"/>
          <w:lang w:val="es-AR"/>
        </w:rPr>
        <w:t>,</w:t>
      </w:r>
      <w:r w:rsidR="00724EAD" w:rsidRPr="00FB4BA7">
        <w:rPr>
          <w:rFonts w:ascii="Cambria" w:hAnsi="Cambria"/>
          <w:sz w:val="20"/>
          <w:szCs w:val="20"/>
          <w:lang w:val="es-AR"/>
        </w:rPr>
        <w:t xml:space="preserve"> en el 2017</w:t>
      </w:r>
      <w:r w:rsidR="009B11CC" w:rsidRPr="00FB4BA7">
        <w:rPr>
          <w:rFonts w:ascii="Cambria" w:hAnsi="Cambria"/>
          <w:sz w:val="20"/>
          <w:szCs w:val="20"/>
          <w:lang w:val="es-AR"/>
        </w:rPr>
        <w:t>,</w:t>
      </w:r>
      <w:r w:rsidR="00724EAD" w:rsidRPr="00FB4BA7">
        <w:rPr>
          <w:rFonts w:ascii="Cambria" w:hAnsi="Cambria"/>
          <w:sz w:val="20"/>
          <w:szCs w:val="20"/>
          <w:lang w:val="es-AR"/>
        </w:rPr>
        <w:t xml:space="preserve"> el gobierno regional de Tumbes declaró en emergencia sanitaria la calidad del agua para consumo humano en ese departamento, así como de sus sistemas de abastecimiento. </w:t>
      </w:r>
    </w:p>
    <w:p w14:paraId="1AF7F47D" w14:textId="6449A09B" w:rsidR="00F143C0" w:rsidRPr="00FB4BA7" w:rsidRDefault="00C661B7"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FB4BA7">
        <w:rPr>
          <w:rFonts w:ascii="Cambria" w:hAnsi="Cambria"/>
          <w:sz w:val="20"/>
          <w:szCs w:val="20"/>
          <w:lang w:val="es-AR"/>
        </w:rPr>
        <w:t>Frente a tal escenario</w:t>
      </w:r>
      <w:r w:rsidR="001F7C1E" w:rsidRPr="00FB4BA7">
        <w:rPr>
          <w:rFonts w:ascii="Cambria" w:hAnsi="Cambria"/>
          <w:sz w:val="20"/>
          <w:szCs w:val="20"/>
          <w:lang w:val="es-AR"/>
        </w:rPr>
        <w:t>,</w:t>
      </w:r>
      <w:r w:rsidR="0073078A" w:rsidRPr="00FB4BA7">
        <w:rPr>
          <w:rFonts w:ascii="Cambria" w:hAnsi="Cambria"/>
          <w:sz w:val="20"/>
          <w:szCs w:val="20"/>
          <w:lang w:val="es-AR"/>
        </w:rPr>
        <w:t xml:space="preserve"> el peticionario</w:t>
      </w:r>
      <w:r w:rsidR="001F7C1E" w:rsidRPr="00FB4BA7">
        <w:rPr>
          <w:rFonts w:ascii="Cambria" w:hAnsi="Cambria"/>
          <w:sz w:val="20"/>
          <w:szCs w:val="20"/>
          <w:lang w:val="es-AR"/>
        </w:rPr>
        <w:t xml:space="preserve"> refiere que</w:t>
      </w:r>
      <w:r w:rsidRPr="00FB4BA7">
        <w:rPr>
          <w:rFonts w:ascii="Cambria" w:hAnsi="Cambria"/>
          <w:sz w:val="20"/>
          <w:szCs w:val="20"/>
          <w:lang w:val="es-AR"/>
        </w:rPr>
        <w:t xml:space="preserve"> presentó una denuncia penal</w:t>
      </w:r>
      <w:r w:rsidR="00A413D6" w:rsidRPr="00FB4BA7">
        <w:rPr>
          <w:rFonts w:ascii="Cambria" w:hAnsi="Cambria"/>
          <w:sz w:val="20"/>
          <w:szCs w:val="20"/>
          <w:lang w:val="es-AR"/>
        </w:rPr>
        <w:t>;</w:t>
      </w:r>
      <w:r w:rsidR="00F37870" w:rsidRPr="00FB4BA7">
        <w:rPr>
          <w:rFonts w:ascii="Cambria" w:hAnsi="Cambria"/>
          <w:sz w:val="20"/>
          <w:szCs w:val="20"/>
          <w:lang w:val="es-AR"/>
        </w:rPr>
        <w:t xml:space="preserve"> y </w:t>
      </w:r>
      <w:r w:rsidR="00A413D6" w:rsidRPr="00FB4BA7">
        <w:rPr>
          <w:rFonts w:ascii="Cambria" w:hAnsi="Cambria"/>
          <w:sz w:val="20"/>
          <w:szCs w:val="20"/>
          <w:lang w:val="es-AR"/>
        </w:rPr>
        <w:t xml:space="preserve">que </w:t>
      </w:r>
      <w:r w:rsidR="00F37870" w:rsidRPr="00FB4BA7">
        <w:rPr>
          <w:rFonts w:ascii="Cambria" w:hAnsi="Cambria"/>
          <w:sz w:val="20"/>
          <w:szCs w:val="20"/>
          <w:lang w:val="es-AR"/>
        </w:rPr>
        <w:t>c</w:t>
      </w:r>
      <w:r w:rsidR="006240BC" w:rsidRPr="00FB4BA7">
        <w:rPr>
          <w:rFonts w:ascii="Cambria" w:hAnsi="Cambria"/>
          <w:sz w:val="20"/>
          <w:szCs w:val="20"/>
          <w:lang w:val="es-AR"/>
        </w:rPr>
        <w:t xml:space="preserve">omo resultado, </w:t>
      </w:r>
      <w:r w:rsidR="00F143C0" w:rsidRPr="00FB4BA7">
        <w:rPr>
          <w:rFonts w:ascii="Cambria" w:hAnsi="Cambria"/>
          <w:sz w:val="20"/>
          <w:szCs w:val="20"/>
          <w:lang w:val="es-AR"/>
        </w:rPr>
        <w:t xml:space="preserve">el 1 de julio de 2016 la Fiscalía de Prevención del Delito con competencias en materia ambiental, </w:t>
      </w:r>
      <w:r w:rsidR="00FC0B6A" w:rsidRPr="00FB4BA7">
        <w:rPr>
          <w:rFonts w:ascii="Cambria" w:hAnsi="Cambria"/>
          <w:sz w:val="20"/>
          <w:szCs w:val="20"/>
          <w:lang w:val="es-AR"/>
        </w:rPr>
        <w:t xml:space="preserve">mediante la disposición </w:t>
      </w:r>
      <w:r w:rsidR="00815838" w:rsidRPr="00FB4BA7">
        <w:rPr>
          <w:rFonts w:ascii="Cambria" w:hAnsi="Cambria"/>
          <w:sz w:val="20"/>
          <w:szCs w:val="20"/>
          <w:lang w:val="es-AR"/>
        </w:rPr>
        <w:t xml:space="preserve">N.º </w:t>
      </w:r>
      <w:r w:rsidR="00037BF1" w:rsidRPr="00FB4BA7">
        <w:rPr>
          <w:rFonts w:ascii="Cambria" w:hAnsi="Cambria"/>
          <w:sz w:val="20"/>
          <w:szCs w:val="20"/>
          <w:lang w:val="es-AR"/>
        </w:rPr>
        <w:t xml:space="preserve">03-2016, formalizó </w:t>
      </w:r>
      <w:r w:rsidR="00F57095" w:rsidRPr="00FB4BA7">
        <w:rPr>
          <w:rFonts w:ascii="Cambria" w:hAnsi="Cambria"/>
          <w:sz w:val="20"/>
          <w:szCs w:val="20"/>
          <w:lang w:val="es-AR"/>
        </w:rPr>
        <w:t xml:space="preserve">una </w:t>
      </w:r>
      <w:r w:rsidR="00037BF1" w:rsidRPr="00FB4BA7">
        <w:rPr>
          <w:rFonts w:ascii="Cambria" w:hAnsi="Cambria"/>
          <w:sz w:val="20"/>
          <w:szCs w:val="20"/>
          <w:lang w:val="es-AR"/>
        </w:rPr>
        <w:t xml:space="preserve">investigación preparatoria contra el gerente de la empresa Aguas de Tumbes, encargada </w:t>
      </w:r>
      <w:r w:rsidR="000254F4" w:rsidRPr="00FB4BA7">
        <w:rPr>
          <w:rFonts w:ascii="Cambria" w:hAnsi="Cambria"/>
          <w:sz w:val="20"/>
          <w:szCs w:val="20"/>
          <w:lang w:val="es-AR"/>
        </w:rPr>
        <w:t xml:space="preserve">del saneamiento de aguas potables y </w:t>
      </w:r>
      <w:r w:rsidR="002F6FA2" w:rsidRPr="00FB4BA7">
        <w:rPr>
          <w:rFonts w:ascii="Cambria" w:hAnsi="Cambria"/>
          <w:sz w:val="20"/>
          <w:szCs w:val="20"/>
          <w:lang w:val="es-AR"/>
        </w:rPr>
        <w:t>alcantarillados, y la Municipalidad Provincial de Tumbes</w:t>
      </w:r>
      <w:r w:rsidR="00F37870" w:rsidRPr="00FB4BA7">
        <w:rPr>
          <w:rFonts w:ascii="Cambria" w:hAnsi="Cambria"/>
          <w:sz w:val="20"/>
          <w:szCs w:val="20"/>
          <w:lang w:val="es-AR"/>
        </w:rPr>
        <w:t xml:space="preserve">, por presuntamente haber incumplido sus obligaciones para evitar la contaminación del </w:t>
      </w:r>
      <w:r w:rsidR="00F07005" w:rsidRPr="00FB4BA7">
        <w:rPr>
          <w:rFonts w:ascii="Cambria" w:hAnsi="Cambria"/>
          <w:sz w:val="20"/>
          <w:szCs w:val="20"/>
          <w:lang w:val="es-AR"/>
        </w:rPr>
        <w:t>agua de la zona</w:t>
      </w:r>
      <w:r w:rsidR="002F6FA2" w:rsidRPr="00FB4BA7">
        <w:rPr>
          <w:rFonts w:ascii="Cambria" w:hAnsi="Cambria"/>
          <w:sz w:val="20"/>
          <w:szCs w:val="20"/>
          <w:lang w:val="es-AR"/>
        </w:rPr>
        <w:t xml:space="preserve">. </w:t>
      </w:r>
      <w:r w:rsidR="00791F8D" w:rsidRPr="00FB4BA7">
        <w:rPr>
          <w:rFonts w:ascii="Cambria" w:hAnsi="Cambria"/>
          <w:sz w:val="20"/>
          <w:szCs w:val="20"/>
          <w:lang w:val="es-AR"/>
        </w:rPr>
        <w:t>Refiere</w:t>
      </w:r>
      <w:r w:rsidR="009132E0" w:rsidRPr="00FB4BA7">
        <w:rPr>
          <w:rFonts w:ascii="Cambria" w:hAnsi="Cambria"/>
          <w:sz w:val="20"/>
          <w:szCs w:val="20"/>
          <w:lang w:val="es-AR"/>
        </w:rPr>
        <w:t xml:space="preserve"> que</w:t>
      </w:r>
      <w:r w:rsidR="00791F8D" w:rsidRPr="00FB4BA7">
        <w:rPr>
          <w:rFonts w:ascii="Cambria" w:hAnsi="Cambria"/>
          <w:sz w:val="20"/>
          <w:szCs w:val="20"/>
          <w:lang w:val="es-AR"/>
        </w:rPr>
        <w:t xml:space="preserve"> </w:t>
      </w:r>
      <w:r w:rsidR="00F37731" w:rsidRPr="00FB4BA7">
        <w:rPr>
          <w:rFonts w:ascii="Cambria" w:hAnsi="Cambria"/>
          <w:sz w:val="20"/>
          <w:szCs w:val="20"/>
          <w:lang w:val="es-AR"/>
        </w:rPr>
        <w:t>hasta el 2020</w:t>
      </w:r>
      <w:r w:rsidR="00791F8D" w:rsidRPr="00FB4BA7">
        <w:rPr>
          <w:rFonts w:ascii="Cambria" w:hAnsi="Cambria"/>
          <w:sz w:val="20"/>
          <w:szCs w:val="20"/>
          <w:lang w:val="es-AR"/>
        </w:rPr>
        <w:t xml:space="preserve"> dicha investigación aún continua</w:t>
      </w:r>
      <w:r w:rsidR="00F37731" w:rsidRPr="00FB4BA7">
        <w:rPr>
          <w:rFonts w:ascii="Cambria" w:hAnsi="Cambria"/>
          <w:sz w:val="20"/>
          <w:szCs w:val="20"/>
          <w:lang w:val="es-AR"/>
        </w:rPr>
        <w:t>ba</w:t>
      </w:r>
      <w:r w:rsidR="00791F8D" w:rsidRPr="00FB4BA7">
        <w:rPr>
          <w:rFonts w:ascii="Cambria" w:hAnsi="Cambria"/>
          <w:sz w:val="20"/>
          <w:szCs w:val="20"/>
          <w:lang w:val="es-AR"/>
        </w:rPr>
        <w:t xml:space="preserve"> pendiente de una resolución</w:t>
      </w:r>
      <w:r w:rsidR="006240BC" w:rsidRPr="00FB4BA7">
        <w:rPr>
          <w:rFonts w:ascii="Cambria" w:hAnsi="Cambria"/>
          <w:sz w:val="20"/>
          <w:szCs w:val="20"/>
          <w:lang w:val="es-AR"/>
        </w:rPr>
        <w:t>.</w:t>
      </w:r>
    </w:p>
    <w:p w14:paraId="7491072F" w14:textId="6D7EFCA1" w:rsidR="00F07005" w:rsidRPr="00FB4BA7" w:rsidRDefault="00F07005" w:rsidP="00C06BE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FB4BA7">
        <w:rPr>
          <w:rFonts w:ascii="Cambria" w:hAnsi="Cambria"/>
          <w:sz w:val="20"/>
          <w:szCs w:val="20"/>
          <w:lang w:val="es-AR"/>
        </w:rPr>
        <w:t xml:space="preserve">Asimismo, </w:t>
      </w:r>
      <w:r w:rsidR="00AC1C3A" w:rsidRPr="00FB4BA7">
        <w:rPr>
          <w:rFonts w:ascii="Cambria" w:hAnsi="Cambria"/>
          <w:sz w:val="20"/>
          <w:szCs w:val="20"/>
          <w:lang w:val="es-AR"/>
        </w:rPr>
        <w:t>la parte peticionaria aporta documentos que mostrarían que en 2023 presentó una nueva denuncia penal</w:t>
      </w:r>
      <w:r w:rsidR="00C06BE2" w:rsidRPr="00FB4BA7">
        <w:rPr>
          <w:rFonts w:ascii="Cambria" w:hAnsi="Cambria"/>
          <w:sz w:val="20"/>
          <w:szCs w:val="20"/>
          <w:lang w:val="es-AR"/>
        </w:rPr>
        <w:t xml:space="preserve"> por contaminación ambiental, </w:t>
      </w:r>
      <w:r w:rsidR="00865EB8" w:rsidRPr="00FB4BA7">
        <w:rPr>
          <w:rFonts w:ascii="Cambria" w:hAnsi="Cambria"/>
          <w:sz w:val="20"/>
          <w:szCs w:val="20"/>
          <w:lang w:val="es-AR"/>
        </w:rPr>
        <w:t>alegando</w:t>
      </w:r>
      <w:r w:rsidR="00C06BE2" w:rsidRPr="00FB4BA7">
        <w:rPr>
          <w:rFonts w:ascii="Cambria" w:hAnsi="Cambria"/>
          <w:sz w:val="20"/>
          <w:szCs w:val="20"/>
          <w:lang w:val="es-AR"/>
        </w:rPr>
        <w:t xml:space="preserve"> que el Ministerio de Salud requirió declarar en emergencia sanitaria el consumo de agua potable en la provincia de Tumbes, debido a la contaminación del </w:t>
      </w:r>
      <w:r w:rsidR="0029599B" w:rsidRPr="00FB4BA7">
        <w:rPr>
          <w:rFonts w:ascii="Cambria" w:hAnsi="Cambria"/>
          <w:sz w:val="20"/>
          <w:szCs w:val="20"/>
          <w:lang w:val="es-AR"/>
        </w:rPr>
        <w:t>r</w:t>
      </w:r>
      <w:r w:rsidR="00C06BE2" w:rsidRPr="00FB4BA7">
        <w:rPr>
          <w:rFonts w:ascii="Cambria" w:hAnsi="Cambria"/>
          <w:sz w:val="20"/>
          <w:szCs w:val="20"/>
          <w:lang w:val="es-AR"/>
        </w:rPr>
        <w:t xml:space="preserve">ío. En respuesta, el 14 de marzo de 2023 la Fiscalía Provincial Especializada en Materia Ambiental, mediante la disposición N.º 01-2023, dispuso promover una investigación preventiva contra la Municipalidad Provincial de Tumbes y </w:t>
      </w:r>
      <w:r w:rsidR="009B01E2" w:rsidRPr="00FB4BA7">
        <w:rPr>
          <w:rFonts w:ascii="Cambria" w:hAnsi="Cambria"/>
          <w:sz w:val="20"/>
          <w:szCs w:val="20"/>
          <w:lang w:val="es-AR"/>
        </w:rPr>
        <w:t>quienes</w:t>
      </w:r>
      <w:r w:rsidR="00C06BE2" w:rsidRPr="00FB4BA7">
        <w:rPr>
          <w:rFonts w:ascii="Cambria" w:hAnsi="Cambria"/>
          <w:sz w:val="20"/>
          <w:szCs w:val="20"/>
          <w:lang w:val="es-AR"/>
        </w:rPr>
        <w:t xml:space="preserve"> resulte</w:t>
      </w:r>
      <w:r w:rsidR="00E9174D" w:rsidRPr="00FB4BA7">
        <w:rPr>
          <w:rFonts w:ascii="Cambria" w:hAnsi="Cambria"/>
          <w:sz w:val="20"/>
          <w:szCs w:val="20"/>
          <w:lang w:val="es-AR"/>
        </w:rPr>
        <w:t>n</w:t>
      </w:r>
      <w:r w:rsidR="00C06BE2" w:rsidRPr="00FB4BA7">
        <w:rPr>
          <w:rFonts w:ascii="Cambria" w:hAnsi="Cambria"/>
          <w:sz w:val="20"/>
          <w:szCs w:val="20"/>
          <w:lang w:val="es-AR"/>
        </w:rPr>
        <w:t xml:space="preserve"> responsables, a fin de prevenir la comisión del delito de contaminación ambiental. </w:t>
      </w:r>
      <w:r w:rsidR="00E912AF" w:rsidRPr="00FB4BA7">
        <w:rPr>
          <w:rFonts w:ascii="Cambria" w:hAnsi="Cambria"/>
          <w:sz w:val="20"/>
          <w:szCs w:val="20"/>
          <w:lang w:val="es-AR"/>
        </w:rPr>
        <w:t xml:space="preserve"> </w:t>
      </w:r>
      <w:r w:rsidR="0029599B" w:rsidRPr="00FB4BA7">
        <w:rPr>
          <w:rFonts w:ascii="Cambria" w:hAnsi="Cambria"/>
          <w:sz w:val="20"/>
          <w:szCs w:val="20"/>
          <w:lang w:val="es-AR"/>
        </w:rPr>
        <w:t>No obstante, n</w:t>
      </w:r>
      <w:r w:rsidR="009132E0" w:rsidRPr="00FB4BA7">
        <w:rPr>
          <w:rFonts w:ascii="Cambria" w:hAnsi="Cambria"/>
          <w:sz w:val="20"/>
          <w:szCs w:val="20"/>
          <w:lang w:val="es-AR"/>
        </w:rPr>
        <w:t>o se cuenta con información sobre el estado d</w:t>
      </w:r>
      <w:r w:rsidR="007A5A83" w:rsidRPr="00FB4BA7">
        <w:rPr>
          <w:rFonts w:ascii="Cambria" w:hAnsi="Cambria"/>
          <w:sz w:val="20"/>
          <w:szCs w:val="20"/>
          <w:lang w:val="es-AR"/>
        </w:rPr>
        <w:t>e</w:t>
      </w:r>
      <w:r w:rsidR="009132E0" w:rsidRPr="00FB4BA7">
        <w:rPr>
          <w:rFonts w:ascii="Cambria" w:hAnsi="Cambria"/>
          <w:sz w:val="20"/>
          <w:szCs w:val="20"/>
          <w:lang w:val="es-AR"/>
        </w:rPr>
        <w:t xml:space="preserve"> tal investigación</w:t>
      </w:r>
      <w:r w:rsidR="00E912AF" w:rsidRPr="00FB4BA7">
        <w:rPr>
          <w:rFonts w:ascii="Cambria" w:hAnsi="Cambria"/>
          <w:sz w:val="20"/>
          <w:szCs w:val="20"/>
          <w:lang w:val="es-AR"/>
        </w:rPr>
        <w:t>.</w:t>
      </w:r>
    </w:p>
    <w:p w14:paraId="6BCC5CB7" w14:textId="464BA294" w:rsidR="001F7C1E" w:rsidRPr="00FB4BA7" w:rsidRDefault="00F07005"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FB4BA7">
        <w:rPr>
          <w:rFonts w:ascii="Cambria" w:hAnsi="Cambria"/>
          <w:sz w:val="20"/>
          <w:szCs w:val="20"/>
          <w:lang w:val="es-AR"/>
        </w:rPr>
        <w:t>Finalmente</w:t>
      </w:r>
      <w:r w:rsidR="00F143C0" w:rsidRPr="00FB4BA7">
        <w:rPr>
          <w:rFonts w:ascii="Cambria" w:hAnsi="Cambria"/>
          <w:sz w:val="20"/>
          <w:szCs w:val="20"/>
          <w:lang w:val="es-AR"/>
        </w:rPr>
        <w:t xml:space="preserve">, </w:t>
      </w:r>
      <w:r w:rsidR="001014ED" w:rsidRPr="00FB4BA7">
        <w:rPr>
          <w:rFonts w:ascii="Cambria" w:hAnsi="Cambria"/>
          <w:sz w:val="20"/>
          <w:szCs w:val="20"/>
          <w:lang w:val="es-AR"/>
        </w:rPr>
        <w:t>el 4 de abril de 2020</w:t>
      </w:r>
      <w:r w:rsidR="0073078A" w:rsidRPr="00FB4BA7">
        <w:rPr>
          <w:rFonts w:ascii="Cambria" w:hAnsi="Cambria"/>
          <w:sz w:val="20"/>
          <w:szCs w:val="20"/>
          <w:lang w:val="es-AR"/>
        </w:rPr>
        <w:t xml:space="preserve">, </w:t>
      </w:r>
      <w:r w:rsidR="00865127" w:rsidRPr="00FB4BA7">
        <w:rPr>
          <w:rFonts w:ascii="Cambria" w:hAnsi="Cambria"/>
          <w:sz w:val="20"/>
          <w:szCs w:val="20"/>
          <w:lang w:val="es-AR"/>
        </w:rPr>
        <w:t xml:space="preserve">el peticionario, </w:t>
      </w:r>
      <w:r w:rsidR="0073078A" w:rsidRPr="00FB4BA7">
        <w:rPr>
          <w:rFonts w:ascii="Cambria" w:hAnsi="Cambria"/>
          <w:sz w:val="20"/>
          <w:szCs w:val="20"/>
          <w:lang w:val="es-AR"/>
        </w:rPr>
        <w:t>en su condición de</w:t>
      </w:r>
      <w:r w:rsidR="001014ED" w:rsidRPr="00FB4BA7">
        <w:rPr>
          <w:rFonts w:ascii="Cambria" w:hAnsi="Cambria"/>
          <w:sz w:val="20"/>
          <w:szCs w:val="20"/>
          <w:lang w:val="es-AR"/>
        </w:rPr>
        <w:t xml:space="preserve"> coordinador del frente regional amplio por la defensa del medio de ambiente de Tumbes</w:t>
      </w:r>
      <w:r w:rsidR="0073078A" w:rsidRPr="00FB4BA7">
        <w:rPr>
          <w:rFonts w:ascii="Cambria" w:hAnsi="Cambria"/>
          <w:sz w:val="20"/>
          <w:szCs w:val="20"/>
          <w:lang w:val="es-AR"/>
        </w:rPr>
        <w:t>,</w:t>
      </w:r>
      <w:r w:rsidR="001014ED" w:rsidRPr="00FB4BA7">
        <w:rPr>
          <w:rFonts w:ascii="Cambria" w:hAnsi="Cambria"/>
          <w:sz w:val="20"/>
          <w:szCs w:val="20"/>
          <w:lang w:val="es-AR"/>
        </w:rPr>
        <w:t xml:space="preserve"> presentó una demanda de amparo</w:t>
      </w:r>
      <w:r w:rsidR="00661A9D" w:rsidRPr="00FB4BA7">
        <w:rPr>
          <w:rFonts w:ascii="Cambria" w:hAnsi="Cambria"/>
          <w:sz w:val="20"/>
          <w:szCs w:val="20"/>
          <w:lang w:val="es-AR"/>
        </w:rPr>
        <w:t xml:space="preserve"> contra la empresa de saneamiento de aguas potables y alcantarillados</w:t>
      </w:r>
      <w:r w:rsidR="00DC38BF" w:rsidRPr="00FB4BA7">
        <w:rPr>
          <w:rFonts w:ascii="Cambria" w:hAnsi="Cambria"/>
          <w:sz w:val="20"/>
          <w:szCs w:val="20"/>
          <w:lang w:val="es-AR"/>
        </w:rPr>
        <w:t>;</w:t>
      </w:r>
      <w:r w:rsidR="00661A9D" w:rsidRPr="00FB4BA7">
        <w:rPr>
          <w:rFonts w:ascii="Cambria" w:hAnsi="Cambria"/>
          <w:sz w:val="20"/>
          <w:szCs w:val="20"/>
          <w:lang w:val="es-AR"/>
        </w:rPr>
        <w:t xml:space="preserve"> la Municipalidad Provincial de Tumbes</w:t>
      </w:r>
      <w:r w:rsidR="00DC38BF" w:rsidRPr="00FB4BA7">
        <w:rPr>
          <w:rFonts w:ascii="Cambria" w:hAnsi="Cambria"/>
          <w:sz w:val="20"/>
          <w:szCs w:val="20"/>
          <w:lang w:val="es-AR"/>
        </w:rPr>
        <w:t>;</w:t>
      </w:r>
      <w:r w:rsidR="00661A9D" w:rsidRPr="00FB4BA7">
        <w:rPr>
          <w:rFonts w:ascii="Cambria" w:hAnsi="Cambria"/>
          <w:sz w:val="20"/>
          <w:szCs w:val="20"/>
          <w:lang w:val="es-AR"/>
        </w:rPr>
        <w:t xml:space="preserve"> el Ministerio de Vivienda</w:t>
      </w:r>
      <w:r w:rsidR="00DC38BF" w:rsidRPr="00FB4BA7">
        <w:rPr>
          <w:rFonts w:ascii="Cambria" w:hAnsi="Cambria"/>
          <w:sz w:val="20"/>
          <w:szCs w:val="20"/>
          <w:lang w:val="es-AR"/>
        </w:rPr>
        <w:t>,</w:t>
      </w:r>
      <w:r w:rsidR="00661A9D" w:rsidRPr="00FB4BA7">
        <w:rPr>
          <w:rFonts w:ascii="Cambria" w:hAnsi="Cambria"/>
          <w:sz w:val="20"/>
          <w:szCs w:val="20"/>
          <w:lang w:val="es-AR"/>
        </w:rPr>
        <w:t xml:space="preserve"> Construcción y Saneamiento</w:t>
      </w:r>
      <w:r w:rsidR="00DC38BF" w:rsidRPr="00FB4BA7">
        <w:rPr>
          <w:rFonts w:ascii="Cambria" w:hAnsi="Cambria"/>
          <w:sz w:val="20"/>
          <w:szCs w:val="20"/>
          <w:lang w:val="es-AR"/>
        </w:rPr>
        <w:t>;</w:t>
      </w:r>
      <w:r w:rsidR="00661A9D" w:rsidRPr="00FB4BA7">
        <w:rPr>
          <w:rFonts w:ascii="Cambria" w:hAnsi="Cambria"/>
          <w:sz w:val="20"/>
          <w:szCs w:val="20"/>
          <w:lang w:val="es-AR"/>
        </w:rPr>
        <w:t xml:space="preserve"> el Ministerio de Salud</w:t>
      </w:r>
      <w:r w:rsidR="00DC38BF" w:rsidRPr="00FB4BA7">
        <w:rPr>
          <w:rFonts w:ascii="Cambria" w:hAnsi="Cambria"/>
          <w:sz w:val="20"/>
          <w:szCs w:val="20"/>
          <w:lang w:val="es-AR"/>
        </w:rPr>
        <w:t>;</w:t>
      </w:r>
      <w:r w:rsidR="00661A9D" w:rsidRPr="00FB4BA7">
        <w:rPr>
          <w:rFonts w:ascii="Cambria" w:hAnsi="Cambria"/>
          <w:sz w:val="20"/>
          <w:szCs w:val="20"/>
          <w:lang w:val="es-AR"/>
        </w:rPr>
        <w:t xml:space="preserve"> el Ministerio de Agricultura y Riego</w:t>
      </w:r>
      <w:r w:rsidR="00DC38BF" w:rsidRPr="00FB4BA7">
        <w:rPr>
          <w:rFonts w:ascii="Cambria" w:hAnsi="Cambria"/>
          <w:sz w:val="20"/>
          <w:szCs w:val="20"/>
          <w:lang w:val="es-AR"/>
        </w:rPr>
        <w:t>;</w:t>
      </w:r>
      <w:r w:rsidR="00661A9D" w:rsidRPr="00FB4BA7">
        <w:rPr>
          <w:rFonts w:ascii="Cambria" w:hAnsi="Cambria"/>
          <w:sz w:val="20"/>
          <w:szCs w:val="20"/>
          <w:lang w:val="es-AR"/>
        </w:rPr>
        <w:t xml:space="preserve"> el Ministerio del Medio Ambiente</w:t>
      </w:r>
      <w:r w:rsidR="00DC38BF" w:rsidRPr="00FB4BA7">
        <w:rPr>
          <w:rFonts w:ascii="Cambria" w:hAnsi="Cambria"/>
          <w:sz w:val="20"/>
          <w:szCs w:val="20"/>
          <w:lang w:val="es-AR"/>
        </w:rPr>
        <w:t>;</w:t>
      </w:r>
      <w:r w:rsidR="00661A9D" w:rsidRPr="00FB4BA7">
        <w:rPr>
          <w:rFonts w:ascii="Cambria" w:hAnsi="Cambria"/>
          <w:sz w:val="20"/>
          <w:szCs w:val="20"/>
          <w:lang w:val="es-AR"/>
        </w:rPr>
        <w:t xml:space="preserve"> y el Ministerio de Justicia de Derechos Humanos, requiriendo que se disponga el restablecimiento del servicio de agua potable apta para el consumo humano y alcantarillado en la provincia de Tumbe</w:t>
      </w:r>
      <w:r w:rsidR="00040A72" w:rsidRPr="00FB4BA7">
        <w:rPr>
          <w:rFonts w:ascii="Cambria" w:hAnsi="Cambria"/>
          <w:sz w:val="20"/>
          <w:szCs w:val="20"/>
          <w:lang w:val="es-AR"/>
        </w:rPr>
        <w:t xml:space="preserve">s, así como otras medidas para asegurar el derecho a la salud y </w:t>
      </w:r>
      <w:r w:rsidR="009F0C0F" w:rsidRPr="00FB4BA7">
        <w:rPr>
          <w:rFonts w:ascii="Cambria" w:hAnsi="Cambria"/>
          <w:sz w:val="20"/>
          <w:szCs w:val="20"/>
          <w:lang w:val="es-AR"/>
        </w:rPr>
        <w:t>a</w:t>
      </w:r>
      <w:r w:rsidR="00040A72" w:rsidRPr="00FB4BA7">
        <w:rPr>
          <w:rFonts w:ascii="Cambria" w:hAnsi="Cambria"/>
          <w:sz w:val="20"/>
          <w:szCs w:val="20"/>
          <w:lang w:val="es-AR"/>
        </w:rPr>
        <w:t xml:space="preserve">l medio ambiente. </w:t>
      </w:r>
      <w:r w:rsidR="00DB224E" w:rsidRPr="00FB4BA7">
        <w:rPr>
          <w:rFonts w:ascii="Cambria" w:hAnsi="Cambria"/>
          <w:sz w:val="20"/>
          <w:szCs w:val="20"/>
          <w:lang w:val="es-AR"/>
        </w:rPr>
        <w:t xml:space="preserve">Producto de ello, el </w:t>
      </w:r>
      <w:r w:rsidR="002E0230" w:rsidRPr="00FB4BA7">
        <w:rPr>
          <w:rFonts w:ascii="Cambria" w:hAnsi="Cambria"/>
          <w:sz w:val="20"/>
          <w:szCs w:val="20"/>
          <w:lang w:val="es-AR"/>
        </w:rPr>
        <w:t>1 de diciembre de 20</w:t>
      </w:r>
      <w:r w:rsidR="00B32477" w:rsidRPr="00FB4BA7">
        <w:rPr>
          <w:rFonts w:ascii="Cambria" w:hAnsi="Cambria"/>
          <w:sz w:val="20"/>
          <w:szCs w:val="20"/>
          <w:lang w:val="es-AR"/>
        </w:rPr>
        <w:t>22</w:t>
      </w:r>
      <w:r w:rsidR="002E0230" w:rsidRPr="00FB4BA7">
        <w:rPr>
          <w:rFonts w:ascii="Cambria" w:hAnsi="Cambria"/>
          <w:sz w:val="20"/>
          <w:szCs w:val="20"/>
          <w:lang w:val="es-AR"/>
        </w:rPr>
        <w:t xml:space="preserve"> el Juzgado Civil Permanente de Tumbes declaró fundada parcialmente la demanda, y dispuso que parte de los actores demandados, </w:t>
      </w:r>
      <w:r w:rsidR="009132E0" w:rsidRPr="00FB4BA7">
        <w:rPr>
          <w:rFonts w:ascii="Cambria" w:hAnsi="Cambria"/>
          <w:sz w:val="20"/>
          <w:szCs w:val="20"/>
          <w:lang w:val="es-AR"/>
        </w:rPr>
        <w:t>con base en</w:t>
      </w:r>
      <w:r w:rsidR="002E0230" w:rsidRPr="00FB4BA7">
        <w:rPr>
          <w:rFonts w:ascii="Cambria" w:hAnsi="Cambria"/>
          <w:sz w:val="20"/>
          <w:szCs w:val="20"/>
          <w:lang w:val="es-AR"/>
        </w:rPr>
        <w:t xml:space="preserve"> sus deberes y competencias, </w:t>
      </w:r>
      <w:r w:rsidR="009132E0" w:rsidRPr="00FB4BA7">
        <w:rPr>
          <w:rFonts w:ascii="Cambria" w:hAnsi="Cambria"/>
          <w:sz w:val="20"/>
          <w:szCs w:val="20"/>
          <w:lang w:val="es-AR"/>
        </w:rPr>
        <w:t xml:space="preserve">adopten medidas específicas para tratar la contaminación del agua. A la fecha, tal proceso aún se encuentra pendiente de </w:t>
      </w:r>
      <w:r w:rsidR="009058B5" w:rsidRPr="00FB4BA7">
        <w:rPr>
          <w:rFonts w:ascii="Cambria" w:hAnsi="Cambria"/>
          <w:sz w:val="20"/>
          <w:szCs w:val="20"/>
          <w:lang w:val="es-AR"/>
        </w:rPr>
        <w:t>sentencia firme</w:t>
      </w:r>
      <w:r w:rsidR="009132E0" w:rsidRPr="00FB4BA7">
        <w:rPr>
          <w:rFonts w:ascii="Cambria" w:hAnsi="Cambria"/>
          <w:sz w:val="20"/>
          <w:szCs w:val="20"/>
          <w:lang w:val="es-AR"/>
        </w:rPr>
        <w:t xml:space="preserve">. </w:t>
      </w:r>
    </w:p>
    <w:p w14:paraId="145AC6F9" w14:textId="0AFD3F03" w:rsidR="00C362D1" w:rsidRPr="00FB4BA7" w:rsidRDefault="00C362D1"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FB4BA7">
        <w:rPr>
          <w:rFonts w:ascii="Cambria" w:hAnsi="Cambria"/>
          <w:sz w:val="20"/>
          <w:szCs w:val="20"/>
          <w:lang w:val="es-AR"/>
        </w:rPr>
        <w:t xml:space="preserve">Con base en ello, la parte peticionaria solicita que la CIDH adopte medidas inmediatas a efectos de salvaguardar de </w:t>
      </w:r>
      <w:r w:rsidR="005F12EB" w:rsidRPr="00FB4BA7">
        <w:rPr>
          <w:rFonts w:ascii="Cambria" w:hAnsi="Cambria"/>
          <w:sz w:val="20"/>
          <w:szCs w:val="20"/>
          <w:lang w:val="es-AR"/>
        </w:rPr>
        <w:t xml:space="preserve">las personas </w:t>
      </w:r>
      <w:r w:rsidR="00C950E9" w:rsidRPr="00FB4BA7">
        <w:rPr>
          <w:rFonts w:ascii="Cambria" w:hAnsi="Cambria"/>
          <w:sz w:val="20"/>
          <w:szCs w:val="20"/>
          <w:lang w:val="es-AR"/>
        </w:rPr>
        <w:t>que habitan</w:t>
      </w:r>
      <w:r w:rsidR="005F12EB" w:rsidRPr="00FB4BA7">
        <w:rPr>
          <w:rFonts w:ascii="Cambria" w:hAnsi="Cambria"/>
          <w:sz w:val="20"/>
          <w:szCs w:val="20"/>
          <w:lang w:val="es-AR"/>
        </w:rPr>
        <w:t xml:space="preserve"> en</w:t>
      </w:r>
      <w:r w:rsidRPr="00FB4BA7">
        <w:rPr>
          <w:rFonts w:ascii="Cambria" w:hAnsi="Cambria"/>
          <w:sz w:val="20"/>
          <w:szCs w:val="20"/>
          <w:lang w:val="es-AR"/>
        </w:rPr>
        <w:t xml:space="preserve"> Tumbes. Refiere que, para el momento de presentación de la petición, existen alrededor de 200,000 pobladores afectados por la contaminación del agua. </w:t>
      </w:r>
    </w:p>
    <w:p w14:paraId="1239499B" w14:textId="7ACEDE65" w:rsidR="00F87CC0" w:rsidRPr="00FB4BA7" w:rsidRDefault="00F87CC0" w:rsidP="00F87CC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lang w:val="es-AR"/>
        </w:rPr>
      </w:pPr>
      <w:r w:rsidRPr="00FB4BA7">
        <w:rPr>
          <w:rFonts w:ascii="Cambria" w:hAnsi="Cambria"/>
          <w:i/>
          <w:iCs/>
          <w:sz w:val="20"/>
          <w:szCs w:val="20"/>
          <w:lang w:val="es-AR"/>
        </w:rPr>
        <w:t>Alegatos del Estado</w:t>
      </w:r>
      <w:r w:rsidR="00D13BBC" w:rsidRPr="00FB4BA7">
        <w:rPr>
          <w:rFonts w:ascii="Cambria" w:hAnsi="Cambria"/>
          <w:i/>
          <w:iCs/>
          <w:sz w:val="20"/>
          <w:szCs w:val="20"/>
          <w:lang w:val="es-AR"/>
        </w:rPr>
        <w:t xml:space="preserve"> peruano</w:t>
      </w:r>
    </w:p>
    <w:p w14:paraId="5F207CD2" w14:textId="66E2EE26" w:rsidR="00981836" w:rsidRPr="00FB4BA7" w:rsidRDefault="00F87CC0" w:rsidP="00F933F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FB4BA7">
        <w:rPr>
          <w:rFonts w:ascii="Cambria" w:hAnsi="Cambria"/>
          <w:sz w:val="20"/>
          <w:szCs w:val="20"/>
          <w:lang w:val="es-AR"/>
        </w:rPr>
        <w:t>El Estado, por su parte, replica que</w:t>
      </w:r>
      <w:r w:rsidR="00CA1D6B" w:rsidRPr="00FB4BA7">
        <w:rPr>
          <w:rFonts w:ascii="Cambria" w:hAnsi="Cambria"/>
          <w:sz w:val="20"/>
          <w:szCs w:val="20"/>
          <w:lang w:val="es-AR"/>
        </w:rPr>
        <w:t xml:space="preserve"> la petición es inadmisible por falta de determinaci</w:t>
      </w:r>
      <w:r w:rsidR="0064391B" w:rsidRPr="00FB4BA7">
        <w:rPr>
          <w:rFonts w:ascii="Cambria" w:hAnsi="Cambria"/>
          <w:sz w:val="20"/>
          <w:szCs w:val="20"/>
          <w:lang w:val="es-AR"/>
        </w:rPr>
        <w:t xml:space="preserve">ón de las presuntas víctimas. </w:t>
      </w:r>
      <w:r w:rsidR="00035428" w:rsidRPr="00FB4BA7">
        <w:rPr>
          <w:rFonts w:ascii="Cambria" w:hAnsi="Cambria"/>
          <w:sz w:val="20"/>
          <w:szCs w:val="20"/>
          <w:lang w:val="es-AR"/>
        </w:rPr>
        <w:t>Detalla que</w:t>
      </w:r>
      <w:r w:rsidR="00F933FC" w:rsidRPr="00FB4BA7">
        <w:rPr>
          <w:rFonts w:ascii="Cambria" w:hAnsi="Cambria"/>
          <w:sz w:val="20"/>
          <w:szCs w:val="20"/>
          <w:lang w:val="es-AR"/>
        </w:rPr>
        <w:t>,</w:t>
      </w:r>
      <w:r w:rsidR="00035428" w:rsidRPr="00FB4BA7">
        <w:rPr>
          <w:rFonts w:ascii="Cambria" w:hAnsi="Cambria"/>
          <w:sz w:val="20"/>
          <w:szCs w:val="20"/>
          <w:lang w:val="es-AR"/>
        </w:rPr>
        <w:t xml:space="preserve"> si bien </w:t>
      </w:r>
      <w:r w:rsidR="00B51BE5" w:rsidRPr="00FB4BA7">
        <w:rPr>
          <w:rFonts w:ascii="Cambria" w:hAnsi="Cambria"/>
          <w:sz w:val="20"/>
          <w:szCs w:val="20"/>
          <w:lang w:val="es-AR"/>
        </w:rPr>
        <w:t xml:space="preserve">el </w:t>
      </w:r>
      <w:r w:rsidR="00035428" w:rsidRPr="00FB4BA7">
        <w:rPr>
          <w:rFonts w:ascii="Cambria" w:hAnsi="Cambria"/>
          <w:sz w:val="20"/>
          <w:szCs w:val="20"/>
          <w:lang w:val="es-AR"/>
        </w:rPr>
        <w:t>14 de diciembre de 2018</w:t>
      </w:r>
      <w:r w:rsidR="00201F96" w:rsidRPr="00FB4BA7">
        <w:rPr>
          <w:rFonts w:ascii="Cambria" w:hAnsi="Cambria"/>
          <w:sz w:val="20"/>
          <w:szCs w:val="20"/>
          <w:lang w:val="es-AR"/>
        </w:rPr>
        <w:t xml:space="preserve"> la CIDH solicitó a la parte peticionaria que señalara a las presuntas víctimas del caso, este solo colocó sus </w:t>
      </w:r>
      <w:r w:rsidR="00A1510A" w:rsidRPr="00FB4BA7">
        <w:rPr>
          <w:rFonts w:ascii="Cambria" w:hAnsi="Cambria"/>
          <w:sz w:val="20"/>
          <w:szCs w:val="20"/>
          <w:lang w:val="es-AR"/>
        </w:rPr>
        <w:t xml:space="preserve">propios </w:t>
      </w:r>
      <w:r w:rsidR="00201F96" w:rsidRPr="00FB4BA7">
        <w:rPr>
          <w:rFonts w:ascii="Cambria" w:hAnsi="Cambria"/>
          <w:sz w:val="20"/>
          <w:szCs w:val="20"/>
          <w:lang w:val="es-AR"/>
        </w:rPr>
        <w:t>datos, lo que daría a entender que la alegada vulneración de derechos sería únicamente respecto</w:t>
      </w:r>
      <w:r w:rsidR="00F933FC" w:rsidRPr="00FB4BA7">
        <w:rPr>
          <w:rFonts w:ascii="Cambria" w:hAnsi="Cambria"/>
          <w:sz w:val="20"/>
          <w:szCs w:val="20"/>
          <w:lang w:val="es-AR"/>
        </w:rPr>
        <w:t xml:space="preserve"> </w:t>
      </w:r>
      <w:r w:rsidR="00A1510A" w:rsidRPr="00FB4BA7">
        <w:rPr>
          <w:rFonts w:ascii="Cambria" w:hAnsi="Cambria"/>
          <w:sz w:val="20"/>
          <w:szCs w:val="20"/>
          <w:lang w:val="es-AR"/>
        </w:rPr>
        <w:t>de</w:t>
      </w:r>
      <w:r w:rsidR="00F933FC" w:rsidRPr="00FB4BA7">
        <w:rPr>
          <w:rFonts w:ascii="Cambria" w:hAnsi="Cambria"/>
          <w:sz w:val="20"/>
          <w:szCs w:val="20"/>
          <w:lang w:val="es-AR"/>
        </w:rPr>
        <w:t xml:space="preserve"> </w:t>
      </w:r>
      <w:r w:rsidR="00201F96" w:rsidRPr="00FB4BA7">
        <w:rPr>
          <w:rFonts w:ascii="Cambria" w:hAnsi="Cambria"/>
          <w:sz w:val="20"/>
          <w:szCs w:val="20"/>
          <w:lang w:val="es-AR"/>
        </w:rPr>
        <w:t>su persona.</w:t>
      </w:r>
      <w:r w:rsidR="00F933FC" w:rsidRPr="00FB4BA7">
        <w:rPr>
          <w:rFonts w:ascii="Cambria" w:hAnsi="Cambria"/>
          <w:sz w:val="20"/>
          <w:szCs w:val="20"/>
          <w:lang w:val="es-AR"/>
        </w:rPr>
        <w:t xml:space="preserve"> Sin embargo, en la sección de los hechos denunciados ante la CIDH, el</w:t>
      </w:r>
      <w:r w:rsidR="00201F96" w:rsidRPr="00FB4BA7">
        <w:rPr>
          <w:rFonts w:ascii="Cambria" w:hAnsi="Cambria"/>
          <w:sz w:val="20"/>
          <w:szCs w:val="20"/>
          <w:lang w:val="es-AR"/>
        </w:rPr>
        <w:t xml:space="preserve"> </w:t>
      </w:r>
      <w:r w:rsidR="00F933FC" w:rsidRPr="00FB4BA7">
        <w:rPr>
          <w:rFonts w:ascii="Cambria" w:hAnsi="Cambria"/>
          <w:sz w:val="20"/>
          <w:szCs w:val="20"/>
          <w:lang w:val="es-AR"/>
        </w:rPr>
        <w:t>peticionario se refirió a la “población del departamento de Tumbes”</w:t>
      </w:r>
      <w:r w:rsidR="002E3DB7" w:rsidRPr="00FB4BA7">
        <w:rPr>
          <w:rFonts w:ascii="Cambria" w:hAnsi="Cambria"/>
          <w:sz w:val="20"/>
          <w:szCs w:val="20"/>
          <w:lang w:val="es-AR"/>
        </w:rPr>
        <w:t>,</w:t>
      </w:r>
      <w:r w:rsidR="00F933FC" w:rsidRPr="00FB4BA7">
        <w:rPr>
          <w:rFonts w:ascii="Cambria" w:hAnsi="Cambria"/>
          <w:sz w:val="20"/>
          <w:szCs w:val="20"/>
          <w:lang w:val="es-AR"/>
        </w:rPr>
        <w:t xml:space="preserve"> y su </w:t>
      </w:r>
      <w:r w:rsidR="00F933FC" w:rsidRPr="00FB4BA7">
        <w:rPr>
          <w:rFonts w:ascii="Cambria" w:hAnsi="Cambria"/>
          <w:sz w:val="20"/>
          <w:szCs w:val="20"/>
          <w:lang w:val="es-AR"/>
        </w:rPr>
        <w:lastRenderedPageBreak/>
        <w:t>petitorio tiene el mismo sentido. Afirma que, de lo expuesto, se desprende que el peticionario fija como presuntas víctimas a todos los habitantes de dicho departamento</w:t>
      </w:r>
      <w:r w:rsidR="00F911E5" w:rsidRPr="00FB4BA7">
        <w:rPr>
          <w:rFonts w:ascii="Cambria" w:hAnsi="Cambria"/>
          <w:sz w:val="20"/>
          <w:szCs w:val="20"/>
          <w:lang w:val="es-AR"/>
        </w:rPr>
        <w:t xml:space="preserve">, a pesar de que los documentos aportados solo mostrarían que la población afectada </w:t>
      </w:r>
      <w:r w:rsidR="003B5CC0" w:rsidRPr="00FB4BA7">
        <w:rPr>
          <w:rFonts w:ascii="Cambria" w:hAnsi="Cambria"/>
          <w:sz w:val="20"/>
          <w:szCs w:val="20"/>
          <w:lang w:val="es-AR"/>
        </w:rPr>
        <w:t>son los habitantes del distrito de San Jacinto, ubicada en la provincia de Tumbes, en el departamento con el mismo nombre.</w:t>
      </w:r>
      <w:r w:rsidR="00F933FC" w:rsidRPr="00FB4BA7">
        <w:rPr>
          <w:rFonts w:ascii="Cambria" w:hAnsi="Cambria"/>
          <w:sz w:val="20"/>
          <w:szCs w:val="20"/>
          <w:lang w:val="es-AR"/>
        </w:rPr>
        <w:t xml:space="preserve"> </w:t>
      </w:r>
      <w:r w:rsidR="0064391B" w:rsidRPr="00FB4BA7">
        <w:rPr>
          <w:rFonts w:ascii="Cambria" w:hAnsi="Cambria"/>
          <w:sz w:val="20"/>
          <w:szCs w:val="20"/>
          <w:lang w:val="es-AR"/>
        </w:rPr>
        <w:t xml:space="preserve">En razón a ello, Perú solicita a la Comisión que declare inadmisible la presente petición, dado que no puede conocer en concreto la cantidad de presuntas víctimas que supuestamente han visto afectados sus derechos. </w:t>
      </w:r>
    </w:p>
    <w:p w14:paraId="3B83747D" w14:textId="610222A4" w:rsidR="00F933FC" w:rsidRPr="00FB4BA7" w:rsidRDefault="00B622A0" w:rsidP="00F933F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FB4BA7">
        <w:rPr>
          <w:rFonts w:ascii="Cambria" w:hAnsi="Cambria"/>
          <w:sz w:val="20"/>
          <w:szCs w:val="20"/>
          <w:lang w:val="es-AR"/>
        </w:rPr>
        <w:t xml:space="preserve">Sin perjuicio de ello, refiere que el peticionario no agotó los recursos de la jurisdicción interna. </w:t>
      </w:r>
      <w:r w:rsidR="002024FA" w:rsidRPr="00FB4BA7">
        <w:rPr>
          <w:rFonts w:ascii="Cambria" w:hAnsi="Cambria"/>
          <w:sz w:val="20"/>
          <w:szCs w:val="20"/>
          <w:lang w:val="es-AR"/>
        </w:rPr>
        <w:t xml:space="preserve">Arguye que </w:t>
      </w:r>
      <w:r w:rsidR="004E6F79" w:rsidRPr="00FB4BA7">
        <w:rPr>
          <w:rFonts w:ascii="Cambria" w:hAnsi="Cambria"/>
          <w:sz w:val="20"/>
          <w:szCs w:val="20"/>
          <w:lang w:val="es-AR"/>
        </w:rPr>
        <w:t xml:space="preserve">la parte peticionaria presentó una demanda de amparo de manera posterior a la presentación de esta petición, lo cual demuestra que cuando acudió al Sistema Interamericano aún no había utilizado dicha vía judicial. </w:t>
      </w:r>
    </w:p>
    <w:p w14:paraId="3CF5D29A" w14:textId="7C462FB6" w:rsidR="00BD052E" w:rsidRPr="00FB4BA7" w:rsidRDefault="00F7239D" w:rsidP="00EE0D7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UY"/>
        </w:rPr>
      </w:pPr>
      <w:r w:rsidRPr="00FB4BA7">
        <w:rPr>
          <w:rFonts w:ascii="Cambria" w:hAnsi="Cambria"/>
          <w:sz w:val="20"/>
          <w:szCs w:val="20"/>
          <w:lang w:val="es-AR"/>
        </w:rPr>
        <w:t>En relación con la denuncia penal presentada, destaca que la información proporcionada no muestra que el peticionario haya realizado un seguimiento a tal reclamo. En consecuencia, precisa que no se conoce si su escrito amerit</w:t>
      </w:r>
      <w:r w:rsidR="00CA20DE" w:rsidRPr="00FB4BA7">
        <w:rPr>
          <w:rFonts w:ascii="Cambria" w:hAnsi="Cambria"/>
          <w:sz w:val="20"/>
          <w:szCs w:val="20"/>
          <w:lang w:val="es-AR"/>
        </w:rPr>
        <w:t>ó</w:t>
      </w:r>
      <w:r w:rsidRPr="00FB4BA7">
        <w:rPr>
          <w:rFonts w:ascii="Cambria" w:hAnsi="Cambria"/>
          <w:sz w:val="20"/>
          <w:szCs w:val="20"/>
          <w:lang w:val="es-AR"/>
        </w:rPr>
        <w:t xml:space="preserve"> el inicio de una investigación fiscal, y si esta fue archivada o</w:t>
      </w:r>
      <w:r w:rsidR="006E2CF0" w:rsidRPr="00FB4BA7">
        <w:rPr>
          <w:rFonts w:ascii="Cambria" w:hAnsi="Cambria"/>
          <w:sz w:val="20"/>
          <w:szCs w:val="20"/>
          <w:lang w:val="es-AR"/>
        </w:rPr>
        <w:t xml:space="preserve"> si</w:t>
      </w:r>
      <w:r w:rsidRPr="00FB4BA7">
        <w:rPr>
          <w:rFonts w:ascii="Cambria" w:hAnsi="Cambria"/>
          <w:sz w:val="20"/>
          <w:szCs w:val="20"/>
          <w:lang w:val="es-AR"/>
        </w:rPr>
        <w:t xml:space="preserve"> actualmente continua. Agrega que, en caso </w:t>
      </w:r>
      <w:r w:rsidR="000F5A09" w:rsidRPr="00FB4BA7">
        <w:rPr>
          <w:rFonts w:ascii="Cambria" w:hAnsi="Cambria"/>
          <w:sz w:val="20"/>
          <w:szCs w:val="20"/>
          <w:lang w:val="es-AR"/>
        </w:rPr>
        <w:t xml:space="preserve">de que </w:t>
      </w:r>
      <w:r w:rsidRPr="00FB4BA7">
        <w:rPr>
          <w:rFonts w:ascii="Cambria" w:hAnsi="Cambria"/>
          <w:sz w:val="20"/>
          <w:szCs w:val="20"/>
          <w:lang w:val="es-AR"/>
        </w:rPr>
        <w:t>su reclamo haya sido archivado, el peticionario podía recurrir en queja al inmediato superior a fin de que reexamine dicha acción, de acuerdo con la Ley Orgánica del Ministerio Público. Asimismo, refiere que ante un posible retardo injustificado para la culminación de la investigación</w:t>
      </w:r>
      <w:r w:rsidR="009D426B" w:rsidRPr="00FB4BA7">
        <w:rPr>
          <w:rFonts w:ascii="Cambria" w:hAnsi="Cambria"/>
          <w:sz w:val="20"/>
          <w:szCs w:val="20"/>
          <w:lang w:val="es-AR"/>
        </w:rPr>
        <w:t xml:space="preserve"> también podía utilizar la vía constitucional para cuestionar tal </w:t>
      </w:r>
      <w:r w:rsidR="009A5509" w:rsidRPr="00FB4BA7">
        <w:rPr>
          <w:rFonts w:ascii="Cambria" w:hAnsi="Cambria"/>
          <w:sz w:val="20"/>
          <w:szCs w:val="20"/>
          <w:lang w:val="es-AR"/>
        </w:rPr>
        <w:t xml:space="preserve">situación, o solicitar un control del plazo al juez encargado de la investigación preparatoria. </w:t>
      </w:r>
      <w:r w:rsidR="00191AD9" w:rsidRPr="00FB4BA7">
        <w:rPr>
          <w:rFonts w:ascii="Cambria" w:hAnsi="Cambria"/>
          <w:sz w:val="20"/>
          <w:szCs w:val="20"/>
          <w:lang w:val="es-AR"/>
        </w:rPr>
        <w:t xml:space="preserve">A pesar de ello, Perú cuestiona que el peticionario no haya utilizado ninguno de los recursos internos anteriormente señalados. </w:t>
      </w:r>
    </w:p>
    <w:p w14:paraId="25E18505" w14:textId="22E4D4B2" w:rsidR="004E6F79" w:rsidRPr="00FB4BA7" w:rsidRDefault="005F12EB" w:rsidP="00EE0D7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UY"/>
        </w:rPr>
      </w:pPr>
      <w:r w:rsidRPr="00FB4BA7">
        <w:rPr>
          <w:rFonts w:ascii="Cambria" w:hAnsi="Cambria"/>
          <w:sz w:val="20"/>
          <w:szCs w:val="20"/>
          <w:lang w:val="es-AR"/>
        </w:rPr>
        <w:t>Al margen de esta situación</w:t>
      </w:r>
      <w:r w:rsidR="004E6F79" w:rsidRPr="00FB4BA7">
        <w:rPr>
          <w:rFonts w:ascii="Cambria" w:hAnsi="Cambria"/>
          <w:sz w:val="20"/>
          <w:szCs w:val="20"/>
          <w:lang w:val="es-AR"/>
        </w:rPr>
        <w:t>, informa que</w:t>
      </w:r>
      <w:r w:rsidR="0080515A" w:rsidRPr="00FB4BA7">
        <w:rPr>
          <w:rFonts w:ascii="Cambria" w:hAnsi="Cambria"/>
          <w:sz w:val="20"/>
          <w:szCs w:val="20"/>
          <w:lang w:val="es-AR"/>
        </w:rPr>
        <w:t>,</w:t>
      </w:r>
      <w:r w:rsidR="004E6F79" w:rsidRPr="00FB4BA7">
        <w:rPr>
          <w:rFonts w:ascii="Cambria" w:hAnsi="Cambria"/>
          <w:sz w:val="20"/>
          <w:szCs w:val="20"/>
          <w:lang w:val="es-AR"/>
        </w:rPr>
        <w:t xml:space="preserve"> </w:t>
      </w:r>
      <w:r w:rsidR="005A04D8" w:rsidRPr="00FB4BA7">
        <w:rPr>
          <w:rFonts w:ascii="Cambria" w:hAnsi="Cambria"/>
          <w:sz w:val="20"/>
          <w:szCs w:val="20"/>
          <w:lang w:val="es-AR"/>
        </w:rPr>
        <w:t xml:space="preserve">de acuerdo con el informe del 2 de agosto de 2022 del Ministerio Público, </w:t>
      </w:r>
      <w:r w:rsidR="00097A40" w:rsidRPr="00FB4BA7">
        <w:rPr>
          <w:rFonts w:ascii="Cambria" w:hAnsi="Cambria"/>
          <w:sz w:val="20"/>
          <w:szCs w:val="20"/>
          <w:lang w:val="es-AR"/>
        </w:rPr>
        <w:t xml:space="preserve">no hay registro </w:t>
      </w:r>
      <w:r w:rsidR="004C49B3" w:rsidRPr="00FB4BA7">
        <w:rPr>
          <w:rFonts w:ascii="Cambria" w:hAnsi="Cambria"/>
          <w:sz w:val="20"/>
          <w:szCs w:val="20"/>
          <w:lang w:val="es-AR"/>
        </w:rPr>
        <w:t xml:space="preserve">de </w:t>
      </w:r>
      <w:r w:rsidR="00097A40" w:rsidRPr="00FB4BA7">
        <w:rPr>
          <w:rFonts w:ascii="Cambria" w:hAnsi="Cambria"/>
          <w:sz w:val="20"/>
          <w:szCs w:val="20"/>
          <w:lang w:val="es-AR"/>
        </w:rPr>
        <w:t>que el peticionario haya presentado una denuncia por la contaminación derivada del arrojo de desechos de metales pesados, producto de la actividad minera formal e informal en plantas de beneficio en Ecuador. No obstante, tal documento precisa que</w:t>
      </w:r>
      <w:r w:rsidR="004240C9" w:rsidRPr="00FB4BA7">
        <w:rPr>
          <w:rFonts w:ascii="Cambria" w:hAnsi="Cambria"/>
          <w:sz w:val="20"/>
          <w:szCs w:val="20"/>
          <w:lang w:val="es-AR"/>
        </w:rPr>
        <w:t xml:space="preserve">, debido a los informes emitidos por la Dirección Regional de Salud de Tumbes, </w:t>
      </w:r>
      <w:r w:rsidR="0080515A" w:rsidRPr="00FB4BA7">
        <w:rPr>
          <w:rFonts w:ascii="Cambria" w:hAnsi="Cambria"/>
          <w:sz w:val="20"/>
          <w:szCs w:val="20"/>
          <w:lang w:val="es-AR"/>
        </w:rPr>
        <w:t xml:space="preserve">actualmente la Fiscalía Especializada en Materia Ambiental de Tumbes se encuentra investigando, bajo la carpeta del </w:t>
      </w:r>
      <w:r w:rsidR="007A5A83" w:rsidRPr="00FB4BA7">
        <w:rPr>
          <w:rFonts w:ascii="Cambria" w:hAnsi="Cambria"/>
          <w:sz w:val="20"/>
          <w:szCs w:val="20"/>
          <w:lang w:val="es-AR"/>
        </w:rPr>
        <w:t>ca</w:t>
      </w:r>
      <w:r w:rsidR="0080515A" w:rsidRPr="00FB4BA7">
        <w:rPr>
          <w:rFonts w:ascii="Cambria" w:hAnsi="Cambria"/>
          <w:sz w:val="20"/>
          <w:szCs w:val="20"/>
          <w:lang w:val="es-AR"/>
        </w:rPr>
        <w:t xml:space="preserve">so N.º 3506015200-2019-169-0, la contaminación derivada de los vertimientos de desechos de metales pesados producto de la actividad minera formal e informal, así como de aguas residuales. </w:t>
      </w:r>
      <w:r w:rsidR="004240C9" w:rsidRPr="00FB4BA7">
        <w:rPr>
          <w:rFonts w:ascii="Cambria" w:hAnsi="Cambria"/>
          <w:sz w:val="20"/>
          <w:szCs w:val="20"/>
          <w:lang w:val="es-AR"/>
        </w:rPr>
        <w:t>A criterio de Perú, t</w:t>
      </w:r>
      <w:r w:rsidR="0080515A" w:rsidRPr="00FB4BA7">
        <w:rPr>
          <w:rFonts w:ascii="Cambria" w:hAnsi="Cambria"/>
          <w:sz w:val="20"/>
          <w:szCs w:val="20"/>
          <w:lang w:val="es-AR"/>
        </w:rPr>
        <w:t>al información demuestra que las autoridades se vienen abocando a los hechos materia de la petición y</w:t>
      </w:r>
      <w:r w:rsidR="004B3A89" w:rsidRPr="00FB4BA7">
        <w:rPr>
          <w:rFonts w:ascii="Cambria" w:hAnsi="Cambria"/>
          <w:sz w:val="20"/>
          <w:szCs w:val="20"/>
          <w:lang w:val="es-AR"/>
        </w:rPr>
        <w:t>,</w:t>
      </w:r>
      <w:r w:rsidR="0080515A" w:rsidRPr="00FB4BA7">
        <w:rPr>
          <w:rFonts w:ascii="Cambria" w:hAnsi="Cambria"/>
          <w:sz w:val="20"/>
          <w:szCs w:val="20"/>
          <w:lang w:val="es-AR"/>
        </w:rPr>
        <w:t xml:space="preserve"> por ende, aún no se ha agotado la jurisdicción interna. </w:t>
      </w:r>
    </w:p>
    <w:p w14:paraId="1A7E4D07" w14:textId="2208A4A7" w:rsidR="00DD529C" w:rsidRPr="00FB4BA7" w:rsidRDefault="00BB3AD3" w:rsidP="00057CF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Y"/>
        </w:rPr>
      </w:pPr>
      <w:r w:rsidRPr="00FB4BA7">
        <w:rPr>
          <w:rFonts w:asciiTheme="majorHAnsi" w:hAnsiTheme="majorHAnsi"/>
          <w:sz w:val="20"/>
          <w:szCs w:val="20"/>
          <w:lang w:val="es-UY"/>
        </w:rPr>
        <w:t xml:space="preserve">Adicionalmente, el </w:t>
      </w:r>
      <w:r w:rsidR="001141F4" w:rsidRPr="00FB4BA7">
        <w:rPr>
          <w:rFonts w:asciiTheme="majorHAnsi" w:hAnsiTheme="majorHAnsi"/>
          <w:sz w:val="20"/>
          <w:szCs w:val="20"/>
          <w:lang w:val="es-UY"/>
        </w:rPr>
        <w:t>Perú</w:t>
      </w:r>
      <w:r w:rsidRPr="00FB4BA7">
        <w:rPr>
          <w:rFonts w:asciiTheme="majorHAnsi" w:hAnsiTheme="majorHAnsi"/>
          <w:sz w:val="20"/>
          <w:szCs w:val="20"/>
          <w:lang w:val="es-UY"/>
        </w:rPr>
        <w:t xml:space="preserve"> </w:t>
      </w:r>
      <w:r w:rsidR="001141F4" w:rsidRPr="00FB4BA7">
        <w:rPr>
          <w:rFonts w:asciiTheme="majorHAnsi" w:hAnsiTheme="majorHAnsi"/>
          <w:sz w:val="20"/>
          <w:szCs w:val="20"/>
          <w:lang w:val="es-UY"/>
        </w:rPr>
        <w:t>alega</w:t>
      </w:r>
      <w:r w:rsidRPr="00FB4BA7">
        <w:rPr>
          <w:rFonts w:asciiTheme="majorHAnsi" w:hAnsiTheme="majorHAnsi"/>
          <w:sz w:val="20"/>
          <w:szCs w:val="20"/>
          <w:lang w:val="es-UY"/>
        </w:rPr>
        <w:t xml:space="preserve"> que los hechos denunciados no carac</w:t>
      </w:r>
      <w:r w:rsidR="004B2AAA" w:rsidRPr="00FB4BA7">
        <w:rPr>
          <w:rFonts w:asciiTheme="majorHAnsi" w:hAnsiTheme="majorHAnsi"/>
          <w:sz w:val="20"/>
          <w:szCs w:val="20"/>
          <w:lang w:val="es-UY"/>
        </w:rPr>
        <w:t xml:space="preserve">terizan una vulneración de derechos humanos que le resulte atribuible. </w:t>
      </w:r>
      <w:r w:rsidR="00057CFE" w:rsidRPr="00FB4BA7">
        <w:rPr>
          <w:rFonts w:asciiTheme="majorHAnsi" w:hAnsiTheme="majorHAnsi"/>
          <w:sz w:val="20"/>
          <w:szCs w:val="20"/>
          <w:lang w:val="es-UY"/>
        </w:rPr>
        <w:t xml:space="preserve">Para sustentar su posición, </w:t>
      </w:r>
      <w:r w:rsidR="00EB242F" w:rsidRPr="00FB4BA7">
        <w:rPr>
          <w:rFonts w:asciiTheme="majorHAnsi" w:hAnsiTheme="majorHAnsi"/>
          <w:sz w:val="20"/>
          <w:szCs w:val="20"/>
          <w:lang w:val="es-UY"/>
        </w:rPr>
        <w:t xml:space="preserve">el Estado aporta documentos y explica los instrumentos técnicos adoptados para la atención de personas expuestas a metales pesados, en aras de proteger sus derechos. </w:t>
      </w:r>
      <w:r w:rsidR="009F5A21" w:rsidRPr="00FB4BA7">
        <w:rPr>
          <w:rFonts w:asciiTheme="majorHAnsi" w:hAnsiTheme="majorHAnsi"/>
          <w:sz w:val="20"/>
          <w:szCs w:val="20"/>
          <w:lang w:val="es-UY"/>
        </w:rPr>
        <w:t xml:space="preserve">Igualmente, explica que también ha implementado una serie de medidas para </w:t>
      </w:r>
      <w:r w:rsidR="00322A52" w:rsidRPr="00FB4BA7">
        <w:rPr>
          <w:rFonts w:asciiTheme="majorHAnsi" w:hAnsiTheme="majorHAnsi"/>
          <w:sz w:val="20"/>
          <w:szCs w:val="20"/>
          <w:lang w:val="es-UY"/>
        </w:rPr>
        <w:t>la gestión de las cuencas hidrográficas binacion</w:t>
      </w:r>
      <w:r w:rsidR="008B34D9" w:rsidRPr="00FB4BA7">
        <w:rPr>
          <w:rFonts w:asciiTheme="majorHAnsi" w:hAnsiTheme="majorHAnsi"/>
          <w:sz w:val="20"/>
          <w:szCs w:val="20"/>
          <w:lang w:val="es-UY"/>
        </w:rPr>
        <w:t>al</w:t>
      </w:r>
      <w:r w:rsidR="00322A52" w:rsidRPr="00FB4BA7">
        <w:rPr>
          <w:rFonts w:asciiTheme="majorHAnsi" w:hAnsiTheme="majorHAnsi"/>
          <w:sz w:val="20"/>
          <w:szCs w:val="20"/>
          <w:lang w:val="es-UY"/>
        </w:rPr>
        <w:t>es de Puyango-Tumbes y Catamayo-Chira</w:t>
      </w:r>
      <w:r w:rsidR="00B10AF0" w:rsidRPr="00FB4BA7">
        <w:rPr>
          <w:rFonts w:asciiTheme="majorHAnsi" w:hAnsiTheme="majorHAnsi"/>
          <w:sz w:val="20"/>
          <w:szCs w:val="20"/>
          <w:lang w:val="es-UY"/>
        </w:rPr>
        <w:t>;</w:t>
      </w:r>
      <w:r w:rsidR="002A164F" w:rsidRPr="00FB4BA7">
        <w:rPr>
          <w:rFonts w:asciiTheme="majorHAnsi" w:hAnsiTheme="majorHAnsi"/>
          <w:sz w:val="20"/>
          <w:szCs w:val="20"/>
          <w:lang w:val="es-UY"/>
        </w:rPr>
        <w:t xml:space="preserve"> y para hacer frente a la situación presentada en el departamento de Tumbes. Destaca que los citados esfuerzos buscan estar en armonía con los principios generales del derecho internacional de las aguas, lo cual muestra su disposición a abordar la problemática planteada. </w:t>
      </w:r>
      <w:r w:rsidR="00DA23CF" w:rsidRPr="00FB4BA7">
        <w:rPr>
          <w:rFonts w:asciiTheme="majorHAnsi" w:hAnsiTheme="majorHAnsi"/>
          <w:sz w:val="20"/>
          <w:szCs w:val="20"/>
          <w:lang w:val="es-UY"/>
        </w:rPr>
        <w:t xml:space="preserve">Por último, detalla las acciones de supervisión realizadas por Defensoría del Pueblo, el Ministerio del Ambiente y el Ministerio de Energía y Minas para fiscalizar y dar una respuesta a las actividades mineras que afectarían </w:t>
      </w:r>
      <w:r w:rsidR="003E267A" w:rsidRPr="00FB4BA7">
        <w:rPr>
          <w:rFonts w:asciiTheme="majorHAnsi" w:hAnsiTheme="majorHAnsi"/>
          <w:sz w:val="20"/>
          <w:szCs w:val="20"/>
          <w:lang w:val="es-UY"/>
        </w:rPr>
        <w:t>la calidad del agua en Tumbes</w:t>
      </w:r>
      <w:r w:rsidR="00DA23CF" w:rsidRPr="00FB4BA7">
        <w:rPr>
          <w:rFonts w:asciiTheme="majorHAnsi" w:hAnsiTheme="majorHAnsi"/>
          <w:sz w:val="20"/>
          <w:szCs w:val="20"/>
          <w:lang w:val="es-UY"/>
        </w:rPr>
        <w:t>.</w:t>
      </w:r>
      <w:r w:rsidR="003F5A8B" w:rsidRPr="00FB4BA7">
        <w:rPr>
          <w:rFonts w:asciiTheme="majorHAnsi" w:hAnsiTheme="majorHAnsi"/>
          <w:sz w:val="20"/>
          <w:szCs w:val="20"/>
          <w:lang w:val="es-UY"/>
        </w:rPr>
        <w:t xml:space="preserve"> Debido a ello, solicita a la Comisión que </w:t>
      </w:r>
      <w:r w:rsidR="008823D9" w:rsidRPr="00FB4BA7">
        <w:rPr>
          <w:rFonts w:asciiTheme="majorHAnsi" w:hAnsiTheme="majorHAnsi"/>
          <w:sz w:val="20"/>
          <w:szCs w:val="20"/>
          <w:lang w:val="es-UY"/>
        </w:rPr>
        <w:t xml:space="preserve">declare </w:t>
      </w:r>
      <w:r w:rsidR="003F5A8B" w:rsidRPr="00FB4BA7">
        <w:rPr>
          <w:rFonts w:asciiTheme="majorHAnsi" w:hAnsiTheme="majorHAnsi"/>
          <w:sz w:val="20"/>
          <w:szCs w:val="20"/>
          <w:lang w:val="es-UY"/>
        </w:rPr>
        <w:t>inadmi</w:t>
      </w:r>
      <w:r w:rsidR="008823D9" w:rsidRPr="00FB4BA7">
        <w:rPr>
          <w:rFonts w:asciiTheme="majorHAnsi" w:hAnsiTheme="majorHAnsi"/>
          <w:sz w:val="20"/>
          <w:szCs w:val="20"/>
          <w:lang w:val="es-UY"/>
        </w:rPr>
        <w:t>sible</w:t>
      </w:r>
      <w:r w:rsidR="003F5A8B" w:rsidRPr="00FB4BA7">
        <w:rPr>
          <w:rFonts w:asciiTheme="majorHAnsi" w:hAnsiTheme="majorHAnsi"/>
          <w:sz w:val="20"/>
          <w:szCs w:val="20"/>
          <w:lang w:val="es-UY"/>
        </w:rPr>
        <w:t xml:space="preserve"> el presente reclamo.</w:t>
      </w:r>
    </w:p>
    <w:p w14:paraId="65EB1B88" w14:textId="5A0078A0" w:rsidR="004309CB" w:rsidRPr="00FB4BA7" w:rsidRDefault="004309CB" w:rsidP="00D242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UY"/>
        </w:rPr>
      </w:pPr>
      <w:r w:rsidRPr="00FB4BA7">
        <w:rPr>
          <w:rFonts w:asciiTheme="majorHAnsi" w:hAnsiTheme="majorHAnsi"/>
          <w:b/>
          <w:bCs/>
          <w:sz w:val="20"/>
          <w:szCs w:val="20"/>
          <w:lang w:val="es-ES"/>
        </w:rPr>
        <w:t>VI.</w:t>
      </w:r>
      <w:r w:rsidRPr="00FB4BA7">
        <w:rPr>
          <w:rFonts w:asciiTheme="majorHAnsi" w:hAnsiTheme="majorHAnsi"/>
          <w:b/>
          <w:bCs/>
          <w:sz w:val="20"/>
          <w:szCs w:val="20"/>
          <w:lang w:val="es-ES"/>
        </w:rPr>
        <w:tab/>
      </w:r>
      <w:r w:rsidRPr="00FB4BA7">
        <w:rPr>
          <w:rFonts w:asciiTheme="majorHAnsi" w:hAnsiTheme="majorHAnsi"/>
          <w:b/>
          <w:bCs/>
          <w:sz w:val="20"/>
          <w:szCs w:val="20"/>
          <w:lang w:val="es-ES_tradnl"/>
        </w:rPr>
        <w:t xml:space="preserve">ANÁLISIS DE </w:t>
      </w:r>
      <w:r w:rsidRPr="00FB4BA7">
        <w:rPr>
          <w:rFonts w:asciiTheme="majorHAnsi" w:hAnsiTheme="majorHAnsi"/>
          <w:b/>
          <w:sz w:val="20"/>
          <w:szCs w:val="20"/>
          <w:lang w:val="es-ES"/>
        </w:rPr>
        <w:t>AGOTAMIENTO DE LOS RECURSOS INTERNOS Y PLAZO DE PRESENTACIÓN</w:t>
      </w:r>
      <w:r w:rsidRPr="00FB4BA7">
        <w:rPr>
          <w:rFonts w:asciiTheme="majorHAnsi" w:hAnsiTheme="majorHAnsi"/>
          <w:b/>
          <w:bCs/>
          <w:sz w:val="20"/>
          <w:szCs w:val="20"/>
          <w:lang w:val="es-ES"/>
        </w:rPr>
        <w:t xml:space="preserve"> </w:t>
      </w:r>
    </w:p>
    <w:p w14:paraId="24B30BA4" w14:textId="68F8106D" w:rsidR="008167F1" w:rsidRPr="00FB4BA7" w:rsidRDefault="008167F1" w:rsidP="008167F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B4BA7">
        <w:rPr>
          <w:rFonts w:asciiTheme="majorHAnsi" w:hAnsiTheme="majorHAnsi"/>
          <w:sz w:val="20"/>
          <w:szCs w:val="20"/>
          <w:lang w:val="es-ES"/>
        </w:rPr>
        <w:t xml:space="preserve">La Comisión ha sostenido que el requisito de agotamiento de los recursos internos no significa que las presuntas víctimas tengan la obligación de agotar todos los recursos que tengan disponibles. Tanto la Corte como la Comisión han </w:t>
      </w:r>
      <w:r w:rsidR="005F12EB" w:rsidRPr="00FB4BA7">
        <w:rPr>
          <w:rFonts w:asciiTheme="majorHAnsi" w:hAnsiTheme="majorHAnsi"/>
          <w:sz w:val="20"/>
          <w:szCs w:val="20"/>
          <w:lang w:val="es-ES"/>
        </w:rPr>
        <w:t>señalado</w:t>
      </w:r>
      <w:r w:rsidRPr="00FB4BA7">
        <w:rPr>
          <w:rFonts w:asciiTheme="majorHAnsi" w:hAnsiTheme="majorHAnsi"/>
          <w:sz w:val="20"/>
          <w:szCs w:val="20"/>
          <w:lang w:val="es-ES"/>
        </w:rPr>
        <w:t xml:space="preserve"> en reiteradas oportunidades que “(…) la regla que exige el previo agotamiento de los recursos internos está concebida en interés del Estado, pues busca dispensarlo de </w:t>
      </w:r>
      <w:r w:rsidRPr="00FB4BA7">
        <w:rPr>
          <w:rFonts w:asciiTheme="majorHAnsi" w:hAnsiTheme="majorHAnsi"/>
          <w:sz w:val="20"/>
          <w:szCs w:val="20"/>
          <w:lang w:val="es-ES"/>
        </w:rPr>
        <w:lastRenderedPageBreak/>
        <w:t>responder ante un órgano internacional por actos que se le imputen, antes de haber tenido la ocasión de remediarlos con sus propios medios”</w:t>
      </w:r>
      <w:r w:rsidRPr="00FB4BA7">
        <w:rPr>
          <w:rStyle w:val="FootnoteReference"/>
          <w:rFonts w:asciiTheme="majorHAnsi" w:hAnsiTheme="majorHAnsi"/>
          <w:sz w:val="20"/>
          <w:szCs w:val="20"/>
          <w:lang w:val="es-ES"/>
        </w:rPr>
        <w:footnoteReference w:id="4"/>
      </w:r>
      <w:r w:rsidRPr="00FB4BA7">
        <w:rPr>
          <w:rFonts w:asciiTheme="majorHAnsi" w:hAnsiTheme="majorHAnsi"/>
          <w:sz w:val="20"/>
          <w:szCs w:val="20"/>
          <w:lang w:val="es-ES"/>
        </w:rPr>
        <w:t xml:space="preserve">. </w:t>
      </w:r>
    </w:p>
    <w:p w14:paraId="1C70DDB0" w14:textId="039900BB" w:rsidR="00251C32" w:rsidRPr="00FB4BA7" w:rsidRDefault="008167F1" w:rsidP="00251C3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FB4BA7">
        <w:rPr>
          <w:rFonts w:asciiTheme="majorHAnsi" w:hAnsiTheme="majorHAnsi"/>
          <w:sz w:val="20"/>
          <w:szCs w:val="20"/>
          <w:lang w:val="es-ES"/>
        </w:rPr>
        <w:t xml:space="preserve">Con base en ello, </w:t>
      </w:r>
      <w:r w:rsidR="004A4547" w:rsidRPr="00FB4BA7">
        <w:rPr>
          <w:rFonts w:asciiTheme="majorHAnsi" w:hAnsiTheme="majorHAnsi"/>
          <w:sz w:val="20"/>
          <w:szCs w:val="20"/>
          <w:lang w:val="es-ES"/>
        </w:rPr>
        <w:t xml:space="preserve">la Comisión nota que, en el presente asunto, además de interponer una demanda de amparo, la parte peticionaria </w:t>
      </w:r>
      <w:r w:rsidR="005F12EB" w:rsidRPr="00FB4BA7">
        <w:rPr>
          <w:rFonts w:asciiTheme="majorHAnsi" w:hAnsiTheme="majorHAnsi"/>
          <w:sz w:val="20"/>
          <w:szCs w:val="20"/>
          <w:lang w:val="es-ES"/>
        </w:rPr>
        <w:t>interpuso</w:t>
      </w:r>
      <w:r w:rsidR="004A4547" w:rsidRPr="00FB4BA7">
        <w:rPr>
          <w:rFonts w:asciiTheme="majorHAnsi" w:hAnsiTheme="majorHAnsi"/>
          <w:sz w:val="20"/>
          <w:szCs w:val="20"/>
          <w:lang w:val="es-ES"/>
        </w:rPr>
        <w:t xml:space="preserve"> al menos dos denuncias penales contras las autoridades nacionales, </w:t>
      </w:r>
      <w:r w:rsidR="005F12EB" w:rsidRPr="00FB4BA7">
        <w:rPr>
          <w:rFonts w:asciiTheme="majorHAnsi" w:hAnsiTheme="majorHAnsi"/>
          <w:sz w:val="20"/>
          <w:szCs w:val="20"/>
          <w:lang w:val="es-ES"/>
        </w:rPr>
        <w:t>toda vez</w:t>
      </w:r>
      <w:r w:rsidR="004A4547" w:rsidRPr="00FB4BA7">
        <w:rPr>
          <w:rFonts w:asciiTheme="majorHAnsi" w:hAnsiTheme="majorHAnsi"/>
          <w:sz w:val="20"/>
          <w:szCs w:val="20"/>
          <w:lang w:val="es-ES"/>
        </w:rPr>
        <w:t xml:space="preserve"> que no habían </w:t>
      </w:r>
      <w:r w:rsidR="00A24C00" w:rsidRPr="00FB4BA7">
        <w:rPr>
          <w:rFonts w:asciiTheme="majorHAnsi" w:hAnsiTheme="majorHAnsi"/>
          <w:sz w:val="20"/>
          <w:szCs w:val="20"/>
          <w:lang w:val="es-ES"/>
        </w:rPr>
        <w:t>adoptado</w:t>
      </w:r>
      <w:r w:rsidR="004A4547" w:rsidRPr="00FB4BA7">
        <w:rPr>
          <w:rFonts w:asciiTheme="majorHAnsi" w:hAnsiTheme="majorHAnsi"/>
          <w:sz w:val="20"/>
          <w:szCs w:val="20"/>
          <w:lang w:val="es-ES"/>
        </w:rPr>
        <w:t xml:space="preserve"> medidas </w:t>
      </w:r>
      <w:r w:rsidR="00A24C00" w:rsidRPr="00FB4BA7">
        <w:rPr>
          <w:rFonts w:asciiTheme="majorHAnsi" w:hAnsiTheme="majorHAnsi"/>
          <w:sz w:val="20"/>
          <w:szCs w:val="20"/>
          <w:lang w:val="es-ES"/>
        </w:rPr>
        <w:t xml:space="preserve">adecuadas </w:t>
      </w:r>
      <w:r w:rsidR="004A4547" w:rsidRPr="00FB4BA7">
        <w:rPr>
          <w:rFonts w:asciiTheme="majorHAnsi" w:hAnsiTheme="majorHAnsi"/>
          <w:sz w:val="20"/>
          <w:szCs w:val="20"/>
          <w:lang w:val="es-ES"/>
        </w:rPr>
        <w:t xml:space="preserve">para prevenir y reparar la contaminación del río Tumbes. Asimismo, conforme a la información aportada por el Estado, la Fiscalía también </w:t>
      </w:r>
      <w:r w:rsidR="00667DF8" w:rsidRPr="00FB4BA7">
        <w:rPr>
          <w:rFonts w:asciiTheme="majorHAnsi" w:hAnsiTheme="majorHAnsi"/>
          <w:sz w:val="20"/>
          <w:szCs w:val="20"/>
          <w:lang w:val="es-ES"/>
        </w:rPr>
        <w:t xml:space="preserve">estaría investigando la contaminación derivada de los vestimentos de desechos de metales pesados producto de la actividad minera formal e informal, </w:t>
      </w:r>
      <w:r w:rsidR="005F12EB" w:rsidRPr="00FB4BA7">
        <w:rPr>
          <w:rFonts w:asciiTheme="majorHAnsi" w:hAnsiTheme="majorHAnsi"/>
          <w:sz w:val="20"/>
          <w:szCs w:val="20"/>
          <w:lang w:val="es-ES"/>
        </w:rPr>
        <w:t xml:space="preserve">debido a </w:t>
      </w:r>
      <w:r w:rsidR="00667DF8" w:rsidRPr="00FB4BA7">
        <w:rPr>
          <w:rFonts w:asciiTheme="majorHAnsi" w:hAnsiTheme="majorHAnsi"/>
          <w:sz w:val="20"/>
          <w:szCs w:val="20"/>
          <w:lang w:val="es-ES"/>
        </w:rPr>
        <w:t xml:space="preserve">los informes emitidos por la Dirección Regional de Salud de Tumbes. </w:t>
      </w:r>
      <w:r w:rsidR="004061C4" w:rsidRPr="00FB4BA7">
        <w:rPr>
          <w:rFonts w:asciiTheme="majorHAnsi" w:hAnsiTheme="majorHAnsi"/>
          <w:sz w:val="20"/>
          <w:szCs w:val="20"/>
          <w:lang w:val="es-ES"/>
        </w:rPr>
        <w:t>Tomando en cuenta que Perú no ha cuestionado la idoneidad de tal vía, a</w:t>
      </w:r>
      <w:r w:rsidR="00667DF8" w:rsidRPr="00FB4BA7">
        <w:rPr>
          <w:rFonts w:asciiTheme="majorHAnsi" w:hAnsiTheme="majorHAnsi"/>
          <w:sz w:val="20"/>
          <w:szCs w:val="20"/>
          <w:lang w:val="es-ES"/>
        </w:rPr>
        <w:t xml:space="preserve"> criterio de la Comisión, la citada información demuestra que el Estado ha tenido conocimiento de la situación denunciada en </w:t>
      </w:r>
      <w:r w:rsidR="005F12EB" w:rsidRPr="00FB4BA7">
        <w:rPr>
          <w:rFonts w:asciiTheme="majorHAnsi" w:hAnsiTheme="majorHAnsi"/>
          <w:sz w:val="20"/>
          <w:szCs w:val="20"/>
          <w:lang w:val="es-ES"/>
        </w:rPr>
        <w:t>esta</w:t>
      </w:r>
      <w:r w:rsidR="00667DF8" w:rsidRPr="00FB4BA7">
        <w:rPr>
          <w:rFonts w:asciiTheme="majorHAnsi" w:hAnsiTheme="majorHAnsi"/>
          <w:sz w:val="20"/>
          <w:szCs w:val="20"/>
          <w:lang w:val="es-ES"/>
        </w:rPr>
        <w:t xml:space="preserve"> petición y, por ende, ha tenido la oportunidad de resolver la cuestión planteada. </w:t>
      </w:r>
      <w:r w:rsidR="004061C4" w:rsidRPr="00FB4BA7">
        <w:rPr>
          <w:rFonts w:asciiTheme="majorHAnsi" w:hAnsiTheme="majorHAnsi"/>
          <w:sz w:val="20"/>
          <w:szCs w:val="20"/>
          <w:lang w:val="es-ES"/>
        </w:rPr>
        <w:t>A pesar de ello</w:t>
      </w:r>
      <w:r w:rsidR="00667DF8" w:rsidRPr="00FB4BA7">
        <w:rPr>
          <w:rFonts w:asciiTheme="majorHAnsi" w:hAnsiTheme="majorHAnsi"/>
          <w:sz w:val="20"/>
          <w:szCs w:val="20"/>
          <w:lang w:val="es-ES"/>
        </w:rPr>
        <w:t xml:space="preserve">, a la fecha ninguno de los citados recursos habría finalizado y, por ende, aún no habrían dado un resultado concreto. </w:t>
      </w:r>
    </w:p>
    <w:p w14:paraId="50372162" w14:textId="66E995BA" w:rsidR="00251C32" w:rsidRPr="00FB4BA7" w:rsidRDefault="00251C32" w:rsidP="00251C3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FB4BA7">
        <w:rPr>
          <w:rFonts w:asciiTheme="majorHAnsi" w:hAnsiTheme="majorHAnsi"/>
          <w:bCs/>
          <w:sz w:val="20"/>
          <w:szCs w:val="20"/>
          <w:lang w:val="es-ES_tradnl"/>
        </w:rPr>
        <w:t xml:space="preserve">En consecuencia, corresponde a la CIDH </w:t>
      </w:r>
      <w:r w:rsidR="005F12EB" w:rsidRPr="00FB4BA7">
        <w:rPr>
          <w:rFonts w:asciiTheme="majorHAnsi" w:hAnsiTheme="majorHAnsi"/>
          <w:bCs/>
          <w:sz w:val="20"/>
          <w:szCs w:val="20"/>
          <w:lang w:val="es-ES_tradnl"/>
        </w:rPr>
        <w:t>decidir</w:t>
      </w:r>
      <w:r w:rsidRPr="00FB4BA7">
        <w:rPr>
          <w:rFonts w:asciiTheme="majorHAnsi" w:hAnsiTheme="majorHAnsi"/>
          <w:bCs/>
          <w:sz w:val="20"/>
          <w:szCs w:val="20"/>
          <w:lang w:val="es-ES_tradnl"/>
        </w:rPr>
        <w:t xml:space="preserve"> si esta demora en adoptar una decisión puede configurar la excepción prevista en el artículo 46.2.c) de la Convención.</w:t>
      </w:r>
      <w:r w:rsidRPr="00FB4BA7">
        <w:rPr>
          <w:rFonts w:asciiTheme="majorHAnsi" w:hAnsiTheme="majorHAnsi"/>
          <w:sz w:val="20"/>
          <w:szCs w:val="20"/>
          <w:lang w:val="es-AR"/>
        </w:rPr>
        <w:t xml:space="preserve"> </w:t>
      </w:r>
      <w:r w:rsidRPr="00FB4BA7">
        <w:rPr>
          <w:rFonts w:asciiTheme="majorHAnsi" w:hAnsiTheme="majorHAnsi"/>
          <w:bCs/>
          <w:sz w:val="20"/>
          <w:szCs w:val="20"/>
          <w:lang w:val="es-ES_tradnl"/>
        </w:rPr>
        <w:t xml:space="preserve">Al respecto, la Comisión recuerda que </w:t>
      </w:r>
      <w:r w:rsidRPr="00FB4BA7">
        <w:rPr>
          <w:rFonts w:asciiTheme="majorHAnsi" w:hAnsiTheme="majorHAnsi" w:cs="Calibri"/>
          <w:color w:val="242424"/>
          <w:sz w:val="20"/>
          <w:szCs w:val="20"/>
          <w:lang w:val="es-ES_tradnl"/>
        </w:rPr>
        <w:t xml:space="preserve">el artículo 46.2 de la Convención,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w:t>
      </w:r>
      <w:r w:rsidR="005F12EB" w:rsidRPr="00FB4BA7">
        <w:rPr>
          <w:rFonts w:asciiTheme="majorHAnsi" w:hAnsiTheme="majorHAnsi" w:cs="Calibri"/>
          <w:color w:val="242424"/>
          <w:sz w:val="20"/>
          <w:szCs w:val="20"/>
          <w:lang w:val="es-ES_tradnl"/>
        </w:rPr>
        <w:t>esclarecer</w:t>
      </w:r>
      <w:r w:rsidRPr="00FB4BA7">
        <w:rPr>
          <w:rFonts w:asciiTheme="majorHAnsi" w:hAnsiTheme="majorHAnsi" w:cs="Calibri"/>
          <w:color w:val="242424"/>
          <w:sz w:val="20"/>
          <w:szCs w:val="20"/>
          <w:lang w:val="es-ES_tradnl"/>
        </w:rPr>
        <w:t xml:space="preserve"> la posible violación de los artículos 8 y 25 de la Convención. La CIDH también ha subrayado que no existen disposiciones convencionales o reglamentarias que regulen de modo específico el lapso que constituye retardo injustificado, por lo cual la Comisión evalúa caso por caso para </w:t>
      </w:r>
      <w:r w:rsidR="0036254A" w:rsidRPr="00FB4BA7">
        <w:rPr>
          <w:rFonts w:asciiTheme="majorHAnsi" w:hAnsiTheme="majorHAnsi" w:cs="Calibri"/>
          <w:color w:val="242424"/>
          <w:sz w:val="20"/>
          <w:szCs w:val="20"/>
          <w:lang w:val="es-ES_tradnl"/>
        </w:rPr>
        <w:t>establecer</w:t>
      </w:r>
      <w:r w:rsidRPr="00FB4BA7">
        <w:rPr>
          <w:rFonts w:asciiTheme="majorHAnsi" w:hAnsiTheme="majorHAnsi" w:cs="Calibri"/>
          <w:color w:val="242424"/>
          <w:sz w:val="20"/>
          <w:szCs w:val="20"/>
          <w:lang w:val="es-ES_tradnl"/>
        </w:rPr>
        <w:t xml:space="preserve"> si se configura dicho retardo</w:t>
      </w:r>
      <w:r w:rsidRPr="00FB4BA7">
        <w:rPr>
          <w:rStyle w:val="FootnoteReference"/>
          <w:rFonts w:asciiTheme="majorHAnsi" w:hAnsiTheme="majorHAnsi" w:cs="Calibri"/>
          <w:color w:val="242424"/>
          <w:sz w:val="20"/>
          <w:szCs w:val="20"/>
          <w:lang w:val="es-ES_tradnl"/>
        </w:rPr>
        <w:footnoteReference w:id="5"/>
      </w:r>
      <w:r w:rsidRPr="00FB4BA7">
        <w:rPr>
          <w:rFonts w:asciiTheme="majorHAnsi" w:hAnsiTheme="majorHAnsi" w:cs="Calibri"/>
          <w:color w:val="242424"/>
          <w:sz w:val="20"/>
          <w:szCs w:val="20"/>
          <w:lang w:val="es-ES_tradnl"/>
        </w:rPr>
        <w:t>. En esta línea, la Corte Interamericana ha establecido como principio rector del análisis del eventual retardo injustificado como excepción a la regla del agotamiento de los recursos internos, que “</w:t>
      </w:r>
      <w:r w:rsidRPr="00FB4BA7">
        <w:rPr>
          <w:rFonts w:asciiTheme="majorHAnsi" w:hAnsiTheme="majorHAnsi" w:cs="Calibri"/>
          <w:i/>
          <w:iCs/>
          <w:color w:val="242424"/>
          <w:sz w:val="20"/>
          <w:szCs w:val="20"/>
          <w:lang w:val="es-ES_tradnl"/>
        </w:rPr>
        <w:t>de ninguna manera la regla del previo agotamiento debe conducir a que se detenga o se demore hasta la inutilidad la actuación internacional en auxilio de la víctima indefensa</w:t>
      </w:r>
      <w:r w:rsidRPr="00FB4BA7">
        <w:rPr>
          <w:rFonts w:asciiTheme="majorHAnsi" w:hAnsiTheme="majorHAnsi" w:cs="Calibri"/>
          <w:color w:val="242424"/>
          <w:sz w:val="20"/>
          <w:szCs w:val="20"/>
          <w:lang w:val="es-ES_tradnl"/>
        </w:rPr>
        <w:t>”</w:t>
      </w:r>
      <w:r w:rsidRPr="00FB4BA7">
        <w:rPr>
          <w:rStyle w:val="FootnoteReference"/>
          <w:rFonts w:asciiTheme="majorHAnsi" w:hAnsiTheme="majorHAnsi" w:cs="Calibri"/>
          <w:color w:val="242424"/>
          <w:sz w:val="20"/>
          <w:szCs w:val="20"/>
          <w:lang w:val="es-ES_tradnl"/>
        </w:rPr>
        <w:footnoteReference w:id="6"/>
      </w:r>
      <w:r w:rsidRPr="00FB4BA7">
        <w:rPr>
          <w:rFonts w:asciiTheme="majorHAnsi" w:hAnsiTheme="majorHAnsi" w:cs="Calibri"/>
          <w:color w:val="242424"/>
          <w:sz w:val="20"/>
          <w:szCs w:val="20"/>
          <w:lang w:val="es-ES_tradnl"/>
        </w:rPr>
        <w:t>. Es decir, a juicio de la Comisión, la naturaleza complementaria de la protección internacional prevista en la Convención Americana implica también que la intervención de los órganos del Sistema Interamericano sea oportuna para que esta pueda tener algún tipo de efecto útil en la protección de los derechos de las presuntas víctimas.</w:t>
      </w:r>
    </w:p>
    <w:p w14:paraId="637FFC1E" w14:textId="41A4BC8C" w:rsidR="003667D1" w:rsidRPr="00FB4BA7" w:rsidRDefault="00251C32" w:rsidP="0081242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B4BA7">
        <w:rPr>
          <w:rFonts w:asciiTheme="majorHAnsi" w:hAnsiTheme="majorHAnsi"/>
          <w:bCs/>
          <w:sz w:val="20"/>
          <w:szCs w:val="20"/>
          <w:lang w:val="es-ES_tradnl"/>
        </w:rPr>
        <w:t xml:space="preserve">Así, en el presente caso, </w:t>
      </w:r>
      <w:r w:rsidRPr="00FB4BA7">
        <w:rPr>
          <w:rFonts w:asciiTheme="majorHAnsi" w:hAnsiTheme="majorHAnsi"/>
          <w:sz w:val="20"/>
          <w:szCs w:val="20"/>
          <w:lang w:val="es-ES_tradnl"/>
        </w:rPr>
        <w:t xml:space="preserve">la Comisión nota que, </w:t>
      </w:r>
      <w:r w:rsidR="00F26135" w:rsidRPr="00FB4BA7">
        <w:rPr>
          <w:rFonts w:asciiTheme="majorHAnsi" w:hAnsiTheme="majorHAnsi"/>
          <w:sz w:val="20"/>
          <w:szCs w:val="20"/>
          <w:lang w:val="es-ES_tradnl"/>
        </w:rPr>
        <w:t xml:space="preserve">a pesar de que la primera investigación inició en el 2016, </w:t>
      </w:r>
      <w:r w:rsidRPr="00FB4BA7">
        <w:rPr>
          <w:rFonts w:asciiTheme="majorHAnsi" w:hAnsiTheme="majorHAnsi"/>
          <w:sz w:val="20"/>
          <w:szCs w:val="20"/>
          <w:lang w:val="es-ES_tradnl"/>
        </w:rPr>
        <w:t xml:space="preserve">la documentación brindada no permite justificar, a efectos de determinar la admisibilidad del presente asunto, </w:t>
      </w:r>
      <w:r w:rsidR="00F26135" w:rsidRPr="00FB4BA7">
        <w:rPr>
          <w:rFonts w:asciiTheme="majorHAnsi" w:hAnsiTheme="majorHAnsi"/>
          <w:sz w:val="20"/>
          <w:szCs w:val="20"/>
          <w:lang w:val="es-ES_tradnl"/>
        </w:rPr>
        <w:t>una demora</w:t>
      </w:r>
      <w:r w:rsidR="002D5DA7" w:rsidRPr="00FB4BA7">
        <w:rPr>
          <w:rFonts w:asciiTheme="majorHAnsi" w:hAnsiTheme="majorHAnsi"/>
          <w:sz w:val="20"/>
          <w:szCs w:val="20"/>
          <w:lang w:val="es-ES_tradnl"/>
        </w:rPr>
        <w:t xml:space="preserve"> en la investigación</w:t>
      </w:r>
      <w:r w:rsidR="00F26135" w:rsidRPr="00FB4BA7">
        <w:rPr>
          <w:rFonts w:asciiTheme="majorHAnsi" w:hAnsiTheme="majorHAnsi"/>
          <w:sz w:val="20"/>
          <w:szCs w:val="20"/>
          <w:lang w:val="es-ES_tradnl"/>
        </w:rPr>
        <w:t xml:space="preserve"> de casi </w:t>
      </w:r>
      <w:r w:rsidR="002D5DA7" w:rsidRPr="00FB4BA7">
        <w:rPr>
          <w:rFonts w:asciiTheme="majorHAnsi" w:hAnsiTheme="majorHAnsi"/>
          <w:sz w:val="20"/>
          <w:szCs w:val="20"/>
          <w:lang w:val="es-ES_tradnl"/>
        </w:rPr>
        <w:t>siete años para</w:t>
      </w:r>
      <w:r w:rsidR="005F12EB" w:rsidRPr="00FB4BA7">
        <w:rPr>
          <w:rFonts w:asciiTheme="majorHAnsi" w:hAnsiTheme="majorHAnsi"/>
          <w:sz w:val="20"/>
          <w:szCs w:val="20"/>
          <w:lang w:val="es-ES_tradnl"/>
        </w:rPr>
        <w:t xml:space="preserve"> resolver</w:t>
      </w:r>
      <w:r w:rsidR="002D5DA7" w:rsidRPr="00FB4BA7">
        <w:rPr>
          <w:rFonts w:asciiTheme="majorHAnsi" w:hAnsiTheme="majorHAnsi"/>
          <w:sz w:val="20"/>
          <w:szCs w:val="20"/>
          <w:lang w:val="es-ES_tradnl"/>
        </w:rPr>
        <w:t xml:space="preserve"> la posible responsabilidad de las autoridades involucradas y ordenar medidas concretas para hacer frente a la alegada contaminación en el río Tumbes. </w:t>
      </w:r>
      <w:r w:rsidRPr="00FB4BA7">
        <w:rPr>
          <w:rFonts w:asciiTheme="majorHAnsi" w:hAnsiTheme="majorHAnsi"/>
          <w:sz w:val="20"/>
          <w:szCs w:val="20"/>
          <w:lang w:val="es-ES_tradnl"/>
        </w:rPr>
        <w:t>En consecuencia,</w:t>
      </w:r>
      <w:r w:rsidRPr="00FB4BA7">
        <w:rPr>
          <w:rFonts w:asciiTheme="majorHAnsi" w:hAnsiTheme="majorHAnsi"/>
          <w:bCs/>
          <w:sz w:val="20"/>
          <w:szCs w:val="20"/>
          <w:lang w:val="es-ES_tradnl"/>
        </w:rPr>
        <w:t xml:space="preserve"> la Comisión considera pertinente aplicar en este caso la excepción establecida en el artículo 46.2.c) de la Convención Americana, a fin de analizar con más detalle en etapa de fondo los alegatos de la parte peticionaria.</w:t>
      </w:r>
      <w:r w:rsidRPr="00FB4BA7">
        <w:rPr>
          <w:rFonts w:asciiTheme="majorHAnsi" w:hAnsiTheme="majorHAnsi"/>
          <w:sz w:val="20"/>
          <w:szCs w:val="20"/>
          <w:lang w:val="es-ES"/>
        </w:rPr>
        <w:t xml:space="preserve"> Con respecto al plazo de presentación, la Comisión observa que la</w:t>
      </w:r>
      <w:r w:rsidR="002D5DA7" w:rsidRPr="00FB4BA7">
        <w:rPr>
          <w:rFonts w:asciiTheme="majorHAnsi" w:hAnsiTheme="majorHAnsi"/>
          <w:sz w:val="20"/>
          <w:szCs w:val="20"/>
          <w:lang w:val="es-ES"/>
        </w:rPr>
        <w:t>s</w:t>
      </w:r>
      <w:r w:rsidRPr="00FB4BA7">
        <w:rPr>
          <w:rFonts w:asciiTheme="majorHAnsi" w:hAnsiTheme="majorHAnsi"/>
          <w:sz w:val="20"/>
          <w:szCs w:val="20"/>
          <w:lang w:val="es-ES"/>
        </w:rPr>
        <w:t xml:space="preserve"> causa</w:t>
      </w:r>
      <w:r w:rsidR="002D5DA7" w:rsidRPr="00FB4BA7">
        <w:rPr>
          <w:rFonts w:asciiTheme="majorHAnsi" w:hAnsiTheme="majorHAnsi"/>
          <w:sz w:val="20"/>
          <w:szCs w:val="20"/>
          <w:lang w:val="es-ES"/>
        </w:rPr>
        <w:t>s</w:t>
      </w:r>
      <w:r w:rsidRPr="00FB4BA7">
        <w:rPr>
          <w:rFonts w:asciiTheme="majorHAnsi" w:hAnsiTheme="majorHAnsi"/>
          <w:sz w:val="20"/>
          <w:szCs w:val="20"/>
          <w:lang w:val="es-ES"/>
        </w:rPr>
        <w:t xml:space="preserve"> penal</w:t>
      </w:r>
      <w:r w:rsidR="002D5DA7" w:rsidRPr="00FB4BA7">
        <w:rPr>
          <w:rFonts w:asciiTheme="majorHAnsi" w:hAnsiTheme="majorHAnsi"/>
          <w:sz w:val="20"/>
          <w:szCs w:val="20"/>
          <w:lang w:val="es-ES"/>
        </w:rPr>
        <w:t>es aún estarían en</w:t>
      </w:r>
      <w:r w:rsidRPr="00FB4BA7">
        <w:rPr>
          <w:rFonts w:asciiTheme="majorHAnsi" w:hAnsiTheme="majorHAnsi"/>
          <w:sz w:val="20"/>
          <w:szCs w:val="20"/>
          <w:lang w:val="es-ES"/>
        </w:rPr>
        <w:t xml:space="preserve"> </w:t>
      </w:r>
      <w:r w:rsidR="002D5DA7" w:rsidRPr="00FB4BA7">
        <w:rPr>
          <w:rFonts w:asciiTheme="majorHAnsi" w:hAnsiTheme="majorHAnsi"/>
          <w:sz w:val="20"/>
          <w:szCs w:val="20"/>
          <w:lang w:val="es-ES"/>
        </w:rPr>
        <w:t>trámite y que la parte peticionaria, mediante distintos medios, ha intentado impulsar</w:t>
      </w:r>
      <w:r w:rsidR="0081242B" w:rsidRPr="00FB4BA7">
        <w:rPr>
          <w:rFonts w:asciiTheme="majorHAnsi" w:hAnsiTheme="majorHAnsi"/>
          <w:sz w:val="20"/>
          <w:szCs w:val="20"/>
          <w:lang w:val="es-ES"/>
        </w:rPr>
        <w:t xml:space="preserve"> tales investigaciones. </w:t>
      </w:r>
      <w:r w:rsidRPr="00FB4BA7">
        <w:rPr>
          <w:rFonts w:asciiTheme="majorHAnsi" w:hAnsiTheme="majorHAnsi"/>
          <w:sz w:val="20"/>
          <w:szCs w:val="20"/>
          <w:lang w:val="es-ES"/>
        </w:rPr>
        <w:t xml:space="preserve">En tal sentido, dado que el expediente ha mantenido una actividad procesal en los últimos años y que se mantiene pendiente de cumplimiento el deber de investigar del Estado, la Comisión considera que también se cumple el requisito de plazo del artículo 32.2 del Reglamento de la CIDH. </w:t>
      </w:r>
    </w:p>
    <w:p w14:paraId="623C23FD" w14:textId="7EF953B0" w:rsidR="00D2425E" w:rsidRPr="00FB4BA7" w:rsidRDefault="00D2425E" w:rsidP="0045353C">
      <w:pPr>
        <w:pStyle w:val="ListParagraph"/>
        <w:spacing w:before="240" w:after="240"/>
        <w:jc w:val="both"/>
        <w:rPr>
          <w:rFonts w:asciiTheme="majorHAnsi" w:hAnsiTheme="majorHAnsi"/>
          <w:b/>
          <w:sz w:val="20"/>
          <w:szCs w:val="20"/>
          <w:lang w:val="es-ES"/>
        </w:rPr>
      </w:pPr>
      <w:r w:rsidRPr="00FB4BA7">
        <w:rPr>
          <w:rFonts w:asciiTheme="majorHAnsi" w:hAnsiTheme="majorHAnsi"/>
          <w:b/>
          <w:bCs/>
          <w:sz w:val="20"/>
          <w:szCs w:val="20"/>
          <w:lang w:val="es-ES"/>
        </w:rPr>
        <w:t>VII.</w:t>
      </w:r>
      <w:r w:rsidRPr="00FB4BA7">
        <w:rPr>
          <w:rFonts w:asciiTheme="majorHAnsi" w:hAnsiTheme="majorHAnsi"/>
          <w:b/>
          <w:bCs/>
          <w:sz w:val="20"/>
          <w:szCs w:val="20"/>
          <w:lang w:val="es-ES"/>
        </w:rPr>
        <w:tab/>
      </w:r>
      <w:r w:rsidRPr="00FB4BA7">
        <w:rPr>
          <w:rFonts w:asciiTheme="majorHAnsi" w:hAnsiTheme="majorHAnsi"/>
          <w:b/>
          <w:bCs/>
          <w:sz w:val="20"/>
          <w:szCs w:val="20"/>
          <w:lang w:val="es-ES_tradnl"/>
        </w:rPr>
        <w:t xml:space="preserve">ANÁLISIS DE </w:t>
      </w:r>
      <w:r w:rsidRPr="00FB4BA7">
        <w:rPr>
          <w:rFonts w:asciiTheme="majorHAnsi" w:hAnsiTheme="majorHAnsi"/>
          <w:b/>
          <w:bCs/>
          <w:sz w:val="20"/>
          <w:szCs w:val="20"/>
          <w:lang w:val="es-ES"/>
        </w:rPr>
        <w:t xml:space="preserve">CARACTERIZACIÓN </w:t>
      </w:r>
      <w:r w:rsidRPr="00FB4BA7">
        <w:rPr>
          <w:rFonts w:asciiTheme="majorHAnsi" w:hAnsiTheme="majorHAnsi"/>
          <w:b/>
          <w:bCs/>
          <w:sz w:val="20"/>
          <w:szCs w:val="20"/>
          <w:lang w:val="es-UY"/>
        </w:rPr>
        <w:t>DE LOS HECHOS ALEGADOS</w:t>
      </w:r>
    </w:p>
    <w:p w14:paraId="38755971" w14:textId="1BE2DEE2" w:rsidR="00D21997" w:rsidRPr="00FB4BA7" w:rsidRDefault="00D21997" w:rsidP="00D2199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ES_tradnl"/>
        </w:rPr>
      </w:pPr>
      <w:r w:rsidRPr="00FB4BA7">
        <w:rPr>
          <w:rFonts w:asciiTheme="majorHAnsi" w:hAnsiTheme="majorHAnsi"/>
          <w:sz w:val="20"/>
          <w:szCs w:val="20"/>
          <w:lang w:val="es-ES_tradnl"/>
        </w:rPr>
        <w:t xml:space="preserve">Respecto a la solicitud del Estado sobre la delimitación de las presuntas víctimas, la Comisión recuerda que </w:t>
      </w:r>
      <w:r w:rsidRPr="00FB4BA7">
        <w:rPr>
          <w:rFonts w:asciiTheme="majorHAnsi" w:eastAsia="Times New Roman" w:hAnsiTheme="majorHAnsi"/>
          <w:sz w:val="20"/>
          <w:szCs w:val="20"/>
          <w:bdr w:val="none" w:sz="0" w:space="0" w:color="auto"/>
          <w:lang w:val="es-ES_tradnl"/>
        </w:rPr>
        <w:t>el criterio de identificación de las víctimas debe ser flexible, y que su individualización se debe determinar con la prueba aportada por las partes en la etapa de fondo</w:t>
      </w:r>
      <w:r w:rsidRPr="00FB4BA7">
        <w:rPr>
          <w:rStyle w:val="FootnoteReference"/>
          <w:rFonts w:asciiTheme="majorHAnsi" w:eastAsia="Times New Roman" w:hAnsiTheme="majorHAnsi"/>
          <w:sz w:val="20"/>
          <w:szCs w:val="20"/>
          <w:bdr w:val="none" w:sz="0" w:space="0" w:color="auto"/>
          <w:lang w:val="es-ES_tradnl"/>
        </w:rPr>
        <w:footnoteReference w:id="7"/>
      </w:r>
      <w:r w:rsidRPr="00FB4BA7">
        <w:rPr>
          <w:rFonts w:asciiTheme="majorHAnsi" w:eastAsia="Times New Roman" w:hAnsiTheme="majorHAnsi"/>
          <w:sz w:val="20"/>
          <w:szCs w:val="20"/>
          <w:bdr w:val="none" w:sz="0" w:space="0" w:color="auto"/>
          <w:lang w:val="es-ES_tradnl"/>
        </w:rPr>
        <w:t xml:space="preserve">. En tal sentido, en etapa de </w:t>
      </w:r>
      <w:r w:rsidRPr="00FB4BA7">
        <w:rPr>
          <w:rFonts w:asciiTheme="majorHAnsi" w:eastAsia="Times New Roman" w:hAnsiTheme="majorHAnsi"/>
          <w:sz w:val="20"/>
          <w:szCs w:val="20"/>
          <w:bdr w:val="none" w:sz="0" w:space="0" w:color="auto"/>
          <w:lang w:val="es-ES_tradnl"/>
        </w:rPr>
        <w:lastRenderedPageBreak/>
        <w:t>admisibilidad, dicho criterio tiene como objeto que la Comisión pueda verificar</w:t>
      </w:r>
      <w:r w:rsidRPr="00FB4BA7">
        <w:rPr>
          <w:rFonts w:asciiTheme="majorHAnsi" w:eastAsia="Times New Roman" w:hAnsiTheme="majorHAnsi"/>
          <w:i/>
          <w:iCs/>
          <w:sz w:val="20"/>
          <w:szCs w:val="20"/>
          <w:bdr w:val="none" w:sz="0" w:space="0" w:color="auto"/>
          <w:lang w:val="es-ES_tradnl"/>
        </w:rPr>
        <w:t>, prima facie</w:t>
      </w:r>
      <w:r w:rsidRPr="00FB4BA7">
        <w:rPr>
          <w:rFonts w:asciiTheme="majorHAnsi" w:eastAsia="Times New Roman" w:hAnsiTheme="majorHAnsi"/>
          <w:sz w:val="20"/>
          <w:szCs w:val="20"/>
          <w:bdr w:val="none" w:sz="0" w:space="0" w:color="auto"/>
          <w:lang w:val="es-ES_tradnl"/>
        </w:rPr>
        <w:t xml:space="preserve">, cuál es el universo de posibles personas que se pueden ver afectadas por los acontecimientos denunciados. En tal sentido, el artículo 44 de la Convención Americana requiere para la admisibilidad de una petición que existan víctimas concretas e individualizadas, o bien que puedan ser un grupo delimitable en el tiempo y en el espacio de acuerdo con la naturaleza de los hechos denunciados en la petición. No resultan, por tanto, admisibles peticiones presentadas como </w:t>
      </w:r>
      <w:r w:rsidRPr="00FB4BA7">
        <w:rPr>
          <w:rFonts w:asciiTheme="majorHAnsi" w:eastAsia="Times New Roman" w:hAnsiTheme="majorHAnsi"/>
          <w:i/>
          <w:iCs/>
          <w:sz w:val="20"/>
          <w:szCs w:val="20"/>
          <w:bdr w:val="none" w:sz="0" w:space="0" w:color="auto"/>
          <w:lang w:val="es-ES_tradnl"/>
        </w:rPr>
        <w:t>actio popularis</w:t>
      </w:r>
      <w:r w:rsidRPr="00FB4BA7">
        <w:rPr>
          <w:rFonts w:asciiTheme="majorHAnsi" w:eastAsia="Times New Roman" w:hAnsiTheme="majorHAnsi"/>
          <w:sz w:val="20"/>
          <w:szCs w:val="20"/>
          <w:bdr w:val="none" w:sz="0" w:space="0" w:color="auto"/>
          <w:lang w:val="es-ES_tradnl"/>
        </w:rPr>
        <w:t xml:space="preserve"> en las no haya una delimitación concreta del grupo de víctimas que sean al menos individualizables</w:t>
      </w:r>
      <w:r w:rsidRPr="00FB4BA7">
        <w:rPr>
          <w:rStyle w:val="FootnoteReference"/>
          <w:rFonts w:asciiTheme="majorHAnsi" w:eastAsia="Times New Roman" w:hAnsiTheme="majorHAnsi"/>
          <w:sz w:val="20"/>
          <w:szCs w:val="20"/>
          <w:bdr w:val="none" w:sz="0" w:space="0" w:color="auto"/>
          <w:lang w:val="es-ES_tradnl"/>
        </w:rPr>
        <w:footnoteReference w:id="8"/>
      </w:r>
      <w:r w:rsidRPr="00FB4BA7">
        <w:rPr>
          <w:rFonts w:asciiTheme="majorHAnsi" w:eastAsia="Times New Roman" w:hAnsiTheme="majorHAnsi"/>
          <w:sz w:val="20"/>
          <w:szCs w:val="20"/>
          <w:bdr w:val="none" w:sz="0" w:space="0" w:color="auto"/>
          <w:lang w:val="es-ES_tradnl"/>
        </w:rPr>
        <w:t>. En el presente caso, la Comisión considera que existe un grupo determinable, ya que los hechos denunciados afectaron a personas concretas en un territorio</w:t>
      </w:r>
      <w:r w:rsidR="005F12EB" w:rsidRPr="00FB4BA7">
        <w:rPr>
          <w:rFonts w:asciiTheme="majorHAnsi" w:eastAsia="Times New Roman" w:hAnsiTheme="majorHAnsi"/>
          <w:sz w:val="20"/>
          <w:szCs w:val="20"/>
          <w:bdr w:val="none" w:sz="0" w:space="0" w:color="auto"/>
          <w:lang w:val="es-ES_tradnl"/>
        </w:rPr>
        <w:t xml:space="preserve"> cierto</w:t>
      </w:r>
      <w:r w:rsidRPr="00FB4BA7">
        <w:rPr>
          <w:rFonts w:asciiTheme="majorHAnsi" w:eastAsia="Times New Roman" w:hAnsiTheme="majorHAnsi"/>
          <w:sz w:val="20"/>
          <w:szCs w:val="20"/>
          <w:bdr w:val="none" w:sz="0" w:space="0" w:color="auto"/>
          <w:lang w:val="es-ES_tradnl"/>
        </w:rPr>
        <w:t>.</w:t>
      </w:r>
      <w:r w:rsidR="00D93E2F" w:rsidRPr="00FB4BA7">
        <w:rPr>
          <w:rFonts w:asciiTheme="majorHAnsi" w:eastAsia="Times New Roman" w:hAnsiTheme="majorHAnsi"/>
          <w:sz w:val="20"/>
          <w:szCs w:val="20"/>
          <w:bdr w:val="none" w:sz="0" w:space="0" w:color="auto"/>
          <w:lang w:val="es-ES_tradnl"/>
        </w:rPr>
        <w:t xml:space="preserve"> Como indirectamente ha </w:t>
      </w:r>
      <w:r w:rsidR="00E439F2" w:rsidRPr="00FB4BA7">
        <w:rPr>
          <w:rFonts w:asciiTheme="majorHAnsi" w:eastAsia="Times New Roman" w:hAnsiTheme="majorHAnsi"/>
          <w:sz w:val="20"/>
          <w:szCs w:val="20"/>
          <w:bdr w:val="none" w:sz="0" w:space="0" w:color="auto"/>
          <w:lang w:val="es-ES_tradnl"/>
        </w:rPr>
        <w:t>reconocido el propio Estado</w:t>
      </w:r>
      <w:r w:rsidR="000039C9" w:rsidRPr="00FB4BA7">
        <w:rPr>
          <w:rFonts w:asciiTheme="majorHAnsi" w:eastAsia="Times New Roman" w:hAnsiTheme="majorHAnsi"/>
          <w:sz w:val="20"/>
          <w:szCs w:val="20"/>
          <w:bdr w:val="none" w:sz="0" w:space="0" w:color="auto"/>
          <w:lang w:val="es-ES_tradnl"/>
        </w:rPr>
        <w:t>,</w:t>
      </w:r>
      <w:r w:rsidR="00E439F2" w:rsidRPr="00FB4BA7">
        <w:rPr>
          <w:rFonts w:asciiTheme="majorHAnsi" w:eastAsia="Times New Roman" w:hAnsiTheme="majorHAnsi"/>
          <w:sz w:val="20"/>
          <w:szCs w:val="20"/>
          <w:bdr w:val="none" w:sz="0" w:space="0" w:color="auto"/>
          <w:lang w:val="es-ES_tradnl"/>
        </w:rPr>
        <w:t xml:space="preserve"> al observar que concretamente se verían afectados los habitantes del distrito de San Jacinto, de la provincia de Tumbes</w:t>
      </w:r>
      <w:r w:rsidR="009A609D" w:rsidRPr="00FB4BA7">
        <w:rPr>
          <w:rFonts w:asciiTheme="majorHAnsi" w:eastAsia="Times New Roman" w:hAnsiTheme="majorHAnsi"/>
          <w:sz w:val="20"/>
          <w:szCs w:val="20"/>
          <w:bdr w:val="none" w:sz="0" w:space="0" w:color="auto"/>
          <w:lang w:val="es-ES_tradnl"/>
        </w:rPr>
        <w:t>.</w:t>
      </w:r>
      <w:r w:rsidRPr="00FB4BA7">
        <w:rPr>
          <w:rFonts w:asciiTheme="majorHAnsi" w:eastAsia="Times New Roman" w:hAnsiTheme="majorHAnsi"/>
          <w:sz w:val="20"/>
          <w:szCs w:val="20"/>
          <w:bdr w:val="none" w:sz="0" w:space="0" w:color="auto"/>
          <w:lang w:val="es-ES_tradnl"/>
        </w:rPr>
        <w:t xml:space="preserve"> </w:t>
      </w:r>
      <w:r w:rsidR="008A58ED" w:rsidRPr="00FB4BA7">
        <w:rPr>
          <w:rFonts w:asciiTheme="majorHAnsi" w:eastAsia="Times New Roman" w:hAnsiTheme="majorHAnsi"/>
          <w:sz w:val="20"/>
          <w:szCs w:val="20"/>
          <w:bdr w:val="none" w:sz="0" w:space="0" w:color="auto"/>
          <w:lang w:val="es-ES_tradnl"/>
        </w:rPr>
        <w:t xml:space="preserve">Además, en el presente caso </w:t>
      </w:r>
      <w:r w:rsidR="00ED2AC8" w:rsidRPr="00FB4BA7">
        <w:rPr>
          <w:rFonts w:asciiTheme="majorHAnsi" w:eastAsia="Times New Roman" w:hAnsiTheme="majorHAnsi"/>
          <w:sz w:val="20"/>
          <w:szCs w:val="20"/>
          <w:bdr w:val="none" w:sz="0" w:space="0" w:color="auto"/>
          <w:lang w:val="es-ES_tradnl"/>
        </w:rPr>
        <w:t>hay documentación</w:t>
      </w:r>
      <w:r w:rsidR="00470B5B" w:rsidRPr="00FB4BA7">
        <w:rPr>
          <w:rFonts w:asciiTheme="majorHAnsi" w:eastAsia="Times New Roman" w:hAnsiTheme="majorHAnsi"/>
          <w:sz w:val="20"/>
          <w:szCs w:val="20"/>
          <w:bdr w:val="none" w:sz="0" w:space="0" w:color="auto"/>
          <w:lang w:val="es-ES_tradnl"/>
        </w:rPr>
        <w:t>, incluso producida por el propio Estado,</w:t>
      </w:r>
      <w:r w:rsidR="00ED2AC8" w:rsidRPr="00FB4BA7">
        <w:rPr>
          <w:rFonts w:asciiTheme="majorHAnsi" w:eastAsia="Times New Roman" w:hAnsiTheme="majorHAnsi"/>
          <w:sz w:val="20"/>
          <w:szCs w:val="20"/>
          <w:bdr w:val="none" w:sz="0" w:space="0" w:color="auto"/>
          <w:lang w:val="es-ES_tradnl"/>
        </w:rPr>
        <w:t xml:space="preserve"> </w:t>
      </w:r>
      <w:r w:rsidR="00470B5B" w:rsidRPr="00FB4BA7">
        <w:rPr>
          <w:rFonts w:asciiTheme="majorHAnsi" w:eastAsia="Times New Roman" w:hAnsiTheme="majorHAnsi"/>
          <w:sz w:val="20"/>
          <w:szCs w:val="20"/>
          <w:bdr w:val="none" w:sz="0" w:space="0" w:color="auto"/>
          <w:lang w:val="es-ES_tradnl"/>
        </w:rPr>
        <w:t xml:space="preserve">que sustentaría </w:t>
      </w:r>
      <w:r w:rsidR="00D7420F" w:rsidRPr="00FB4BA7">
        <w:rPr>
          <w:rFonts w:asciiTheme="majorHAnsi" w:eastAsia="Times New Roman" w:hAnsiTheme="majorHAnsi"/>
          <w:sz w:val="20"/>
          <w:szCs w:val="20"/>
          <w:bdr w:val="none" w:sz="0" w:space="0" w:color="auto"/>
          <w:lang w:val="es-ES_tradnl"/>
        </w:rPr>
        <w:t>que, en efecto, se estarían produciendo daños en las personas.</w:t>
      </w:r>
      <w:r w:rsidR="00ED2AC8" w:rsidRPr="00FB4BA7">
        <w:rPr>
          <w:rFonts w:asciiTheme="majorHAnsi" w:eastAsia="Times New Roman" w:hAnsiTheme="majorHAnsi"/>
          <w:sz w:val="20"/>
          <w:szCs w:val="20"/>
          <w:bdr w:val="none" w:sz="0" w:space="0" w:color="auto"/>
          <w:lang w:val="es-ES_tradnl"/>
        </w:rPr>
        <w:t xml:space="preserve"> </w:t>
      </w:r>
      <w:r w:rsidRPr="00FB4BA7">
        <w:rPr>
          <w:rFonts w:asciiTheme="majorHAnsi" w:eastAsia="Times New Roman" w:hAnsiTheme="majorHAnsi"/>
          <w:sz w:val="20"/>
          <w:szCs w:val="20"/>
          <w:bdr w:val="none" w:sz="0" w:space="0" w:color="auto"/>
          <w:lang w:val="es-ES_tradnl"/>
        </w:rPr>
        <w:t>En consecuencia, la Comisión considera que la presente petición cumple con el artículo 44 de la Convención Americana</w:t>
      </w:r>
      <w:r w:rsidR="00E4346E" w:rsidRPr="00FB4BA7">
        <w:rPr>
          <w:rFonts w:asciiTheme="majorHAnsi" w:eastAsia="Times New Roman" w:hAnsiTheme="majorHAnsi"/>
          <w:sz w:val="20"/>
          <w:szCs w:val="20"/>
          <w:bdr w:val="none" w:sz="0" w:space="0" w:color="auto"/>
          <w:lang w:val="es-ES_tradnl"/>
        </w:rPr>
        <w:t>.</w:t>
      </w:r>
    </w:p>
    <w:p w14:paraId="08F510EE" w14:textId="77777777" w:rsidR="00D21997" w:rsidRPr="00FB4BA7" w:rsidRDefault="00D21997" w:rsidP="00D21997">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color w:val="212121"/>
          <w:sz w:val="20"/>
          <w:szCs w:val="20"/>
          <w:lang w:val="es-ES_tradnl"/>
        </w:rPr>
      </w:pPr>
    </w:p>
    <w:p w14:paraId="1AAABDFA" w14:textId="7C6B6C42" w:rsidR="00D21997" w:rsidRPr="00FB4BA7" w:rsidRDefault="00D21997" w:rsidP="005F247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color w:val="212121"/>
          <w:sz w:val="20"/>
          <w:szCs w:val="20"/>
          <w:lang w:val="es-ES_tradnl"/>
        </w:rPr>
      </w:pPr>
      <w:r w:rsidRPr="00FB4BA7">
        <w:rPr>
          <w:rFonts w:asciiTheme="majorHAnsi" w:hAnsiTheme="majorHAnsi"/>
          <w:sz w:val="20"/>
          <w:szCs w:val="20"/>
          <w:lang w:val="es-ES_tradnl"/>
        </w:rPr>
        <w:t xml:space="preserve">Adicionalmente, la Comisión observa que la presente petición incluye alegaciones sobre presuntas acciones y omisiones de las autoridades estatales que habrían producido la contaminación </w:t>
      </w:r>
      <w:r w:rsidR="00870A50" w:rsidRPr="00FB4BA7">
        <w:rPr>
          <w:rFonts w:asciiTheme="majorHAnsi" w:hAnsiTheme="majorHAnsi"/>
          <w:sz w:val="20"/>
          <w:szCs w:val="20"/>
          <w:lang w:val="es-ES_tradnl"/>
        </w:rPr>
        <w:t xml:space="preserve">del </w:t>
      </w:r>
      <w:r w:rsidRPr="00FB4BA7">
        <w:rPr>
          <w:rFonts w:asciiTheme="majorHAnsi" w:hAnsiTheme="majorHAnsi"/>
          <w:sz w:val="20"/>
          <w:szCs w:val="20"/>
          <w:lang w:val="es-ES_tradnl"/>
        </w:rPr>
        <w:t xml:space="preserve">río Tumbes, perjudicando la calidad del agua de </w:t>
      </w:r>
      <w:r w:rsidR="005F12EB" w:rsidRPr="00FB4BA7">
        <w:rPr>
          <w:rFonts w:asciiTheme="majorHAnsi" w:hAnsiTheme="majorHAnsi"/>
          <w:sz w:val="20"/>
          <w:szCs w:val="20"/>
          <w:lang w:val="es-ES_tradnl"/>
        </w:rPr>
        <w:t>las personas que habitan</w:t>
      </w:r>
      <w:r w:rsidRPr="00FB4BA7">
        <w:rPr>
          <w:rFonts w:asciiTheme="majorHAnsi" w:hAnsiTheme="majorHAnsi"/>
          <w:sz w:val="20"/>
          <w:szCs w:val="20"/>
          <w:lang w:val="es-ES_tradnl"/>
        </w:rPr>
        <w:t xml:space="preserve"> la zona. Al respecto, tanto la CIDH como la Corte IDH han </w:t>
      </w:r>
      <w:r w:rsidR="005F12EB" w:rsidRPr="00FB4BA7">
        <w:rPr>
          <w:rFonts w:asciiTheme="majorHAnsi" w:hAnsiTheme="majorHAnsi"/>
          <w:sz w:val="20"/>
          <w:szCs w:val="20"/>
          <w:lang w:val="es-ES_tradnl"/>
        </w:rPr>
        <w:t>indicado</w:t>
      </w:r>
      <w:r w:rsidRPr="00FB4BA7">
        <w:rPr>
          <w:rFonts w:asciiTheme="majorHAnsi" w:hAnsiTheme="majorHAnsi"/>
          <w:sz w:val="20"/>
          <w:szCs w:val="20"/>
          <w:lang w:val="es-ES_tradnl"/>
        </w:rPr>
        <w:t xml:space="preserve"> que el artículo 26 contempla el derecho a un medio ambiente sano, el cual protege los componentes del medio ambiente, tales como tales como bosques, ríos, mares y otros, como intereses jurídicos en sí mismos, aún en ausencia de certeza o evidencia sobre el riesgo a las personas individuales</w:t>
      </w:r>
      <w:r w:rsidRPr="00FB4BA7">
        <w:rPr>
          <w:rStyle w:val="FootnoteReference"/>
          <w:rFonts w:asciiTheme="majorHAnsi" w:hAnsiTheme="majorHAnsi"/>
          <w:sz w:val="20"/>
          <w:szCs w:val="20"/>
          <w:lang w:val="es-ES_tradnl"/>
        </w:rPr>
        <w:footnoteReference w:id="9"/>
      </w:r>
      <w:r w:rsidRPr="00FB4BA7">
        <w:rPr>
          <w:rFonts w:asciiTheme="majorHAnsi" w:hAnsiTheme="majorHAnsi"/>
          <w:sz w:val="20"/>
          <w:szCs w:val="20"/>
          <w:lang w:val="es-ES_tradnl"/>
        </w:rPr>
        <w:t xml:space="preserve">. </w:t>
      </w:r>
      <w:r w:rsidR="00444071" w:rsidRPr="00FB4BA7">
        <w:rPr>
          <w:rFonts w:asciiTheme="majorHAnsi" w:hAnsiTheme="majorHAnsi"/>
          <w:sz w:val="20"/>
          <w:szCs w:val="20"/>
          <w:lang w:val="es-ES_tradnl"/>
        </w:rPr>
        <w:t xml:space="preserve">Asimismo, el citado tribunal </w:t>
      </w:r>
      <w:r w:rsidR="005F247D" w:rsidRPr="00FB4BA7">
        <w:rPr>
          <w:rFonts w:asciiTheme="majorHAnsi" w:hAnsiTheme="majorHAnsi"/>
          <w:sz w:val="20"/>
          <w:szCs w:val="20"/>
          <w:lang w:val="es-ES_tradnl"/>
        </w:rPr>
        <w:t xml:space="preserve">también </w:t>
      </w:r>
      <w:r w:rsidR="00311183" w:rsidRPr="00FB4BA7">
        <w:rPr>
          <w:rFonts w:asciiTheme="majorHAnsi" w:hAnsiTheme="majorHAnsi"/>
          <w:sz w:val="20"/>
          <w:szCs w:val="20"/>
          <w:lang w:val="es-ES_tradnl"/>
        </w:rPr>
        <w:t xml:space="preserve">ha reconocido que dicha disposición también tutela el derecho al agua, </w:t>
      </w:r>
      <w:r w:rsidR="005F247D" w:rsidRPr="00FB4BA7">
        <w:rPr>
          <w:rFonts w:asciiTheme="majorHAnsi" w:hAnsiTheme="majorHAnsi"/>
          <w:sz w:val="20"/>
          <w:szCs w:val="20"/>
          <w:lang w:val="es-ES_tradnl"/>
        </w:rPr>
        <w:t>el cual conlleva la obligación de los Estados de impedir que terceros menoscaben el disfrute y/o la calidad de tal elemento</w:t>
      </w:r>
      <w:r w:rsidR="00F411F2" w:rsidRPr="00FB4BA7">
        <w:rPr>
          <w:rStyle w:val="FootnoteReference"/>
          <w:rFonts w:asciiTheme="majorHAnsi" w:hAnsiTheme="majorHAnsi"/>
          <w:sz w:val="20"/>
          <w:szCs w:val="20"/>
          <w:lang w:val="es-ES_tradnl"/>
        </w:rPr>
        <w:footnoteReference w:id="10"/>
      </w:r>
      <w:r w:rsidR="005F247D" w:rsidRPr="00FB4BA7">
        <w:rPr>
          <w:rFonts w:asciiTheme="majorHAnsi" w:hAnsiTheme="majorHAnsi"/>
          <w:sz w:val="20"/>
          <w:szCs w:val="20"/>
          <w:lang w:val="es-ES_tradnl"/>
        </w:rPr>
        <w:t xml:space="preserve">.  </w:t>
      </w:r>
      <w:r w:rsidR="00311183" w:rsidRPr="00FB4BA7">
        <w:rPr>
          <w:rFonts w:asciiTheme="majorHAnsi" w:hAnsiTheme="majorHAnsi"/>
          <w:sz w:val="20"/>
          <w:szCs w:val="20"/>
          <w:lang w:val="es-ES_tradnl"/>
        </w:rPr>
        <w:t>Con base en ello</w:t>
      </w:r>
      <w:r w:rsidRPr="00FB4BA7">
        <w:rPr>
          <w:rFonts w:asciiTheme="majorHAnsi" w:hAnsiTheme="majorHAnsi"/>
          <w:sz w:val="20"/>
          <w:szCs w:val="20"/>
          <w:lang w:val="es-ES_tradnl"/>
        </w:rPr>
        <w:t>, la Corte Interamericana de Derechos Humanos ha señalado que tal derecho es justiciable en casos contenciosos de forma directa y autónoma ante las instituciones del Sistema Interamericano en virtud del artículo 26 de la Convención Americana, incluso cuando no exista vulneración a otros derechos reconocidos en dicho tratado</w:t>
      </w:r>
      <w:r w:rsidRPr="00FB4BA7">
        <w:rPr>
          <w:rStyle w:val="FootnoteReference"/>
          <w:rFonts w:asciiTheme="majorHAnsi" w:hAnsiTheme="majorHAnsi"/>
          <w:sz w:val="20"/>
          <w:szCs w:val="20"/>
          <w:lang w:val="es-ES_tradnl"/>
        </w:rPr>
        <w:footnoteReference w:id="11"/>
      </w:r>
      <w:r w:rsidRPr="00FB4BA7">
        <w:rPr>
          <w:rFonts w:asciiTheme="majorHAnsi" w:hAnsiTheme="majorHAnsi"/>
          <w:sz w:val="20"/>
          <w:szCs w:val="20"/>
          <w:lang w:val="es-ES_tradnl"/>
        </w:rPr>
        <w:t xml:space="preserve">. </w:t>
      </w:r>
    </w:p>
    <w:p w14:paraId="6AE7A5CA" w14:textId="77777777" w:rsidR="00D21997" w:rsidRPr="00FB4BA7" w:rsidRDefault="00D21997" w:rsidP="00D219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color w:val="212121"/>
          <w:sz w:val="20"/>
          <w:szCs w:val="20"/>
          <w:lang w:val="es-ES_tradnl"/>
        </w:rPr>
      </w:pPr>
    </w:p>
    <w:p w14:paraId="7C9004F3" w14:textId="64E756FA" w:rsidR="00D21997" w:rsidRPr="00FB4BA7" w:rsidRDefault="00D21997" w:rsidP="00D2199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color w:val="212121"/>
          <w:sz w:val="20"/>
          <w:szCs w:val="20"/>
          <w:lang w:val="es-ES_tradnl"/>
        </w:rPr>
      </w:pPr>
      <w:r w:rsidRPr="00FB4BA7">
        <w:rPr>
          <w:rFonts w:asciiTheme="majorHAnsi" w:hAnsiTheme="majorHAnsi"/>
          <w:sz w:val="20"/>
          <w:szCs w:val="20"/>
          <w:lang w:val="es-ES_tradnl"/>
        </w:rPr>
        <w:t xml:space="preserve">En atención a estas consideraciones, y en vista de los elementos de hecho y de derecho expuestos por las partes y la naturaleza del asunto puesto bajo su conocimiento, la Comisión considera que los alegatos de la parte peticionaria ameritan un examen de fondo a la luz de los derechos establecidos en los artículos 8 (garantías judiciales), 25 (protección judicial) y 26 (derechos económicos, sociales y culturales) de la Convención Americana, en relación con su artículo 1.1 </w:t>
      </w:r>
      <w:r w:rsidRPr="00FB4BA7">
        <w:rPr>
          <w:rFonts w:asciiTheme="majorHAnsi" w:hAnsiTheme="majorHAnsi"/>
          <w:sz w:val="20"/>
          <w:szCs w:val="20"/>
          <w:bdr w:val="none" w:sz="0" w:space="0" w:color="auto" w:frame="1"/>
          <w:lang w:val="es-ES_tradnl"/>
        </w:rPr>
        <w:t>(obligación de respetar los derechos)</w:t>
      </w:r>
      <w:r w:rsidRPr="00FB4BA7">
        <w:rPr>
          <w:rFonts w:asciiTheme="majorHAnsi" w:hAnsiTheme="majorHAnsi"/>
          <w:bCs/>
          <w:sz w:val="20"/>
          <w:szCs w:val="20"/>
          <w:lang w:val="es-ES_tradnl"/>
        </w:rPr>
        <w:t xml:space="preserve"> y 2 (deber de adoptar disposiciones de derecho interno), en perjuicio de las presuntas víctimas señaladas en el presente informe y las que sean determinadas en la etapa de fondo del presente caso. </w:t>
      </w:r>
      <w:r w:rsidR="00172347" w:rsidRPr="00172347">
        <w:rPr>
          <w:rFonts w:asciiTheme="majorHAnsi" w:hAnsiTheme="majorHAnsi"/>
          <w:bCs/>
          <w:sz w:val="20"/>
          <w:szCs w:val="20"/>
          <w:lang w:val="es-ES_tradnl"/>
        </w:rPr>
        <w:t>La Comisión recuerda que corresponde fundamentalmente a la parte peticionaria individualizar a las víctimas e indicar el correspondiente daño concreto que habrían sufrido</w:t>
      </w:r>
      <w:r w:rsidR="00172347">
        <w:rPr>
          <w:rFonts w:asciiTheme="majorHAnsi" w:hAnsiTheme="majorHAnsi"/>
          <w:bCs/>
          <w:sz w:val="20"/>
          <w:szCs w:val="20"/>
          <w:lang w:val="es-ES_tradnl"/>
        </w:rPr>
        <w:t>.</w:t>
      </w:r>
    </w:p>
    <w:p w14:paraId="0727069A" w14:textId="77777777" w:rsidR="00B31180" w:rsidRPr="00FB4BA7" w:rsidRDefault="00B31180" w:rsidP="00B31180">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color w:val="212121"/>
          <w:sz w:val="20"/>
          <w:szCs w:val="20"/>
          <w:lang w:val="es-ES_tradnl"/>
        </w:rPr>
      </w:pPr>
    </w:p>
    <w:p w14:paraId="2A889190" w14:textId="4B7C3950" w:rsidR="00B31180" w:rsidRPr="00FB4BA7" w:rsidRDefault="00B31180" w:rsidP="00B3118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Calibri"/>
          <w:color w:val="000000" w:themeColor="text1"/>
          <w:sz w:val="20"/>
          <w:szCs w:val="20"/>
          <w:lang w:val="es-ES_tradnl"/>
        </w:rPr>
      </w:pPr>
      <w:r w:rsidRPr="00FB4BA7">
        <w:rPr>
          <w:rFonts w:asciiTheme="majorHAnsi" w:hAnsiTheme="majorHAnsi" w:cs="Arial"/>
          <w:color w:val="000000" w:themeColor="text1"/>
          <w:sz w:val="20"/>
          <w:szCs w:val="20"/>
          <w:lang w:val="es-ES_tradnl"/>
        </w:rPr>
        <w:t>Asimismo, tomando en consideración los posibles impactos en la calidad de vida de las presuntas víctimas por la supuesta contaminación del río Tumbes, la Comisión recuerda que, conforme a la jurisprudencia de la Corte Interamericana, el artículo 4 “</w:t>
      </w:r>
      <w:r w:rsidRPr="00FB4BA7">
        <w:rPr>
          <w:rFonts w:asciiTheme="majorHAnsi" w:hAnsiTheme="majorHAnsi" w:cs="Arial"/>
          <w:i/>
          <w:iCs/>
          <w:color w:val="000000" w:themeColor="text1"/>
          <w:sz w:val="20"/>
          <w:szCs w:val="20"/>
          <w:lang w:val="es-ES_tradnl"/>
        </w:rPr>
        <w:t xml:space="preserve">no sólo </w:t>
      </w:r>
      <w:r w:rsidRPr="00FB4BA7">
        <w:rPr>
          <w:rFonts w:asciiTheme="majorHAnsi" w:hAnsiTheme="majorHAnsi" w:cs="Calibri"/>
          <w:i/>
          <w:iCs/>
          <w:color w:val="000000" w:themeColor="text1"/>
          <w:sz w:val="20"/>
          <w:szCs w:val="20"/>
          <w:lang w:val="es-ES_tradnl"/>
        </w:rPr>
        <w:t>presupone que ninguna persona sea privada de su vida arbitrariamente (obligación negativa), sino que además requiere que los Estados adopten todas las medidas apropiadas para proteger y preservar el derecho a la vida (obligación positiva)</w:t>
      </w:r>
      <w:r w:rsidRPr="00FB4BA7">
        <w:rPr>
          <w:rFonts w:asciiTheme="majorHAnsi" w:hAnsiTheme="majorHAnsi" w:cs="Calibri"/>
          <w:color w:val="000000" w:themeColor="text1"/>
          <w:sz w:val="20"/>
          <w:szCs w:val="20"/>
          <w:lang w:val="es-ES_tradnl"/>
        </w:rPr>
        <w:t xml:space="preserve">”. En consecuencia, la CIDH también analizará en etapa de fondo los referidos impactos ambientales provocaron un menoscabo en la </w:t>
      </w:r>
      <w:r w:rsidRPr="00FB4BA7">
        <w:rPr>
          <w:rFonts w:asciiTheme="majorHAnsi" w:hAnsiTheme="majorHAnsi" w:cs="Calibri"/>
          <w:color w:val="000000" w:themeColor="text1"/>
          <w:sz w:val="20"/>
          <w:szCs w:val="20"/>
          <w:lang w:val="es-ES_tradnl"/>
        </w:rPr>
        <w:lastRenderedPageBreak/>
        <w:t>calidad o condiciones de vida de las presuntas víctimas, a efectos de determinar si hubo una posible violación al artículo 4 (derecho a la vida) de la Convención Americana</w:t>
      </w:r>
      <w:r w:rsidRPr="00FB4BA7">
        <w:rPr>
          <w:rStyle w:val="FootnoteReference"/>
          <w:rFonts w:asciiTheme="majorHAnsi" w:hAnsiTheme="majorHAnsi" w:cs="Calibri"/>
          <w:color w:val="000000" w:themeColor="text1"/>
          <w:sz w:val="20"/>
          <w:szCs w:val="20"/>
          <w:lang w:val="es-ES_tradnl"/>
        </w:rPr>
        <w:footnoteReference w:id="12"/>
      </w:r>
      <w:r w:rsidRPr="00FB4BA7">
        <w:rPr>
          <w:rFonts w:asciiTheme="majorHAnsi" w:hAnsiTheme="majorHAnsi" w:cs="Calibri"/>
          <w:color w:val="000000" w:themeColor="text1"/>
          <w:sz w:val="20"/>
          <w:szCs w:val="20"/>
          <w:lang w:val="es-ES_tradnl"/>
        </w:rPr>
        <w:t>.</w:t>
      </w:r>
    </w:p>
    <w:p w14:paraId="161354D6" w14:textId="77777777" w:rsidR="00D21997" w:rsidRPr="00FB4BA7" w:rsidRDefault="00D21997" w:rsidP="00B31180">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color w:val="212121"/>
          <w:sz w:val="20"/>
          <w:szCs w:val="20"/>
          <w:lang w:val="es-ES_tradnl"/>
        </w:rPr>
      </w:pPr>
    </w:p>
    <w:p w14:paraId="29BB41F5" w14:textId="5A0E95A7" w:rsidR="003239B8" w:rsidRPr="00FB4BA7" w:rsidRDefault="003239B8" w:rsidP="00D242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
        </w:rPr>
      </w:pPr>
      <w:r w:rsidRPr="00FB4BA7">
        <w:rPr>
          <w:rFonts w:asciiTheme="majorHAnsi" w:hAnsiTheme="majorHAnsi"/>
          <w:b/>
          <w:bCs/>
          <w:sz w:val="20"/>
          <w:szCs w:val="20"/>
          <w:lang w:val="es-ES"/>
        </w:rPr>
        <w:t xml:space="preserve">VIII. </w:t>
      </w:r>
      <w:r w:rsidRPr="00FB4BA7">
        <w:rPr>
          <w:rFonts w:asciiTheme="majorHAnsi" w:hAnsiTheme="majorHAnsi"/>
          <w:b/>
          <w:bCs/>
          <w:sz w:val="20"/>
          <w:szCs w:val="20"/>
          <w:lang w:val="es-ES"/>
        </w:rPr>
        <w:tab/>
        <w:t>DECISIÓN</w:t>
      </w:r>
    </w:p>
    <w:p w14:paraId="41AA5BF6" w14:textId="75D1F2FD" w:rsidR="000419AD" w:rsidRPr="00FB4BA7"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B4BA7">
        <w:rPr>
          <w:rFonts w:asciiTheme="majorHAnsi" w:hAnsiTheme="majorHAnsi"/>
          <w:sz w:val="20"/>
          <w:szCs w:val="20"/>
          <w:lang w:val="es-ES"/>
        </w:rPr>
        <w:t xml:space="preserve">Declarar admisible la presente petición en relación con </w:t>
      </w:r>
      <w:r w:rsidR="00D05BF6" w:rsidRPr="00FB4BA7">
        <w:rPr>
          <w:rFonts w:asciiTheme="majorHAnsi" w:hAnsiTheme="majorHAnsi"/>
          <w:sz w:val="20"/>
          <w:szCs w:val="20"/>
          <w:lang w:val="es-ES"/>
        </w:rPr>
        <w:t>4, 8,</w:t>
      </w:r>
      <w:r w:rsidR="00B31180" w:rsidRPr="00FB4BA7">
        <w:rPr>
          <w:rFonts w:asciiTheme="majorHAnsi" w:hAnsiTheme="majorHAnsi"/>
          <w:sz w:val="20"/>
          <w:szCs w:val="20"/>
          <w:lang w:val="es-ES"/>
        </w:rPr>
        <w:t xml:space="preserve"> </w:t>
      </w:r>
      <w:r w:rsidR="00D05BF6" w:rsidRPr="00FB4BA7">
        <w:rPr>
          <w:rFonts w:asciiTheme="majorHAnsi" w:hAnsiTheme="majorHAnsi"/>
          <w:sz w:val="20"/>
          <w:szCs w:val="20"/>
          <w:lang w:val="es-ES"/>
        </w:rPr>
        <w:t xml:space="preserve">25 </w:t>
      </w:r>
      <w:r w:rsidR="00B31180" w:rsidRPr="00FB4BA7">
        <w:rPr>
          <w:rFonts w:asciiTheme="majorHAnsi" w:hAnsiTheme="majorHAnsi"/>
          <w:sz w:val="20"/>
          <w:szCs w:val="20"/>
          <w:lang w:val="es-ES"/>
        </w:rPr>
        <w:t xml:space="preserve">y 26 </w:t>
      </w:r>
      <w:r w:rsidR="00D05BF6" w:rsidRPr="00FB4BA7">
        <w:rPr>
          <w:rFonts w:asciiTheme="majorHAnsi" w:hAnsiTheme="majorHAnsi"/>
          <w:sz w:val="20"/>
          <w:szCs w:val="20"/>
          <w:lang w:val="es-ES"/>
        </w:rPr>
        <w:t>de la Convención Americana</w:t>
      </w:r>
      <w:r w:rsidR="00A758AA" w:rsidRPr="00FB4BA7">
        <w:rPr>
          <w:rFonts w:asciiTheme="majorHAnsi" w:hAnsiTheme="majorHAnsi"/>
          <w:sz w:val="20"/>
          <w:szCs w:val="20"/>
          <w:lang w:val="es-ES"/>
        </w:rPr>
        <w:t>;</w:t>
      </w:r>
      <w:r w:rsidR="007B76D3" w:rsidRPr="00FB4BA7">
        <w:rPr>
          <w:rFonts w:asciiTheme="majorHAnsi" w:hAnsiTheme="majorHAnsi"/>
          <w:sz w:val="20"/>
          <w:szCs w:val="20"/>
          <w:lang w:val="es-ES"/>
        </w:rPr>
        <w:t xml:space="preserve"> y</w:t>
      </w:r>
    </w:p>
    <w:p w14:paraId="6AC80CA6" w14:textId="3E63FE3B" w:rsidR="00722C9F" w:rsidRDefault="004A6A54"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B4BA7">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57926FAE" w14:textId="745B1635" w:rsidR="006423A3" w:rsidRPr="00407104" w:rsidRDefault="006423A3" w:rsidP="00003EA7">
      <w:pPr>
        <w:pStyle w:val="paragraph"/>
        <w:spacing w:before="0" w:beforeAutospacing="0" w:after="0" w:afterAutospacing="0"/>
        <w:ind w:firstLine="720"/>
        <w:jc w:val="both"/>
        <w:textAlignment w:val="baseline"/>
        <w:rPr>
          <w:rFonts w:ascii="Segoe UI" w:hAnsi="Segoe UI" w:cs="Segoe UI"/>
          <w:sz w:val="18"/>
          <w:szCs w:val="18"/>
          <w:lang w:val="es-ES"/>
        </w:rPr>
      </w:pPr>
      <w:bookmarkStart w:id="2" w:name="_Hlk164676418"/>
      <w:r>
        <w:rPr>
          <w:rStyle w:val="normaltextrun"/>
          <w:rFonts w:ascii="Cambria" w:hAnsi="Cambria" w:cs="Segoe UI"/>
          <w:sz w:val="20"/>
          <w:szCs w:val="20"/>
          <w:lang w:val="es-CL"/>
        </w:rPr>
        <w:t xml:space="preserve">Aprobado por la Comisión Interamericana de Derechos Humanos a los 22 días del mes de marzo de 2024.  (Firmado): Carlos Bernal Pulido, Primer Vicepresidente; José Luis Caballero Ochoa, Segundo Vicepresidente; Edgar Stuardo Ralón Orellana y Andrea Pochak, </w:t>
      </w:r>
      <w:r w:rsidR="00003EA7">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bookmarkEnd w:id="2"/>
    <w:p w14:paraId="5613D92B" w14:textId="77777777" w:rsidR="006423A3" w:rsidRPr="00FB4BA7" w:rsidRDefault="006423A3" w:rsidP="006423A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
        </w:rPr>
      </w:pPr>
    </w:p>
    <w:sectPr w:rsidR="006423A3" w:rsidRPr="00FB4BA7" w:rsidSect="00030283">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8C226" w14:textId="77777777" w:rsidR="002762F5" w:rsidRDefault="002762F5">
      <w:r>
        <w:separator/>
      </w:r>
    </w:p>
  </w:endnote>
  <w:endnote w:type="continuationSeparator" w:id="0">
    <w:p w14:paraId="6BA59BE4" w14:textId="77777777" w:rsidR="002762F5" w:rsidRDefault="00276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C087F" w14:textId="77777777" w:rsidR="002762F5" w:rsidRPr="000F35ED" w:rsidRDefault="002762F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E1CE7E1" w14:textId="77777777" w:rsidR="002762F5" w:rsidRPr="000F35ED" w:rsidRDefault="002762F5" w:rsidP="000F35ED">
      <w:pPr>
        <w:rPr>
          <w:rFonts w:asciiTheme="majorHAnsi" w:hAnsiTheme="majorHAnsi"/>
          <w:sz w:val="16"/>
          <w:szCs w:val="16"/>
        </w:rPr>
      </w:pPr>
      <w:r w:rsidRPr="000F35ED">
        <w:rPr>
          <w:rFonts w:asciiTheme="majorHAnsi" w:hAnsiTheme="majorHAnsi"/>
          <w:sz w:val="16"/>
          <w:szCs w:val="16"/>
        </w:rPr>
        <w:separator/>
      </w:r>
    </w:p>
    <w:p w14:paraId="55F85277" w14:textId="77777777" w:rsidR="002762F5" w:rsidRPr="000F35ED" w:rsidRDefault="002762F5"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9BF2A87" w14:textId="77777777" w:rsidR="002762F5" w:rsidRPr="000F35ED" w:rsidRDefault="002762F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9449C52" w14:textId="5CBBBD47" w:rsidR="00916C1D" w:rsidRPr="0005038E" w:rsidRDefault="00916C1D" w:rsidP="00916C1D">
      <w:pPr>
        <w:pStyle w:val="FootnoteText"/>
        <w:ind w:firstLine="720"/>
        <w:jc w:val="both"/>
        <w:rPr>
          <w:rFonts w:asciiTheme="majorHAnsi" w:hAnsiTheme="majorHAnsi"/>
          <w:sz w:val="16"/>
          <w:szCs w:val="16"/>
          <w:lang w:val="es-US"/>
        </w:rPr>
      </w:pPr>
      <w:r w:rsidRPr="0005038E">
        <w:rPr>
          <w:rStyle w:val="FootnoteReference"/>
          <w:rFonts w:asciiTheme="majorHAnsi" w:hAnsiTheme="majorHAnsi"/>
          <w:sz w:val="16"/>
          <w:szCs w:val="16"/>
        </w:rPr>
        <w:footnoteRef/>
      </w:r>
      <w:r w:rsidRPr="0005038E">
        <w:rPr>
          <w:rFonts w:asciiTheme="majorHAnsi" w:hAnsiTheme="majorHAnsi"/>
          <w:sz w:val="16"/>
          <w:szCs w:val="16"/>
          <w:lang w:val="es-US"/>
        </w:rPr>
        <w:t xml:space="preserve"> En adelante, “la Convención Americana” o “la Convención”</w:t>
      </w:r>
      <w:r w:rsidR="00035AB1">
        <w:rPr>
          <w:rFonts w:asciiTheme="majorHAnsi" w:hAnsiTheme="majorHAnsi"/>
          <w:sz w:val="16"/>
          <w:szCs w:val="16"/>
          <w:lang w:val="es-US"/>
        </w:rPr>
        <w:t>.</w:t>
      </w:r>
    </w:p>
  </w:footnote>
  <w:footnote w:id="3">
    <w:p w14:paraId="79F07139" w14:textId="77777777" w:rsidR="008E3BFE" w:rsidRPr="00537490" w:rsidRDefault="008E3BFE" w:rsidP="000337EF">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14:paraId="3DC03CA2" w14:textId="6B096317" w:rsidR="008167F1" w:rsidRPr="004061C4" w:rsidRDefault="008167F1" w:rsidP="004061C4">
      <w:pPr>
        <w:pStyle w:val="FootnoteText"/>
        <w:ind w:firstLine="720"/>
        <w:jc w:val="both"/>
        <w:rPr>
          <w:rFonts w:asciiTheme="majorHAnsi" w:hAnsiTheme="majorHAnsi"/>
          <w:sz w:val="16"/>
          <w:szCs w:val="16"/>
          <w:lang w:val="es-PE"/>
        </w:rPr>
      </w:pPr>
      <w:r w:rsidRPr="004061C4">
        <w:rPr>
          <w:rStyle w:val="FootnoteReference"/>
          <w:rFonts w:asciiTheme="majorHAnsi" w:hAnsiTheme="majorHAnsi"/>
          <w:sz w:val="16"/>
          <w:szCs w:val="16"/>
        </w:rPr>
        <w:footnoteRef/>
      </w:r>
      <w:r w:rsidRPr="004061C4">
        <w:rPr>
          <w:rFonts w:asciiTheme="majorHAnsi" w:hAnsiTheme="majorHAnsi"/>
          <w:sz w:val="16"/>
          <w:szCs w:val="16"/>
          <w:lang w:val="es-PE"/>
        </w:rPr>
        <w:t xml:space="preserve"> </w:t>
      </w:r>
      <w:r w:rsidR="004061C4" w:rsidRPr="004061C4">
        <w:rPr>
          <w:rFonts w:asciiTheme="majorHAnsi" w:hAnsiTheme="majorHAnsi"/>
          <w:sz w:val="16"/>
          <w:szCs w:val="16"/>
          <w:lang w:val="es-PE"/>
        </w:rPr>
        <w:t xml:space="preserve">CIDH, Informe No. 70/04 (Admisibilidad – Petición 667/01, Jesús Manuel Naranjo Cárdenas y otros – Jubilados de la Empresa Venezolana de Aviación VIASA v. Venezuela); 13 de octubre de 2004, párr. </w:t>
      </w:r>
      <w:r w:rsidR="004061C4" w:rsidRPr="00251C32">
        <w:rPr>
          <w:rFonts w:asciiTheme="majorHAnsi" w:hAnsiTheme="majorHAnsi"/>
          <w:sz w:val="16"/>
          <w:szCs w:val="16"/>
          <w:lang w:val="es-PE"/>
        </w:rPr>
        <w:t>52.</w:t>
      </w:r>
    </w:p>
  </w:footnote>
  <w:footnote w:id="5">
    <w:p w14:paraId="3E434B00" w14:textId="74CCDF7D" w:rsidR="00251C32" w:rsidRPr="00812D06" w:rsidRDefault="00251C32" w:rsidP="00251C32">
      <w:pPr>
        <w:pStyle w:val="FootnoteText"/>
        <w:ind w:firstLine="720"/>
        <w:jc w:val="both"/>
        <w:rPr>
          <w:rFonts w:asciiTheme="majorHAnsi" w:hAnsiTheme="majorHAnsi"/>
          <w:sz w:val="16"/>
          <w:szCs w:val="16"/>
          <w:lang w:val="es-US"/>
        </w:rPr>
      </w:pPr>
      <w:r w:rsidRPr="006D3768">
        <w:rPr>
          <w:rStyle w:val="FootnoteReference"/>
          <w:rFonts w:asciiTheme="majorHAnsi" w:hAnsiTheme="majorHAnsi"/>
          <w:sz w:val="16"/>
          <w:szCs w:val="16"/>
        </w:rPr>
        <w:footnoteRef/>
      </w:r>
      <w:r w:rsidRPr="006D3768">
        <w:rPr>
          <w:rFonts w:asciiTheme="majorHAnsi" w:hAnsiTheme="majorHAnsi"/>
          <w:sz w:val="16"/>
          <w:szCs w:val="16"/>
          <w:lang w:val="es-ES"/>
        </w:rPr>
        <w:t xml:space="preserve"> CIDH, Informe N° 14/08, Petición 652-04. Admisibilidad. Hugo Humberto Ruíz Fuentes. Guatemala. 5 de marzo de 2008, párr. </w:t>
      </w:r>
      <w:r w:rsidRPr="009C54B1">
        <w:rPr>
          <w:rFonts w:asciiTheme="majorHAnsi" w:hAnsiTheme="majorHAnsi"/>
          <w:sz w:val="16"/>
          <w:szCs w:val="16"/>
          <w:lang w:val="es-US"/>
        </w:rPr>
        <w:t>68</w:t>
      </w:r>
      <w:r w:rsidR="006423A3">
        <w:rPr>
          <w:rFonts w:asciiTheme="majorHAnsi" w:hAnsiTheme="majorHAnsi"/>
          <w:sz w:val="16"/>
          <w:szCs w:val="16"/>
          <w:lang w:val="es-US"/>
        </w:rPr>
        <w:t>.</w:t>
      </w:r>
      <w:r w:rsidRPr="009C54B1">
        <w:rPr>
          <w:lang w:val="es-US"/>
        </w:rPr>
        <w:t xml:space="preserve"> </w:t>
      </w:r>
    </w:p>
  </w:footnote>
  <w:footnote w:id="6">
    <w:p w14:paraId="36A11312" w14:textId="77777777" w:rsidR="00251C32" w:rsidRPr="00A018EA" w:rsidRDefault="00251C32" w:rsidP="00251C32">
      <w:pPr>
        <w:pStyle w:val="FootnoteText"/>
        <w:ind w:firstLine="720"/>
        <w:jc w:val="both"/>
        <w:rPr>
          <w:rFonts w:asciiTheme="majorHAnsi" w:hAnsiTheme="majorHAnsi"/>
          <w:sz w:val="16"/>
          <w:szCs w:val="16"/>
          <w:lang w:val="es-US"/>
        </w:rPr>
      </w:pPr>
      <w:r w:rsidRPr="00A018EA">
        <w:rPr>
          <w:rStyle w:val="FootnoteReference"/>
          <w:rFonts w:asciiTheme="majorHAnsi" w:hAnsiTheme="majorHAnsi"/>
          <w:sz w:val="16"/>
          <w:szCs w:val="16"/>
        </w:rPr>
        <w:footnoteRef/>
      </w:r>
      <w:r w:rsidRPr="00A018EA">
        <w:rPr>
          <w:rFonts w:asciiTheme="majorHAnsi" w:hAnsiTheme="majorHAnsi"/>
          <w:sz w:val="16"/>
          <w:szCs w:val="16"/>
          <w:lang w:val="es-ES"/>
        </w:rPr>
        <w:t xml:space="preserve"> Ibíd.</w:t>
      </w:r>
    </w:p>
  </w:footnote>
  <w:footnote w:id="7">
    <w:p w14:paraId="723E931A" w14:textId="77777777" w:rsidR="00D21997" w:rsidRPr="00E47A75" w:rsidRDefault="00D21997" w:rsidP="00D21997">
      <w:pPr>
        <w:pStyle w:val="FootnoteText"/>
        <w:ind w:firstLine="720"/>
        <w:jc w:val="both"/>
        <w:rPr>
          <w:rFonts w:ascii="Cambria" w:hAnsi="Cambria"/>
          <w:sz w:val="16"/>
          <w:szCs w:val="16"/>
          <w:lang w:val="es-US"/>
        </w:rPr>
      </w:pPr>
      <w:r w:rsidRPr="00190BE5">
        <w:rPr>
          <w:rStyle w:val="FootnoteReference"/>
          <w:rFonts w:asciiTheme="majorHAnsi" w:hAnsiTheme="majorHAnsi"/>
          <w:sz w:val="16"/>
          <w:szCs w:val="16"/>
        </w:rPr>
        <w:footnoteRef/>
      </w:r>
      <w:r w:rsidRPr="00190BE5">
        <w:rPr>
          <w:rFonts w:asciiTheme="majorHAnsi" w:hAnsiTheme="majorHAnsi"/>
          <w:sz w:val="16"/>
          <w:szCs w:val="16"/>
          <w:lang w:val="es-US"/>
        </w:rPr>
        <w:t xml:space="preserve"> CIDH, Informe </w:t>
      </w:r>
      <w:r w:rsidRPr="00E47A75">
        <w:rPr>
          <w:rFonts w:ascii="Cambria" w:hAnsi="Cambria"/>
          <w:sz w:val="16"/>
          <w:szCs w:val="16"/>
          <w:lang w:val="es-US"/>
        </w:rPr>
        <w:t>No.</w:t>
      </w:r>
      <w:r w:rsidRPr="00E47A75">
        <w:rPr>
          <w:rFonts w:ascii="Cambria" w:hAnsi="Cambria"/>
          <w:sz w:val="16"/>
          <w:szCs w:val="16"/>
          <w:lang w:val="es-ES"/>
        </w:rPr>
        <w:t xml:space="preserve"> </w:t>
      </w:r>
      <w:r w:rsidRPr="00E47A75">
        <w:rPr>
          <w:rFonts w:ascii="Cambria" w:hAnsi="Cambria"/>
          <w:sz w:val="16"/>
          <w:szCs w:val="16"/>
          <w:lang w:val="es-US"/>
        </w:rPr>
        <w:t xml:space="preserve">61/16, Petición </w:t>
      </w:r>
      <w:r w:rsidRPr="00E47A75">
        <w:rPr>
          <w:rFonts w:ascii="Cambria" w:hAnsi="Cambria"/>
          <w:sz w:val="16"/>
          <w:szCs w:val="16"/>
          <w:lang w:val="es-ES"/>
        </w:rPr>
        <w:t>1256</w:t>
      </w:r>
      <w:r w:rsidRPr="00E47A75">
        <w:rPr>
          <w:rFonts w:ascii="Cambria" w:hAnsi="Cambria"/>
          <w:sz w:val="16"/>
          <w:szCs w:val="16"/>
          <w:lang w:val="es-US"/>
        </w:rPr>
        <w:t>/</w:t>
      </w:r>
      <w:r w:rsidRPr="00E47A75">
        <w:rPr>
          <w:rFonts w:ascii="Cambria" w:hAnsi="Cambria"/>
          <w:sz w:val="16"/>
          <w:szCs w:val="16"/>
          <w:lang w:val="es-ES"/>
        </w:rPr>
        <w:t xml:space="preserve">07, </w:t>
      </w:r>
      <w:r w:rsidRPr="00E47A75">
        <w:rPr>
          <w:rFonts w:ascii="Cambria" w:hAnsi="Cambria"/>
          <w:sz w:val="16"/>
          <w:szCs w:val="16"/>
          <w:lang w:val="es-US"/>
        </w:rPr>
        <w:t xml:space="preserve">Admisibilidad, Comunidad de Paz de San José de Apartadó, Colombia, 6 de diciembre de 2016, párr. 62. </w:t>
      </w:r>
    </w:p>
  </w:footnote>
  <w:footnote w:id="8">
    <w:p w14:paraId="659E5111" w14:textId="77777777" w:rsidR="00D21997" w:rsidRPr="00E47A75" w:rsidRDefault="00D21997" w:rsidP="00D21997">
      <w:pPr>
        <w:pStyle w:val="FootnoteText"/>
        <w:ind w:firstLine="720"/>
        <w:jc w:val="both"/>
        <w:rPr>
          <w:lang w:val="es-ES"/>
        </w:rPr>
      </w:pPr>
      <w:r w:rsidRPr="00E47A75">
        <w:rPr>
          <w:rStyle w:val="FootnoteReference"/>
          <w:rFonts w:ascii="Cambria" w:hAnsi="Cambria"/>
          <w:sz w:val="16"/>
          <w:szCs w:val="16"/>
        </w:rPr>
        <w:footnoteRef/>
      </w:r>
      <w:r w:rsidRPr="00E47A75">
        <w:rPr>
          <w:rFonts w:ascii="Cambria" w:hAnsi="Cambria"/>
          <w:sz w:val="16"/>
          <w:szCs w:val="16"/>
          <w:lang w:val="es-ES"/>
        </w:rPr>
        <w:t xml:space="preserve"> CIDH, Informe Nº 40/05 (Inadmisibilidad), Petición 12.139, José Luis Forzanni Ballardo, Perú, 9 de marzo de 2005, párrs. </w:t>
      </w:r>
      <w:r w:rsidRPr="00C3769A">
        <w:rPr>
          <w:rFonts w:ascii="Cambria" w:hAnsi="Cambria"/>
          <w:sz w:val="16"/>
          <w:szCs w:val="16"/>
          <w:lang w:val="es-US"/>
        </w:rPr>
        <w:t>35 y 40.</w:t>
      </w:r>
    </w:p>
  </w:footnote>
  <w:footnote w:id="9">
    <w:p w14:paraId="0598E680" w14:textId="77777777" w:rsidR="00D21997" w:rsidRPr="00913E0F" w:rsidRDefault="00D21997" w:rsidP="00D21997">
      <w:pPr>
        <w:pStyle w:val="FootnoteText"/>
        <w:ind w:firstLine="720"/>
        <w:jc w:val="both"/>
        <w:rPr>
          <w:lang w:val="es-ES"/>
        </w:rPr>
      </w:pPr>
      <w:r w:rsidRPr="00913E0F">
        <w:rPr>
          <w:rStyle w:val="FootnoteReference"/>
          <w:rFonts w:ascii="Cambria" w:hAnsi="Cambria"/>
          <w:sz w:val="16"/>
          <w:szCs w:val="16"/>
        </w:rPr>
        <w:footnoteRef/>
      </w:r>
      <w:r w:rsidRPr="00913E0F">
        <w:rPr>
          <w:rFonts w:ascii="Cambria" w:hAnsi="Cambria"/>
          <w:sz w:val="16"/>
          <w:szCs w:val="16"/>
          <w:lang w:val="es-ES"/>
        </w:rPr>
        <w:t xml:space="preserve"> </w:t>
      </w:r>
      <w:r>
        <w:rPr>
          <w:rFonts w:ascii="Cambria" w:hAnsi="Cambria"/>
          <w:sz w:val="16"/>
          <w:szCs w:val="16"/>
          <w:lang w:val="es-ES"/>
        </w:rPr>
        <w:t>CIDH, Informe No. 330/20, Caso 12.718, Fondo. Comunidad de La Oroya. Perú. 19 de noviembre de 2020, párr. 131; y Informe No. 189/20, Caso 12.569, Fondo. Comunidades Quilombolas de Alcantara. Brasil. 14 de junio de 2020, párr. 264.</w:t>
      </w:r>
    </w:p>
  </w:footnote>
  <w:footnote w:id="10">
    <w:p w14:paraId="2CFD04AF" w14:textId="3ED614E4" w:rsidR="00F411F2" w:rsidRPr="00F411F2" w:rsidRDefault="00F411F2" w:rsidP="00F411F2">
      <w:pPr>
        <w:pStyle w:val="FootnoteText"/>
        <w:ind w:firstLine="720"/>
        <w:jc w:val="both"/>
        <w:rPr>
          <w:rFonts w:asciiTheme="majorHAnsi" w:hAnsiTheme="majorHAnsi"/>
          <w:color w:val="auto"/>
          <w:sz w:val="16"/>
          <w:szCs w:val="16"/>
          <w:lang w:val="es-PE"/>
        </w:rPr>
      </w:pPr>
      <w:r w:rsidRPr="00F411F2">
        <w:rPr>
          <w:rStyle w:val="FootnoteReference"/>
          <w:rFonts w:asciiTheme="majorHAnsi" w:hAnsiTheme="majorHAnsi"/>
          <w:color w:val="auto"/>
          <w:sz w:val="16"/>
          <w:szCs w:val="16"/>
        </w:rPr>
        <w:footnoteRef/>
      </w:r>
      <w:r w:rsidRPr="00F411F2">
        <w:rPr>
          <w:rFonts w:asciiTheme="majorHAnsi" w:hAnsiTheme="majorHAnsi"/>
          <w:color w:val="auto"/>
          <w:sz w:val="16"/>
          <w:szCs w:val="16"/>
          <w:lang w:val="es-PE"/>
        </w:rPr>
        <w:t xml:space="preserve"> Corte IDH. Caso Comunidades Indígenas Miembros de la Asociación Lhaka Honhat (Nuestra Tierra) Vs. Argentina. Fondo, Reparaciones y Costas. Sentencia de 6 de febrero de 2020. Serie C No. 400, párr. 222-230. </w:t>
      </w:r>
    </w:p>
  </w:footnote>
  <w:footnote w:id="11">
    <w:p w14:paraId="55CF7080" w14:textId="77777777" w:rsidR="00D21997" w:rsidRPr="00913E0F" w:rsidRDefault="00D21997" w:rsidP="00D21997">
      <w:pPr>
        <w:pStyle w:val="FootnoteText"/>
        <w:ind w:firstLine="720"/>
        <w:jc w:val="both"/>
        <w:rPr>
          <w:rFonts w:ascii="Cambria" w:hAnsi="Cambria"/>
          <w:sz w:val="16"/>
          <w:szCs w:val="16"/>
          <w:lang w:val="es-ES"/>
        </w:rPr>
      </w:pPr>
      <w:r w:rsidRPr="00913E0F">
        <w:rPr>
          <w:rStyle w:val="FootnoteReference"/>
          <w:rFonts w:ascii="Cambria" w:hAnsi="Cambria"/>
          <w:sz w:val="16"/>
          <w:szCs w:val="16"/>
        </w:rPr>
        <w:footnoteRef/>
      </w:r>
      <w:r w:rsidRPr="00913E0F">
        <w:rPr>
          <w:rFonts w:ascii="Cambria" w:hAnsi="Cambria"/>
          <w:sz w:val="16"/>
          <w:szCs w:val="16"/>
          <w:lang w:val="es-ES"/>
        </w:rPr>
        <w:t xml:space="preserve"> Corte IDH. 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 de 15 de noviembre de 2017. Serie A No. 23</w:t>
      </w:r>
      <w:r>
        <w:rPr>
          <w:rFonts w:ascii="Cambria" w:hAnsi="Cambria"/>
          <w:sz w:val="16"/>
          <w:szCs w:val="16"/>
          <w:lang w:val="es-ES"/>
        </w:rPr>
        <w:t>, párr. 62.</w:t>
      </w:r>
    </w:p>
  </w:footnote>
  <w:footnote w:id="12">
    <w:p w14:paraId="5444FA2F" w14:textId="77777777" w:rsidR="00B31180" w:rsidRPr="0066154C" w:rsidRDefault="00B31180" w:rsidP="00B31180">
      <w:pPr>
        <w:pStyle w:val="FootnoteText"/>
        <w:ind w:firstLine="720"/>
        <w:jc w:val="both"/>
        <w:rPr>
          <w:lang w:val="es-ES"/>
        </w:rPr>
      </w:pPr>
      <w:r w:rsidRPr="0066154C">
        <w:rPr>
          <w:rStyle w:val="FootnoteReference"/>
          <w:rFonts w:ascii="Cambria" w:hAnsi="Cambria"/>
          <w:sz w:val="16"/>
          <w:szCs w:val="16"/>
        </w:rPr>
        <w:footnoteRef/>
      </w:r>
      <w:r w:rsidRPr="00F25A13">
        <w:rPr>
          <w:rFonts w:ascii="Cambria" w:hAnsi="Cambria"/>
          <w:sz w:val="16"/>
          <w:szCs w:val="16"/>
          <w:lang w:val="es-ES"/>
        </w:rPr>
        <w:t xml:space="preserve"> Corte IDH. Caso Comunidad Indígena Xákmok Kásek Vs. Paraguay. </w:t>
      </w:r>
      <w:r w:rsidRPr="0066154C">
        <w:rPr>
          <w:rFonts w:ascii="Cambria" w:hAnsi="Cambria"/>
          <w:sz w:val="16"/>
          <w:szCs w:val="16"/>
          <w:lang w:val="es-ES"/>
        </w:rPr>
        <w:t>Fondo, Reparaciones y Costas. Sentencia de 24 de agosto de 2010. Serie C No. 214</w:t>
      </w:r>
      <w:r>
        <w:rPr>
          <w:rFonts w:ascii="Cambria" w:hAnsi="Cambria"/>
          <w:sz w:val="16"/>
          <w:szCs w:val="16"/>
          <w:lang w:val="es-ES"/>
        </w:rPr>
        <w:t xml:space="preserve">, párr. 187.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F576DC" w:rsidP="00A50FCF">
    <w:pPr>
      <w:pStyle w:val="Header"/>
      <w:tabs>
        <w:tab w:val="clear" w:pos="4320"/>
        <w:tab w:val="clear" w:pos="8640"/>
      </w:tabs>
      <w:jc w:val="center"/>
      <w:rPr>
        <w:sz w:val="22"/>
        <w:szCs w:val="22"/>
      </w:rPr>
    </w:pPr>
    <w:r>
      <w:rPr>
        <w:noProof/>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D7D4B9D"/>
    <w:multiLevelType w:val="hybridMultilevel"/>
    <w:tmpl w:val="C904404E"/>
    <w:lvl w:ilvl="0" w:tplc="D91A6C14">
      <w:start w:val="1"/>
      <w:numFmt w:val="decimal"/>
      <w:lvlText w:val="%1."/>
      <w:lvlJc w:val="left"/>
      <w:pPr>
        <w:ind w:left="1260" w:hanging="360"/>
      </w:pPr>
      <w:rPr>
        <w:rFonts w:ascii="Cambria" w:hAnsi="Cambria"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78442290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872813378">
    <w:abstractNumId w:val="5"/>
  </w:num>
  <w:num w:numId="3" w16cid:durableId="401412268">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28860888">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813330237">
    <w:abstractNumId w:val="7"/>
  </w:num>
  <w:num w:numId="6" w16cid:durableId="893662297">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532187907">
    <w:abstractNumId w:val="61"/>
  </w:num>
  <w:num w:numId="8" w16cid:durableId="1933658824">
    <w:abstractNumId w:val="23"/>
  </w:num>
  <w:num w:numId="9" w16cid:durableId="102309653">
    <w:abstractNumId w:val="52"/>
  </w:num>
  <w:num w:numId="10" w16cid:durableId="359858344">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19616561">
    <w:abstractNumId w:val="29"/>
  </w:num>
  <w:num w:numId="12" w16cid:durableId="1031029938">
    <w:abstractNumId w:val="59"/>
  </w:num>
  <w:num w:numId="13" w16cid:durableId="669716046">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714454448">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385763071">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2123501088">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381981762">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565453193">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870269286">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374312286">
    <w:abstractNumId w:val="8"/>
  </w:num>
  <w:num w:numId="21" w16cid:durableId="1760907783">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965501360">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526360857">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768116925">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101949704">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62936320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80383921">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941448981">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2064979425">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38668464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851480280">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950167288">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4915212">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470943003">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356929234">
    <w:abstractNumId w:val="19"/>
  </w:num>
  <w:num w:numId="36" w16cid:durableId="1435130447">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67103170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531383334">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22283443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356151706">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1230333">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382481005">
    <w:abstractNumId w:val="41"/>
  </w:num>
  <w:num w:numId="43" w16cid:durableId="1016346536">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2142921111">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28653544">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247614077">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720088346">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941451639">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90381648">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295574869">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59560326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767651536">
    <w:abstractNumId w:val="45"/>
  </w:num>
  <w:num w:numId="53" w16cid:durableId="993338501">
    <w:abstractNumId w:val="0"/>
  </w:num>
  <w:num w:numId="54" w16cid:durableId="783113306">
    <w:abstractNumId w:val="40"/>
  </w:num>
  <w:num w:numId="55" w16cid:durableId="1627199839">
    <w:abstractNumId w:val="41"/>
  </w:num>
  <w:num w:numId="56" w16cid:durableId="906108081">
    <w:abstractNumId w:val="47"/>
  </w:num>
  <w:num w:numId="57" w16cid:durableId="1662195483">
    <w:abstractNumId w:val="1"/>
  </w:num>
  <w:num w:numId="58" w16cid:durableId="1422067352">
    <w:abstractNumId w:val="2"/>
  </w:num>
  <w:num w:numId="59" w16cid:durableId="728697696">
    <w:abstractNumId w:val="9"/>
  </w:num>
  <w:num w:numId="60" w16cid:durableId="532697137">
    <w:abstractNumId w:val="10"/>
  </w:num>
  <w:num w:numId="61" w16cid:durableId="1882203984">
    <w:abstractNumId w:val="11"/>
  </w:num>
  <w:num w:numId="62" w16cid:durableId="1351371818">
    <w:abstractNumId w:val="12"/>
  </w:num>
  <w:num w:numId="63" w16cid:durableId="1675113195">
    <w:abstractNumId w:val="13"/>
  </w:num>
  <w:num w:numId="64" w16cid:durableId="1955670201">
    <w:abstractNumId w:val="15"/>
  </w:num>
  <w:num w:numId="65" w16cid:durableId="574364452">
    <w:abstractNumId w:val="16"/>
  </w:num>
  <w:num w:numId="66" w16cid:durableId="223028224">
    <w:abstractNumId w:val="17"/>
  </w:num>
  <w:num w:numId="67" w16cid:durableId="839083034">
    <w:abstractNumId w:val="18"/>
  </w:num>
  <w:num w:numId="68" w16cid:durableId="1048453737">
    <w:abstractNumId w:val="20"/>
  </w:num>
  <w:num w:numId="69" w16cid:durableId="1026640194">
    <w:abstractNumId w:val="21"/>
  </w:num>
  <w:num w:numId="70" w16cid:durableId="1329288156">
    <w:abstractNumId w:val="24"/>
  </w:num>
  <w:num w:numId="71" w16cid:durableId="1809085151">
    <w:abstractNumId w:val="25"/>
  </w:num>
  <w:num w:numId="72" w16cid:durableId="1080827732">
    <w:abstractNumId w:val="26"/>
  </w:num>
  <w:num w:numId="73" w16cid:durableId="2036301683">
    <w:abstractNumId w:val="28"/>
  </w:num>
  <w:num w:numId="74" w16cid:durableId="126708259">
    <w:abstractNumId w:val="30"/>
  </w:num>
  <w:num w:numId="75" w16cid:durableId="2058167483">
    <w:abstractNumId w:val="32"/>
  </w:num>
  <w:num w:numId="76" w16cid:durableId="2058311766">
    <w:abstractNumId w:val="33"/>
  </w:num>
  <w:num w:numId="77" w16cid:durableId="410128829">
    <w:abstractNumId w:val="34"/>
  </w:num>
  <w:num w:numId="78" w16cid:durableId="1761218776">
    <w:abstractNumId w:val="35"/>
  </w:num>
  <w:num w:numId="79" w16cid:durableId="1781222947">
    <w:abstractNumId w:val="36"/>
  </w:num>
  <w:num w:numId="80" w16cid:durableId="1311638866">
    <w:abstractNumId w:val="37"/>
  </w:num>
  <w:num w:numId="81" w16cid:durableId="1285455016">
    <w:abstractNumId w:val="38"/>
  </w:num>
  <w:num w:numId="82" w16cid:durableId="1160926393">
    <w:abstractNumId w:val="42"/>
  </w:num>
  <w:num w:numId="83" w16cid:durableId="1364018377">
    <w:abstractNumId w:val="43"/>
  </w:num>
  <w:num w:numId="84" w16cid:durableId="80612354">
    <w:abstractNumId w:val="50"/>
  </w:num>
  <w:num w:numId="85" w16cid:durableId="1691254366">
    <w:abstractNumId w:val="53"/>
  </w:num>
  <w:num w:numId="86" w16cid:durableId="580339032">
    <w:abstractNumId w:val="56"/>
  </w:num>
  <w:num w:numId="87" w16cid:durableId="379717792">
    <w:abstractNumId w:val="58"/>
  </w:num>
  <w:num w:numId="88" w16cid:durableId="1044066421">
    <w:abstractNumId w:val="60"/>
  </w:num>
  <w:num w:numId="89" w16cid:durableId="2091930067">
    <w:abstractNumId w:val="62"/>
  </w:num>
  <w:num w:numId="90" w16cid:durableId="532546517">
    <w:abstractNumId w:val="63"/>
  </w:num>
  <w:num w:numId="91" w16cid:durableId="414666162">
    <w:abstractNumId w:val="64"/>
  </w:num>
  <w:num w:numId="92" w16cid:durableId="1269311212">
    <w:abstractNumId w:val="65"/>
  </w:num>
  <w:num w:numId="93" w16cid:durableId="1631939513">
    <w:abstractNumId w:val="67"/>
  </w:num>
  <w:num w:numId="94" w16cid:durableId="1834564849">
    <w:abstractNumId w:val="22"/>
  </w:num>
  <w:num w:numId="95" w16cid:durableId="205724164">
    <w:abstractNumId w:val="44"/>
  </w:num>
  <w:num w:numId="96" w16cid:durableId="949429864">
    <w:abstractNumId w:val="57"/>
  </w:num>
  <w:num w:numId="97" w16cid:durableId="288970792">
    <w:abstractNumId w:val="54"/>
  </w:num>
  <w:num w:numId="98" w16cid:durableId="952714129">
    <w:abstractNumId w:val="48"/>
  </w:num>
  <w:num w:numId="99" w16cid:durableId="1523976620">
    <w:abstractNumId w:val="39"/>
  </w:num>
  <w:num w:numId="100" w16cid:durableId="156654599">
    <w:abstractNumId w:val="3"/>
  </w:num>
  <w:num w:numId="101" w16cid:durableId="1936327866">
    <w:abstractNumId w:val="27"/>
  </w:num>
  <w:num w:numId="102" w16cid:durableId="1754089481">
    <w:abstractNumId w:val="51"/>
  </w:num>
  <w:num w:numId="103" w16cid:durableId="219633537">
    <w:abstractNumId w:val="6"/>
  </w:num>
  <w:num w:numId="104" w16cid:durableId="195585926">
    <w:abstractNumId w:val="66"/>
  </w:num>
  <w:num w:numId="105" w16cid:durableId="525605381">
    <w:abstractNumId w:val="55"/>
  </w:num>
  <w:num w:numId="106" w16cid:durableId="202910152">
    <w:abstractNumId w:val="4"/>
  </w:num>
  <w:num w:numId="107" w16cid:durableId="1026829289">
    <w:abstractNumId w:val="31"/>
  </w:num>
  <w:num w:numId="108" w16cid:durableId="681589062">
    <w:abstractNumId w:val="14"/>
  </w:num>
  <w:num w:numId="109" w16cid:durableId="546839422">
    <w:abstractNumId w:val="46"/>
  </w:num>
  <w:num w:numId="110" w16cid:durableId="947547682">
    <w:abstractNumId w:val="4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39C9"/>
    <w:rsid w:val="00003EA7"/>
    <w:rsid w:val="0000444E"/>
    <w:rsid w:val="00006E1F"/>
    <w:rsid w:val="000070D7"/>
    <w:rsid w:val="00013E60"/>
    <w:rsid w:val="00014889"/>
    <w:rsid w:val="0001788C"/>
    <w:rsid w:val="000216DE"/>
    <w:rsid w:val="000254F4"/>
    <w:rsid w:val="00030283"/>
    <w:rsid w:val="000337EF"/>
    <w:rsid w:val="00035428"/>
    <w:rsid w:val="00035AB1"/>
    <w:rsid w:val="000372DC"/>
    <w:rsid w:val="00037BF1"/>
    <w:rsid w:val="00040A72"/>
    <w:rsid w:val="00040C3A"/>
    <w:rsid w:val="000419AD"/>
    <w:rsid w:val="00041ABD"/>
    <w:rsid w:val="00042C75"/>
    <w:rsid w:val="000433C9"/>
    <w:rsid w:val="0005038E"/>
    <w:rsid w:val="00057CFE"/>
    <w:rsid w:val="00064B35"/>
    <w:rsid w:val="0006546B"/>
    <w:rsid w:val="000716C5"/>
    <w:rsid w:val="00075E23"/>
    <w:rsid w:val="000834F8"/>
    <w:rsid w:val="00087D75"/>
    <w:rsid w:val="0009344A"/>
    <w:rsid w:val="00097A40"/>
    <w:rsid w:val="000A392E"/>
    <w:rsid w:val="000A3C47"/>
    <w:rsid w:val="000A575F"/>
    <w:rsid w:val="000A6654"/>
    <w:rsid w:val="000B0C0C"/>
    <w:rsid w:val="000C336A"/>
    <w:rsid w:val="000C4911"/>
    <w:rsid w:val="000C52C8"/>
    <w:rsid w:val="000C56B8"/>
    <w:rsid w:val="000D05CB"/>
    <w:rsid w:val="000D10DB"/>
    <w:rsid w:val="000D1E42"/>
    <w:rsid w:val="000E1DF7"/>
    <w:rsid w:val="000E5EB5"/>
    <w:rsid w:val="000E7A60"/>
    <w:rsid w:val="000F35ED"/>
    <w:rsid w:val="000F5A09"/>
    <w:rsid w:val="000F7950"/>
    <w:rsid w:val="001014ED"/>
    <w:rsid w:val="00104C5C"/>
    <w:rsid w:val="00107131"/>
    <w:rsid w:val="0010736F"/>
    <w:rsid w:val="00113818"/>
    <w:rsid w:val="00113F73"/>
    <w:rsid w:val="001141F4"/>
    <w:rsid w:val="00121046"/>
    <w:rsid w:val="00121CC2"/>
    <w:rsid w:val="00131425"/>
    <w:rsid w:val="001339E6"/>
    <w:rsid w:val="00133EE5"/>
    <w:rsid w:val="00146763"/>
    <w:rsid w:val="001478EE"/>
    <w:rsid w:val="001527BA"/>
    <w:rsid w:val="00152CE9"/>
    <w:rsid w:val="0015515D"/>
    <w:rsid w:val="00160F89"/>
    <w:rsid w:val="0016379C"/>
    <w:rsid w:val="00167A34"/>
    <w:rsid w:val="00172347"/>
    <w:rsid w:val="00174038"/>
    <w:rsid w:val="001819EA"/>
    <w:rsid w:val="0018394A"/>
    <w:rsid w:val="00186F82"/>
    <w:rsid w:val="00191AD9"/>
    <w:rsid w:val="001921A3"/>
    <w:rsid w:val="00196CCD"/>
    <w:rsid w:val="001A24D9"/>
    <w:rsid w:val="001A6A9B"/>
    <w:rsid w:val="001A6E70"/>
    <w:rsid w:val="001A7870"/>
    <w:rsid w:val="001B3A00"/>
    <w:rsid w:val="001B42C6"/>
    <w:rsid w:val="001B56F4"/>
    <w:rsid w:val="001C0F8A"/>
    <w:rsid w:val="001C1B41"/>
    <w:rsid w:val="001D05C9"/>
    <w:rsid w:val="001D65EF"/>
    <w:rsid w:val="001E2FC2"/>
    <w:rsid w:val="001E344C"/>
    <w:rsid w:val="001E49E7"/>
    <w:rsid w:val="001E7291"/>
    <w:rsid w:val="001F0498"/>
    <w:rsid w:val="001F5661"/>
    <w:rsid w:val="001F7201"/>
    <w:rsid w:val="001F7C1E"/>
    <w:rsid w:val="00201F96"/>
    <w:rsid w:val="002024FA"/>
    <w:rsid w:val="00223A29"/>
    <w:rsid w:val="002250A3"/>
    <w:rsid w:val="00225190"/>
    <w:rsid w:val="00227133"/>
    <w:rsid w:val="00227A82"/>
    <w:rsid w:val="00234CB8"/>
    <w:rsid w:val="00235217"/>
    <w:rsid w:val="00240CC4"/>
    <w:rsid w:val="00243126"/>
    <w:rsid w:val="00246D1F"/>
    <w:rsid w:val="00247403"/>
    <w:rsid w:val="00247542"/>
    <w:rsid w:val="00251C32"/>
    <w:rsid w:val="002536EC"/>
    <w:rsid w:val="00254227"/>
    <w:rsid w:val="0025678C"/>
    <w:rsid w:val="00266B61"/>
    <w:rsid w:val="0026712A"/>
    <w:rsid w:val="002704DB"/>
    <w:rsid w:val="00272506"/>
    <w:rsid w:val="002736E8"/>
    <w:rsid w:val="002762F5"/>
    <w:rsid w:val="00291779"/>
    <w:rsid w:val="0029402A"/>
    <w:rsid w:val="0029599B"/>
    <w:rsid w:val="002A0AAE"/>
    <w:rsid w:val="002A164F"/>
    <w:rsid w:val="002A5820"/>
    <w:rsid w:val="002B095D"/>
    <w:rsid w:val="002B4477"/>
    <w:rsid w:val="002B67B3"/>
    <w:rsid w:val="002B6F4F"/>
    <w:rsid w:val="002D2B26"/>
    <w:rsid w:val="002D59D6"/>
    <w:rsid w:val="002D5DA7"/>
    <w:rsid w:val="002D7EA2"/>
    <w:rsid w:val="002E0230"/>
    <w:rsid w:val="002E187C"/>
    <w:rsid w:val="002E3DB7"/>
    <w:rsid w:val="002F1FED"/>
    <w:rsid w:val="002F6FA2"/>
    <w:rsid w:val="00302733"/>
    <w:rsid w:val="00306493"/>
    <w:rsid w:val="003071F7"/>
    <w:rsid w:val="00311183"/>
    <w:rsid w:val="00311DEB"/>
    <w:rsid w:val="00314078"/>
    <w:rsid w:val="00314FD4"/>
    <w:rsid w:val="0031535D"/>
    <w:rsid w:val="00322A52"/>
    <w:rsid w:val="003239B8"/>
    <w:rsid w:val="003242EF"/>
    <w:rsid w:val="00330D36"/>
    <w:rsid w:val="0033169F"/>
    <w:rsid w:val="00335B72"/>
    <w:rsid w:val="00341E1C"/>
    <w:rsid w:val="00344977"/>
    <w:rsid w:val="00346C95"/>
    <w:rsid w:val="00350CE2"/>
    <w:rsid w:val="00356185"/>
    <w:rsid w:val="003577A5"/>
    <w:rsid w:val="00360380"/>
    <w:rsid w:val="0036254A"/>
    <w:rsid w:val="003667D1"/>
    <w:rsid w:val="0037519E"/>
    <w:rsid w:val="00382ABE"/>
    <w:rsid w:val="00386959"/>
    <w:rsid w:val="00386CF0"/>
    <w:rsid w:val="0039144C"/>
    <w:rsid w:val="003A6BEF"/>
    <w:rsid w:val="003B33F4"/>
    <w:rsid w:val="003B5CC0"/>
    <w:rsid w:val="003B70FB"/>
    <w:rsid w:val="003B7279"/>
    <w:rsid w:val="003C531B"/>
    <w:rsid w:val="003C676B"/>
    <w:rsid w:val="003D3BC2"/>
    <w:rsid w:val="003D3D95"/>
    <w:rsid w:val="003E07DD"/>
    <w:rsid w:val="003E0A14"/>
    <w:rsid w:val="003E267A"/>
    <w:rsid w:val="003E5CDC"/>
    <w:rsid w:val="003E6CA1"/>
    <w:rsid w:val="003F5A8B"/>
    <w:rsid w:val="00401D83"/>
    <w:rsid w:val="00401DBA"/>
    <w:rsid w:val="004022A9"/>
    <w:rsid w:val="00402BE9"/>
    <w:rsid w:val="004050A7"/>
    <w:rsid w:val="00405F9C"/>
    <w:rsid w:val="004061C4"/>
    <w:rsid w:val="004065A8"/>
    <w:rsid w:val="00406D7B"/>
    <w:rsid w:val="0041526F"/>
    <w:rsid w:val="004165C2"/>
    <w:rsid w:val="00416833"/>
    <w:rsid w:val="00422977"/>
    <w:rsid w:val="0042401E"/>
    <w:rsid w:val="004240C9"/>
    <w:rsid w:val="004309CB"/>
    <w:rsid w:val="00434766"/>
    <w:rsid w:val="00436BC4"/>
    <w:rsid w:val="00441ECB"/>
    <w:rsid w:val="00444071"/>
    <w:rsid w:val="00445193"/>
    <w:rsid w:val="0044524C"/>
    <w:rsid w:val="00445C2D"/>
    <w:rsid w:val="004473F4"/>
    <w:rsid w:val="0045353C"/>
    <w:rsid w:val="00453D87"/>
    <w:rsid w:val="00454B83"/>
    <w:rsid w:val="00462C1B"/>
    <w:rsid w:val="00465818"/>
    <w:rsid w:val="00466456"/>
    <w:rsid w:val="00467186"/>
    <w:rsid w:val="00467B7E"/>
    <w:rsid w:val="00470B5B"/>
    <w:rsid w:val="00473BB4"/>
    <w:rsid w:val="00477592"/>
    <w:rsid w:val="00485953"/>
    <w:rsid w:val="00486F1C"/>
    <w:rsid w:val="00487A82"/>
    <w:rsid w:val="0049419D"/>
    <w:rsid w:val="004A12C7"/>
    <w:rsid w:val="004A4547"/>
    <w:rsid w:val="004A47CF"/>
    <w:rsid w:val="004A6A54"/>
    <w:rsid w:val="004B2AAA"/>
    <w:rsid w:val="004B332F"/>
    <w:rsid w:val="004B3A89"/>
    <w:rsid w:val="004C20D2"/>
    <w:rsid w:val="004C2312"/>
    <w:rsid w:val="004C49B3"/>
    <w:rsid w:val="004C4B62"/>
    <w:rsid w:val="004C4FB3"/>
    <w:rsid w:val="004C54C9"/>
    <w:rsid w:val="004D0AE0"/>
    <w:rsid w:val="004D28F7"/>
    <w:rsid w:val="004D4ABA"/>
    <w:rsid w:val="004D6025"/>
    <w:rsid w:val="004E2649"/>
    <w:rsid w:val="004E6F79"/>
    <w:rsid w:val="004F148A"/>
    <w:rsid w:val="004F4013"/>
    <w:rsid w:val="004F4270"/>
    <w:rsid w:val="004F626F"/>
    <w:rsid w:val="005008BC"/>
    <w:rsid w:val="00501399"/>
    <w:rsid w:val="005061BC"/>
    <w:rsid w:val="0050633D"/>
    <w:rsid w:val="00507BC4"/>
    <w:rsid w:val="005128E4"/>
    <w:rsid w:val="00512BFD"/>
    <w:rsid w:val="005133DB"/>
    <w:rsid w:val="00514504"/>
    <w:rsid w:val="005221E9"/>
    <w:rsid w:val="00525560"/>
    <w:rsid w:val="00525F6F"/>
    <w:rsid w:val="00533B56"/>
    <w:rsid w:val="00544C49"/>
    <w:rsid w:val="005516A1"/>
    <w:rsid w:val="005559EF"/>
    <w:rsid w:val="00556D8F"/>
    <w:rsid w:val="00560A39"/>
    <w:rsid w:val="00561C60"/>
    <w:rsid w:val="00563557"/>
    <w:rsid w:val="00567899"/>
    <w:rsid w:val="0057402A"/>
    <w:rsid w:val="005771D0"/>
    <w:rsid w:val="0058201B"/>
    <w:rsid w:val="0059191A"/>
    <w:rsid w:val="005921FF"/>
    <w:rsid w:val="00596D90"/>
    <w:rsid w:val="005A04D8"/>
    <w:rsid w:val="005A1DD8"/>
    <w:rsid w:val="005A24ED"/>
    <w:rsid w:val="005A52DF"/>
    <w:rsid w:val="005A635D"/>
    <w:rsid w:val="005A6D0E"/>
    <w:rsid w:val="005B3429"/>
    <w:rsid w:val="005B52B0"/>
    <w:rsid w:val="005B6806"/>
    <w:rsid w:val="005C4225"/>
    <w:rsid w:val="005D38F9"/>
    <w:rsid w:val="005E46A6"/>
    <w:rsid w:val="005E7B61"/>
    <w:rsid w:val="005F0DAD"/>
    <w:rsid w:val="005F0F33"/>
    <w:rsid w:val="005F12EB"/>
    <w:rsid w:val="005F247D"/>
    <w:rsid w:val="005F610D"/>
    <w:rsid w:val="006002AA"/>
    <w:rsid w:val="00600DEB"/>
    <w:rsid w:val="006048C5"/>
    <w:rsid w:val="006108FA"/>
    <w:rsid w:val="00613C70"/>
    <w:rsid w:val="00617983"/>
    <w:rsid w:val="006236D3"/>
    <w:rsid w:val="006240BC"/>
    <w:rsid w:val="00624815"/>
    <w:rsid w:val="00627B46"/>
    <w:rsid w:val="00627C9F"/>
    <w:rsid w:val="006311E9"/>
    <w:rsid w:val="00632354"/>
    <w:rsid w:val="00635421"/>
    <w:rsid w:val="006367DC"/>
    <w:rsid w:val="006371B7"/>
    <w:rsid w:val="006423A3"/>
    <w:rsid w:val="00642810"/>
    <w:rsid w:val="0064391B"/>
    <w:rsid w:val="006515DB"/>
    <w:rsid w:val="00652333"/>
    <w:rsid w:val="006542FF"/>
    <w:rsid w:val="00654872"/>
    <w:rsid w:val="00661A9D"/>
    <w:rsid w:val="006663D5"/>
    <w:rsid w:val="00667DF8"/>
    <w:rsid w:val="00672B36"/>
    <w:rsid w:val="0068009E"/>
    <w:rsid w:val="00684BFC"/>
    <w:rsid w:val="006872B8"/>
    <w:rsid w:val="00692219"/>
    <w:rsid w:val="006A17D2"/>
    <w:rsid w:val="006A3F10"/>
    <w:rsid w:val="006A73E6"/>
    <w:rsid w:val="006B2D5C"/>
    <w:rsid w:val="006C31B6"/>
    <w:rsid w:val="006C45A9"/>
    <w:rsid w:val="006C4EB1"/>
    <w:rsid w:val="006D0B74"/>
    <w:rsid w:val="006D0F37"/>
    <w:rsid w:val="006D5973"/>
    <w:rsid w:val="006E0166"/>
    <w:rsid w:val="006E0CB2"/>
    <w:rsid w:val="006E2CF0"/>
    <w:rsid w:val="006E2FFB"/>
    <w:rsid w:val="006E7B34"/>
    <w:rsid w:val="006F42DC"/>
    <w:rsid w:val="006F6183"/>
    <w:rsid w:val="006F668F"/>
    <w:rsid w:val="00702696"/>
    <w:rsid w:val="0070697F"/>
    <w:rsid w:val="0071759F"/>
    <w:rsid w:val="0072199C"/>
    <w:rsid w:val="00722C9F"/>
    <w:rsid w:val="00723FBA"/>
    <w:rsid w:val="00724EAD"/>
    <w:rsid w:val="007253B8"/>
    <w:rsid w:val="0073078A"/>
    <w:rsid w:val="00734CA5"/>
    <w:rsid w:val="0073741F"/>
    <w:rsid w:val="00744F21"/>
    <w:rsid w:val="00744FFD"/>
    <w:rsid w:val="0074728A"/>
    <w:rsid w:val="007537AD"/>
    <w:rsid w:val="00760A44"/>
    <w:rsid w:val="0076643F"/>
    <w:rsid w:val="00777F63"/>
    <w:rsid w:val="00782965"/>
    <w:rsid w:val="00791F8D"/>
    <w:rsid w:val="007A20DA"/>
    <w:rsid w:val="007A21A8"/>
    <w:rsid w:val="007A5817"/>
    <w:rsid w:val="007A5A83"/>
    <w:rsid w:val="007A677F"/>
    <w:rsid w:val="007B05C4"/>
    <w:rsid w:val="007B27BC"/>
    <w:rsid w:val="007B60E9"/>
    <w:rsid w:val="007B6CC3"/>
    <w:rsid w:val="007B76D3"/>
    <w:rsid w:val="007B7742"/>
    <w:rsid w:val="007C2845"/>
    <w:rsid w:val="007C3334"/>
    <w:rsid w:val="007C5276"/>
    <w:rsid w:val="007C7562"/>
    <w:rsid w:val="007D2B98"/>
    <w:rsid w:val="007E1BE1"/>
    <w:rsid w:val="007E21BC"/>
    <w:rsid w:val="007E4735"/>
    <w:rsid w:val="007E7C82"/>
    <w:rsid w:val="007F1976"/>
    <w:rsid w:val="007F2697"/>
    <w:rsid w:val="007F2AA1"/>
    <w:rsid w:val="007F588D"/>
    <w:rsid w:val="00803F1C"/>
    <w:rsid w:val="0080493E"/>
    <w:rsid w:val="00804C15"/>
    <w:rsid w:val="0080515A"/>
    <w:rsid w:val="0080600E"/>
    <w:rsid w:val="00807301"/>
    <w:rsid w:val="0081242B"/>
    <w:rsid w:val="00814688"/>
    <w:rsid w:val="00815838"/>
    <w:rsid w:val="008167F1"/>
    <w:rsid w:val="00817612"/>
    <w:rsid w:val="00823D85"/>
    <w:rsid w:val="00824CAE"/>
    <w:rsid w:val="008267B7"/>
    <w:rsid w:val="008338A4"/>
    <w:rsid w:val="00834D49"/>
    <w:rsid w:val="00835C86"/>
    <w:rsid w:val="00837C45"/>
    <w:rsid w:val="008401ED"/>
    <w:rsid w:val="00840541"/>
    <w:rsid w:val="00844730"/>
    <w:rsid w:val="008457C2"/>
    <w:rsid w:val="0085400F"/>
    <w:rsid w:val="00855ADB"/>
    <w:rsid w:val="00857A82"/>
    <w:rsid w:val="0086114F"/>
    <w:rsid w:val="00863330"/>
    <w:rsid w:val="00865127"/>
    <w:rsid w:val="00865EB8"/>
    <w:rsid w:val="0086648B"/>
    <w:rsid w:val="00870A50"/>
    <w:rsid w:val="00873836"/>
    <w:rsid w:val="0087706D"/>
    <w:rsid w:val="008823D9"/>
    <w:rsid w:val="008836F9"/>
    <w:rsid w:val="00884A44"/>
    <w:rsid w:val="00885737"/>
    <w:rsid w:val="00890650"/>
    <w:rsid w:val="00897C3D"/>
    <w:rsid w:val="00897E12"/>
    <w:rsid w:val="008A1E2F"/>
    <w:rsid w:val="008A58ED"/>
    <w:rsid w:val="008A7E0F"/>
    <w:rsid w:val="008B12F5"/>
    <w:rsid w:val="008B34D9"/>
    <w:rsid w:val="008B6990"/>
    <w:rsid w:val="008C5E2D"/>
    <w:rsid w:val="008D768D"/>
    <w:rsid w:val="008E26B4"/>
    <w:rsid w:val="008E3759"/>
    <w:rsid w:val="008E3BFE"/>
    <w:rsid w:val="008F1912"/>
    <w:rsid w:val="008F383F"/>
    <w:rsid w:val="0090270B"/>
    <w:rsid w:val="00903188"/>
    <w:rsid w:val="009041DC"/>
    <w:rsid w:val="009058B5"/>
    <w:rsid w:val="009115AD"/>
    <w:rsid w:val="00912A07"/>
    <w:rsid w:val="009132E0"/>
    <w:rsid w:val="009135C4"/>
    <w:rsid w:val="00916C1D"/>
    <w:rsid w:val="00917B5A"/>
    <w:rsid w:val="00920A58"/>
    <w:rsid w:val="00920A8C"/>
    <w:rsid w:val="009275AF"/>
    <w:rsid w:val="00934A2C"/>
    <w:rsid w:val="00934D36"/>
    <w:rsid w:val="00961AC7"/>
    <w:rsid w:val="009648CE"/>
    <w:rsid w:val="0096706E"/>
    <w:rsid w:val="00974491"/>
    <w:rsid w:val="00975C4E"/>
    <w:rsid w:val="00981111"/>
    <w:rsid w:val="00981836"/>
    <w:rsid w:val="00981FBA"/>
    <w:rsid w:val="0098262E"/>
    <w:rsid w:val="00983F29"/>
    <w:rsid w:val="00986D57"/>
    <w:rsid w:val="009900E8"/>
    <w:rsid w:val="0099241F"/>
    <w:rsid w:val="00997BC5"/>
    <w:rsid w:val="009A4F41"/>
    <w:rsid w:val="009A5509"/>
    <w:rsid w:val="009A609D"/>
    <w:rsid w:val="009A73D1"/>
    <w:rsid w:val="009B01E2"/>
    <w:rsid w:val="009B0264"/>
    <w:rsid w:val="009B11CC"/>
    <w:rsid w:val="009B381B"/>
    <w:rsid w:val="009C22B6"/>
    <w:rsid w:val="009D1753"/>
    <w:rsid w:val="009D2008"/>
    <w:rsid w:val="009D426B"/>
    <w:rsid w:val="009D6A64"/>
    <w:rsid w:val="009D7611"/>
    <w:rsid w:val="009E0B61"/>
    <w:rsid w:val="009E0F16"/>
    <w:rsid w:val="009E231F"/>
    <w:rsid w:val="009E53DE"/>
    <w:rsid w:val="009F0442"/>
    <w:rsid w:val="009F0C0F"/>
    <w:rsid w:val="009F3B79"/>
    <w:rsid w:val="009F5A21"/>
    <w:rsid w:val="009F740B"/>
    <w:rsid w:val="00A11212"/>
    <w:rsid w:val="00A11E44"/>
    <w:rsid w:val="00A12BB5"/>
    <w:rsid w:val="00A1510A"/>
    <w:rsid w:val="00A15DAC"/>
    <w:rsid w:val="00A16F37"/>
    <w:rsid w:val="00A207CA"/>
    <w:rsid w:val="00A24C00"/>
    <w:rsid w:val="00A30100"/>
    <w:rsid w:val="00A328B3"/>
    <w:rsid w:val="00A36247"/>
    <w:rsid w:val="00A413D6"/>
    <w:rsid w:val="00A425DB"/>
    <w:rsid w:val="00A4362C"/>
    <w:rsid w:val="00A44CE4"/>
    <w:rsid w:val="00A471D4"/>
    <w:rsid w:val="00A50FCF"/>
    <w:rsid w:val="00A528D1"/>
    <w:rsid w:val="00A570C2"/>
    <w:rsid w:val="00A5748A"/>
    <w:rsid w:val="00A610CD"/>
    <w:rsid w:val="00A758AA"/>
    <w:rsid w:val="00A81D3A"/>
    <w:rsid w:val="00A97DA9"/>
    <w:rsid w:val="00AA09A2"/>
    <w:rsid w:val="00AA1C9C"/>
    <w:rsid w:val="00AA3DCE"/>
    <w:rsid w:val="00AA4A17"/>
    <w:rsid w:val="00AA7996"/>
    <w:rsid w:val="00AB3C18"/>
    <w:rsid w:val="00AB7136"/>
    <w:rsid w:val="00AC19CB"/>
    <w:rsid w:val="00AC1C3A"/>
    <w:rsid w:val="00AC21C0"/>
    <w:rsid w:val="00AC7891"/>
    <w:rsid w:val="00AD57E8"/>
    <w:rsid w:val="00AD5D0C"/>
    <w:rsid w:val="00AE5488"/>
    <w:rsid w:val="00AE6F91"/>
    <w:rsid w:val="00AF5571"/>
    <w:rsid w:val="00AF6700"/>
    <w:rsid w:val="00B07341"/>
    <w:rsid w:val="00B10905"/>
    <w:rsid w:val="00B10AF0"/>
    <w:rsid w:val="00B11F71"/>
    <w:rsid w:val="00B1369C"/>
    <w:rsid w:val="00B148C4"/>
    <w:rsid w:val="00B15ABA"/>
    <w:rsid w:val="00B17BFE"/>
    <w:rsid w:val="00B30539"/>
    <w:rsid w:val="00B31180"/>
    <w:rsid w:val="00B314DB"/>
    <w:rsid w:val="00B32477"/>
    <w:rsid w:val="00B361F2"/>
    <w:rsid w:val="00B3718B"/>
    <w:rsid w:val="00B3745F"/>
    <w:rsid w:val="00B3754A"/>
    <w:rsid w:val="00B4104C"/>
    <w:rsid w:val="00B4632A"/>
    <w:rsid w:val="00B46493"/>
    <w:rsid w:val="00B51BE5"/>
    <w:rsid w:val="00B530F1"/>
    <w:rsid w:val="00B622A0"/>
    <w:rsid w:val="00B62A95"/>
    <w:rsid w:val="00B722E0"/>
    <w:rsid w:val="00B77C19"/>
    <w:rsid w:val="00B82E09"/>
    <w:rsid w:val="00B83EC7"/>
    <w:rsid w:val="00B8446C"/>
    <w:rsid w:val="00B94FF6"/>
    <w:rsid w:val="00BA276C"/>
    <w:rsid w:val="00BB1191"/>
    <w:rsid w:val="00BB306F"/>
    <w:rsid w:val="00BB3AD3"/>
    <w:rsid w:val="00BB79B2"/>
    <w:rsid w:val="00BC06A6"/>
    <w:rsid w:val="00BC1ABD"/>
    <w:rsid w:val="00BD052E"/>
    <w:rsid w:val="00BD4B89"/>
    <w:rsid w:val="00BD5922"/>
    <w:rsid w:val="00BE7866"/>
    <w:rsid w:val="00BF02CB"/>
    <w:rsid w:val="00BF2C2A"/>
    <w:rsid w:val="00BF6FD8"/>
    <w:rsid w:val="00C00B55"/>
    <w:rsid w:val="00C03680"/>
    <w:rsid w:val="00C054DF"/>
    <w:rsid w:val="00C06BE2"/>
    <w:rsid w:val="00C109BE"/>
    <w:rsid w:val="00C12352"/>
    <w:rsid w:val="00C140A7"/>
    <w:rsid w:val="00C21395"/>
    <w:rsid w:val="00C21762"/>
    <w:rsid w:val="00C21FEF"/>
    <w:rsid w:val="00C23BA4"/>
    <w:rsid w:val="00C24543"/>
    <w:rsid w:val="00C256A2"/>
    <w:rsid w:val="00C25ADB"/>
    <w:rsid w:val="00C25C23"/>
    <w:rsid w:val="00C2718D"/>
    <w:rsid w:val="00C362D1"/>
    <w:rsid w:val="00C45A87"/>
    <w:rsid w:val="00C47E6E"/>
    <w:rsid w:val="00C51515"/>
    <w:rsid w:val="00C5660B"/>
    <w:rsid w:val="00C56BE8"/>
    <w:rsid w:val="00C661B7"/>
    <w:rsid w:val="00C66B72"/>
    <w:rsid w:val="00C72E7F"/>
    <w:rsid w:val="00C755E9"/>
    <w:rsid w:val="00C81177"/>
    <w:rsid w:val="00C852B1"/>
    <w:rsid w:val="00C87AC4"/>
    <w:rsid w:val="00C91E6C"/>
    <w:rsid w:val="00C94BA6"/>
    <w:rsid w:val="00C950E9"/>
    <w:rsid w:val="00C9567A"/>
    <w:rsid w:val="00CA05CE"/>
    <w:rsid w:val="00CA1D6B"/>
    <w:rsid w:val="00CA20DE"/>
    <w:rsid w:val="00CB212D"/>
    <w:rsid w:val="00CB2660"/>
    <w:rsid w:val="00CB6C08"/>
    <w:rsid w:val="00CC4AC6"/>
    <w:rsid w:val="00CC5E90"/>
    <w:rsid w:val="00CD046C"/>
    <w:rsid w:val="00CD5E32"/>
    <w:rsid w:val="00CE076C"/>
    <w:rsid w:val="00CE14C2"/>
    <w:rsid w:val="00CE2EEB"/>
    <w:rsid w:val="00CE43D8"/>
    <w:rsid w:val="00CE5199"/>
    <w:rsid w:val="00CE66D5"/>
    <w:rsid w:val="00CF637A"/>
    <w:rsid w:val="00D0053A"/>
    <w:rsid w:val="00D01C78"/>
    <w:rsid w:val="00D029F8"/>
    <w:rsid w:val="00D059DE"/>
    <w:rsid w:val="00D05ABD"/>
    <w:rsid w:val="00D05BF6"/>
    <w:rsid w:val="00D061BD"/>
    <w:rsid w:val="00D078B1"/>
    <w:rsid w:val="00D13BBC"/>
    <w:rsid w:val="00D13BC5"/>
    <w:rsid w:val="00D13FCE"/>
    <w:rsid w:val="00D143FC"/>
    <w:rsid w:val="00D21997"/>
    <w:rsid w:val="00D2425E"/>
    <w:rsid w:val="00D306D1"/>
    <w:rsid w:val="00D30800"/>
    <w:rsid w:val="00D340A0"/>
    <w:rsid w:val="00D34786"/>
    <w:rsid w:val="00D37BFC"/>
    <w:rsid w:val="00D4664C"/>
    <w:rsid w:val="00D47A8E"/>
    <w:rsid w:val="00D52D14"/>
    <w:rsid w:val="00D60C70"/>
    <w:rsid w:val="00D712D3"/>
    <w:rsid w:val="00D71422"/>
    <w:rsid w:val="00D72DC6"/>
    <w:rsid w:val="00D7420F"/>
    <w:rsid w:val="00D7558D"/>
    <w:rsid w:val="00D81D92"/>
    <w:rsid w:val="00D876F9"/>
    <w:rsid w:val="00D90655"/>
    <w:rsid w:val="00D93E2F"/>
    <w:rsid w:val="00DA23CF"/>
    <w:rsid w:val="00DA4E2E"/>
    <w:rsid w:val="00DA7B5F"/>
    <w:rsid w:val="00DB0674"/>
    <w:rsid w:val="00DB224E"/>
    <w:rsid w:val="00DB5600"/>
    <w:rsid w:val="00DC04F4"/>
    <w:rsid w:val="00DC11E7"/>
    <w:rsid w:val="00DC24E3"/>
    <w:rsid w:val="00DC38BF"/>
    <w:rsid w:val="00DC7023"/>
    <w:rsid w:val="00DC769A"/>
    <w:rsid w:val="00DD3D86"/>
    <w:rsid w:val="00DD4AD2"/>
    <w:rsid w:val="00DD529C"/>
    <w:rsid w:val="00DD5AF3"/>
    <w:rsid w:val="00DE45D7"/>
    <w:rsid w:val="00DF1EC4"/>
    <w:rsid w:val="00DF5C5B"/>
    <w:rsid w:val="00E01A4E"/>
    <w:rsid w:val="00E0340B"/>
    <w:rsid w:val="00E04A90"/>
    <w:rsid w:val="00E0551F"/>
    <w:rsid w:val="00E2174B"/>
    <w:rsid w:val="00E219C7"/>
    <w:rsid w:val="00E228C8"/>
    <w:rsid w:val="00E4118C"/>
    <w:rsid w:val="00E43157"/>
    <w:rsid w:val="00E4346E"/>
    <w:rsid w:val="00E439F2"/>
    <w:rsid w:val="00E4447C"/>
    <w:rsid w:val="00E461CE"/>
    <w:rsid w:val="00E50F18"/>
    <w:rsid w:val="00E51695"/>
    <w:rsid w:val="00E573E4"/>
    <w:rsid w:val="00E64C3D"/>
    <w:rsid w:val="00E720CA"/>
    <w:rsid w:val="00E72DDF"/>
    <w:rsid w:val="00E74D7E"/>
    <w:rsid w:val="00E76B6D"/>
    <w:rsid w:val="00E8415D"/>
    <w:rsid w:val="00E84EB5"/>
    <w:rsid w:val="00E85662"/>
    <w:rsid w:val="00E8789F"/>
    <w:rsid w:val="00E87E14"/>
    <w:rsid w:val="00E900BC"/>
    <w:rsid w:val="00E912AF"/>
    <w:rsid w:val="00E9174D"/>
    <w:rsid w:val="00E97B71"/>
    <w:rsid w:val="00EA3D34"/>
    <w:rsid w:val="00EA42E4"/>
    <w:rsid w:val="00EB242F"/>
    <w:rsid w:val="00EB454D"/>
    <w:rsid w:val="00EC1474"/>
    <w:rsid w:val="00EC247C"/>
    <w:rsid w:val="00ED2AC8"/>
    <w:rsid w:val="00ED549D"/>
    <w:rsid w:val="00ED76BE"/>
    <w:rsid w:val="00EE00E9"/>
    <w:rsid w:val="00EE0D78"/>
    <w:rsid w:val="00EE1672"/>
    <w:rsid w:val="00EF1592"/>
    <w:rsid w:val="00EF1AAA"/>
    <w:rsid w:val="00EF3167"/>
    <w:rsid w:val="00EF39D7"/>
    <w:rsid w:val="00EF619B"/>
    <w:rsid w:val="00F00B55"/>
    <w:rsid w:val="00F02AD1"/>
    <w:rsid w:val="00F05C68"/>
    <w:rsid w:val="00F07005"/>
    <w:rsid w:val="00F103BB"/>
    <w:rsid w:val="00F11BAE"/>
    <w:rsid w:val="00F13A91"/>
    <w:rsid w:val="00F13C48"/>
    <w:rsid w:val="00F143C0"/>
    <w:rsid w:val="00F16B93"/>
    <w:rsid w:val="00F225A0"/>
    <w:rsid w:val="00F253CC"/>
    <w:rsid w:val="00F25A13"/>
    <w:rsid w:val="00F26135"/>
    <w:rsid w:val="00F27432"/>
    <w:rsid w:val="00F27FCB"/>
    <w:rsid w:val="00F30AEB"/>
    <w:rsid w:val="00F31341"/>
    <w:rsid w:val="00F37106"/>
    <w:rsid w:val="00F37731"/>
    <w:rsid w:val="00F37870"/>
    <w:rsid w:val="00F411F2"/>
    <w:rsid w:val="00F44E25"/>
    <w:rsid w:val="00F46CA4"/>
    <w:rsid w:val="00F519CF"/>
    <w:rsid w:val="00F55058"/>
    <w:rsid w:val="00F56BA5"/>
    <w:rsid w:val="00F57095"/>
    <w:rsid w:val="00F576DC"/>
    <w:rsid w:val="00F60E22"/>
    <w:rsid w:val="00F7239D"/>
    <w:rsid w:val="00F730E9"/>
    <w:rsid w:val="00F7315B"/>
    <w:rsid w:val="00F81395"/>
    <w:rsid w:val="00F81BB8"/>
    <w:rsid w:val="00F87CC0"/>
    <w:rsid w:val="00F90C64"/>
    <w:rsid w:val="00F911E5"/>
    <w:rsid w:val="00F917D1"/>
    <w:rsid w:val="00F933FC"/>
    <w:rsid w:val="00F9653B"/>
    <w:rsid w:val="00FA0456"/>
    <w:rsid w:val="00FA1333"/>
    <w:rsid w:val="00FB3FEF"/>
    <w:rsid w:val="00FB4072"/>
    <w:rsid w:val="00FB4BA7"/>
    <w:rsid w:val="00FB62CF"/>
    <w:rsid w:val="00FC0B6A"/>
    <w:rsid w:val="00FD2506"/>
    <w:rsid w:val="00FD3C3B"/>
    <w:rsid w:val="00FD7DF9"/>
    <w:rsid w:val="00FE07DD"/>
    <w:rsid w:val="00FE1A14"/>
    <w:rsid w:val="00FE2907"/>
    <w:rsid w:val="00FE6B45"/>
    <w:rsid w:val="00FF021E"/>
    <w:rsid w:val="00FF1BEE"/>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314FD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4A4547"/>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styleId="CommentReference">
    <w:name w:val="annotation reference"/>
    <w:basedOn w:val="DefaultParagraphFont"/>
    <w:uiPriority w:val="99"/>
    <w:semiHidden/>
    <w:unhideWhenUsed/>
    <w:rsid w:val="00A471D4"/>
    <w:rPr>
      <w:sz w:val="16"/>
      <w:szCs w:val="16"/>
    </w:rPr>
  </w:style>
  <w:style w:type="paragraph" w:styleId="CommentText">
    <w:name w:val="annotation text"/>
    <w:basedOn w:val="Normal"/>
    <w:link w:val="CommentTextChar"/>
    <w:uiPriority w:val="99"/>
    <w:semiHidden/>
    <w:unhideWhenUsed/>
    <w:rsid w:val="00A471D4"/>
    <w:rPr>
      <w:sz w:val="20"/>
      <w:szCs w:val="20"/>
    </w:rPr>
  </w:style>
  <w:style w:type="character" w:customStyle="1" w:styleId="CommentTextChar">
    <w:name w:val="Comment Text Char"/>
    <w:basedOn w:val="DefaultParagraphFont"/>
    <w:link w:val="CommentText"/>
    <w:uiPriority w:val="99"/>
    <w:semiHidden/>
    <w:rsid w:val="00A471D4"/>
    <w:rPr>
      <w:lang w:val="en-US" w:eastAsia="en-US"/>
    </w:rPr>
  </w:style>
  <w:style w:type="paragraph" w:styleId="CommentSubject">
    <w:name w:val="annotation subject"/>
    <w:basedOn w:val="CommentText"/>
    <w:next w:val="CommentText"/>
    <w:link w:val="CommentSubjectChar"/>
    <w:uiPriority w:val="99"/>
    <w:semiHidden/>
    <w:unhideWhenUsed/>
    <w:rsid w:val="00A471D4"/>
    <w:rPr>
      <w:b/>
      <w:bCs/>
    </w:rPr>
  </w:style>
  <w:style w:type="character" w:customStyle="1" w:styleId="CommentSubjectChar">
    <w:name w:val="Comment Subject Char"/>
    <w:basedOn w:val="CommentTextChar"/>
    <w:link w:val="CommentSubject"/>
    <w:uiPriority w:val="99"/>
    <w:semiHidden/>
    <w:rsid w:val="00A471D4"/>
    <w:rPr>
      <w:b/>
      <w:bCs/>
      <w:lang w:val="en-US" w:eastAsia="en-US"/>
    </w:rPr>
  </w:style>
  <w:style w:type="paragraph" w:styleId="Revision">
    <w:name w:val="Revision"/>
    <w:hidden/>
    <w:uiPriority w:val="99"/>
    <w:semiHidden/>
    <w:rsid w:val="005F12E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paragraph">
    <w:name w:val="paragraph"/>
    <w:basedOn w:val="Normal"/>
    <w:rsid w:val="006423A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6423A3"/>
  </w:style>
  <w:style w:type="character" w:customStyle="1" w:styleId="eop">
    <w:name w:val="eop"/>
    <w:basedOn w:val="DefaultParagraphFont"/>
    <w:rsid w:val="00642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42907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04AE"/>
    <w:rsid w:val="001940A1"/>
    <w:rsid w:val="00196AF1"/>
    <w:rsid w:val="001E66FE"/>
    <w:rsid w:val="00200821"/>
    <w:rsid w:val="0025245B"/>
    <w:rsid w:val="002A3923"/>
    <w:rsid w:val="003200CD"/>
    <w:rsid w:val="00394049"/>
    <w:rsid w:val="003F6C18"/>
    <w:rsid w:val="004B5BBB"/>
    <w:rsid w:val="004D13B0"/>
    <w:rsid w:val="004F2DF8"/>
    <w:rsid w:val="0061797F"/>
    <w:rsid w:val="00661086"/>
    <w:rsid w:val="006F24A1"/>
    <w:rsid w:val="007376C5"/>
    <w:rsid w:val="00792D33"/>
    <w:rsid w:val="00801FF1"/>
    <w:rsid w:val="00815DE5"/>
    <w:rsid w:val="008214F2"/>
    <w:rsid w:val="00886A41"/>
    <w:rsid w:val="00893E87"/>
    <w:rsid w:val="00950A8E"/>
    <w:rsid w:val="009A261B"/>
    <w:rsid w:val="009E257B"/>
    <w:rsid w:val="009F171F"/>
    <w:rsid w:val="009F1D8E"/>
    <w:rsid w:val="009F4BCF"/>
    <w:rsid w:val="00A576CB"/>
    <w:rsid w:val="00AA2E17"/>
    <w:rsid w:val="00AC15A4"/>
    <w:rsid w:val="00B0336C"/>
    <w:rsid w:val="00BE03D6"/>
    <w:rsid w:val="00CE1D10"/>
    <w:rsid w:val="00D241E9"/>
    <w:rsid w:val="00D7750D"/>
    <w:rsid w:val="00D80801"/>
    <w:rsid w:val="00D86795"/>
    <w:rsid w:val="00DA3189"/>
    <w:rsid w:val="00DC3937"/>
    <w:rsid w:val="00E40BA5"/>
    <w:rsid w:val="00F00D2F"/>
    <w:rsid w:val="00F128DF"/>
    <w:rsid w:val="00F45B38"/>
    <w:rsid w:val="00F731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3065</Words>
  <Characters>17473</Characters>
  <Application>Microsoft Office Word</Application>
  <DocSecurity>0</DocSecurity>
  <Lines>145</Lines>
  <Paragraphs>40</Paragraphs>
  <ScaleCrop>false</ScaleCrop>
  <Company/>
  <LinksUpToDate>false</LinksUpToDate>
  <CharactersWithSpaces>20498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2024-05-28T15:24:00Z</dcterms:created>
  <dcterms:modified xsi:type="dcterms:W3CDTF">2024-05-28T15:24:00Z</dcterms:modified>
</cp:coreProperties>
</file>