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F0CF" w14:textId="77777777" w:rsidR="00DD5117" w:rsidRDefault="00DD5117" w:rsidP="00DD5117">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3770F8F3" wp14:editId="040B4C63">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407E17BB" wp14:editId="40612964">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6A7DAD9A" wp14:editId="7279E9B3">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1B3493" w14:textId="77777777" w:rsidR="00DD5117" w:rsidRPr="00411A74" w:rsidRDefault="00DD5117" w:rsidP="00DD5117">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45FE83EA" w14:textId="7A702403" w:rsidR="00271D1D" w:rsidRPr="00271D1D" w:rsidRDefault="00DD5117" w:rsidP="00DD5117">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0" w:type="auto"/>
        <w:tblLook w:val="04A0" w:firstRow="1" w:lastRow="0" w:firstColumn="1" w:lastColumn="0" w:noHBand="0" w:noVBand="1"/>
      </w:tblPr>
      <w:tblGrid>
        <w:gridCol w:w="3936"/>
        <w:gridCol w:w="2149"/>
        <w:gridCol w:w="2636"/>
      </w:tblGrid>
      <w:tr w:rsidR="005173CF" w:rsidRPr="00271D1D" w14:paraId="01A2F61A" w14:textId="77777777" w:rsidTr="00271D1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271D1D" w:rsidRDefault="00AC6F31" w:rsidP="00AC6F31">
            <w:pPr>
              <w:pStyle w:val="ListParagraph"/>
              <w:rPr>
                <w:rFonts w:ascii="Calibri Light" w:hAnsi="Calibri Light"/>
              </w:rPr>
            </w:pPr>
          </w:p>
          <w:p w14:paraId="160CE2AC" w14:textId="77777777" w:rsidR="00212F62" w:rsidRPr="00271D1D" w:rsidRDefault="007A6C56" w:rsidP="00AC6F31">
            <w:pPr>
              <w:pStyle w:val="ListParagraph"/>
              <w:numPr>
                <w:ilvl w:val="0"/>
                <w:numId w:val="2"/>
              </w:numPr>
              <w:jc w:val="center"/>
              <w:rPr>
                <w:rFonts w:ascii="Calibri Light" w:hAnsi="Calibri Light"/>
              </w:rPr>
            </w:pPr>
            <w:r w:rsidRPr="00271D1D">
              <w:rPr>
                <w:rFonts w:ascii="Calibri Light" w:hAnsi="Calibri Light"/>
              </w:rPr>
              <w:t>Datos generales</w:t>
            </w:r>
          </w:p>
          <w:p w14:paraId="6C5B323B" w14:textId="6BA3A748" w:rsidR="00AC6F31" w:rsidRPr="00271D1D" w:rsidRDefault="00AC6F31" w:rsidP="00AC6F31">
            <w:pPr>
              <w:pStyle w:val="ListParagraph"/>
              <w:rPr>
                <w:rFonts w:ascii="Calibri Light" w:hAnsi="Calibri Light"/>
              </w:rPr>
            </w:pPr>
          </w:p>
        </w:tc>
      </w:tr>
      <w:tr w:rsidR="004533E5" w:rsidRPr="00271D1D" w14:paraId="275AD1EA" w14:textId="77777777" w:rsidTr="00FC256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936" w:type="dxa"/>
          </w:tcPr>
          <w:p w14:paraId="63C7EFE0" w14:textId="77777777" w:rsidR="005173CF" w:rsidRPr="00271D1D" w:rsidRDefault="007A6C56" w:rsidP="00A65231">
            <w:pPr>
              <w:pStyle w:val="ListParagraph"/>
              <w:numPr>
                <w:ilvl w:val="0"/>
                <w:numId w:val="3"/>
              </w:numPr>
              <w:rPr>
                <w:rFonts w:ascii="Calibri Light" w:hAnsi="Calibri Light"/>
              </w:rPr>
            </w:pPr>
            <w:r w:rsidRPr="00271D1D">
              <w:rPr>
                <w:rFonts w:ascii="Calibri Light" w:hAnsi="Calibri Light"/>
              </w:rPr>
              <w:t>Nombre del caso</w:t>
            </w:r>
          </w:p>
        </w:tc>
        <w:tc>
          <w:tcPr>
            <w:tcW w:w="4785" w:type="dxa"/>
            <w:gridSpan w:val="2"/>
          </w:tcPr>
          <w:p w14:paraId="084A5991" w14:textId="401EFD75" w:rsidR="005173CF" w:rsidRPr="00271D1D" w:rsidRDefault="00076EBC" w:rsidP="00230F24">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271D1D">
              <w:rPr>
                <w:rFonts w:ascii="Calibri Light" w:hAnsi="Calibri Light"/>
              </w:rPr>
              <w:t>Tulio Alberto Álvarez</w:t>
            </w:r>
            <w:r w:rsidR="00230F24" w:rsidRPr="00271D1D">
              <w:rPr>
                <w:rFonts w:ascii="Calibri Light" w:hAnsi="Calibri Light"/>
              </w:rPr>
              <w:t xml:space="preserve">, </w:t>
            </w:r>
            <w:r w:rsidRPr="00271D1D">
              <w:rPr>
                <w:rFonts w:ascii="Calibri Light" w:hAnsi="Calibri Light"/>
              </w:rPr>
              <w:t>Venezuela</w:t>
            </w:r>
          </w:p>
        </w:tc>
      </w:tr>
      <w:tr w:rsidR="00F464EC" w:rsidRPr="00271D1D" w14:paraId="59A6A8A1" w14:textId="77777777" w:rsidTr="00FC2568">
        <w:trPr>
          <w:trHeight w:val="263"/>
        </w:trPr>
        <w:tc>
          <w:tcPr>
            <w:cnfStyle w:val="001000000000" w:firstRow="0" w:lastRow="0" w:firstColumn="1" w:lastColumn="0" w:oddVBand="0" w:evenVBand="0" w:oddHBand="0" w:evenHBand="0" w:firstRowFirstColumn="0" w:firstRowLastColumn="0" w:lastRowFirstColumn="0" w:lastRowLastColumn="0"/>
            <w:tcW w:w="3936" w:type="dxa"/>
          </w:tcPr>
          <w:p w14:paraId="7FA9FC90" w14:textId="05B887C5" w:rsidR="00F464EC" w:rsidRPr="00271D1D" w:rsidRDefault="00230F24" w:rsidP="00A65231">
            <w:pPr>
              <w:pStyle w:val="ListParagraph"/>
              <w:numPr>
                <w:ilvl w:val="0"/>
                <w:numId w:val="3"/>
              </w:numPr>
              <w:rPr>
                <w:rFonts w:ascii="Calibri Light" w:hAnsi="Calibri Light"/>
              </w:rPr>
            </w:pPr>
            <w:r w:rsidRPr="00271D1D">
              <w:rPr>
                <w:rFonts w:ascii="Calibri Light" w:hAnsi="Calibri Light"/>
              </w:rPr>
              <w:t>Parte peticionaria</w:t>
            </w:r>
          </w:p>
        </w:tc>
        <w:tc>
          <w:tcPr>
            <w:tcW w:w="4785" w:type="dxa"/>
            <w:gridSpan w:val="2"/>
          </w:tcPr>
          <w:p w14:paraId="374B2A68" w14:textId="69308AA3" w:rsidR="00F464EC" w:rsidRPr="00271D1D" w:rsidRDefault="005C35DD" w:rsidP="00076EB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71D1D">
              <w:rPr>
                <w:rFonts w:ascii="Calibri Light" w:hAnsi="Calibri Light"/>
              </w:rPr>
              <w:t>Tulio Alberto Álvarez</w:t>
            </w:r>
            <w:r w:rsidR="0032141E" w:rsidRPr="00271D1D">
              <w:rPr>
                <w:rFonts w:ascii="Calibri Light" w:hAnsi="Calibri Light"/>
              </w:rPr>
              <w:t xml:space="preserve"> </w:t>
            </w:r>
          </w:p>
        </w:tc>
      </w:tr>
      <w:tr w:rsidR="005173CF" w:rsidRPr="00271D1D" w14:paraId="3A483B4F" w14:textId="77777777" w:rsidTr="00FC256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36" w:type="dxa"/>
          </w:tcPr>
          <w:p w14:paraId="6233C75C" w14:textId="77777777" w:rsidR="005173CF" w:rsidRPr="00271D1D" w:rsidRDefault="007A6C56" w:rsidP="00A65231">
            <w:pPr>
              <w:pStyle w:val="ListParagraph"/>
              <w:numPr>
                <w:ilvl w:val="0"/>
                <w:numId w:val="3"/>
              </w:numPr>
              <w:rPr>
                <w:rFonts w:ascii="Calibri Light" w:hAnsi="Calibri Light"/>
              </w:rPr>
            </w:pPr>
            <w:r w:rsidRPr="00271D1D">
              <w:rPr>
                <w:rFonts w:ascii="Calibri Light" w:hAnsi="Calibri Light"/>
              </w:rPr>
              <w:t xml:space="preserve">Número de Informe </w:t>
            </w:r>
          </w:p>
        </w:tc>
        <w:tc>
          <w:tcPr>
            <w:tcW w:w="4785" w:type="dxa"/>
            <w:gridSpan w:val="2"/>
          </w:tcPr>
          <w:p w14:paraId="77740DF4" w14:textId="6611599E" w:rsidR="005173CF" w:rsidRPr="00271D1D" w:rsidRDefault="00EA4DFF" w:rsidP="0032141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32141E" w:rsidRPr="00271D1D">
                <w:rPr>
                  <w:rStyle w:val="Hyperlink"/>
                  <w:rFonts w:ascii="Calibri Light" w:hAnsi="Calibri Light"/>
                </w:rPr>
                <w:t>Informe No. 4/17</w:t>
              </w:r>
            </w:hyperlink>
          </w:p>
        </w:tc>
      </w:tr>
      <w:tr w:rsidR="004533E5" w:rsidRPr="00271D1D" w14:paraId="5EC10F5F" w14:textId="77777777" w:rsidTr="00FC2568">
        <w:trPr>
          <w:trHeight w:val="212"/>
        </w:trPr>
        <w:tc>
          <w:tcPr>
            <w:cnfStyle w:val="001000000000" w:firstRow="0" w:lastRow="0" w:firstColumn="1" w:lastColumn="0" w:oddVBand="0" w:evenVBand="0" w:oddHBand="0" w:evenHBand="0" w:firstRowFirstColumn="0" w:firstRowLastColumn="0" w:lastRowFirstColumn="0" w:lastRowLastColumn="0"/>
            <w:tcW w:w="3936" w:type="dxa"/>
          </w:tcPr>
          <w:p w14:paraId="00180E4F" w14:textId="77777777" w:rsidR="005173CF" w:rsidRPr="00271D1D" w:rsidRDefault="00954E20" w:rsidP="00954E20">
            <w:pPr>
              <w:pStyle w:val="ListParagraph"/>
              <w:numPr>
                <w:ilvl w:val="0"/>
                <w:numId w:val="3"/>
              </w:numPr>
              <w:rPr>
                <w:rFonts w:ascii="Calibri Light" w:hAnsi="Calibri Light"/>
              </w:rPr>
            </w:pPr>
            <w:r w:rsidRPr="00271D1D">
              <w:rPr>
                <w:rFonts w:ascii="Calibri Light" w:hAnsi="Calibri Light"/>
              </w:rPr>
              <w:t xml:space="preserve">Tipo de informe </w:t>
            </w:r>
          </w:p>
        </w:tc>
        <w:tc>
          <w:tcPr>
            <w:tcW w:w="4785" w:type="dxa"/>
            <w:gridSpan w:val="2"/>
          </w:tcPr>
          <w:p w14:paraId="35E9A08D" w14:textId="7732220E" w:rsidR="005173CF" w:rsidRPr="00271D1D" w:rsidRDefault="0032141E" w:rsidP="00A73F2F">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71D1D">
              <w:rPr>
                <w:rFonts w:ascii="Calibri Light" w:hAnsi="Calibri Light"/>
              </w:rPr>
              <w:t>Informe de Fondo (</w:t>
            </w:r>
            <w:r w:rsidR="00A73F2F" w:rsidRPr="00271D1D">
              <w:rPr>
                <w:rFonts w:ascii="Calibri Light" w:hAnsi="Calibri Light"/>
              </w:rPr>
              <w:t>Caso en la Corte IDH</w:t>
            </w:r>
            <w:r w:rsidRPr="00271D1D">
              <w:rPr>
                <w:rFonts w:ascii="Calibri Light" w:hAnsi="Calibri Light"/>
              </w:rPr>
              <w:t>)</w:t>
            </w:r>
          </w:p>
        </w:tc>
      </w:tr>
      <w:tr w:rsidR="005173CF" w:rsidRPr="00271D1D" w14:paraId="7ED5AB61" w14:textId="77777777" w:rsidTr="00FC256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936" w:type="dxa"/>
          </w:tcPr>
          <w:p w14:paraId="2F77A84C" w14:textId="77777777" w:rsidR="005173CF" w:rsidRPr="00271D1D" w:rsidRDefault="00954E20" w:rsidP="00A65231">
            <w:pPr>
              <w:pStyle w:val="ListParagraph"/>
              <w:numPr>
                <w:ilvl w:val="0"/>
                <w:numId w:val="3"/>
              </w:numPr>
              <w:rPr>
                <w:rFonts w:ascii="Calibri Light" w:hAnsi="Calibri Light"/>
              </w:rPr>
            </w:pPr>
            <w:r w:rsidRPr="00271D1D">
              <w:rPr>
                <w:rFonts w:ascii="Calibri Light" w:hAnsi="Calibri Light"/>
              </w:rPr>
              <w:t>Fecha</w:t>
            </w:r>
            <w:r w:rsidR="007A6C56" w:rsidRPr="00271D1D">
              <w:rPr>
                <w:rFonts w:ascii="Calibri Light" w:hAnsi="Calibri Light"/>
              </w:rPr>
              <w:t xml:space="preserve"> </w:t>
            </w:r>
          </w:p>
        </w:tc>
        <w:tc>
          <w:tcPr>
            <w:tcW w:w="4785" w:type="dxa"/>
            <w:gridSpan w:val="2"/>
          </w:tcPr>
          <w:p w14:paraId="1C803DF5" w14:textId="5FCA5457" w:rsidR="005173CF" w:rsidRPr="00271D1D" w:rsidRDefault="0032141E" w:rsidP="0032141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271D1D">
              <w:rPr>
                <w:rFonts w:ascii="Calibri Light" w:hAnsi="Calibri Light"/>
              </w:rPr>
              <w:t>26 de enero de 2017</w:t>
            </w:r>
            <w:r w:rsidR="00954E20" w:rsidRPr="00271D1D">
              <w:rPr>
                <w:rFonts w:ascii="Calibri Light" w:hAnsi="Calibri Light"/>
              </w:rPr>
              <w:t xml:space="preserve"> </w:t>
            </w:r>
          </w:p>
        </w:tc>
      </w:tr>
      <w:tr w:rsidR="004533E5" w:rsidRPr="00271D1D" w14:paraId="1A0D058F" w14:textId="77777777" w:rsidTr="00FC2568">
        <w:trPr>
          <w:trHeight w:val="602"/>
        </w:trPr>
        <w:tc>
          <w:tcPr>
            <w:cnfStyle w:val="001000000000" w:firstRow="0" w:lastRow="0" w:firstColumn="1" w:lastColumn="0" w:oddVBand="0" w:evenVBand="0" w:oddHBand="0" w:evenHBand="0" w:firstRowFirstColumn="0" w:firstRowLastColumn="0" w:lastRowFirstColumn="0" w:lastRowLastColumn="0"/>
            <w:tcW w:w="3936" w:type="dxa"/>
          </w:tcPr>
          <w:p w14:paraId="661C9E19" w14:textId="1119002C" w:rsidR="005173CF" w:rsidRPr="00271D1D" w:rsidRDefault="00BB61C6" w:rsidP="00A65231">
            <w:pPr>
              <w:pStyle w:val="ListParagraph"/>
              <w:numPr>
                <w:ilvl w:val="0"/>
                <w:numId w:val="3"/>
              </w:numPr>
              <w:rPr>
                <w:rFonts w:ascii="Calibri Light" w:hAnsi="Calibri Light"/>
              </w:rPr>
            </w:pPr>
            <w:r w:rsidRPr="00271D1D">
              <w:rPr>
                <w:rFonts w:ascii="Calibri Light" w:hAnsi="Calibri Light"/>
              </w:rPr>
              <w:t>Decisiones de la CIDH</w:t>
            </w:r>
            <w:r w:rsidR="007A6C56" w:rsidRPr="00271D1D">
              <w:rPr>
                <w:rFonts w:ascii="Calibri Light" w:hAnsi="Calibri Light"/>
              </w:rPr>
              <w:t xml:space="preserve"> </w:t>
            </w:r>
            <w:r w:rsidR="00DD3C7C" w:rsidRPr="00271D1D">
              <w:rPr>
                <w:rFonts w:ascii="Calibri Light" w:hAnsi="Calibri Light"/>
              </w:rPr>
              <w:t xml:space="preserve">y/o la Corte IDH, </w:t>
            </w:r>
            <w:r w:rsidR="007A6C56" w:rsidRPr="00271D1D">
              <w:rPr>
                <w:rFonts w:ascii="Calibri Light" w:hAnsi="Calibri Light"/>
              </w:rPr>
              <w:t>relacionadas</w:t>
            </w:r>
          </w:p>
        </w:tc>
        <w:tc>
          <w:tcPr>
            <w:tcW w:w="4785" w:type="dxa"/>
            <w:gridSpan w:val="2"/>
          </w:tcPr>
          <w:p w14:paraId="757FDBF3" w14:textId="2150C4C1" w:rsidR="00AC6F31" w:rsidRPr="00271D1D" w:rsidRDefault="006D06A7" w:rsidP="00A73F2F">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71D1D">
              <w:rPr>
                <w:rFonts w:ascii="Calibri Light" w:hAnsi="Calibri Light"/>
              </w:rPr>
              <w:t>Informe No.</w:t>
            </w:r>
            <w:r w:rsidR="008D04A1">
              <w:rPr>
                <w:rFonts w:ascii="Calibri Light" w:hAnsi="Calibri Light"/>
              </w:rPr>
              <w:t xml:space="preserve"> </w:t>
            </w:r>
            <w:r w:rsidRPr="00271D1D">
              <w:rPr>
                <w:rFonts w:ascii="Calibri Light" w:hAnsi="Calibri Light"/>
              </w:rPr>
              <w:t xml:space="preserve">52/08 </w:t>
            </w:r>
            <w:r w:rsidR="009802FB" w:rsidRPr="00271D1D">
              <w:rPr>
                <w:rFonts w:ascii="Calibri Light" w:hAnsi="Calibri Light"/>
              </w:rPr>
              <w:t>(</w:t>
            </w:r>
            <w:hyperlink r:id="rId13" w:history="1">
              <w:r w:rsidR="009802FB" w:rsidRPr="00271D1D">
                <w:rPr>
                  <w:rStyle w:val="Hyperlink"/>
                  <w:rFonts w:ascii="Calibri Light" w:hAnsi="Calibri Light"/>
                </w:rPr>
                <w:t>Admisibilidad</w:t>
              </w:r>
            </w:hyperlink>
            <w:r w:rsidR="009802FB" w:rsidRPr="00271D1D">
              <w:rPr>
                <w:rFonts w:ascii="Calibri Light" w:hAnsi="Calibri Light"/>
              </w:rPr>
              <w:t>)</w:t>
            </w:r>
          </w:p>
          <w:p w14:paraId="72EA1AA4" w14:textId="10363ED2" w:rsidR="00A73F2F" w:rsidRPr="00271D1D" w:rsidRDefault="00DD5117" w:rsidP="00A73F2F">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Álvarez Ramos vs. Venezuela (</w:t>
            </w:r>
            <w:hyperlink r:id="rId14" w:history="1">
              <w:r w:rsidRPr="00DD5117">
                <w:rPr>
                  <w:rStyle w:val="Hyperlink"/>
                  <w:rFonts w:ascii="Calibri Light" w:hAnsi="Calibri Light"/>
                </w:rPr>
                <w:t>Sentencia de 30 de agosto de 2019</w:t>
              </w:r>
            </w:hyperlink>
            <w:r>
              <w:rPr>
                <w:rFonts w:ascii="Calibri Light" w:hAnsi="Calibri Light"/>
              </w:rPr>
              <w:t>)</w:t>
            </w:r>
          </w:p>
        </w:tc>
      </w:tr>
      <w:tr w:rsidR="00271D1D" w:rsidRPr="00271D1D" w14:paraId="570485B4" w14:textId="77777777" w:rsidTr="0048356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3936" w:type="dxa"/>
            <w:vMerge w:val="restart"/>
          </w:tcPr>
          <w:p w14:paraId="3FCF8D6E" w14:textId="568477D0" w:rsidR="00271D1D" w:rsidRPr="00271D1D" w:rsidRDefault="00271D1D" w:rsidP="00A65231">
            <w:pPr>
              <w:pStyle w:val="ListParagraph"/>
              <w:numPr>
                <w:ilvl w:val="0"/>
                <w:numId w:val="3"/>
              </w:numPr>
              <w:rPr>
                <w:rFonts w:ascii="Calibri Light" w:hAnsi="Calibri Light"/>
              </w:rPr>
            </w:pPr>
            <w:r w:rsidRPr="00271D1D">
              <w:rPr>
                <w:rFonts w:ascii="Calibri Light" w:hAnsi="Calibri Light"/>
              </w:rPr>
              <w:t>Artículos analizados</w:t>
            </w:r>
          </w:p>
        </w:tc>
        <w:tc>
          <w:tcPr>
            <w:tcW w:w="4785" w:type="dxa"/>
            <w:gridSpan w:val="2"/>
          </w:tcPr>
          <w:p w14:paraId="18718B95" w14:textId="1F10F2E0" w:rsidR="00271D1D" w:rsidRPr="00271D1D" w:rsidRDefault="00271D1D" w:rsidP="00FC2568">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271D1D">
              <w:rPr>
                <w:rFonts w:ascii="Calibri Light" w:hAnsi="Calibri Light"/>
              </w:rPr>
              <w:t>Convención Americana sobre Derechos Humanos</w:t>
            </w:r>
          </w:p>
        </w:tc>
      </w:tr>
      <w:tr w:rsidR="00271D1D" w:rsidRPr="00271D1D" w14:paraId="19F10965" w14:textId="287F0439" w:rsidTr="00483562">
        <w:trPr>
          <w:trHeight w:val="328"/>
        </w:trPr>
        <w:tc>
          <w:tcPr>
            <w:cnfStyle w:val="001000000000" w:firstRow="0" w:lastRow="0" w:firstColumn="1" w:lastColumn="0" w:oddVBand="0" w:evenVBand="0" w:oddHBand="0" w:evenHBand="0" w:firstRowFirstColumn="0" w:firstRowLastColumn="0" w:lastRowFirstColumn="0" w:lastRowLastColumn="0"/>
            <w:tcW w:w="3936" w:type="dxa"/>
            <w:vMerge/>
          </w:tcPr>
          <w:p w14:paraId="17E12B09" w14:textId="77777777" w:rsidR="00271D1D" w:rsidRPr="00271D1D" w:rsidRDefault="00271D1D" w:rsidP="00A65231">
            <w:pPr>
              <w:pStyle w:val="ListParagraph"/>
              <w:numPr>
                <w:ilvl w:val="0"/>
                <w:numId w:val="3"/>
              </w:numPr>
              <w:rPr>
                <w:rFonts w:ascii="Calibri Light" w:hAnsi="Calibri Light"/>
              </w:rPr>
            </w:pPr>
          </w:p>
        </w:tc>
        <w:tc>
          <w:tcPr>
            <w:tcW w:w="2149" w:type="dxa"/>
          </w:tcPr>
          <w:p w14:paraId="343CC226" w14:textId="0C539683" w:rsidR="00271D1D" w:rsidRPr="00271D1D" w:rsidRDefault="00271D1D"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71D1D">
              <w:rPr>
                <w:rFonts w:ascii="Calibri Light" w:hAnsi="Calibri Light"/>
              </w:rPr>
              <w:t>Artículos analizados declarados violados</w:t>
            </w:r>
          </w:p>
        </w:tc>
        <w:tc>
          <w:tcPr>
            <w:tcW w:w="2636" w:type="dxa"/>
          </w:tcPr>
          <w:p w14:paraId="2BD1BBA0" w14:textId="1D9BA732" w:rsidR="00271D1D" w:rsidRPr="00271D1D" w:rsidRDefault="00271D1D"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71D1D">
              <w:rPr>
                <w:rFonts w:ascii="Calibri Light" w:hAnsi="Calibri Light"/>
              </w:rPr>
              <w:t>Artículos analizados no declarados violados</w:t>
            </w:r>
          </w:p>
        </w:tc>
      </w:tr>
      <w:tr w:rsidR="00271D1D" w:rsidRPr="00271D1D" w14:paraId="27602570" w14:textId="1A9F5CBB" w:rsidTr="00FC2568">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3936" w:type="dxa"/>
            <w:vMerge/>
          </w:tcPr>
          <w:p w14:paraId="64A45FE1" w14:textId="77777777" w:rsidR="00271D1D" w:rsidRPr="00271D1D" w:rsidRDefault="00271D1D" w:rsidP="00A65231">
            <w:pPr>
              <w:pStyle w:val="ListParagraph"/>
              <w:numPr>
                <w:ilvl w:val="0"/>
                <w:numId w:val="3"/>
              </w:numPr>
              <w:rPr>
                <w:rFonts w:ascii="Calibri Light" w:hAnsi="Calibri Light"/>
              </w:rPr>
            </w:pPr>
          </w:p>
        </w:tc>
        <w:tc>
          <w:tcPr>
            <w:tcW w:w="2149" w:type="dxa"/>
          </w:tcPr>
          <w:p w14:paraId="10FF25F7" w14:textId="29F00D32" w:rsidR="00271D1D" w:rsidRPr="00D642CE" w:rsidRDefault="00D642CE" w:rsidP="00271D1D">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Art. 1</w:t>
            </w:r>
            <w:r w:rsidR="00271D1D" w:rsidRPr="00271D1D">
              <w:rPr>
                <w:rFonts w:ascii="Calibri Light" w:hAnsi="Calibri Light"/>
                <w:lang w:val="en-US"/>
              </w:rPr>
              <w:t>, art. 2, art. 8, art. 9, art. 13, art. 22, art. 23, art. 25</w:t>
            </w:r>
          </w:p>
        </w:tc>
        <w:tc>
          <w:tcPr>
            <w:tcW w:w="2636" w:type="dxa"/>
          </w:tcPr>
          <w:p w14:paraId="6EB5324B" w14:textId="2CF807E5" w:rsidR="00271D1D" w:rsidRPr="00271D1D" w:rsidRDefault="00271D1D" w:rsidP="00271D1D">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71D1D">
              <w:rPr>
                <w:rFonts w:ascii="Calibri Light" w:hAnsi="Calibri Light"/>
                <w:lang w:val="es-PE"/>
              </w:rPr>
              <w:t>Artículo 8 (</w:t>
            </w:r>
            <w:r>
              <w:rPr>
                <w:rFonts w:ascii="Calibri Light" w:hAnsi="Calibri Light"/>
                <w:lang w:val="es-PE"/>
              </w:rPr>
              <w:t>respecto de</w:t>
            </w:r>
            <w:r w:rsidRPr="00271D1D">
              <w:rPr>
                <w:rFonts w:ascii="Calibri Light" w:hAnsi="Calibri Light"/>
                <w:lang w:val="es-PE"/>
              </w:rPr>
              <w:t xml:space="preserve"> la supuesta vulneración de la comunicación previa y detallada de la acusación contra el señor Álvarez)</w:t>
            </w:r>
          </w:p>
        </w:tc>
      </w:tr>
      <w:tr w:rsidR="005173CF" w:rsidRPr="00271D1D" w14:paraId="54B7813B" w14:textId="77777777" w:rsidTr="00271D1D">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AC6F31" w:rsidRPr="00271D1D" w:rsidRDefault="00AC6F31" w:rsidP="00AC6F31">
            <w:pPr>
              <w:pStyle w:val="ListParagraph"/>
              <w:rPr>
                <w:rFonts w:ascii="Calibri Light" w:hAnsi="Calibri Light"/>
              </w:rPr>
            </w:pPr>
          </w:p>
          <w:p w14:paraId="1ECE5967" w14:textId="77777777" w:rsidR="005173CF" w:rsidRPr="00271D1D" w:rsidRDefault="007A6C56" w:rsidP="0029671B">
            <w:pPr>
              <w:pStyle w:val="ListParagraph"/>
              <w:numPr>
                <w:ilvl w:val="0"/>
                <w:numId w:val="2"/>
              </w:numPr>
              <w:jc w:val="center"/>
              <w:rPr>
                <w:rFonts w:ascii="Calibri Light" w:hAnsi="Calibri Light"/>
              </w:rPr>
            </w:pPr>
            <w:r w:rsidRPr="00271D1D">
              <w:rPr>
                <w:rFonts w:ascii="Calibri Light" w:hAnsi="Calibri Light"/>
              </w:rPr>
              <w:t>Sumilla</w:t>
            </w:r>
          </w:p>
          <w:p w14:paraId="009AFBB8" w14:textId="77777777" w:rsidR="00AC6F31" w:rsidRPr="00271D1D" w:rsidRDefault="00AC6F31" w:rsidP="00AC6F31">
            <w:pPr>
              <w:pStyle w:val="ListParagraph"/>
              <w:rPr>
                <w:rFonts w:ascii="Calibri Light" w:hAnsi="Calibri Light"/>
              </w:rPr>
            </w:pPr>
          </w:p>
        </w:tc>
      </w:tr>
      <w:tr w:rsidR="007A6C56" w:rsidRPr="00271D1D" w14:paraId="6B670455" w14:textId="77777777" w:rsidTr="00271D1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1C5200A6" w14:textId="01CDACB6" w:rsidR="00371BDD" w:rsidRDefault="00371BDD" w:rsidP="00B55B6C">
            <w:pPr>
              <w:jc w:val="both"/>
              <w:rPr>
                <w:rFonts w:ascii="Calibri Light" w:hAnsi="Calibri Light"/>
                <w:b w:val="0"/>
                <w:color w:val="FF0000"/>
              </w:rPr>
            </w:pPr>
          </w:p>
          <w:p w14:paraId="64A3FA7E" w14:textId="47DAA1C1" w:rsidR="003E7694" w:rsidRDefault="002D1D3D" w:rsidP="00B55B6C">
            <w:pPr>
              <w:jc w:val="both"/>
              <w:rPr>
                <w:rFonts w:ascii="Calibri Light" w:hAnsi="Calibri Light"/>
                <w:b w:val="0"/>
              </w:rPr>
            </w:pPr>
            <w:r w:rsidRPr="002D1D3D">
              <w:rPr>
                <w:rFonts w:ascii="Calibri Light" w:hAnsi="Calibri Light"/>
                <w:b w:val="0"/>
              </w:rPr>
              <w:t xml:space="preserve">El caso trata sobre la condena </w:t>
            </w:r>
            <w:r w:rsidR="00483562" w:rsidRPr="002D1D3D">
              <w:rPr>
                <w:rFonts w:ascii="Calibri Light" w:hAnsi="Calibri Light"/>
                <w:b w:val="0"/>
              </w:rPr>
              <w:t xml:space="preserve">de Tulio </w:t>
            </w:r>
            <w:r w:rsidR="00483562">
              <w:rPr>
                <w:rFonts w:ascii="Calibri Light" w:hAnsi="Calibri Light"/>
                <w:b w:val="0"/>
              </w:rPr>
              <w:t xml:space="preserve">Alberto </w:t>
            </w:r>
            <w:r w:rsidR="00483562" w:rsidRPr="002D1D3D">
              <w:rPr>
                <w:rFonts w:ascii="Calibri Light" w:hAnsi="Calibri Light"/>
                <w:b w:val="0"/>
              </w:rPr>
              <w:t xml:space="preserve">Álvarez </w:t>
            </w:r>
            <w:r w:rsidR="00406F2F" w:rsidRPr="002D1D3D">
              <w:rPr>
                <w:rFonts w:ascii="Calibri Light" w:hAnsi="Calibri Light"/>
                <w:b w:val="0"/>
              </w:rPr>
              <w:t xml:space="preserve">por </w:t>
            </w:r>
            <w:r w:rsidR="00483562">
              <w:rPr>
                <w:rFonts w:ascii="Calibri Light" w:hAnsi="Calibri Light"/>
                <w:b w:val="0"/>
              </w:rPr>
              <w:t xml:space="preserve">el delito de  </w:t>
            </w:r>
            <w:r w:rsidR="00406F2F" w:rsidRPr="002D1D3D">
              <w:rPr>
                <w:rFonts w:ascii="Calibri Light" w:hAnsi="Calibri Light"/>
                <w:b w:val="0"/>
              </w:rPr>
              <w:t xml:space="preserve">difamación </w:t>
            </w:r>
            <w:r w:rsidRPr="002D1D3D">
              <w:rPr>
                <w:rFonts w:ascii="Calibri Light" w:hAnsi="Calibri Light"/>
                <w:b w:val="0"/>
              </w:rPr>
              <w:t>agravada continuada</w:t>
            </w:r>
            <w:r>
              <w:rPr>
                <w:rFonts w:ascii="Calibri Light" w:hAnsi="Calibri Light"/>
                <w:b w:val="0"/>
              </w:rPr>
              <w:t xml:space="preserve">, </w:t>
            </w:r>
            <w:r w:rsidR="00406F2F" w:rsidRPr="002D1D3D">
              <w:rPr>
                <w:rFonts w:ascii="Calibri Light" w:hAnsi="Calibri Light"/>
                <w:b w:val="0"/>
              </w:rPr>
              <w:t>debido a la publicación de una columna de opinión</w:t>
            </w:r>
            <w:r>
              <w:rPr>
                <w:rFonts w:ascii="Calibri Light" w:hAnsi="Calibri Light"/>
                <w:b w:val="0"/>
              </w:rPr>
              <w:t xml:space="preserve">. En esta </w:t>
            </w:r>
            <w:r w:rsidR="00406F2F" w:rsidRPr="002D1D3D">
              <w:rPr>
                <w:rFonts w:ascii="Calibri Light" w:hAnsi="Calibri Light"/>
                <w:b w:val="0"/>
              </w:rPr>
              <w:t>hac</w:t>
            </w:r>
            <w:r w:rsidR="006963FB" w:rsidRPr="002D1D3D">
              <w:rPr>
                <w:rFonts w:ascii="Calibri Light" w:hAnsi="Calibri Light"/>
                <w:b w:val="0"/>
              </w:rPr>
              <w:t>ía</w:t>
            </w:r>
            <w:r w:rsidR="00406F2F" w:rsidRPr="002D1D3D">
              <w:rPr>
                <w:rFonts w:ascii="Calibri Light" w:hAnsi="Calibri Light"/>
                <w:b w:val="0"/>
              </w:rPr>
              <w:t xml:space="preserve"> referencia a</w:t>
            </w:r>
            <w:r>
              <w:rPr>
                <w:rFonts w:ascii="Calibri Light" w:hAnsi="Calibri Light"/>
                <w:b w:val="0"/>
              </w:rPr>
              <w:t>l proceso de acusación constitucional seguido contra el diputado oficialista y entonces presidente de la Asamblea Nacional, Willian Lara</w:t>
            </w:r>
            <w:r w:rsidR="003E7694">
              <w:rPr>
                <w:rFonts w:ascii="Calibri Light" w:hAnsi="Calibri Light"/>
                <w:b w:val="0"/>
              </w:rPr>
              <w:t>, por un presunto mal manejo de recursos públicos</w:t>
            </w:r>
            <w:r>
              <w:rPr>
                <w:rFonts w:ascii="Calibri Light" w:hAnsi="Calibri Light"/>
                <w:b w:val="0"/>
              </w:rPr>
              <w:t xml:space="preserve">. </w:t>
            </w:r>
            <w:r w:rsidR="003E7694">
              <w:rPr>
                <w:rFonts w:ascii="Calibri Light" w:hAnsi="Calibri Light"/>
                <w:b w:val="0"/>
              </w:rPr>
              <w:t xml:space="preserve">El señor Álvarez fue condenado a dos años y tres meses de prisión, se le prohibió la salida del país y </w:t>
            </w:r>
            <w:r w:rsidR="00C82C2C">
              <w:rPr>
                <w:rFonts w:ascii="Calibri Light" w:hAnsi="Calibri Light"/>
                <w:b w:val="0"/>
              </w:rPr>
              <w:t>fue inhabilitado</w:t>
            </w:r>
            <w:r w:rsidR="003E7694">
              <w:rPr>
                <w:rFonts w:ascii="Calibri Light" w:hAnsi="Calibri Light"/>
                <w:b w:val="0"/>
              </w:rPr>
              <w:t xml:space="preserve"> políticamente. Cabe señalar que la norma en virtud de la cual fue condenado no establecía claramente cuál era la conducta prohibida y sus elementos. </w:t>
            </w:r>
          </w:p>
          <w:p w14:paraId="1EE5A7E7" w14:textId="7F0E4EC4" w:rsidR="003E7694" w:rsidRPr="00371BDD" w:rsidRDefault="003E7694" w:rsidP="003E7694">
            <w:pPr>
              <w:jc w:val="both"/>
              <w:rPr>
                <w:rFonts w:ascii="Calibri Light" w:hAnsi="Calibri Light"/>
                <w:b w:val="0"/>
                <w:color w:val="FF0000"/>
              </w:rPr>
            </w:pPr>
          </w:p>
        </w:tc>
      </w:tr>
      <w:tr w:rsidR="007A6C56" w:rsidRPr="00271D1D" w14:paraId="238A2196" w14:textId="77777777" w:rsidTr="00271D1D">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Pr="00271D1D" w:rsidRDefault="00AC6F31" w:rsidP="00AC6F31">
            <w:pPr>
              <w:pStyle w:val="ListParagraph"/>
              <w:rPr>
                <w:rFonts w:ascii="Calibri Light" w:hAnsi="Calibri Light"/>
              </w:rPr>
            </w:pPr>
          </w:p>
          <w:p w14:paraId="6E7AC4B8" w14:textId="77777777" w:rsidR="007A6C56" w:rsidRPr="00271D1D" w:rsidRDefault="007A6C56" w:rsidP="0029671B">
            <w:pPr>
              <w:pStyle w:val="ListParagraph"/>
              <w:numPr>
                <w:ilvl w:val="0"/>
                <w:numId w:val="2"/>
              </w:numPr>
              <w:jc w:val="center"/>
              <w:rPr>
                <w:rFonts w:ascii="Calibri Light" w:hAnsi="Calibri Light"/>
              </w:rPr>
            </w:pPr>
            <w:r w:rsidRPr="00271D1D">
              <w:rPr>
                <w:rFonts w:ascii="Calibri Light" w:hAnsi="Calibri Light"/>
              </w:rPr>
              <w:t>Palabras clave</w:t>
            </w:r>
          </w:p>
          <w:p w14:paraId="6A1E32A7" w14:textId="77777777" w:rsidR="00AC6F31" w:rsidRPr="00271D1D" w:rsidRDefault="00AC6F31" w:rsidP="00AC6F31">
            <w:pPr>
              <w:pStyle w:val="ListParagraph"/>
              <w:rPr>
                <w:rFonts w:ascii="Calibri Light" w:hAnsi="Calibri Light"/>
              </w:rPr>
            </w:pPr>
          </w:p>
        </w:tc>
      </w:tr>
      <w:tr w:rsidR="007A6C56" w:rsidRPr="00271D1D" w14:paraId="34AE2D45" w14:textId="77777777" w:rsidTr="00271D1D">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4A766F3F" w14:textId="77777777" w:rsidR="009802FB" w:rsidRPr="00271D1D" w:rsidRDefault="009802FB" w:rsidP="00A16B0A">
            <w:pPr>
              <w:jc w:val="both"/>
              <w:rPr>
                <w:rFonts w:ascii="Calibri Light" w:hAnsi="Calibri Light"/>
                <w:b w:val="0"/>
              </w:rPr>
            </w:pPr>
          </w:p>
          <w:p w14:paraId="3C96AEA9" w14:textId="2C237F61" w:rsidR="00A16B0A" w:rsidRPr="00271D1D" w:rsidRDefault="00A16B0A" w:rsidP="00A16B0A">
            <w:pPr>
              <w:jc w:val="both"/>
              <w:rPr>
                <w:rFonts w:ascii="Calibri Light" w:hAnsi="Calibri Light"/>
                <w:b w:val="0"/>
              </w:rPr>
            </w:pPr>
            <w:r w:rsidRPr="00271D1D">
              <w:rPr>
                <w:rFonts w:ascii="Calibri Light" w:hAnsi="Calibri Light"/>
                <w:b w:val="0"/>
              </w:rPr>
              <w:t xml:space="preserve">Derechos políticos, Libertad de expresión, Libre circulación y residencia, </w:t>
            </w:r>
            <w:r w:rsidR="00EA1D5D" w:rsidRPr="00271D1D">
              <w:rPr>
                <w:rFonts w:ascii="Calibri Light" w:hAnsi="Calibri Light"/>
                <w:b w:val="0"/>
              </w:rPr>
              <w:t xml:space="preserve">Principio de legalidad e irretroactividad, </w:t>
            </w:r>
            <w:r w:rsidRPr="00271D1D">
              <w:rPr>
                <w:rFonts w:ascii="Calibri Light" w:hAnsi="Calibri Light"/>
                <w:b w:val="0"/>
              </w:rPr>
              <w:t>Protección judicial y garantías judiciales</w:t>
            </w:r>
          </w:p>
          <w:p w14:paraId="05374712" w14:textId="54CBD7A6" w:rsidR="009802FB" w:rsidRPr="00271D1D" w:rsidRDefault="009802FB" w:rsidP="00A16B0A">
            <w:pPr>
              <w:jc w:val="both"/>
              <w:rPr>
                <w:rFonts w:ascii="Calibri Light" w:hAnsi="Calibri Light"/>
                <w:b w:val="0"/>
              </w:rPr>
            </w:pPr>
          </w:p>
        </w:tc>
      </w:tr>
      <w:tr w:rsidR="005173CF" w:rsidRPr="00271D1D" w14:paraId="69044E7B" w14:textId="77777777" w:rsidTr="00271D1D">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Pr="00271D1D" w:rsidRDefault="00AC6F31" w:rsidP="00AC6F31">
            <w:pPr>
              <w:pStyle w:val="ListParagraph"/>
              <w:rPr>
                <w:rFonts w:ascii="Calibri Light" w:hAnsi="Calibri Light"/>
              </w:rPr>
            </w:pPr>
          </w:p>
          <w:p w14:paraId="177FF988" w14:textId="77777777" w:rsidR="005173CF" w:rsidRPr="00271D1D" w:rsidRDefault="007A6C56" w:rsidP="0029671B">
            <w:pPr>
              <w:pStyle w:val="ListParagraph"/>
              <w:numPr>
                <w:ilvl w:val="0"/>
                <w:numId w:val="2"/>
              </w:numPr>
              <w:jc w:val="center"/>
              <w:rPr>
                <w:rFonts w:ascii="Calibri Light" w:hAnsi="Calibri Light"/>
              </w:rPr>
            </w:pPr>
            <w:r w:rsidRPr="00271D1D">
              <w:rPr>
                <w:rFonts w:ascii="Calibri Light" w:hAnsi="Calibri Light"/>
              </w:rPr>
              <w:t>Hechos</w:t>
            </w:r>
          </w:p>
          <w:p w14:paraId="190B7E98" w14:textId="77777777" w:rsidR="00AC6F31" w:rsidRPr="00271D1D" w:rsidRDefault="00AC6F31" w:rsidP="00AC6F31">
            <w:pPr>
              <w:pStyle w:val="ListParagraph"/>
              <w:rPr>
                <w:rFonts w:ascii="Calibri Light" w:hAnsi="Calibri Light"/>
              </w:rPr>
            </w:pPr>
          </w:p>
        </w:tc>
      </w:tr>
      <w:tr w:rsidR="005173CF" w:rsidRPr="00271D1D" w14:paraId="6F58DE83" w14:textId="77777777" w:rsidTr="00271D1D">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233DAAB2" w14:textId="30D97724" w:rsidR="009802FB" w:rsidRPr="00271D1D" w:rsidRDefault="009802FB" w:rsidP="00DD0E3C">
            <w:pPr>
              <w:jc w:val="both"/>
              <w:rPr>
                <w:rFonts w:ascii="Calibri Light" w:hAnsi="Calibri Light"/>
                <w:b w:val="0"/>
              </w:rPr>
            </w:pPr>
          </w:p>
          <w:p w14:paraId="2DAE35EE" w14:textId="480DF323" w:rsidR="00350DE9" w:rsidRDefault="00350DE9" w:rsidP="00E11C4B">
            <w:pPr>
              <w:jc w:val="both"/>
              <w:rPr>
                <w:rFonts w:ascii="Calibri Light" w:hAnsi="Calibri Light"/>
                <w:b w:val="0"/>
              </w:rPr>
            </w:pPr>
            <w:r w:rsidRPr="00271D1D">
              <w:rPr>
                <w:rFonts w:ascii="Calibri Light" w:hAnsi="Calibri Light"/>
                <w:b w:val="0"/>
              </w:rPr>
              <w:t>En marzo del año 2003,</w:t>
            </w:r>
            <w:r w:rsidR="00DD0E3C" w:rsidRPr="00271D1D">
              <w:rPr>
                <w:rFonts w:ascii="Calibri Light" w:hAnsi="Calibri Light"/>
                <w:b w:val="0"/>
              </w:rPr>
              <w:t xml:space="preserve"> </w:t>
            </w:r>
            <w:r w:rsidR="009C056C" w:rsidRPr="00271D1D">
              <w:rPr>
                <w:rFonts w:ascii="Calibri Light" w:hAnsi="Calibri Light"/>
                <w:b w:val="0"/>
              </w:rPr>
              <w:t>el abogado</w:t>
            </w:r>
            <w:r w:rsidR="003B2CD2" w:rsidRPr="00271D1D">
              <w:rPr>
                <w:rFonts w:ascii="Calibri Light" w:hAnsi="Calibri Light"/>
                <w:b w:val="0"/>
              </w:rPr>
              <w:t xml:space="preserve"> y docente universitario,</w:t>
            </w:r>
            <w:r w:rsidR="009C056C" w:rsidRPr="00271D1D">
              <w:rPr>
                <w:rFonts w:ascii="Calibri Light" w:hAnsi="Calibri Light"/>
                <w:b w:val="0"/>
              </w:rPr>
              <w:t xml:space="preserve"> </w:t>
            </w:r>
            <w:r w:rsidR="00DD0E3C" w:rsidRPr="00271D1D">
              <w:rPr>
                <w:rFonts w:ascii="Calibri Light" w:hAnsi="Calibri Light"/>
                <w:b w:val="0"/>
              </w:rPr>
              <w:t xml:space="preserve">Tulio </w:t>
            </w:r>
            <w:r w:rsidR="00371BDD">
              <w:rPr>
                <w:rFonts w:ascii="Calibri Light" w:hAnsi="Calibri Light"/>
                <w:b w:val="0"/>
              </w:rPr>
              <w:t xml:space="preserve">Alberto </w:t>
            </w:r>
            <w:r w:rsidR="00DD0E3C" w:rsidRPr="00271D1D">
              <w:rPr>
                <w:rFonts w:ascii="Calibri Light" w:hAnsi="Calibri Light"/>
                <w:b w:val="0"/>
              </w:rPr>
              <w:t>Álvarez</w:t>
            </w:r>
            <w:r w:rsidR="003B2CD2" w:rsidRPr="00271D1D">
              <w:rPr>
                <w:rFonts w:ascii="Calibri Light" w:hAnsi="Calibri Light"/>
                <w:b w:val="0"/>
              </w:rPr>
              <w:t>,</w:t>
            </w:r>
            <w:r w:rsidR="00DD0E3C" w:rsidRPr="00271D1D">
              <w:rPr>
                <w:rFonts w:ascii="Calibri Light" w:hAnsi="Calibri Light"/>
                <w:b w:val="0"/>
              </w:rPr>
              <w:t xml:space="preserve"> patrocinó a la </w:t>
            </w:r>
            <w:r w:rsidR="00EA1D5D" w:rsidRPr="00271D1D">
              <w:rPr>
                <w:rFonts w:ascii="Calibri Light" w:hAnsi="Calibri Light"/>
                <w:b w:val="0"/>
              </w:rPr>
              <w:t>“</w:t>
            </w:r>
            <w:r w:rsidR="00DD0E3C" w:rsidRPr="00271D1D">
              <w:rPr>
                <w:rFonts w:ascii="Calibri Light" w:hAnsi="Calibri Light"/>
                <w:b w:val="0"/>
              </w:rPr>
              <w:t>Asociación de jubilados y pensionados de la Asamblea Nacional</w:t>
            </w:r>
            <w:r w:rsidR="00EA1D5D" w:rsidRPr="00271D1D">
              <w:rPr>
                <w:rFonts w:ascii="Calibri Light" w:hAnsi="Calibri Light"/>
                <w:b w:val="0"/>
              </w:rPr>
              <w:t>”</w:t>
            </w:r>
            <w:r w:rsidR="00DD0E3C" w:rsidRPr="00271D1D">
              <w:rPr>
                <w:rFonts w:ascii="Calibri Light" w:hAnsi="Calibri Light"/>
                <w:b w:val="0"/>
              </w:rPr>
              <w:t xml:space="preserve"> en</w:t>
            </w:r>
            <w:r w:rsidR="00406F2F" w:rsidRPr="00271D1D">
              <w:rPr>
                <w:rFonts w:ascii="Calibri Light" w:hAnsi="Calibri Light"/>
                <w:b w:val="0"/>
              </w:rPr>
              <w:t xml:space="preserve"> </w:t>
            </w:r>
            <w:r w:rsidR="005A5DA0" w:rsidRPr="00271D1D">
              <w:rPr>
                <w:rFonts w:ascii="Calibri Light" w:hAnsi="Calibri Light"/>
                <w:b w:val="0"/>
              </w:rPr>
              <w:t>su</w:t>
            </w:r>
            <w:r w:rsidR="00DD0E3C" w:rsidRPr="00271D1D">
              <w:rPr>
                <w:rFonts w:ascii="Calibri Light" w:hAnsi="Calibri Light"/>
                <w:b w:val="0"/>
              </w:rPr>
              <w:t xml:space="preserve"> solicitud de antejuicio</w:t>
            </w:r>
            <w:r w:rsidR="00406F2F" w:rsidRPr="00271D1D">
              <w:rPr>
                <w:rFonts w:ascii="Calibri Light" w:hAnsi="Calibri Light"/>
                <w:b w:val="0"/>
              </w:rPr>
              <w:t xml:space="preserve"> </w:t>
            </w:r>
            <w:r w:rsidR="00406F2F" w:rsidRPr="00271D1D">
              <w:rPr>
                <w:rFonts w:ascii="Calibri Light" w:hAnsi="Calibri Light"/>
                <w:b w:val="0"/>
              </w:rPr>
              <w:lastRenderedPageBreak/>
              <w:t>político</w:t>
            </w:r>
            <w:r w:rsidR="00DD0E3C" w:rsidRPr="00271D1D">
              <w:rPr>
                <w:rFonts w:ascii="Calibri Light" w:hAnsi="Calibri Light"/>
                <w:b w:val="0"/>
              </w:rPr>
              <w:t xml:space="preserve"> contra Willian Lara, </w:t>
            </w:r>
            <w:r w:rsidR="00EA1D5D" w:rsidRPr="00271D1D">
              <w:rPr>
                <w:rFonts w:ascii="Calibri Light" w:hAnsi="Calibri Light"/>
                <w:b w:val="0"/>
              </w:rPr>
              <w:t xml:space="preserve">entonces </w:t>
            </w:r>
            <w:r w:rsidR="00DD0E3C" w:rsidRPr="00271D1D">
              <w:rPr>
                <w:rFonts w:ascii="Calibri Light" w:hAnsi="Calibri Light"/>
                <w:b w:val="0"/>
              </w:rPr>
              <w:t xml:space="preserve">diputado y presidente de la Asamblea Nacional de Venezuela, por la supuesta comisión de los delitos de </w:t>
            </w:r>
            <w:r w:rsidR="009802FB" w:rsidRPr="00271D1D">
              <w:rPr>
                <w:rFonts w:ascii="Calibri Light" w:hAnsi="Calibri Light"/>
                <w:b w:val="0"/>
              </w:rPr>
              <w:t>m</w:t>
            </w:r>
            <w:r w:rsidR="00DD0E3C" w:rsidRPr="00271D1D">
              <w:rPr>
                <w:rFonts w:ascii="Calibri Light" w:hAnsi="Calibri Light"/>
                <w:b w:val="0"/>
              </w:rPr>
              <w:t xml:space="preserve">alversación </w:t>
            </w:r>
            <w:r w:rsidR="009802FB" w:rsidRPr="00271D1D">
              <w:rPr>
                <w:rFonts w:ascii="Calibri Light" w:hAnsi="Calibri Light"/>
                <w:b w:val="0"/>
              </w:rPr>
              <w:t>a</w:t>
            </w:r>
            <w:r w:rsidR="00DD0E3C" w:rsidRPr="00271D1D">
              <w:rPr>
                <w:rFonts w:ascii="Calibri Light" w:hAnsi="Calibri Light"/>
                <w:b w:val="0"/>
              </w:rPr>
              <w:t xml:space="preserve">gravada de </w:t>
            </w:r>
            <w:r w:rsidR="009802FB" w:rsidRPr="00271D1D">
              <w:rPr>
                <w:rFonts w:ascii="Calibri Light" w:hAnsi="Calibri Light"/>
                <w:b w:val="0"/>
              </w:rPr>
              <w:t>f</w:t>
            </w:r>
            <w:r w:rsidR="00DD0E3C" w:rsidRPr="00271D1D">
              <w:rPr>
                <w:rFonts w:ascii="Calibri Light" w:hAnsi="Calibri Light"/>
                <w:b w:val="0"/>
              </w:rPr>
              <w:t xml:space="preserve">ondos </w:t>
            </w:r>
            <w:r w:rsidR="009802FB" w:rsidRPr="00271D1D">
              <w:rPr>
                <w:rFonts w:ascii="Calibri Light" w:hAnsi="Calibri Light"/>
                <w:b w:val="0"/>
              </w:rPr>
              <w:t>p</w:t>
            </w:r>
            <w:r w:rsidR="00DD0E3C" w:rsidRPr="00271D1D">
              <w:rPr>
                <w:rFonts w:ascii="Calibri Light" w:hAnsi="Calibri Light"/>
                <w:b w:val="0"/>
              </w:rPr>
              <w:t xml:space="preserve">úblicos, </w:t>
            </w:r>
            <w:r w:rsidR="009802FB" w:rsidRPr="00271D1D">
              <w:rPr>
                <w:rFonts w:ascii="Calibri Light" w:hAnsi="Calibri Light"/>
                <w:b w:val="0"/>
              </w:rPr>
              <w:t>p</w:t>
            </w:r>
            <w:r w:rsidR="00DD0E3C" w:rsidRPr="00271D1D">
              <w:rPr>
                <w:rFonts w:ascii="Calibri Light" w:hAnsi="Calibri Light"/>
                <w:b w:val="0"/>
              </w:rPr>
              <w:t xml:space="preserve">eculado </w:t>
            </w:r>
            <w:r w:rsidR="009802FB" w:rsidRPr="00271D1D">
              <w:rPr>
                <w:rFonts w:ascii="Calibri Light" w:hAnsi="Calibri Light"/>
                <w:b w:val="0"/>
              </w:rPr>
              <w:t>p</w:t>
            </w:r>
            <w:r w:rsidR="00DD0E3C" w:rsidRPr="00271D1D">
              <w:rPr>
                <w:rFonts w:ascii="Calibri Light" w:hAnsi="Calibri Light"/>
                <w:b w:val="0"/>
              </w:rPr>
              <w:t xml:space="preserve">ropio y </w:t>
            </w:r>
            <w:r w:rsidR="009802FB" w:rsidRPr="00271D1D">
              <w:rPr>
                <w:rFonts w:ascii="Calibri Light" w:hAnsi="Calibri Light"/>
                <w:b w:val="0"/>
              </w:rPr>
              <w:t>p</w:t>
            </w:r>
            <w:r w:rsidR="00DD0E3C" w:rsidRPr="00271D1D">
              <w:rPr>
                <w:rFonts w:ascii="Calibri Light" w:hAnsi="Calibri Light"/>
                <w:b w:val="0"/>
              </w:rPr>
              <w:t xml:space="preserve">eculado </w:t>
            </w:r>
            <w:r w:rsidR="009802FB" w:rsidRPr="00271D1D">
              <w:rPr>
                <w:rFonts w:ascii="Calibri Light" w:hAnsi="Calibri Light"/>
                <w:b w:val="0"/>
              </w:rPr>
              <w:t>c</w:t>
            </w:r>
            <w:r w:rsidR="00DD0E3C" w:rsidRPr="00271D1D">
              <w:rPr>
                <w:rFonts w:ascii="Calibri Light" w:hAnsi="Calibri Light"/>
                <w:b w:val="0"/>
              </w:rPr>
              <w:t>ulposo</w:t>
            </w:r>
            <w:r w:rsidR="0080522D">
              <w:rPr>
                <w:rFonts w:ascii="Calibri Light" w:hAnsi="Calibri Light"/>
                <w:b w:val="0"/>
              </w:rPr>
              <w:t xml:space="preserve">. Sin embargo, dicha solicitud </w:t>
            </w:r>
            <w:r w:rsidR="00DD0E3C" w:rsidRPr="00271D1D">
              <w:rPr>
                <w:rFonts w:ascii="Calibri Light" w:hAnsi="Calibri Light"/>
                <w:b w:val="0"/>
              </w:rPr>
              <w:t>fue declara</w:t>
            </w:r>
            <w:r w:rsidR="009C056C" w:rsidRPr="00271D1D">
              <w:rPr>
                <w:rFonts w:ascii="Calibri Light" w:hAnsi="Calibri Light"/>
                <w:b w:val="0"/>
              </w:rPr>
              <w:t>da</w:t>
            </w:r>
            <w:r w:rsidR="00DD0E3C" w:rsidRPr="00271D1D">
              <w:rPr>
                <w:rFonts w:ascii="Calibri Light" w:hAnsi="Calibri Light"/>
                <w:b w:val="0"/>
              </w:rPr>
              <w:t xml:space="preserve"> inadmisible.</w:t>
            </w:r>
            <w:r w:rsidR="009C056C" w:rsidRPr="00271D1D">
              <w:rPr>
                <w:rFonts w:ascii="Calibri Light" w:hAnsi="Calibri Light"/>
                <w:b w:val="0"/>
              </w:rPr>
              <w:t xml:space="preserve"> </w:t>
            </w:r>
            <w:r w:rsidRPr="00271D1D">
              <w:rPr>
                <w:rFonts w:ascii="Calibri Light" w:hAnsi="Calibri Light"/>
                <w:b w:val="0"/>
              </w:rPr>
              <w:t xml:space="preserve">En mayo de ese año, </w:t>
            </w:r>
            <w:r w:rsidR="007D1B56" w:rsidRPr="00271D1D">
              <w:rPr>
                <w:rFonts w:ascii="Calibri Light" w:hAnsi="Calibri Light"/>
                <w:b w:val="0"/>
              </w:rPr>
              <w:t xml:space="preserve">el señor </w:t>
            </w:r>
            <w:r w:rsidRPr="00271D1D">
              <w:rPr>
                <w:rFonts w:ascii="Calibri Light" w:hAnsi="Calibri Light"/>
                <w:b w:val="0"/>
              </w:rPr>
              <w:t>Álvarez public</w:t>
            </w:r>
            <w:r w:rsidR="007D1B56" w:rsidRPr="00271D1D">
              <w:rPr>
                <w:rFonts w:ascii="Calibri Light" w:hAnsi="Calibri Light"/>
                <w:b w:val="0"/>
              </w:rPr>
              <w:t>ó</w:t>
            </w:r>
            <w:r w:rsidRPr="00271D1D">
              <w:rPr>
                <w:rFonts w:ascii="Calibri Light" w:hAnsi="Calibri Light"/>
                <w:b w:val="0"/>
              </w:rPr>
              <w:t xml:space="preserve"> una columna de opinión en la cual hac</w:t>
            </w:r>
            <w:r w:rsidR="007D1B56" w:rsidRPr="00271D1D">
              <w:rPr>
                <w:rFonts w:ascii="Calibri Light" w:hAnsi="Calibri Light"/>
                <w:b w:val="0"/>
              </w:rPr>
              <w:t>ía</w:t>
            </w:r>
            <w:r w:rsidRPr="00271D1D">
              <w:rPr>
                <w:rFonts w:ascii="Calibri Light" w:hAnsi="Calibri Light"/>
                <w:b w:val="0"/>
              </w:rPr>
              <w:t xml:space="preserve"> mención a </w:t>
            </w:r>
            <w:r w:rsidR="00D642CE">
              <w:rPr>
                <w:rFonts w:ascii="Calibri Light" w:hAnsi="Calibri Light"/>
                <w:b w:val="0"/>
              </w:rPr>
              <w:t>estos hechos</w:t>
            </w:r>
            <w:r w:rsidR="007D1B56" w:rsidRPr="00271D1D">
              <w:rPr>
                <w:rFonts w:ascii="Calibri Light" w:hAnsi="Calibri Light"/>
                <w:b w:val="0"/>
              </w:rPr>
              <w:t xml:space="preserve">. </w:t>
            </w:r>
            <w:r w:rsidR="00475723">
              <w:rPr>
                <w:rFonts w:ascii="Calibri Light" w:hAnsi="Calibri Light"/>
                <w:b w:val="0"/>
              </w:rPr>
              <w:t>Ante ello</w:t>
            </w:r>
            <w:r w:rsidR="007D1B56" w:rsidRPr="00271D1D">
              <w:rPr>
                <w:rFonts w:ascii="Calibri Light" w:hAnsi="Calibri Light"/>
                <w:b w:val="0"/>
              </w:rPr>
              <w:t xml:space="preserve">, Willian Lara interpuso </w:t>
            </w:r>
            <w:r w:rsidRPr="00271D1D">
              <w:rPr>
                <w:rFonts w:ascii="Calibri Light" w:hAnsi="Calibri Light"/>
                <w:b w:val="0"/>
              </w:rPr>
              <w:t xml:space="preserve">una querella penal </w:t>
            </w:r>
            <w:r w:rsidR="005A5DA0" w:rsidRPr="00271D1D">
              <w:rPr>
                <w:rFonts w:ascii="Calibri Light" w:hAnsi="Calibri Light"/>
                <w:b w:val="0"/>
              </w:rPr>
              <w:t xml:space="preserve">en </w:t>
            </w:r>
            <w:r w:rsidR="006963FB" w:rsidRPr="00271D1D">
              <w:rPr>
                <w:rFonts w:ascii="Calibri Light" w:hAnsi="Calibri Light"/>
                <w:b w:val="0"/>
              </w:rPr>
              <w:t xml:space="preserve">su </w:t>
            </w:r>
            <w:r w:rsidR="007D1B56" w:rsidRPr="00271D1D">
              <w:rPr>
                <w:rFonts w:ascii="Calibri Light" w:hAnsi="Calibri Light"/>
                <w:b w:val="0"/>
              </w:rPr>
              <w:t xml:space="preserve">contra </w:t>
            </w:r>
            <w:r w:rsidRPr="00271D1D">
              <w:rPr>
                <w:rFonts w:ascii="Calibri Light" w:hAnsi="Calibri Light"/>
                <w:b w:val="0"/>
              </w:rPr>
              <w:t xml:space="preserve">por </w:t>
            </w:r>
            <w:r w:rsidR="0080522D">
              <w:rPr>
                <w:rFonts w:ascii="Calibri Light" w:hAnsi="Calibri Light"/>
                <w:b w:val="0"/>
              </w:rPr>
              <w:t xml:space="preserve">el delito de </w:t>
            </w:r>
            <w:r w:rsidRPr="00271D1D">
              <w:rPr>
                <w:rFonts w:ascii="Calibri Light" w:hAnsi="Calibri Light"/>
                <w:b w:val="0"/>
              </w:rPr>
              <w:t>difamación agravada</w:t>
            </w:r>
            <w:r w:rsidR="005F6F93">
              <w:rPr>
                <w:rFonts w:ascii="Calibri Light" w:hAnsi="Calibri Light"/>
                <w:b w:val="0"/>
              </w:rPr>
              <w:t xml:space="preserve"> continuada</w:t>
            </w:r>
            <w:r w:rsidR="0080522D">
              <w:rPr>
                <w:rFonts w:ascii="Calibri Light" w:hAnsi="Calibri Light"/>
                <w:b w:val="0"/>
              </w:rPr>
              <w:t>, previsto en el artículo 444 del Código Penal</w:t>
            </w:r>
            <w:r w:rsidRPr="00271D1D">
              <w:rPr>
                <w:rFonts w:ascii="Calibri Light" w:hAnsi="Calibri Light"/>
                <w:b w:val="0"/>
              </w:rPr>
              <w:t xml:space="preserve">. </w:t>
            </w:r>
          </w:p>
          <w:p w14:paraId="423E27CF" w14:textId="77777777" w:rsidR="001A1869" w:rsidRPr="00271D1D" w:rsidRDefault="001A1869" w:rsidP="00E11C4B">
            <w:pPr>
              <w:jc w:val="both"/>
              <w:rPr>
                <w:rFonts w:ascii="Calibri Light" w:hAnsi="Calibri Light"/>
                <w:b w:val="0"/>
              </w:rPr>
            </w:pPr>
          </w:p>
          <w:p w14:paraId="2A198A40" w14:textId="57ED042C" w:rsidR="00475723" w:rsidRDefault="00DA32BA" w:rsidP="00B434F9">
            <w:pPr>
              <w:jc w:val="both"/>
              <w:rPr>
                <w:rFonts w:ascii="Calibri Light" w:hAnsi="Calibri Light"/>
                <w:b w:val="0"/>
              </w:rPr>
            </w:pPr>
            <w:r w:rsidRPr="00271D1D">
              <w:rPr>
                <w:rFonts w:ascii="Calibri Light" w:hAnsi="Calibri Light"/>
                <w:b w:val="0"/>
              </w:rPr>
              <w:t xml:space="preserve">En diciembre de 2004, </w:t>
            </w:r>
            <w:r w:rsidR="004242D0" w:rsidRPr="00271D1D">
              <w:rPr>
                <w:rFonts w:ascii="Calibri Light" w:hAnsi="Calibri Light"/>
                <w:b w:val="0"/>
              </w:rPr>
              <w:t xml:space="preserve">el </w:t>
            </w:r>
            <w:r w:rsidR="004242D0" w:rsidRPr="00732DB1">
              <w:rPr>
                <w:rFonts w:ascii="Calibri Light" w:hAnsi="Calibri Light"/>
                <w:b w:val="0"/>
              </w:rPr>
              <w:t xml:space="preserve">Juzgado </w:t>
            </w:r>
            <w:r w:rsidR="0080522D" w:rsidRPr="00732DB1">
              <w:rPr>
                <w:rFonts w:ascii="Calibri Light" w:hAnsi="Calibri Light"/>
                <w:b w:val="0"/>
              </w:rPr>
              <w:t>de Juicio Séptimo de Primera Instancia en Funciones de Juicio del Circuito Judicial Penal del Área Metropolitana de Caracas</w:t>
            </w:r>
            <w:r w:rsidR="00732DB1" w:rsidRPr="00732DB1">
              <w:rPr>
                <w:rFonts w:ascii="Calibri Light" w:hAnsi="Calibri Light"/>
                <w:b w:val="0"/>
              </w:rPr>
              <w:t xml:space="preserve"> (en adelante, el Juzgado de Juicio)</w:t>
            </w:r>
            <w:r w:rsidR="004242D0" w:rsidRPr="00732DB1">
              <w:rPr>
                <w:rFonts w:ascii="Calibri Light" w:hAnsi="Calibri Light"/>
                <w:b w:val="0"/>
              </w:rPr>
              <w:t xml:space="preserve"> dispuso la apertura del </w:t>
            </w:r>
            <w:r w:rsidR="00FA6E5A" w:rsidRPr="00732DB1">
              <w:rPr>
                <w:rFonts w:ascii="Calibri Light" w:hAnsi="Calibri Light"/>
                <w:b w:val="0"/>
              </w:rPr>
              <w:t>juicio oral y público</w:t>
            </w:r>
            <w:r w:rsidR="00732DB1" w:rsidRPr="00732DB1">
              <w:rPr>
                <w:rFonts w:ascii="Calibri Light" w:hAnsi="Calibri Light"/>
                <w:b w:val="0"/>
              </w:rPr>
              <w:t>, y</w:t>
            </w:r>
            <w:r w:rsidR="005A5DA0" w:rsidRPr="00732DB1">
              <w:rPr>
                <w:rFonts w:ascii="Calibri Light" w:hAnsi="Calibri Light"/>
                <w:b w:val="0"/>
              </w:rPr>
              <w:t xml:space="preserve"> ordenó</w:t>
            </w:r>
            <w:r w:rsidR="004242D0" w:rsidRPr="00732DB1">
              <w:rPr>
                <w:rFonts w:ascii="Calibri Light" w:hAnsi="Calibri Light"/>
                <w:b w:val="0"/>
              </w:rPr>
              <w:t xml:space="preserve"> como medida cautelar </w:t>
            </w:r>
            <w:r w:rsidR="006963FB" w:rsidRPr="00732DB1">
              <w:rPr>
                <w:rFonts w:ascii="Calibri Light" w:hAnsi="Calibri Light"/>
                <w:b w:val="0"/>
              </w:rPr>
              <w:t xml:space="preserve">la </w:t>
            </w:r>
            <w:r w:rsidR="00FA6E5A" w:rsidRPr="00732DB1">
              <w:rPr>
                <w:rFonts w:ascii="Calibri Light" w:hAnsi="Calibri Light"/>
                <w:b w:val="0"/>
              </w:rPr>
              <w:t xml:space="preserve">prohibición de </w:t>
            </w:r>
            <w:r w:rsidR="00FA6E5A" w:rsidRPr="00271D1D">
              <w:rPr>
                <w:rFonts w:ascii="Calibri Light" w:hAnsi="Calibri Light"/>
                <w:b w:val="0"/>
              </w:rPr>
              <w:t xml:space="preserve">salida del país </w:t>
            </w:r>
            <w:r w:rsidR="004242D0" w:rsidRPr="00271D1D">
              <w:rPr>
                <w:rFonts w:ascii="Calibri Light" w:hAnsi="Calibri Light"/>
                <w:b w:val="0"/>
              </w:rPr>
              <w:t>de</w:t>
            </w:r>
            <w:r w:rsidR="009C056C" w:rsidRPr="00271D1D">
              <w:rPr>
                <w:rFonts w:ascii="Calibri Light" w:hAnsi="Calibri Light"/>
                <w:b w:val="0"/>
              </w:rPr>
              <w:t>l señor</w:t>
            </w:r>
            <w:r w:rsidR="004242D0" w:rsidRPr="00271D1D">
              <w:rPr>
                <w:rFonts w:ascii="Calibri Light" w:hAnsi="Calibri Light"/>
                <w:b w:val="0"/>
              </w:rPr>
              <w:t xml:space="preserve"> Álvarez. </w:t>
            </w:r>
            <w:r w:rsidR="00475723">
              <w:rPr>
                <w:rFonts w:ascii="Calibri Light" w:hAnsi="Calibri Light"/>
                <w:b w:val="0"/>
              </w:rPr>
              <w:t xml:space="preserve">Cabe señalar que durante las audiencias, </w:t>
            </w:r>
            <w:r w:rsidR="00B5267E" w:rsidRPr="00271D1D">
              <w:rPr>
                <w:rFonts w:ascii="Calibri Light" w:hAnsi="Calibri Light"/>
                <w:b w:val="0"/>
              </w:rPr>
              <w:t>un</w:t>
            </w:r>
            <w:r w:rsidRPr="00271D1D">
              <w:rPr>
                <w:rFonts w:ascii="Calibri Light" w:hAnsi="Calibri Light"/>
                <w:b w:val="0"/>
              </w:rPr>
              <w:t xml:space="preserve"> testigo de la defensa</w:t>
            </w:r>
            <w:r w:rsidR="004242D0" w:rsidRPr="00271D1D">
              <w:rPr>
                <w:rFonts w:ascii="Calibri Light" w:hAnsi="Calibri Light"/>
                <w:b w:val="0"/>
              </w:rPr>
              <w:t xml:space="preserve"> de</w:t>
            </w:r>
            <w:r w:rsidR="00B5267E" w:rsidRPr="00271D1D">
              <w:rPr>
                <w:rFonts w:ascii="Calibri Light" w:hAnsi="Calibri Light"/>
                <w:b w:val="0"/>
              </w:rPr>
              <w:t>l señor</w:t>
            </w:r>
            <w:r w:rsidR="004242D0" w:rsidRPr="00271D1D">
              <w:rPr>
                <w:rFonts w:ascii="Calibri Light" w:hAnsi="Calibri Light"/>
                <w:b w:val="0"/>
              </w:rPr>
              <w:t xml:space="preserve"> Álvarez</w:t>
            </w:r>
            <w:r w:rsidRPr="00271D1D">
              <w:rPr>
                <w:rFonts w:ascii="Calibri Light" w:hAnsi="Calibri Light"/>
                <w:b w:val="0"/>
              </w:rPr>
              <w:t xml:space="preserve"> fue detenido por la supuesta comisión </w:t>
            </w:r>
            <w:r w:rsidRPr="00271D1D">
              <w:rPr>
                <w:rFonts w:ascii="Calibri Light" w:hAnsi="Calibri Light"/>
                <w:b w:val="0"/>
                <w:i/>
              </w:rPr>
              <w:t>in fraganti</w:t>
            </w:r>
            <w:r w:rsidRPr="00271D1D">
              <w:rPr>
                <w:rFonts w:ascii="Calibri Light" w:hAnsi="Calibri Light"/>
                <w:b w:val="0"/>
              </w:rPr>
              <w:t xml:space="preserve"> de </w:t>
            </w:r>
            <w:r w:rsidR="006963FB" w:rsidRPr="00271D1D">
              <w:rPr>
                <w:rFonts w:ascii="Calibri Light" w:hAnsi="Calibri Light"/>
                <w:b w:val="0"/>
              </w:rPr>
              <w:t xml:space="preserve">los </w:t>
            </w:r>
            <w:r w:rsidR="00947FEA" w:rsidRPr="00271D1D">
              <w:rPr>
                <w:rFonts w:ascii="Calibri Light" w:hAnsi="Calibri Light"/>
                <w:b w:val="0"/>
              </w:rPr>
              <w:t>“d</w:t>
            </w:r>
            <w:r w:rsidRPr="00271D1D">
              <w:rPr>
                <w:rFonts w:ascii="Calibri Light" w:hAnsi="Calibri Light"/>
                <w:b w:val="0"/>
              </w:rPr>
              <w:t xml:space="preserve">elitos de </w:t>
            </w:r>
            <w:r w:rsidR="00947FEA" w:rsidRPr="00271D1D">
              <w:rPr>
                <w:rFonts w:ascii="Calibri Light" w:hAnsi="Calibri Light"/>
                <w:b w:val="0"/>
              </w:rPr>
              <w:t>a</w:t>
            </w:r>
            <w:r w:rsidRPr="00271D1D">
              <w:rPr>
                <w:rFonts w:ascii="Calibri Light" w:hAnsi="Calibri Light"/>
                <w:b w:val="0"/>
              </w:rPr>
              <w:t xml:space="preserve">udiencia y </w:t>
            </w:r>
            <w:r w:rsidR="00947FEA" w:rsidRPr="00271D1D">
              <w:rPr>
                <w:rFonts w:ascii="Calibri Light" w:hAnsi="Calibri Light"/>
                <w:b w:val="0"/>
              </w:rPr>
              <w:t>f</w:t>
            </w:r>
            <w:r w:rsidRPr="00271D1D">
              <w:rPr>
                <w:rFonts w:ascii="Calibri Light" w:hAnsi="Calibri Light"/>
                <w:b w:val="0"/>
              </w:rPr>
              <w:t xml:space="preserve">also </w:t>
            </w:r>
            <w:r w:rsidR="00947FEA" w:rsidRPr="00271D1D">
              <w:rPr>
                <w:rFonts w:ascii="Calibri Light" w:hAnsi="Calibri Light"/>
                <w:b w:val="0"/>
              </w:rPr>
              <w:t>t</w:t>
            </w:r>
            <w:r w:rsidRPr="00271D1D">
              <w:rPr>
                <w:rFonts w:ascii="Calibri Light" w:hAnsi="Calibri Light"/>
                <w:b w:val="0"/>
              </w:rPr>
              <w:t>estimonio</w:t>
            </w:r>
            <w:r w:rsidR="00947FEA" w:rsidRPr="00271D1D">
              <w:rPr>
                <w:rFonts w:ascii="Calibri Light" w:hAnsi="Calibri Light"/>
                <w:b w:val="0"/>
              </w:rPr>
              <w:t>”</w:t>
            </w:r>
            <w:r w:rsidR="00475723">
              <w:rPr>
                <w:rFonts w:ascii="Calibri Light" w:hAnsi="Calibri Light"/>
                <w:b w:val="0"/>
              </w:rPr>
              <w:t>,</w:t>
            </w:r>
            <w:r w:rsidRPr="00271D1D">
              <w:rPr>
                <w:rFonts w:ascii="Calibri Light" w:hAnsi="Calibri Light"/>
                <w:b w:val="0"/>
              </w:rPr>
              <w:t xml:space="preserve"> y trasladado a un centro de detención, a solicitud de la parte acusadora</w:t>
            </w:r>
            <w:r w:rsidR="004043CC" w:rsidRPr="00271D1D">
              <w:rPr>
                <w:rFonts w:ascii="Calibri Light" w:hAnsi="Calibri Light"/>
                <w:b w:val="0"/>
              </w:rPr>
              <w:t>, razón por la cual no pudo testificar en el proceso.</w:t>
            </w:r>
            <w:r w:rsidR="00732DB1">
              <w:rPr>
                <w:rFonts w:ascii="Calibri Light" w:hAnsi="Calibri Light"/>
                <w:b w:val="0"/>
              </w:rPr>
              <w:t xml:space="preserve"> </w:t>
            </w:r>
            <w:r w:rsidR="00475723">
              <w:rPr>
                <w:rFonts w:ascii="Calibri Light" w:hAnsi="Calibri Light"/>
                <w:b w:val="0"/>
              </w:rPr>
              <w:t>E</w:t>
            </w:r>
            <w:r w:rsidR="00251DDE" w:rsidRPr="00271D1D">
              <w:rPr>
                <w:rFonts w:ascii="Calibri Light" w:hAnsi="Calibri Light"/>
                <w:b w:val="0"/>
              </w:rPr>
              <w:t>l 10</w:t>
            </w:r>
            <w:r w:rsidR="00B434F9" w:rsidRPr="00271D1D">
              <w:rPr>
                <w:rFonts w:ascii="Calibri Light" w:hAnsi="Calibri Light"/>
                <w:b w:val="0"/>
              </w:rPr>
              <w:t xml:space="preserve"> de febrero de 2005, </w:t>
            </w:r>
            <w:r w:rsidR="00475723">
              <w:rPr>
                <w:rFonts w:ascii="Calibri Light" w:hAnsi="Calibri Light"/>
                <w:b w:val="0"/>
              </w:rPr>
              <w:t xml:space="preserve">el Juzgado de Juicio emitió sentencia y condenó al señor Álvarez. Frente a </w:t>
            </w:r>
            <w:r w:rsidR="009C1E6D">
              <w:rPr>
                <w:rFonts w:ascii="Calibri Light" w:hAnsi="Calibri Light"/>
                <w:b w:val="0"/>
              </w:rPr>
              <w:t>ello</w:t>
            </w:r>
            <w:r w:rsidR="00475723">
              <w:rPr>
                <w:rFonts w:ascii="Calibri Light" w:hAnsi="Calibri Light"/>
                <w:b w:val="0"/>
              </w:rPr>
              <w:t xml:space="preserve">, el señor Álvarez presentó una acción de amparo, que fue declarada inadmisible. </w:t>
            </w:r>
          </w:p>
          <w:p w14:paraId="21BC7B45" w14:textId="77777777" w:rsidR="00475723" w:rsidRDefault="00475723" w:rsidP="00B434F9">
            <w:pPr>
              <w:jc w:val="both"/>
              <w:rPr>
                <w:rFonts w:ascii="Calibri Light" w:hAnsi="Calibri Light"/>
                <w:b w:val="0"/>
              </w:rPr>
            </w:pPr>
          </w:p>
          <w:p w14:paraId="7E6B72B4" w14:textId="77777777" w:rsidR="00614649" w:rsidRDefault="00475723" w:rsidP="00624A7E">
            <w:pPr>
              <w:jc w:val="both"/>
              <w:rPr>
                <w:rFonts w:ascii="Calibri Light" w:hAnsi="Calibri Light"/>
                <w:b w:val="0"/>
              </w:rPr>
            </w:pPr>
            <w:r>
              <w:rPr>
                <w:rFonts w:ascii="Calibri Light" w:hAnsi="Calibri Light"/>
                <w:b w:val="0"/>
              </w:rPr>
              <w:t xml:space="preserve">El 28 de febrero de 2005, el Juzgado de Juicio </w:t>
            </w:r>
            <w:r w:rsidR="005F6F93">
              <w:rPr>
                <w:rFonts w:ascii="Calibri Light" w:hAnsi="Calibri Light"/>
                <w:b w:val="0"/>
              </w:rPr>
              <w:t xml:space="preserve">recién </w:t>
            </w:r>
            <w:r>
              <w:rPr>
                <w:rFonts w:ascii="Calibri Light" w:hAnsi="Calibri Light"/>
                <w:b w:val="0"/>
              </w:rPr>
              <w:t xml:space="preserve">publicó </w:t>
            </w:r>
            <w:r w:rsidR="005F6F93">
              <w:rPr>
                <w:rFonts w:ascii="Calibri Light" w:hAnsi="Calibri Light"/>
                <w:b w:val="0"/>
              </w:rPr>
              <w:t>de manera íntegra su</w:t>
            </w:r>
            <w:r>
              <w:rPr>
                <w:rFonts w:ascii="Calibri Light" w:hAnsi="Calibri Light"/>
                <w:b w:val="0"/>
              </w:rPr>
              <w:t xml:space="preserve"> sentencia</w:t>
            </w:r>
            <w:r w:rsidR="005F6F93">
              <w:rPr>
                <w:rFonts w:ascii="Calibri Light" w:hAnsi="Calibri Light"/>
                <w:b w:val="0"/>
              </w:rPr>
              <w:t xml:space="preserve">. En esta, precisó que el señor Álvarez había sido condenado </w:t>
            </w:r>
            <w:r w:rsidR="005F6F93" w:rsidRPr="00271D1D">
              <w:rPr>
                <w:rFonts w:ascii="Calibri Light" w:hAnsi="Calibri Light"/>
                <w:b w:val="0"/>
              </w:rPr>
              <w:t>a</w:t>
            </w:r>
            <w:r w:rsidR="005F6F93">
              <w:rPr>
                <w:rFonts w:ascii="Calibri Light" w:hAnsi="Calibri Light"/>
                <w:b w:val="0"/>
              </w:rPr>
              <w:t xml:space="preserve"> dos</w:t>
            </w:r>
            <w:r w:rsidR="005F6F93" w:rsidRPr="00271D1D">
              <w:rPr>
                <w:rFonts w:ascii="Calibri Light" w:hAnsi="Calibri Light"/>
                <w:b w:val="0"/>
              </w:rPr>
              <w:t xml:space="preserve"> años </w:t>
            </w:r>
            <w:r w:rsidR="005F6F93">
              <w:rPr>
                <w:rFonts w:ascii="Calibri Light" w:hAnsi="Calibri Light"/>
                <w:b w:val="0"/>
              </w:rPr>
              <w:t>y tres</w:t>
            </w:r>
            <w:r w:rsidR="005F6F93" w:rsidRPr="00271D1D">
              <w:rPr>
                <w:rFonts w:ascii="Calibri Light" w:hAnsi="Calibri Light"/>
                <w:b w:val="0"/>
              </w:rPr>
              <w:t xml:space="preserve"> meses de prisión</w:t>
            </w:r>
            <w:r w:rsidR="005F6F93">
              <w:rPr>
                <w:rFonts w:ascii="Calibri Light" w:hAnsi="Calibri Light"/>
                <w:b w:val="0"/>
              </w:rPr>
              <w:t xml:space="preserve"> por el delito de difamación agravada continuada. Asimismo, le impuso otras medidas, como la inhabilitación política durante el tiempo de su condena, la sujeción a la vigilancia de la autoridad por una quinta parte del tiempo de su condena y el mantenimiento de la prohibición de salida del país. </w:t>
            </w:r>
            <w:r w:rsidR="0031046F">
              <w:rPr>
                <w:rFonts w:ascii="Calibri Light" w:hAnsi="Calibri Light"/>
                <w:b w:val="0"/>
              </w:rPr>
              <w:t>Frente a esta decisión, e</w:t>
            </w:r>
            <w:r w:rsidR="009C1E6D">
              <w:rPr>
                <w:rFonts w:ascii="Calibri Light" w:hAnsi="Calibri Light"/>
                <w:b w:val="0"/>
              </w:rPr>
              <w:t xml:space="preserve">l señor Álvarez presentó un recurso de apelación y un recurso de casación. </w:t>
            </w:r>
            <w:r w:rsidR="0031046F">
              <w:rPr>
                <w:rFonts w:ascii="Calibri Light" w:hAnsi="Calibri Light"/>
                <w:b w:val="0"/>
              </w:rPr>
              <w:t>Sin embargo, a</w:t>
            </w:r>
            <w:r w:rsidR="009C1E6D">
              <w:rPr>
                <w:rFonts w:ascii="Calibri Light" w:hAnsi="Calibri Light"/>
                <w:b w:val="0"/>
              </w:rPr>
              <w:t xml:space="preserve">mbos fueron desestimados. </w:t>
            </w:r>
          </w:p>
          <w:p w14:paraId="0AB29524" w14:textId="77777777" w:rsidR="00614649" w:rsidRDefault="00614649" w:rsidP="00624A7E">
            <w:pPr>
              <w:jc w:val="both"/>
              <w:rPr>
                <w:rFonts w:ascii="Calibri Light" w:hAnsi="Calibri Light"/>
                <w:b w:val="0"/>
              </w:rPr>
            </w:pPr>
          </w:p>
          <w:p w14:paraId="04513A7E" w14:textId="49963AC3" w:rsidR="00614649" w:rsidRDefault="0031046F" w:rsidP="0093609C">
            <w:pPr>
              <w:jc w:val="both"/>
              <w:rPr>
                <w:rFonts w:ascii="Calibri Light" w:hAnsi="Calibri Light"/>
                <w:b w:val="0"/>
              </w:rPr>
            </w:pPr>
            <w:r>
              <w:rPr>
                <w:rFonts w:ascii="Calibri Light" w:hAnsi="Calibri Light"/>
                <w:b w:val="0"/>
              </w:rPr>
              <w:t xml:space="preserve">En vista de ello, el 3 de julio de 2006, </w:t>
            </w:r>
            <w:r w:rsidR="00614649">
              <w:rPr>
                <w:rFonts w:ascii="Calibri Light" w:hAnsi="Calibri Light"/>
                <w:b w:val="0"/>
              </w:rPr>
              <w:t xml:space="preserve">el </w:t>
            </w:r>
            <w:r w:rsidR="00614649" w:rsidRPr="00614649">
              <w:rPr>
                <w:rFonts w:ascii="Calibri Light" w:hAnsi="Calibri Light"/>
                <w:b w:val="0"/>
              </w:rPr>
              <w:t xml:space="preserve">Juzgado Noveno en Funciones de Ejecución (en adelante, Juzgado Noveno) </w:t>
            </w:r>
            <w:r w:rsidRPr="00614649">
              <w:rPr>
                <w:rFonts w:ascii="Calibri Light" w:hAnsi="Calibri Light"/>
                <w:b w:val="0"/>
              </w:rPr>
              <w:t xml:space="preserve">ordenó </w:t>
            </w:r>
            <w:r w:rsidR="0093609C" w:rsidRPr="00614649">
              <w:rPr>
                <w:rFonts w:ascii="Calibri Light" w:hAnsi="Calibri Light"/>
                <w:b w:val="0"/>
                <w:lang w:val="es-PE"/>
              </w:rPr>
              <w:t xml:space="preserve">la inmediata ejecución de la condena. </w:t>
            </w:r>
            <w:r w:rsidRPr="00614649">
              <w:rPr>
                <w:rFonts w:ascii="Calibri Light" w:hAnsi="Calibri Light"/>
                <w:b w:val="0"/>
                <w:lang w:val="es-PE"/>
              </w:rPr>
              <w:t>Como consecuencia</w:t>
            </w:r>
            <w:r w:rsidRPr="0031046F">
              <w:rPr>
                <w:rFonts w:ascii="Calibri Light" w:hAnsi="Calibri Light"/>
                <w:b w:val="0"/>
                <w:lang w:val="es-PE"/>
              </w:rPr>
              <w:t>, se decretó su</w:t>
            </w:r>
            <w:r w:rsidR="00624A7E">
              <w:rPr>
                <w:rFonts w:ascii="Calibri Light" w:hAnsi="Calibri Light"/>
                <w:b w:val="0"/>
                <w:lang w:val="es-PE"/>
              </w:rPr>
              <w:t xml:space="preserve"> inhabilidad</w:t>
            </w:r>
            <w:r w:rsidRPr="0031046F">
              <w:rPr>
                <w:rFonts w:ascii="Calibri Light" w:hAnsi="Calibri Light"/>
                <w:b w:val="0"/>
                <w:lang w:val="es-PE"/>
              </w:rPr>
              <w:t xml:space="preserve"> política, </w:t>
            </w:r>
            <w:r w:rsidR="00624A7E">
              <w:rPr>
                <w:rFonts w:ascii="Calibri Light" w:hAnsi="Calibri Light"/>
                <w:b w:val="0"/>
                <w:lang w:val="es-PE"/>
              </w:rPr>
              <w:t xml:space="preserve">y </w:t>
            </w:r>
            <w:r w:rsidRPr="0031046F">
              <w:rPr>
                <w:rFonts w:ascii="Calibri Light" w:hAnsi="Calibri Light"/>
                <w:b w:val="0"/>
                <w:lang w:val="es-PE"/>
              </w:rPr>
              <w:t xml:space="preserve">se le excluyó del Registro Nacional Electoral y del Registro Electoral de la Asociación de Profesores de la Universidad Central de Venezuela. </w:t>
            </w:r>
            <w:r w:rsidR="00624A7E">
              <w:rPr>
                <w:rFonts w:ascii="Calibri Light" w:hAnsi="Calibri Light"/>
                <w:b w:val="0"/>
                <w:lang w:val="es-PE"/>
              </w:rPr>
              <w:t>Asimismo, ordenó realizar diligencias para que el señor Álvarez pudiese obtener la suspensión condicional de su pena. A pesar</w:t>
            </w:r>
            <w:r w:rsidR="00614649">
              <w:rPr>
                <w:rFonts w:ascii="Calibri Light" w:hAnsi="Calibri Light"/>
                <w:b w:val="0"/>
                <w:lang w:val="es-PE"/>
              </w:rPr>
              <w:t xml:space="preserve"> de ello y de las solicitudes del peticionario</w:t>
            </w:r>
            <w:r w:rsidR="00624A7E">
              <w:rPr>
                <w:rFonts w:ascii="Calibri Light" w:hAnsi="Calibri Light"/>
                <w:b w:val="0"/>
                <w:lang w:val="es-PE"/>
              </w:rPr>
              <w:t xml:space="preserve">, no existe constancia de que la suspensión condicional fuera ordenada en ese momento, ni </w:t>
            </w:r>
            <w:r w:rsidR="00624A7E" w:rsidRPr="00624A7E">
              <w:rPr>
                <w:rFonts w:ascii="Calibri Light" w:hAnsi="Calibri Light"/>
                <w:b w:val="0"/>
              </w:rPr>
              <w:t xml:space="preserve">que el señor Álvarez </w:t>
            </w:r>
            <w:r w:rsidR="00624A7E">
              <w:rPr>
                <w:rFonts w:ascii="Calibri Light" w:hAnsi="Calibri Light"/>
                <w:b w:val="0"/>
              </w:rPr>
              <w:t>fuera</w:t>
            </w:r>
            <w:r w:rsidR="00624A7E" w:rsidRPr="00624A7E">
              <w:rPr>
                <w:rFonts w:ascii="Calibri Light" w:hAnsi="Calibri Light"/>
                <w:b w:val="0"/>
              </w:rPr>
              <w:t xml:space="preserve"> privado de su libertad.</w:t>
            </w:r>
            <w:r w:rsidR="00614649">
              <w:rPr>
                <w:rFonts w:ascii="Calibri Light" w:hAnsi="Calibri Light"/>
                <w:b w:val="0"/>
              </w:rPr>
              <w:t xml:space="preserve"> </w:t>
            </w:r>
          </w:p>
          <w:p w14:paraId="47462AEC" w14:textId="77777777" w:rsidR="00614649" w:rsidRDefault="00614649" w:rsidP="0093609C">
            <w:pPr>
              <w:jc w:val="both"/>
              <w:rPr>
                <w:rFonts w:ascii="Calibri Light" w:hAnsi="Calibri Light"/>
                <w:b w:val="0"/>
              </w:rPr>
            </w:pPr>
          </w:p>
          <w:p w14:paraId="14D16E15" w14:textId="473DC740" w:rsidR="00D642CE" w:rsidRDefault="00F00887" w:rsidP="009045FB">
            <w:pPr>
              <w:jc w:val="both"/>
              <w:rPr>
                <w:rFonts w:ascii="Calibri Light" w:hAnsi="Calibri Light"/>
                <w:b w:val="0"/>
                <w:color w:val="FF0000"/>
              </w:rPr>
            </w:pPr>
            <w:r>
              <w:rPr>
                <w:rFonts w:ascii="Calibri Light" w:hAnsi="Calibri Light"/>
                <w:b w:val="0"/>
              </w:rPr>
              <w:t>En ese contexto, e</w:t>
            </w:r>
            <w:r w:rsidR="00614649">
              <w:rPr>
                <w:rFonts w:ascii="Calibri Light" w:hAnsi="Calibri Light"/>
                <w:b w:val="0"/>
              </w:rPr>
              <w:t xml:space="preserve">n septiembre de 2006, </w:t>
            </w:r>
            <w:r w:rsidR="0093609C" w:rsidRPr="00614649">
              <w:rPr>
                <w:rFonts w:ascii="Calibri Light" w:hAnsi="Calibri Light"/>
                <w:b w:val="0"/>
              </w:rPr>
              <w:t>la CIDH</w:t>
            </w:r>
            <w:r w:rsidR="00614649" w:rsidRPr="00614649">
              <w:rPr>
                <w:rFonts w:ascii="Calibri Light" w:hAnsi="Calibri Light"/>
                <w:b w:val="0"/>
              </w:rPr>
              <w:t xml:space="preserve"> </w:t>
            </w:r>
            <w:r w:rsidR="0093609C" w:rsidRPr="00614649">
              <w:rPr>
                <w:rFonts w:ascii="Calibri Light" w:hAnsi="Calibri Light"/>
                <w:b w:val="0"/>
              </w:rPr>
              <w:t xml:space="preserve">solicitó al Estado venezolano </w:t>
            </w:r>
            <w:r w:rsidR="00614649" w:rsidRPr="00614649">
              <w:rPr>
                <w:rFonts w:ascii="Calibri Light" w:hAnsi="Calibri Light"/>
                <w:b w:val="0"/>
              </w:rPr>
              <w:t>adoptar</w:t>
            </w:r>
            <w:r w:rsidR="0093609C" w:rsidRPr="00614649">
              <w:rPr>
                <w:rFonts w:ascii="Calibri Light" w:hAnsi="Calibri Light"/>
                <w:b w:val="0"/>
              </w:rPr>
              <w:t xml:space="preserve"> las medidas n</w:t>
            </w:r>
            <w:r w:rsidR="00614649" w:rsidRPr="00614649">
              <w:rPr>
                <w:rFonts w:ascii="Calibri Light" w:hAnsi="Calibri Light"/>
                <w:b w:val="0"/>
              </w:rPr>
              <w:t>ecesarias para dejar sin efecto</w:t>
            </w:r>
            <w:r w:rsidR="0093609C" w:rsidRPr="00614649">
              <w:rPr>
                <w:rFonts w:ascii="Calibri Light" w:hAnsi="Calibri Light"/>
                <w:b w:val="0"/>
              </w:rPr>
              <w:t xml:space="preserve"> la ejecución de la sentencia </w:t>
            </w:r>
            <w:r w:rsidR="00614649" w:rsidRPr="00614649">
              <w:rPr>
                <w:rFonts w:ascii="Calibri Light" w:hAnsi="Calibri Light"/>
                <w:b w:val="0"/>
              </w:rPr>
              <w:t xml:space="preserve">del Juzgado Noveno </w:t>
            </w:r>
            <w:r w:rsidR="0093609C" w:rsidRPr="00614649">
              <w:rPr>
                <w:rFonts w:ascii="Calibri Light" w:hAnsi="Calibri Light"/>
                <w:b w:val="0"/>
              </w:rPr>
              <w:t>hasta que el caso fue</w:t>
            </w:r>
            <w:r w:rsidR="00624A7E" w:rsidRPr="00614649">
              <w:rPr>
                <w:rFonts w:ascii="Calibri Light" w:hAnsi="Calibri Light"/>
                <w:b w:val="0"/>
              </w:rPr>
              <w:t>ra</w:t>
            </w:r>
            <w:r w:rsidR="00FC2568" w:rsidRPr="00614649">
              <w:rPr>
                <w:rFonts w:ascii="Calibri Light" w:hAnsi="Calibri Light"/>
                <w:b w:val="0"/>
              </w:rPr>
              <w:t xml:space="preserve"> resuelto por los órganos del Sistema Interamericano de Derechos H</w:t>
            </w:r>
            <w:r w:rsidR="0093609C" w:rsidRPr="00614649">
              <w:rPr>
                <w:rFonts w:ascii="Calibri Light" w:hAnsi="Calibri Light"/>
                <w:b w:val="0"/>
              </w:rPr>
              <w:t xml:space="preserve">umanos. </w:t>
            </w:r>
            <w:r w:rsidR="00614649" w:rsidRPr="00614649">
              <w:rPr>
                <w:rFonts w:ascii="Calibri Light" w:hAnsi="Calibri Light"/>
                <w:b w:val="0"/>
              </w:rPr>
              <w:t>Sin embargo</w:t>
            </w:r>
            <w:r w:rsidR="0093609C" w:rsidRPr="00614649">
              <w:rPr>
                <w:rFonts w:ascii="Calibri Light" w:hAnsi="Calibri Light"/>
                <w:b w:val="0"/>
              </w:rPr>
              <w:t xml:space="preserve">, </w:t>
            </w:r>
            <w:r w:rsidR="00614649" w:rsidRPr="00614649">
              <w:rPr>
                <w:rFonts w:ascii="Calibri Light" w:hAnsi="Calibri Light"/>
                <w:b w:val="0"/>
              </w:rPr>
              <w:t xml:space="preserve">el 26 de marzo de 2007, </w:t>
            </w:r>
            <w:r w:rsidR="0093609C" w:rsidRPr="00614649">
              <w:rPr>
                <w:rFonts w:ascii="Calibri Light" w:hAnsi="Calibri Light"/>
                <w:b w:val="0"/>
              </w:rPr>
              <w:t>el Juzgado Noveno resolvió rechazar la solicitud de suspensión condicion</w:t>
            </w:r>
            <w:r w:rsidR="00614649" w:rsidRPr="00614649">
              <w:rPr>
                <w:rFonts w:ascii="Calibri Light" w:hAnsi="Calibri Light"/>
                <w:b w:val="0"/>
              </w:rPr>
              <w:t>al e indicó que so</w:t>
            </w:r>
            <w:r w:rsidR="0093609C" w:rsidRPr="00614649">
              <w:rPr>
                <w:rFonts w:ascii="Calibri Light" w:hAnsi="Calibri Light"/>
                <w:b w:val="0"/>
              </w:rPr>
              <w:t xml:space="preserve">lo procedería a dar cumplimiento a lo ordenado por la CIDH, si le fuera requerido por </w:t>
            </w:r>
            <w:r w:rsidR="00D642CE">
              <w:rPr>
                <w:rFonts w:ascii="Calibri Light" w:hAnsi="Calibri Light"/>
                <w:b w:val="0"/>
              </w:rPr>
              <w:t>un</w:t>
            </w:r>
            <w:r w:rsidR="0093609C" w:rsidRPr="00614649">
              <w:rPr>
                <w:rFonts w:ascii="Calibri Light" w:hAnsi="Calibri Light"/>
                <w:b w:val="0"/>
              </w:rPr>
              <w:t xml:space="preserve"> superior jurisdiccional. </w:t>
            </w:r>
            <w:r>
              <w:rPr>
                <w:rFonts w:ascii="Calibri Light" w:hAnsi="Calibri Light"/>
                <w:b w:val="0"/>
              </w:rPr>
              <w:t>Posteriormente, e</w:t>
            </w:r>
            <w:r w:rsidR="0093609C" w:rsidRPr="00D642CE">
              <w:rPr>
                <w:rFonts w:ascii="Calibri Light" w:hAnsi="Calibri Light"/>
                <w:b w:val="0"/>
              </w:rPr>
              <w:t>l 20 de diciembre de 2007</w:t>
            </w:r>
            <w:r w:rsidR="0030489F" w:rsidRPr="00D642CE">
              <w:rPr>
                <w:rFonts w:ascii="Calibri Light" w:hAnsi="Calibri Light"/>
                <w:b w:val="0"/>
              </w:rPr>
              <w:t>,</w:t>
            </w:r>
            <w:r w:rsidR="0093609C" w:rsidRPr="00D642CE">
              <w:rPr>
                <w:rFonts w:ascii="Calibri Light" w:hAnsi="Calibri Light"/>
                <w:b w:val="0"/>
              </w:rPr>
              <w:t xml:space="preserve"> </w:t>
            </w:r>
            <w:r>
              <w:rPr>
                <w:rFonts w:ascii="Calibri Light" w:hAnsi="Calibri Light"/>
                <w:b w:val="0"/>
              </w:rPr>
              <w:t>cambió de decisión y</w:t>
            </w:r>
            <w:r w:rsidR="0093609C" w:rsidRPr="00D642CE">
              <w:rPr>
                <w:rFonts w:ascii="Calibri Light" w:hAnsi="Calibri Light"/>
                <w:b w:val="0"/>
              </w:rPr>
              <w:t xml:space="preserve"> </w:t>
            </w:r>
            <w:r w:rsidR="0030489F" w:rsidRPr="00D642CE">
              <w:rPr>
                <w:rFonts w:ascii="Calibri Light" w:hAnsi="Calibri Light"/>
                <w:b w:val="0"/>
              </w:rPr>
              <w:t xml:space="preserve">dispuso la suspensión condicional de la ejecución de la pena </w:t>
            </w:r>
            <w:r w:rsidR="00614649" w:rsidRPr="00D642CE">
              <w:rPr>
                <w:rFonts w:ascii="Calibri Light" w:hAnsi="Calibri Light"/>
                <w:b w:val="0"/>
              </w:rPr>
              <w:t xml:space="preserve">del señor Álvarez </w:t>
            </w:r>
            <w:r w:rsidR="0030489F" w:rsidRPr="00D642CE">
              <w:rPr>
                <w:rFonts w:ascii="Calibri Light" w:hAnsi="Calibri Light"/>
                <w:b w:val="0"/>
              </w:rPr>
              <w:t xml:space="preserve">por el lapso de un año, período en el que </w:t>
            </w:r>
            <w:r w:rsidR="00614649" w:rsidRPr="00D642CE">
              <w:rPr>
                <w:rFonts w:ascii="Calibri Light" w:hAnsi="Calibri Light"/>
                <w:b w:val="0"/>
              </w:rPr>
              <w:t xml:space="preserve">estaría en un régimen de prueba, sujeto </w:t>
            </w:r>
            <w:r w:rsidR="0030489F" w:rsidRPr="00D642CE">
              <w:rPr>
                <w:rFonts w:ascii="Calibri Light" w:hAnsi="Calibri Light"/>
                <w:b w:val="0"/>
              </w:rPr>
              <w:t>a una serie de restricciones. Finalmente, el 4 de marzo de 2009, decretó la libertad plena del peticionario</w:t>
            </w:r>
            <w:r w:rsidR="00D642CE" w:rsidRPr="00D642CE">
              <w:rPr>
                <w:rFonts w:ascii="Calibri Light" w:hAnsi="Calibri Light"/>
                <w:b w:val="0"/>
              </w:rPr>
              <w:t>, al haber cumplido el régimen prueba y todas las obligaciones que le habían sido impuestas</w:t>
            </w:r>
            <w:r w:rsidR="0030489F" w:rsidRPr="00D642CE">
              <w:rPr>
                <w:rFonts w:ascii="Calibri Light" w:hAnsi="Calibri Light"/>
                <w:b w:val="0"/>
              </w:rPr>
              <w:t xml:space="preserve">. </w:t>
            </w:r>
          </w:p>
          <w:p w14:paraId="2811B918" w14:textId="77777777" w:rsidR="00F00887" w:rsidRDefault="00F00887" w:rsidP="009045FB">
            <w:pPr>
              <w:jc w:val="both"/>
              <w:rPr>
                <w:rFonts w:ascii="Calibri Light" w:hAnsi="Calibri Light"/>
                <w:b w:val="0"/>
                <w:color w:val="FF0000"/>
              </w:rPr>
            </w:pPr>
          </w:p>
          <w:p w14:paraId="13634D68" w14:textId="043DE24B" w:rsidR="009045FB" w:rsidRPr="00371BDD" w:rsidRDefault="00371BDD" w:rsidP="009045FB">
            <w:pPr>
              <w:jc w:val="both"/>
              <w:rPr>
                <w:rFonts w:ascii="Calibri Light" w:hAnsi="Calibri Light"/>
                <w:b w:val="0"/>
              </w:rPr>
            </w:pPr>
            <w:r w:rsidRPr="00371BDD">
              <w:rPr>
                <w:rFonts w:ascii="Calibri Light" w:hAnsi="Calibri Light"/>
                <w:b w:val="0"/>
              </w:rPr>
              <w:t>En</w:t>
            </w:r>
            <w:r w:rsidR="0030489F" w:rsidRPr="00371BDD">
              <w:rPr>
                <w:rFonts w:ascii="Calibri Light" w:hAnsi="Calibri Light"/>
                <w:b w:val="0"/>
              </w:rPr>
              <w:t xml:space="preserve"> oct</w:t>
            </w:r>
            <w:r w:rsidRPr="00371BDD">
              <w:rPr>
                <w:rFonts w:ascii="Calibri Light" w:hAnsi="Calibri Light"/>
                <w:b w:val="0"/>
              </w:rPr>
              <w:t>ubre de 2009, el señor Álvarez tuvo que interponer</w:t>
            </w:r>
            <w:r w:rsidR="0030489F" w:rsidRPr="00371BDD">
              <w:rPr>
                <w:rFonts w:ascii="Calibri Light" w:hAnsi="Calibri Light"/>
                <w:b w:val="0"/>
              </w:rPr>
              <w:t xml:space="preserve"> un recurso de amparo</w:t>
            </w:r>
            <w:r w:rsidRPr="00371BDD">
              <w:rPr>
                <w:rFonts w:ascii="Calibri Light" w:hAnsi="Calibri Light"/>
                <w:b w:val="0"/>
              </w:rPr>
              <w:t>,</w:t>
            </w:r>
            <w:r w:rsidR="0030489F" w:rsidRPr="00371BDD">
              <w:rPr>
                <w:rFonts w:ascii="Calibri Light" w:hAnsi="Calibri Light"/>
                <w:b w:val="0"/>
              </w:rPr>
              <w:t xml:space="preserve"> pues </w:t>
            </w:r>
            <w:r w:rsidRPr="00371BDD">
              <w:rPr>
                <w:rFonts w:ascii="Calibri Light" w:hAnsi="Calibri Light"/>
                <w:b w:val="0"/>
              </w:rPr>
              <w:t xml:space="preserve">a pesar de haber cumplido su condena, </w:t>
            </w:r>
            <w:r w:rsidR="0030489F" w:rsidRPr="00371BDD">
              <w:rPr>
                <w:rFonts w:ascii="Calibri Light" w:hAnsi="Calibri Light"/>
                <w:b w:val="0"/>
              </w:rPr>
              <w:t>la Comisión Electoral de la Asociación de Profesores de la Un</w:t>
            </w:r>
            <w:r w:rsidR="009045FB" w:rsidRPr="00371BDD">
              <w:rPr>
                <w:rFonts w:ascii="Calibri Light" w:hAnsi="Calibri Light"/>
                <w:b w:val="0"/>
              </w:rPr>
              <w:t>iversidad Central de Venezuela</w:t>
            </w:r>
            <w:r w:rsidRPr="00371BDD">
              <w:rPr>
                <w:rFonts w:ascii="Calibri Light" w:hAnsi="Calibri Light"/>
                <w:b w:val="0"/>
              </w:rPr>
              <w:t xml:space="preserve"> lo había inhabilitado políticamente de manera indefinida</w:t>
            </w:r>
            <w:r w:rsidR="009045FB" w:rsidRPr="00371BDD">
              <w:rPr>
                <w:rFonts w:ascii="Calibri Light" w:hAnsi="Calibri Light"/>
                <w:b w:val="0"/>
              </w:rPr>
              <w:t>.</w:t>
            </w:r>
            <w:r w:rsidRPr="00371BDD">
              <w:rPr>
                <w:rFonts w:ascii="Calibri Light" w:hAnsi="Calibri Light"/>
                <w:b w:val="0"/>
              </w:rPr>
              <w:t xml:space="preserve"> En un inicio, su solicitud fue estimada por la Sala Electoral del Tribunal Supremo de Justicia (en adelante, TSJ). No obstante, posteriormente, a pedido de la Contraloría General de la República, dicha decisión fue anulada por la Sala Constitucional del TSJ, la cual ordenó a la Sala Electoral </w:t>
            </w:r>
            <w:r w:rsidRPr="00371BDD">
              <w:rPr>
                <w:rFonts w:ascii="Calibri Light" w:hAnsi="Calibri Light"/>
                <w:b w:val="0"/>
              </w:rPr>
              <w:lastRenderedPageBreak/>
              <w:t xml:space="preserve">emitir un nuevo pronunciamiento. </w:t>
            </w:r>
          </w:p>
          <w:p w14:paraId="2DFF0F36" w14:textId="77777777" w:rsidR="000E51D8" w:rsidRPr="00371BDD" w:rsidRDefault="000E51D8" w:rsidP="009045FB">
            <w:pPr>
              <w:jc w:val="both"/>
              <w:rPr>
                <w:rFonts w:ascii="Calibri Light" w:hAnsi="Calibri Light"/>
                <w:b w:val="0"/>
              </w:rPr>
            </w:pPr>
          </w:p>
          <w:p w14:paraId="2CF75060" w14:textId="232D2755" w:rsidR="000E51D8" w:rsidRPr="00371BDD" w:rsidRDefault="000E51D8" w:rsidP="009045FB">
            <w:pPr>
              <w:jc w:val="both"/>
              <w:rPr>
                <w:rFonts w:ascii="Calibri Light" w:hAnsi="Calibri Light"/>
                <w:b w:val="0"/>
              </w:rPr>
            </w:pPr>
            <w:r w:rsidRPr="00371BDD">
              <w:rPr>
                <w:rFonts w:ascii="Calibri Light" w:hAnsi="Calibri Light"/>
                <w:b w:val="0"/>
              </w:rPr>
              <w:t xml:space="preserve">Frente a tales hechos, </w:t>
            </w:r>
            <w:r w:rsidR="002D1D3D">
              <w:rPr>
                <w:rFonts w:ascii="Calibri Light" w:hAnsi="Calibri Light"/>
                <w:b w:val="0"/>
              </w:rPr>
              <w:t>el señor Álvarez</w:t>
            </w:r>
            <w:r w:rsidRPr="00371BDD">
              <w:rPr>
                <w:rFonts w:ascii="Calibri Light" w:hAnsi="Calibri Light"/>
                <w:b w:val="0"/>
              </w:rPr>
              <w:t xml:space="preserve"> presentó una petición ante la CIDH, denunciando que el Estado de Venezuela</w:t>
            </w:r>
            <w:r w:rsidRPr="00371BDD" w:rsidDel="00581FEB">
              <w:rPr>
                <w:rFonts w:ascii="Calibri Light" w:hAnsi="Calibri Light"/>
                <w:b w:val="0"/>
              </w:rPr>
              <w:t xml:space="preserve"> </w:t>
            </w:r>
            <w:r w:rsidRPr="00371BDD">
              <w:rPr>
                <w:rFonts w:ascii="Calibri Light" w:hAnsi="Calibri Light"/>
                <w:b w:val="0"/>
              </w:rPr>
              <w:t>había vulnerado los derechos a las garantías judiciales, la protección de la honra y de la dignidad,  la libertad de pensamiento y de expresión, el derecho de circulación y de residencia, los derechos políticos, la igualdad ante la ley y la protección judicial, reconocidos en la Convención Americana sobre Derechos Humanos</w:t>
            </w:r>
            <w:r w:rsidRPr="00371BDD" w:rsidDel="00581FEB">
              <w:rPr>
                <w:rFonts w:ascii="Calibri Light" w:hAnsi="Calibri Light"/>
                <w:b w:val="0"/>
              </w:rPr>
              <w:t xml:space="preserve"> </w:t>
            </w:r>
            <w:r w:rsidRPr="00371BDD">
              <w:rPr>
                <w:rFonts w:ascii="Calibri Light" w:hAnsi="Calibri Light"/>
                <w:b w:val="0"/>
              </w:rPr>
              <w:t xml:space="preserve">(en adelante, CADH). </w:t>
            </w:r>
          </w:p>
          <w:p w14:paraId="6543A68A" w14:textId="7A7C125B" w:rsidR="00FC2568" w:rsidRPr="00271D1D" w:rsidRDefault="00FC2568" w:rsidP="009045FB">
            <w:pPr>
              <w:jc w:val="both"/>
              <w:rPr>
                <w:rFonts w:ascii="Calibri Light" w:hAnsi="Calibri Light"/>
                <w:b w:val="0"/>
              </w:rPr>
            </w:pPr>
          </w:p>
        </w:tc>
      </w:tr>
      <w:tr w:rsidR="005173CF" w:rsidRPr="00271D1D" w14:paraId="7B81A2F3" w14:textId="77777777" w:rsidTr="00271D1D">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Pr="00271D1D" w:rsidRDefault="00AC6F31" w:rsidP="00AC6F31">
            <w:pPr>
              <w:pStyle w:val="ListParagraph"/>
              <w:rPr>
                <w:rFonts w:ascii="Calibri Light" w:hAnsi="Calibri Light"/>
              </w:rPr>
            </w:pPr>
          </w:p>
          <w:p w14:paraId="1FB8AB09" w14:textId="77777777" w:rsidR="005173CF" w:rsidRPr="00271D1D" w:rsidRDefault="003E6AB8" w:rsidP="003E6AB8">
            <w:pPr>
              <w:pStyle w:val="ListParagraph"/>
              <w:numPr>
                <w:ilvl w:val="0"/>
                <w:numId w:val="2"/>
              </w:numPr>
              <w:jc w:val="center"/>
              <w:rPr>
                <w:rFonts w:ascii="Calibri Light" w:hAnsi="Calibri Light"/>
              </w:rPr>
            </w:pPr>
            <w:r w:rsidRPr="00271D1D">
              <w:rPr>
                <w:rFonts w:ascii="Calibri Light" w:hAnsi="Calibri Light"/>
              </w:rPr>
              <w:t>Análisis jurídico</w:t>
            </w:r>
          </w:p>
          <w:p w14:paraId="158A739A" w14:textId="77777777" w:rsidR="00AC6F31" w:rsidRPr="00271D1D" w:rsidRDefault="00AC6F31" w:rsidP="00AC6F31">
            <w:pPr>
              <w:pStyle w:val="ListParagraph"/>
              <w:rPr>
                <w:rFonts w:ascii="Calibri Light" w:hAnsi="Calibri Light"/>
              </w:rPr>
            </w:pPr>
          </w:p>
        </w:tc>
      </w:tr>
      <w:tr w:rsidR="005173CF" w:rsidRPr="00271D1D" w14:paraId="71AB3B44" w14:textId="77777777" w:rsidTr="00271D1D">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4B56F959" w:rsidR="00AC6F31" w:rsidRPr="00271D1D" w:rsidRDefault="00AC6F31" w:rsidP="00B16D3A">
            <w:pPr>
              <w:pStyle w:val="ListParagraph"/>
              <w:ind w:left="360"/>
              <w:jc w:val="both"/>
              <w:rPr>
                <w:rFonts w:ascii="Calibri Light" w:hAnsi="Calibri Light"/>
                <w:b w:val="0"/>
              </w:rPr>
            </w:pPr>
          </w:p>
          <w:p w14:paraId="03AC0060" w14:textId="16EA09E2" w:rsidR="006030CE" w:rsidRPr="00271D1D" w:rsidRDefault="00CC31C4" w:rsidP="00B16D3A">
            <w:pPr>
              <w:jc w:val="both"/>
              <w:rPr>
                <w:rFonts w:ascii="Calibri Light" w:hAnsi="Calibri Light"/>
              </w:rPr>
            </w:pPr>
            <w:r>
              <w:rPr>
                <w:rFonts w:ascii="Calibri Light" w:hAnsi="Calibri Light"/>
              </w:rPr>
              <w:t>L</w:t>
            </w:r>
            <w:r w:rsidR="00E1710F" w:rsidRPr="00271D1D">
              <w:rPr>
                <w:rFonts w:ascii="Calibri Light" w:hAnsi="Calibri Light"/>
              </w:rPr>
              <w:t>ibertad de pensamiento y de expresió</w:t>
            </w:r>
            <w:r w:rsidR="00E1710F" w:rsidRPr="006E4635">
              <w:rPr>
                <w:rFonts w:ascii="Calibri Light" w:hAnsi="Calibri Light"/>
              </w:rPr>
              <w:t xml:space="preserve">n </w:t>
            </w:r>
            <w:r w:rsidR="009600A0" w:rsidRPr="006E4635">
              <w:rPr>
                <w:rFonts w:ascii="Calibri Light" w:hAnsi="Calibri Light"/>
              </w:rPr>
              <w:t>y el p</w:t>
            </w:r>
            <w:r w:rsidR="00B16D3A" w:rsidRPr="006E4635">
              <w:rPr>
                <w:rFonts w:ascii="Calibri Light" w:hAnsi="Calibri Light"/>
              </w:rPr>
              <w:t xml:space="preserve">rincipio de </w:t>
            </w:r>
            <w:r w:rsidR="009600A0" w:rsidRPr="006E4635">
              <w:rPr>
                <w:rFonts w:ascii="Calibri Light" w:hAnsi="Calibri Light"/>
              </w:rPr>
              <w:t>l</w:t>
            </w:r>
            <w:r w:rsidR="00B16D3A" w:rsidRPr="006E4635">
              <w:rPr>
                <w:rFonts w:ascii="Calibri Light" w:hAnsi="Calibri Light"/>
              </w:rPr>
              <w:t>egalidad</w:t>
            </w:r>
            <w:r w:rsidR="00581FEB" w:rsidRPr="006E4635">
              <w:rPr>
                <w:rFonts w:ascii="Calibri Light" w:hAnsi="Calibri Light"/>
              </w:rPr>
              <w:t xml:space="preserve"> </w:t>
            </w:r>
            <w:r w:rsidR="00B16D3A" w:rsidRPr="006E4635">
              <w:rPr>
                <w:rFonts w:ascii="Calibri Light" w:hAnsi="Calibri Light"/>
              </w:rPr>
              <w:t>(</w:t>
            </w:r>
            <w:r w:rsidR="009600A0" w:rsidRPr="006E4635">
              <w:rPr>
                <w:rFonts w:ascii="Calibri Light" w:hAnsi="Calibri Light"/>
              </w:rPr>
              <w:t xml:space="preserve">artículo 13 y </w:t>
            </w:r>
            <w:r w:rsidR="00B16D3A" w:rsidRPr="006E4635">
              <w:rPr>
                <w:rFonts w:ascii="Calibri Light" w:hAnsi="Calibri Light"/>
              </w:rPr>
              <w:t>artículo 9</w:t>
            </w:r>
            <w:r w:rsidR="009600A0" w:rsidRPr="006E4635">
              <w:rPr>
                <w:rFonts w:ascii="Calibri Light" w:hAnsi="Calibri Light"/>
              </w:rPr>
              <w:t xml:space="preserve"> de la CADH</w:t>
            </w:r>
            <w:r w:rsidR="00B16D3A" w:rsidRPr="006E4635">
              <w:rPr>
                <w:rFonts w:ascii="Calibri Light" w:hAnsi="Calibri Light"/>
              </w:rPr>
              <w:t>)</w:t>
            </w:r>
          </w:p>
          <w:p w14:paraId="6470B192" w14:textId="77777777" w:rsidR="00AF175D" w:rsidRPr="00271D1D" w:rsidRDefault="00AF175D" w:rsidP="00AF175D">
            <w:pPr>
              <w:rPr>
                <w:rFonts w:ascii="Calibri Light" w:hAnsi="Calibri Light"/>
              </w:rPr>
            </w:pPr>
          </w:p>
          <w:p w14:paraId="6A95D965" w14:textId="77777777" w:rsidR="00961759" w:rsidRDefault="00E27629" w:rsidP="00230F24">
            <w:pPr>
              <w:jc w:val="both"/>
              <w:rPr>
                <w:rFonts w:ascii="Calibri Light" w:hAnsi="Calibri Light"/>
                <w:b w:val="0"/>
                <w:lang w:val="es-PE"/>
              </w:rPr>
            </w:pPr>
            <w:r w:rsidRPr="00271D1D">
              <w:rPr>
                <w:rFonts w:ascii="Calibri Light" w:hAnsi="Calibri Light"/>
                <w:b w:val="0"/>
              </w:rPr>
              <w:t xml:space="preserve">La </w:t>
            </w:r>
            <w:r w:rsidR="00646696" w:rsidRPr="00271D1D">
              <w:rPr>
                <w:rFonts w:ascii="Calibri Light" w:hAnsi="Calibri Light"/>
                <w:b w:val="0"/>
              </w:rPr>
              <w:t>C</w:t>
            </w:r>
            <w:r w:rsidR="008570F6" w:rsidRPr="00271D1D">
              <w:rPr>
                <w:rFonts w:ascii="Calibri Light" w:hAnsi="Calibri Light"/>
                <w:b w:val="0"/>
              </w:rPr>
              <w:t>IDH</w:t>
            </w:r>
            <w:r w:rsidRPr="00271D1D">
              <w:rPr>
                <w:rFonts w:ascii="Calibri Light" w:hAnsi="Calibri Light"/>
                <w:b w:val="0"/>
              </w:rPr>
              <w:t xml:space="preserve"> reiteró que el derecho a la libertad de pensamiento y expresión reviste </w:t>
            </w:r>
            <w:r w:rsidR="00AE1C1E">
              <w:rPr>
                <w:rFonts w:ascii="Calibri Light" w:hAnsi="Calibri Light"/>
                <w:b w:val="0"/>
              </w:rPr>
              <w:t xml:space="preserve">de </w:t>
            </w:r>
            <w:r w:rsidRPr="00271D1D">
              <w:rPr>
                <w:rFonts w:ascii="Calibri Light" w:hAnsi="Calibri Light"/>
                <w:b w:val="0"/>
              </w:rPr>
              <w:t xml:space="preserve">una </w:t>
            </w:r>
            <w:r w:rsidR="00646696" w:rsidRPr="00271D1D">
              <w:rPr>
                <w:rFonts w:ascii="Calibri Light" w:hAnsi="Calibri Light"/>
                <w:b w:val="0"/>
              </w:rPr>
              <w:t>trascendental</w:t>
            </w:r>
            <w:r w:rsidRPr="00271D1D">
              <w:rPr>
                <w:rFonts w:ascii="Calibri Light" w:hAnsi="Calibri Light"/>
                <w:b w:val="0"/>
              </w:rPr>
              <w:t xml:space="preserve"> importancia para el desarrollo personal de cada individuo y la consolidación de una sociedad democrátic</w:t>
            </w:r>
            <w:r w:rsidR="00646696" w:rsidRPr="00271D1D">
              <w:rPr>
                <w:rFonts w:ascii="Calibri Light" w:hAnsi="Calibri Light"/>
                <w:b w:val="0"/>
              </w:rPr>
              <w:t>a</w:t>
            </w:r>
            <w:r w:rsidRPr="00271D1D">
              <w:rPr>
                <w:rFonts w:ascii="Calibri Light" w:hAnsi="Calibri Light"/>
                <w:b w:val="0"/>
              </w:rPr>
              <w:t>.</w:t>
            </w:r>
            <w:r w:rsidR="00D72764">
              <w:rPr>
                <w:rFonts w:ascii="Calibri Light" w:hAnsi="Calibri Light"/>
                <w:b w:val="0"/>
              </w:rPr>
              <w:t xml:space="preserve"> Sin perjuicio de ello, señaló </w:t>
            </w:r>
            <w:r w:rsidRPr="00271D1D">
              <w:rPr>
                <w:rFonts w:ascii="Calibri Light" w:hAnsi="Calibri Light"/>
                <w:b w:val="0"/>
              </w:rPr>
              <w:t>que no es un derecho absoluto</w:t>
            </w:r>
            <w:r w:rsidR="00947FEA" w:rsidRPr="00271D1D">
              <w:rPr>
                <w:rFonts w:ascii="Calibri Light" w:hAnsi="Calibri Light"/>
                <w:b w:val="0"/>
              </w:rPr>
              <w:t>,</w:t>
            </w:r>
            <w:r w:rsidRPr="00271D1D">
              <w:rPr>
                <w:rFonts w:ascii="Calibri Light" w:hAnsi="Calibri Light"/>
                <w:b w:val="0"/>
              </w:rPr>
              <w:t xml:space="preserve"> pues la propia CADH delimita las condiciones por las cuales se puede establecer restricciones excepcionales, a través de la aplicación de responsabilidades ulteriores</w:t>
            </w:r>
            <w:r w:rsidR="00230F24" w:rsidRPr="00271D1D">
              <w:rPr>
                <w:rFonts w:ascii="Calibri Light" w:hAnsi="Calibri Light"/>
                <w:b w:val="0"/>
              </w:rPr>
              <w:t>.</w:t>
            </w:r>
            <w:r w:rsidR="00D72764">
              <w:rPr>
                <w:rFonts w:ascii="Calibri Light" w:hAnsi="Calibri Light"/>
                <w:b w:val="0"/>
              </w:rPr>
              <w:t xml:space="preserve"> </w:t>
            </w:r>
            <w:r w:rsidR="0023068D">
              <w:rPr>
                <w:rFonts w:ascii="Calibri Light" w:hAnsi="Calibri Light"/>
                <w:b w:val="0"/>
              </w:rPr>
              <w:t>Asimismo</w:t>
            </w:r>
            <w:r w:rsidR="0023068D" w:rsidRPr="0023068D">
              <w:rPr>
                <w:rFonts w:ascii="Calibri Light" w:hAnsi="Calibri Light"/>
                <w:b w:val="0"/>
              </w:rPr>
              <w:t>, manifestó que los Estados tienen un espectro más limitado para imponer restricciones a este derecho cuando se trata de expresiones</w:t>
            </w:r>
            <w:r w:rsidR="00AE1C1E">
              <w:rPr>
                <w:rFonts w:ascii="Calibri Light" w:hAnsi="Calibri Light"/>
                <w:b w:val="0"/>
              </w:rPr>
              <w:t>, como en el presente caso,</w:t>
            </w:r>
            <w:r w:rsidR="0023068D" w:rsidRPr="0023068D">
              <w:rPr>
                <w:rFonts w:ascii="Calibri Light" w:hAnsi="Calibri Light"/>
                <w:b w:val="0"/>
              </w:rPr>
              <w:t xml:space="preserve"> atinentes a asuntos de interés público</w:t>
            </w:r>
            <w:r w:rsidR="00AE1C1E">
              <w:rPr>
                <w:rFonts w:ascii="Calibri Light" w:hAnsi="Calibri Light"/>
                <w:b w:val="0"/>
              </w:rPr>
              <w:t xml:space="preserve"> o</w:t>
            </w:r>
            <w:r w:rsidR="0023068D" w:rsidRPr="0023068D">
              <w:rPr>
                <w:rFonts w:ascii="Calibri Light" w:hAnsi="Calibri Light"/>
                <w:b w:val="0"/>
              </w:rPr>
              <w:t xml:space="preserve"> a funcionarios públicos en ejercicio de sus funciones</w:t>
            </w:r>
            <w:r w:rsidR="0023068D" w:rsidRPr="0023068D">
              <w:rPr>
                <w:rFonts w:ascii="Calibri Light" w:hAnsi="Calibri Light"/>
                <w:b w:val="0"/>
                <w:lang w:val="es-PE"/>
              </w:rPr>
              <w:t xml:space="preserve">. </w:t>
            </w:r>
          </w:p>
          <w:p w14:paraId="55B24781" w14:textId="77777777" w:rsidR="00961759" w:rsidRDefault="00961759" w:rsidP="00230F24">
            <w:pPr>
              <w:jc w:val="both"/>
              <w:rPr>
                <w:rFonts w:ascii="Calibri Light" w:hAnsi="Calibri Light"/>
                <w:b w:val="0"/>
                <w:lang w:val="es-PE"/>
              </w:rPr>
            </w:pPr>
          </w:p>
          <w:p w14:paraId="2BAE6688" w14:textId="11C1DFC5" w:rsidR="00D72764" w:rsidRDefault="00AE1C1E" w:rsidP="00230F24">
            <w:pPr>
              <w:jc w:val="both"/>
              <w:rPr>
                <w:rFonts w:ascii="Calibri Light" w:hAnsi="Calibri Light"/>
                <w:b w:val="0"/>
              </w:rPr>
            </w:pPr>
            <w:r>
              <w:rPr>
                <w:rFonts w:ascii="Calibri Light" w:hAnsi="Calibri Light"/>
                <w:b w:val="0"/>
              </w:rPr>
              <w:t xml:space="preserve">En este tipo de casos, se debe realizar un juicio estricto de necesidad para determinar si la restricción está autorizada bajo el artículo 13.2 de la CADH. Para ello, se debe analizar si la medida cumple con los siguientes requisitos: </w:t>
            </w:r>
            <w:r w:rsidR="00CC31C4">
              <w:rPr>
                <w:rFonts w:ascii="Calibri Light" w:hAnsi="Calibri Light"/>
                <w:b w:val="0"/>
              </w:rPr>
              <w:t>i</w:t>
            </w:r>
            <w:r w:rsidR="00E27629" w:rsidRPr="00271D1D">
              <w:rPr>
                <w:rFonts w:ascii="Calibri Light" w:hAnsi="Calibri Light"/>
                <w:b w:val="0"/>
              </w:rPr>
              <w:t xml:space="preserve">) estar definida en forma expresa, taxativa, precisa y clara a través de una ley en sentido formal y </w:t>
            </w:r>
            <w:r w:rsidR="00CC31C4">
              <w:rPr>
                <w:rFonts w:ascii="Calibri Light" w:hAnsi="Calibri Light"/>
                <w:b w:val="0"/>
              </w:rPr>
              <w:t>material; ii</w:t>
            </w:r>
            <w:r w:rsidR="00E27629" w:rsidRPr="00271D1D">
              <w:rPr>
                <w:rFonts w:ascii="Calibri Light" w:hAnsi="Calibri Light"/>
                <w:b w:val="0"/>
              </w:rPr>
              <w:t>) perseguir objetivos imperiosos autorizados por la</w:t>
            </w:r>
            <w:r w:rsidR="00646696" w:rsidRPr="00271D1D">
              <w:rPr>
                <w:rFonts w:ascii="Calibri Light" w:hAnsi="Calibri Light"/>
                <w:b w:val="0"/>
              </w:rPr>
              <w:t xml:space="preserve"> CADH</w:t>
            </w:r>
            <w:r w:rsidR="00CC31C4">
              <w:rPr>
                <w:rFonts w:ascii="Calibri Light" w:hAnsi="Calibri Light"/>
                <w:b w:val="0"/>
              </w:rPr>
              <w:t>; y iii)</w:t>
            </w:r>
            <w:r w:rsidR="00E27629" w:rsidRPr="00271D1D">
              <w:rPr>
                <w:rFonts w:ascii="Calibri Light" w:hAnsi="Calibri Light"/>
                <w:b w:val="0"/>
              </w:rPr>
              <w:t xml:space="preserve"> ser absolutamente necesaria en una sociedad democrática para el logro de dichos fines y estrictamente proporcionada a la finalidad perseguida. </w:t>
            </w:r>
          </w:p>
          <w:p w14:paraId="2C2D0955" w14:textId="77777777" w:rsidR="006963FB" w:rsidRPr="00271D1D" w:rsidRDefault="006963FB" w:rsidP="00810470">
            <w:pPr>
              <w:jc w:val="both"/>
              <w:rPr>
                <w:rFonts w:ascii="Calibri Light" w:hAnsi="Calibri Light"/>
                <w:b w:val="0"/>
              </w:rPr>
            </w:pPr>
          </w:p>
          <w:p w14:paraId="6CE95585" w14:textId="168E278F" w:rsidR="00810470" w:rsidRPr="00271D1D" w:rsidRDefault="006A6EC1" w:rsidP="00810470">
            <w:pPr>
              <w:jc w:val="both"/>
              <w:rPr>
                <w:rFonts w:ascii="Calibri Light" w:hAnsi="Calibri Light"/>
                <w:b w:val="0"/>
              </w:rPr>
            </w:pPr>
            <w:r w:rsidRPr="00271D1D">
              <w:rPr>
                <w:rFonts w:ascii="Calibri Light" w:hAnsi="Calibri Light"/>
                <w:b w:val="0"/>
              </w:rPr>
              <w:t xml:space="preserve">Respecto </w:t>
            </w:r>
            <w:r w:rsidR="00AE1C1E">
              <w:rPr>
                <w:rFonts w:ascii="Calibri Light" w:hAnsi="Calibri Light"/>
                <w:b w:val="0"/>
              </w:rPr>
              <w:t>al primer requisito</w:t>
            </w:r>
            <w:r w:rsidRPr="00271D1D">
              <w:rPr>
                <w:rFonts w:ascii="Calibri Light" w:hAnsi="Calibri Light"/>
                <w:b w:val="0"/>
              </w:rPr>
              <w:t xml:space="preserve">, </w:t>
            </w:r>
            <w:r w:rsidR="00AE1C1E">
              <w:rPr>
                <w:rFonts w:ascii="Calibri Light" w:hAnsi="Calibri Light"/>
                <w:b w:val="0"/>
              </w:rPr>
              <w:t xml:space="preserve">la CIDH observó que </w:t>
            </w:r>
            <w:r w:rsidR="00B5267E" w:rsidRPr="00271D1D">
              <w:rPr>
                <w:rFonts w:ascii="Calibri Light" w:hAnsi="Calibri Light"/>
                <w:b w:val="0"/>
              </w:rPr>
              <w:t xml:space="preserve">el señor </w:t>
            </w:r>
            <w:r w:rsidR="00810470" w:rsidRPr="00271D1D">
              <w:rPr>
                <w:rFonts w:ascii="Calibri Light" w:hAnsi="Calibri Light"/>
                <w:b w:val="0"/>
              </w:rPr>
              <w:t xml:space="preserve">Álvarez </w:t>
            </w:r>
            <w:r w:rsidR="00AE1C1E">
              <w:rPr>
                <w:rFonts w:ascii="Calibri Light" w:hAnsi="Calibri Light"/>
                <w:b w:val="0"/>
              </w:rPr>
              <w:t>había sido</w:t>
            </w:r>
            <w:r w:rsidR="00810470" w:rsidRPr="00271D1D">
              <w:rPr>
                <w:rFonts w:ascii="Calibri Light" w:hAnsi="Calibri Light"/>
                <w:b w:val="0"/>
              </w:rPr>
              <w:t xml:space="preserve"> condenado por el delito de difamación continuada agravada, previsto en el artículo 444 del Código Penal</w:t>
            </w:r>
            <w:r w:rsidR="00AE1C1E">
              <w:rPr>
                <w:rFonts w:ascii="Calibri Light" w:hAnsi="Calibri Light"/>
                <w:b w:val="0"/>
              </w:rPr>
              <w:t>. E</w:t>
            </w:r>
            <w:r w:rsidR="00EC4054">
              <w:rPr>
                <w:rFonts w:ascii="Calibri Light" w:hAnsi="Calibri Light"/>
                <w:b w:val="0"/>
              </w:rPr>
              <w:t>sta norma</w:t>
            </w:r>
            <w:r w:rsidR="00AE1C1E">
              <w:rPr>
                <w:rFonts w:ascii="Calibri Light" w:hAnsi="Calibri Light"/>
                <w:b w:val="0"/>
              </w:rPr>
              <w:t xml:space="preserve"> establece que “[e</w:t>
            </w:r>
            <w:r w:rsidR="003E1DE0" w:rsidRPr="00271D1D">
              <w:rPr>
                <w:rFonts w:ascii="Calibri Light" w:hAnsi="Calibri Light"/>
                <w:b w:val="0"/>
              </w:rPr>
              <w:t xml:space="preserve">]l que comunicándose con varias personas reunidas o separadas, hubiere imputado a algún individuo un hecho determinado </w:t>
            </w:r>
            <w:r w:rsidR="003E1DE0" w:rsidRPr="00EC4054">
              <w:rPr>
                <w:rFonts w:ascii="Calibri Light" w:hAnsi="Calibri Light"/>
                <w:b w:val="0"/>
              </w:rPr>
              <w:t>capaz de exponerlo al desprecio o al odio público</w:t>
            </w:r>
            <w:r w:rsidR="003E1DE0" w:rsidRPr="00EC4054">
              <w:rPr>
                <w:rFonts w:ascii="Calibri Light" w:hAnsi="Calibri Light"/>
                <w:b w:val="0"/>
                <w:i/>
              </w:rPr>
              <w:t>,</w:t>
            </w:r>
            <w:r w:rsidR="003E1DE0" w:rsidRPr="00271D1D">
              <w:rPr>
                <w:rFonts w:ascii="Calibri Light" w:hAnsi="Calibri Light"/>
                <w:b w:val="0"/>
              </w:rPr>
              <w:t xml:space="preserve"> u ofensivo a su honor o reputación, será castigado con prisión de tres a dieciocho meses”</w:t>
            </w:r>
            <w:r w:rsidR="00810470" w:rsidRPr="00271D1D">
              <w:rPr>
                <w:rFonts w:ascii="Calibri Light" w:hAnsi="Calibri Light"/>
                <w:b w:val="0"/>
              </w:rPr>
              <w:t>.</w:t>
            </w:r>
            <w:r w:rsidR="003E1DE0" w:rsidRPr="00271D1D">
              <w:rPr>
                <w:rFonts w:ascii="Calibri Light" w:hAnsi="Calibri Light"/>
                <w:b w:val="0"/>
              </w:rPr>
              <w:t xml:space="preserve"> </w:t>
            </w:r>
            <w:r w:rsidR="00961759">
              <w:rPr>
                <w:rFonts w:ascii="Calibri Light" w:hAnsi="Calibri Light"/>
                <w:b w:val="0"/>
              </w:rPr>
              <w:t>La CIDH reiteró</w:t>
            </w:r>
            <w:r w:rsidR="00FF2B29">
              <w:rPr>
                <w:rFonts w:ascii="Calibri Light" w:hAnsi="Calibri Light"/>
                <w:b w:val="0"/>
                <w:i/>
              </w:rPr>
              <w:t xml:space="preserve"> </w:t>
            </w:r>
            <w:r w:rsidR="00961759">
              <w:rPr>
                <w:rFonts w:ascii="Calibri Light" w:hAnsi="Calibri Light"/>
                <w:b w:val="0"/>
              </w:rPr>
              <w:t xml:space="preserve">que dicho </w:t>
            </w:r>
            <w:r w:rsidR="00810470" w:rsidRPr="00271D1D">
              <w:rPr>
                <w:rFonts w:ascii="Calibri Light" w:hAnsi="Calibri Light"/>
                <w:b w:val="0"/>
              </w:rPr>
              <w:t>tipo penal</w:t>
            </w:r>
            <w:r w:rsidR="003E1DE0" w:rsidRPr="00271D1D">
              <w:rPr>
                <w:rFonts w:ascii="Calibri Light" w:hAnsi="Calibri Light"/>
                <w:b w:val="0"/>
              </w:rPr>
              <w:t xml:space="preserve"> </w:t>
            </w:r>
            <w:r w:rsidR="000D52F6" w:rsidRPr="00271D1D">
              <w:rPr>
                <w:rFonts w:ascii="Calibri Light" w:hAnsi="Calibri Light"/>
                <w:b w:val="0"/>
              </w:rPr>
              <w:t>es incompatible con el principio de estricta legalidad penal y el derecho a la libertad de expresión, porque no establece parámetros claros que permitan prever la conducta prohibida y sus elementos</w:t>
            </w:r>
            <w:r w:rsidR="00EC4054">
              <w:rPr>
                <w:rFonts w:ascii="Calibri Light" w:hAnsi="Calibri Light"/>
                <w:b w:val="0"/>
              </w:rPr>
              <w:t>. En efecto</w:t>
            </w:r>
            <w:r w:rsidR="00961759">
              <w:rPr>
                <w:rFonts w:ascii="Calibri Light" w:hAnsi="Calibri Light"/>
                <w:b w:val="0"/>
              </w:rPr>
              <w:t>, la definición de la conducta ilícita está sujeta a elementos como “la verificación de daños hipotéticos (“capaz de exponerlo”)” y “la determinación de criterios subjetivos como el desprecio público”, que solo pueden ser definidos por el juez de manera posterior. Además, dicho artículo no establece un límite de cuando se puede denunciar lícitamente hechos delictivos u opiniones cr</w:t>
            </w:r>
            <w:r w:rsidR="00157398">
              <w:rPr>
                <w:rFonts w:ascii="Calibri Light" w:hAnsi="Calibri Light"/>
                <w:b w:val="0"/>
              </w:rPr>
              <w:t>ítica</w:t>
            </w:r>
            <w:r w:rsidR="00961759">
              <w:rPr>
                <w:rFonts w:ascii="Calibri Light" w:hAnsi="Calibri Light"/>
                <w:b w:val="0"/>
              </w:rPr>
              <w:t xml:space="preserve">s de una autoridad estatal. </w:t>
            </w:r>
            <w:r w:rsidR="00EC4054">
              <w:rPr>
                <w:rFonts w:ascii="Calibri Light" w:hAnsi="Calibri Light"/>
                <w:b w:val="0"/>
              </w:rPr>
              <w:t>Por ello</w:t>
            </w:r>
            <w:r w:rsidR="00F95138" w:rsidRPr="00271D1D">
              <w:rPr>
                <w:rFonts w:ascii="Calibri Light" w:hAnsi="Calibri Light"/>
                <w:b w:val="0"/>
              </w:rPr>
              <w:t xml:space="preserve">, </w:t>
            </w:r>
            <w:r w:rsidR="00244853" w:rsidRPr="00271D1D">
              <w:rPr>
                <w:rFonts w:ascii="Calibri Light" w:hAnsi="Calibri Light"/>
                <w:b w:val="0"/>
              </w:rPr>
              <w:t xml:space="preserve">concluyó que </w:t>
            </w:r>
            <w:r w:rsidR="00F95138" w:rsidRPr="00271D1D">
              <w:rPr>
                <w:rFonts w:ascii="Calibri Light" w:hAnsi="Calibri Light"/>
                <w:b w:val="0"/>
              </w:rPr>
              <w:t>el tipo penal aplicado no cumplió con el r</w:t>
            </w:r>
            <w:r w:rsidR="006F5AAD" w:rsidRPr="00271D1D">
              <w:rPr>
                <w:rFonts w:ascii="Calibri Light" w:hAnsi="Calibri Light"/>
                <w:b w:val="0"/>
              </w:rPr>
              <w:t>equisito de estricta legalidad.</w:t>
            </w:r>
          </w:p>
          <w:p w14:paraId="5E81CD09" w14:textId="77777777" w:rsidR="003E1DE0" w:rsidRPr="00271D1D" w:rsidRDefault="003E1DE0" w:rsidP="00810470">
            <w:pPr>
              <w:jc w:val="both"/>
              <w:rPr>
                <w:rFonts w:ascii="Calibri Light" w:hAnsi="Calibri Light"/>
                <w:b w:val="0"/>
              </w:rPr>
            </w:pPr>
          </w:p>
          <w:p w14:paraId="10DD6C2A" w14:textId="77777777" w:rsidR="00157398" w:rsidRDefault="009956CE" w:rsidP="004A0763">
            <w:pPr>
              <w:jc w:val="both"/>
              <w:rPr>
                <w:rFonts w:ascii="Calibri Light" w:hAnsi="Calibri Light"/>
                <w:b w:val="0"/>
              </w:rPr>
            </w:pPr>
            <w:r w:rsidRPr="00271D1D">
              <w:rPr>
                <w:rFonts w:ascii="Calibri Light" w:hAnsi="Calibri Light"/>
                <w:b w:val="0"/>
              </w:rPr>
              <w:t xml:space="preserve">Sin perjuicio de lo anterior, </w:t>
            </w:r>
            <w:r w:rsidR="006F5AAD" w:rsidRPr="00271D1D">
              <w:rPr>
                <w:rFonts w:ascii="Calibri Light" w:hAnsi="Calibri Light"/>
                <w:b w:val="0"/>
              </w:rPr>
              <w:t xml:space="preserve">la CIDH </w:t>
            </w:r>
            <w:r w:rsidR="00961759">
              <w:rPr>
                <w:rFonts w:ascii="Calibri Light" w:hAnsi="Calibri Light"/>
                <w:b w:val="0"/>
              </w:rPr>
              <w:t>consideró pertinente analizar</w:t>
            </w:r>
            <w:r w:rsidR="006F5AAD" w:rsidRPr="00271D1D">
              <w:rPr>
                <w:rFonts w:ascii="Calibri Light" w:hAnsi="Calibri Light"/>
                <w:b w:val="0"/>
              </w:rPr>
              <w:t xml:space="preserve"> también </w:t>
            </w:r>
            <w:r w:rsidRPr="00271D1D">
              <w:rPr>
                <w:rFonts w:ascii="Calibri Light" w:hAnsi="Calibri Light"/>
                <w:b w:val="0"/>
              </w:rPr>
              <w:t xml:space="preserve">si la restricción </w:t>
            </w:r>
            <w:r w:rsidR="00961759">
              <w:rPr>
                <w:rFonts w:ascii="Calibri Light" w:hAnsi="Calibri Light"/>
                <w:b w:val="0"/>
              </w:rPr>
              <w:t>cumplió con los otros dos requisitos</w:t>
            </w:r>
            <w:r w:rsidR="006F5AAD" w:rsidRPr="00271D1D">
              <w:rPr>
                <w:rFonts w:ascii="Calibri Light" w:hAnsi="Calibri Light"/>
                <w:b w:val="0"/>
              </w:rPr>
              <w:t xml:space="preserve">. Respecto a la finalidad de la restricción, </w:t>
            </w:r>
            <w:r w:rsidR="00961759">
              <w:rPr>
                <w:rFonts w:ascii="Calibri Light" w:hAnsi="Calibri Light"/>
                <w:b w:val="0"/>
              </w:rPr>
              <w:t>determinó</w:t>
            </w:r>
            <w:r w:rsidR="006F5AAD" w:rsidRPr="00271D1D">
              <w:rPr>
                <w:rFonts w:ascii="Calibri Light" w:hAnsi="Calibri Light"/>
                <w:b w:val="0"/>
              </w:rPr>
              <w:t xml:space="preserve"> que de acuerdo al artículo 13.2 de la </w:t>
            </w:r>
            <w:r w:rsidR="00646696" w:rsidRPr="00271D1D">
              <w:rPr>
                <w:rFonts w:ascii="Calibri Light" w:hAnsi="Calibri Light"/>
                <w:b w:val="0"/>
              </w:rPr>
              <w:t>CADH</w:t>
            </w:r>
            <w:r w:rsidR="006F5AAD" w:rsidRPr="00271D1D">
              <w:rPr>
                <w:rFonts w:ascii="Calibri Light" w:hAnsi="Calibri Light"/>
                <w:b w:val="0"/>
              </w:rPr>
              <w:t>, la protección de la honra y reputación de los demás puede ser un motivo para fijar responsabilidades ulteriores por el ejercicio abus</w:t>
            </w:r>
            <w:r w:rsidR="00961759">
              <w:rPr>
                <w:rFonts w:ascii="Calibri Light" w:hAnsi="Calibri Light"/>
                <w:b w:val="0"/>
              </w:rPr>
              <w:t>ivo de la libertad de expresión; por lo cual,</w:t>
            </w:r>
            <w:r w:rsidR="006F5AAD" w:rsidRPr="00271D1D">
              <w:rPr>
                <w:rFonts w:ascii="Calibri Light" w:hAnsi="Calibri Light"/>
                <w:b w:val="0"/>
              </w:rPr>
              <w:t xml:space="preserve"> este requisito </w:t>
            </w:r>
            <w:r w:rsidR="00157398">
              <w:rPr>
                <w:rFonts w:ascii="Calibri Light" w:hAnsi="Calibri Light"/>
                <w:b w:val="0"/>
              </w:rPr>
              <w:t>había sido</w:t>
            </w:r>
            <w:r w:rsidR="00CC31C4">
              <w:rPr>
                <w:rFonts w:ascii="Calibri Light" w:hAnsi="Calibri Light"/>
                <w:b w:val="0"/>
              </w:rPr>
              <w:t xml:space="preserve"> cumplido</w:t>
            </w:r>
            <w:r w:rsidR="006F5AAD" w:rsidRPr="00271D1D">
              <w:rPr>
                <w:rFonts w:ascii="Calibri Light" w:hAnsi="Calibri Light"/>
                <w:b w:val="0"/>
              </w:rPr>
              <w:t xml:space="preserve">. </w:t>
            </w:r>
            <w:r w:rsidR="00961759">
              <w:rPr>
                <w:rFonts w:ascii="Calibri Light" w:hAnsi="Calibri Light"/>
                <w:b w:val="0"/>
              </w:rPr>
              <w:t xml:space="preserve">En cuanto al cumplimiento </w:t>
            </w:r>
            <w:r w:rsidR="0006675C" w:rsidRPr="00271D1D">
              <w:rPr>
                <w:rFonts w:ascii="Calibri Light" w:hAnsi="Calibri Light"/>
                <w:b w:val="0"/>
              </w:rPr>
              <w:t xml:space="preserve">de </w:t>
            </w:r>
            <w:r w:rsidR="00961759">
              <w:rPr>
                <w:rFonts w:ascii="Calibri Light" w:hAnsi="Calibri Light"/>
                <w:b w:val="0"/>
              </w:rPr>
              <w:t xml:space="preserve">la </w:t>
            </w:r>
            <w:r w:rsidR="0006675C" w:rsidRPr="00271D1D">
              <w:rPr>
                <w:rFonts w:ascii="Calibri Light" w:hAnsi="Calibri Light"/>
                <w:b w:val="0"/>
              </w:rPr>
              <w:t>estricta necesidad y proporcionalidad de la restricci</w:t>
            </w:r>
            <w:r w:rsidR="000E4587" w:rsidRPr="00271D1D">
              <w:rPr>
                <w:rFonts w:ascii="Calibri Light" w:hAnsi="Calibri Light"/>
                <w:b w:val="0"/>
              </w:rPr>
              <w:t>ón, la CI</w:t>
            </w:r>
            <w:r w:rsidR="0006675C" w:rsidRPr="00271D1D">
              <w:rPr>
                <w:rFonts w:ascii="Calibri Light" w:hAnsi="Calibri Light"/>
                <w:b w:val="0"/>
              </w:rPr>
              <w:t xml:space="preserve">DH manifestó que la aplicación de </w:t>
            </w:r>
            <w:r w:rsidR="0006675C" w:rsidRPr="00271D1D">
              <w:rPr>
                <w:rFonts w:ascii="Calibri Light" w:hAnsi="Calibri Light"/>
                <w:b w:val="0"/>
              </w:rPr>
              <w:lastRenderedPageBreak/>
              <w:t xml:space="preserve">sanciones penales debe ser una medida de </w:t>
            </w:r>
            <w:r w:rsidR="003B2CD2" w:rsidRPr="00271D1D">
              <w:rPr>
                <w:rFonts w:ascii="Calibri Light" w:hAnsi="Calibri Light"/>
                <w:b w:val="0"/>
              </w:rPr>
              <w:t>última</w:t>
            </w:r>
            <w:r w:rsidR="0006675C" w:rsidRPr="00271D1D">
              <w:rPr>
                <w:rFonts w:ascii="Calibri Light" w:hAnsi="Calibri Light"/>
                <w:b w:val="0"/>
              </w:rPr>
              <w:t xml:space="preserve"> </w:t>
            </w:r>
            <w:r w:rsidR="0006675C" w:rsidRPr="00271D1D">
              <w:rPr>
                <w:rFonts w:ascii="Calibri Light" w:hAnsi="Calibri Light"/>
                <w:b w:val="0"/>
                <w:i/>
              </w:rPr>
              <w:t>ratio</w:t>
            </w:r>
            <w:r w:rsidR="0006675C" w:rsidRPr="00271D1D">
              <w:rPr>
                <w:rFonts w:ascii="Calibri Light" w:hAnsi="Calibri Light"/>
                <w:b w:val="0"/>
              </w:rPr>
              <w:t xml:space="preserve">, más aún cuando se </w:t>
            </w:r>
            <w:r w:rsidR="00157398">
              <w:rPr>
                <w:rFonts w:ascii="Calibri Light" w:hAnsi="Calibri Light"/>
                <w:b w:val="0"/>
              </w:rPr>
              <w:t>trata de una medida que sanciona</w:t>
            </w:r>
            <w:r w:rsidR="0006675C" w:rsidRPr="00271D1D">
              <w:rPr>
                <w:rFonts w:ascii="Calibri Light" w:hAnsi="Calibri Light"/>
                <w:b w:val="0"/>
              </w:rPr>
              <w:t xml:space="preserve"> el ejercicio de la libertad de expresión de un ciudadano respecto a temas de interés público que impliquen a autoridades estatales. </w:t>
            </w:r>
          </w:p>
          <w:p w14:paraId="0CE8F504" w14:textId="77777777" w:rsidR="00157398" w:rsidRDefault="00157398" w:rsidP="004A0763">
            <w:pPr>
              <w:jc w:val="both"/>
              <w:rPr>
                <w:rFonts w:ascii="Calibri Light" w:hAnsi="Calibri Light"/>
                <w:b w:val="0"/>
              </w:rPr>
            </w:pPr>
          </w:p>
          <w:p w14:paraId="4D41478E" w14:textId="024C7BD1" w:rsidR="000D52F6" w:rsidRPr="006E4635" w:rsidRDefault="00157398" w:rsidP="004A0763">
            <w:pPr>
              <w:jc w:val="both"/>
              <w:rPr>
                <w:rFonts w:ascii="Calibri Light" w:hAnsi="Calibri Light"/>
                <w:b w:val="0"/>
                <w:color w:val="FF0000"/>
                <w:lang w:val="es-PE"/>
              </w:rPr>
            </w:pPr>
            <w:r>
              <w:rPr>
                <w:rFonts w:ascii="Calibri Light" w:hAnsi="Calibri Light"/>
                <w:b w:val="0"/>
              </w:rPr>
              <w:t xml:space="preserve">Para la CIDH, </w:t>
            </w:r>
            <w:r w:rsidR="0006675C" w:rsidRPr="00271D1D">
              <w:rPr>
                <w:rFonts w:ascii="Calibri Light" w:hAnsi="Calibri Light"/>
                <w:b w:val="0"/>
              </w:rPr>
              <w:t xml:space="preserve">la protección a la honra o reputación de los funcionarios estatales </w:t>
            </w:r>
            <w:r w:rsidRPr="00271D1D">
              <w:rPr>
                <w:rFonts w:ascii="Calibri Light" w:hAnsi="Calibri Light"/>
                <w:b w:val="0"/>
              </w:rPr>
              <w:t>debe</w:t>
            </w:r>
            <w:r>
              <w:rPr>
                <w:rFonts w:ascii="Calibri Light" w:hAnsi="Calibri Light"/>
                <w:b w:val="0"/>
              </w:rPr>
              <w:t>ría</w:t>
            </w:r>
            <w:r w:rsidRPr="00271D1D">
              <w:rPr>
                <w:rFonts w:ascii="Calibri Light" w:hAnsi="Calibri Light"/>
                <w:b w:val="0"/>
              </w:rPr>
              <w:t xml:space="preserve"> </w:t>
            </w:r>
            <w:r w:rsidR="0006675C" w:rsidRPr="00271D1D">
              <w:rPr>
                <w:rFonts w:ascii="Calibri Light" w:hAnsi="Calibri Light"/>
                <w:b w:val="0"/>
              </w:rPr>
              <w:t xml:space="preserve">garantizarse </w:t>
            </w:r>
            <w:r>
              <w:rPr>
                <w:rFonts w:ascii="Calibri Light" w:hAnsi="Calibri Light"/>
                <w:b w:val="0"/>
              </w:rPr>
              <w:t>solamente</w:t>
            </w:r>
            <w:r w:rsidRPr="00271D1D">
              <w:rPr>
                <w:rFonts w:ascii="Calibri Light" w:hAnsi="Calibri Light"/>
                <w:b w:val="0"/>
              </w:rPr>
              <w:t xml:space="preserve"> </w:t>
            </w:r>
            <w:r w:rsidR="0006675C" w:rsidRPr="00271D1D">
              <w:rPr>
                <w:rFonts w:ascii="Calibri Light" w:hAnsi="Calibri Light"/>
                <w:b w:val="0"/>
              </w:rPr>
              <w:t xml:space="preserve">a través de sanciones civiles, pues </w:t>
            </w:r>
            <w:r>
              <w:rPr>
                <w:rFonts w:ascii="Calibri Light" w:hAnsi="Calibri Light"/>
                <w:b w:val="0"/>
              </w:rPr>
              <w:t xml:space="preserve">estos </w:t>
            </w:r>
            <w:r w:rsidR="0006675C" w:rsidRPr="00271D1D">
              <w:rPr>
                <w:rFonts w:ascii="Calibri Light" w:hAnsi="Calibri Light"/>
                <w:b w:val="0"/>
              </w:rPr>
              <w:t xml:space="preserve">deben tener </w:t>
            </w:r>
            <w:r>
              <w:rPr>
                <w:rFonts w:ascii="Calibri Light" w:hAnsi="Calibri Light"/>
                <w:b w:val="0"/>
              </w:rPr>
              <w:t xml:space="preserve">una </w:t>
            </w:r>
            <w:r w:rsidR="0006675C" w:rsidRPr="00271D1D">
              <w:rPr>
                <w:rFonts w:ascii="Calibri Light" w:hAnsi="Calibri Light"/>
                <w:b w:val="0"/>
              </w:rPr>
              <w:t>mayor tolerancia a afirmaciones y opiniones vertidas por los ciudadanos en ejercicio de su control democrático.</w:t>
            </w:r>
            <w:r w:rsidR="00A153E3" w:rsidRPr="00271D1D">
              <w:rPr>
                <w:rFonts w:ascii="Calibri Light" w:hAnsi="Calibri Light"/>
                <w:b w:val="0"/>
              </w:rPr>
              <w:t xml:space="preserve"> </w:t>
            </w:r>
            <w:r w:rsidR="00CA18F9" w:rsidRPr="00271D1D">
              <w:rPr>
                <w:rFonts w:ascii="Calibri Light" w:hAnsi="Calibri Light"/>
                <w:b w:val="0"/>
              </w:rPr>
              <w:t xml:space="preserve">A </w:t>
            </w:r>
            <w:r w:rsidR="003A7A99" w:rsidRPr="00271D1D">
              <w:rPr>
                <w:rFonts w:ascii="Calibri Light" w:hAnsi="Calibri Light"/>
                <w:b w:val="0"/>
              </w:rPr>
              <w:t xml:space="preserve">su </w:t>
            </w:r>
            <w:r w:rsidR="00CA18F9" w:rsidRPr="00271D1D">
              <w:rPr>
                <w:rFonts w:ascii="Calibri Light" w:hAnsi="Calibri Light"/>
                <w:b w:val="0"/>
              </w:rPr>
              <w:t>consideración, existían medios distintos a la aplicación de sanciones penales mediantes los cuales el diputado Lara pudo haber defendido su honor o reputación</w:t>
            </w:r>
            <w:r>
              <w:rPr>
                <w:rFonts w:ascii="Calibri Light" w:hAnsi="Calibri Light"/>
                <w:b w:val="0"/>
              </w:rPr>
              <w:t>. Por ejemplo, el establecimiento de</w:t>
            </w:r>
            <w:r w:rsidR="004A0763" w:rsidRPr="00271D1D">
              <w:rPr>
                <w:rFonts w:ascii="Calibri Light" w:hAnsi="Calibri Light"/>
                <w:b w:val="0"/>
              </w:rPr>
              <w:t xml:space="preserve"> </w:t>
            </w:r>
            <w:r w:rsidR="000D52F6" w:rsidRPr="00271D1D">
              <w:rPr>
                <w:rFonts w:ascii="Calibri Light" w:hAnsi="Calibri Light"/>
                <w:b w:val="0"/>
                <w:lang w:val="es-PE"/>
              </w:rPr>
              <w:t>una protección estatutaria contra los ataques intencionales al honor y a la reputación mediante acciones civiles</w:t>
            </w:r>
            <w:r>
              <w:rPr>
                <w:rFonts w:ascii="Calibri Light" w:hAnsi="Calibri Light"/>
                <w:b w:val="0"/>
                <w:lang w:val="es-PE"/>
              </w:rPr>
              <w:t>,</w:t>
            </w:r>
            <w:r w:rsidR="000D52F6" w:rsidRPr="00271D1D">
              <w:rPr>
                <w:rFonts w:ascii="Calibri Light" w:hAnsi="Calibri Light"/>
                <w:b w:val="0"/>
                <w:lang w:val="es-PE"/>
              </w:rPr>
              <w:t xml:space="preserve"> </w:t>
            </w:r>
            <w:r>
              <w:rPr>
                <w:rFonts w:ascii="Calibri Light" w:hAnsi="Calibri Light"/>
                <w:b w:val="0"/>
                <w:lang w:val="es-PE"/>
              </w:rPr>
              <w:t>o la promulgación de</w:t>
            </w:r>
            <w:r w:rsidR="000D52F6" w:rsidRPr="00271D1D">
              <w:rPr>
                <w:rFonts w:ascii="Calibri Light" w:hAnsi="Calibri Light"/>
                <w:b w:val="0"/>
                <w:lang w:val="es-PE"/>
              </w:rPr>
              <w:t xml:space="preserve"> leyes que garanticen el derecho de rectificación o respuesta.</w:t>
            </w:r>
            <w:r w:rsidR="006E4635">
              <w:rPr>
                <w:rFonts w:ascii="Calibri Light" w:hAnsi="Calibri Light"/>
                <w:b w:val="0"/>
                <w:lang w:val="es-PE"/>
              </w:rPr>
              <w:t xml:space="preserve"> </w:t>
            </w:r>
          </w:p>
          <w:p w14:paraId="01ECFEB7" w14:textId="77777777" w:rsidR="00A153E3" w:rsidRPr="00271D1D" w:rsidRDefault="00A153E3" w:rsidP="00E27629">
            <w:pPr>
              <w:jc w:val="both"/>
              <w:rPr>
                <w:rFonts w:ascii="Calibri Light" w:hAnsi="Calibri Light"/>
                <w:b w:val="0"/>
              </w:rPr>
            </w:pPr>
          </w:p>
          <w:p w14:paraId="136C1853" w14:textId="727CDACE" w:rsidR="00E27629" w:rsidRPr="00271D1D" w:rsidRDefault="00A153E3">
            <w:pPr>
              <w:jc w:val="both"/>
              <w:rPr>
                <w:rFonts w:ascii="Calibri Light" w:hAnsi="Calibri Light"/>
                <w:b w:val="0"/>
              </w:rPr>
            </w:pPr>
            <w:r w:rsidRPr="00271D1D">
              <w:rPr>
                <w:rFonts w:ascii="Calibri Light" w:hAnsi="Calibri Light"/>
                <w:b w:val="0"/>
              </w:rPr>
              <w:t>Asimismo, la CIDH</w:t>
            </w:r>
            <w:r w:rsidR="00CA18F9" w:rsidRPr="00271D1D">
              <w:rPr>
                <w:rFonts w:ascii="Calibri Light" w:hAnsi="Calibri Light"/>
                <w:b w:val="0"/>
              </w:rPr>
              <w:t xml:space="preserve"> manifestó que l</w:t>
            </w:r>
            <w:r w:rsidR="0006675C" w:rsidRPr="00271D1D">
              <w:rPr>
                <w:rFonts w:ascii="Calibri Light" w:hAnsi="Calibri Light"/>
                <w:b w:val="0"/>
              </w:rPr>
              <w:t xml:space="preserve">as expresiones vertidas por </w:t>
            </w:r>
            <w:r w:rsidR="003A7A99" w:rsidRPr="00271D1D">
              <w:rPr>
                <w:rFonts w:ascii="Calibri Light" w:hAnsi="Calibri Light"/>
                <w:b w:val="0"/>
              </w:rPr>
              <w:t xml:space="preserve">el señor </w:t>
            </w:r>
            <w:r w:rsidR="0006675C" w:rsidRPr="00271D1D">
              <w:rPr>
                <w:rFonts w:ascii="Calibri Light" w:hAnsi="Calibri Light"/>
                <w:b w:val="0"/>
              </w:rPr>
              <w:t xml:space="preserve">Álvarez </w:t>
            </w:r>
            <w:r w:rsidR="003B2CD2" w:rsidRPr="00271D1D">
              <w:rPr>
                <w:rFonts w:ascii="Calibri Light" w:hAnsi="Calibri Light"/>
                <w:b w:val="0"/>
              </w:rPr>
              <w:t xml:space="preserve">constituían </w:t>
            </w:r>
            <w:r w:rsidR="00CA18F9" w:rsidRPr="00271D1D">
              <w:rPr>
                <w:rFonts w:ascii="Calibri Light" w:hAnsi="Calibri Light"/>
                <w:b w:val="0"/>
              </w:rPr>
              <w:t>tanto</w:t>
            </w:r>
            <w:r w:rsidR="0006675C" w:rsidRPr="00271D1D">
              <w:rPr>
                <w:rFonts w:ascii="Calibri Light" w:hAnsi="Calibri Light"/>
                <w:b w:val="0"/>
              </w:rPr>
              <w:t xml:space="preserve"> una </w:t>
            </w:r>
            <w:r w:rsidR="00CA18F9" w:rsidRPr="00271D1D">
              <w:rPr>
                <w:rFonts w:ascii="Calibri Light" w:hAnsi="Calibri Light"/>
                <w:b w:val="0"/>
              </w:rPr>
              <w:t xml:space="preserve">afirmación como un </w:t>
            </w:r>
            <w:r w:rsidR="0006675C" w:rsidRPr="00271D1D">
              <w:rPr>
                <w:rFonts w:ascii="Calibri Light" w:hAnsi="Calibri Light"/>
                <w:b w:val="0"/>
              </w:rPr>
              <w:t>opinión</w:t>
            </w:r>
            <w:r w:rsidR="006E4635">
              <w:rPr>
                <w:rFonts w:ascii="Calibri Light" w:hAnsi="Calibri Light"/>
                <w:b w:val="0"/>
              </w:rPr>
              <w:t>;</w:t>
            </w:r>
            <w:r w:rsidR="00CA18F9" w:rsidRPr="00271D1D">
              <w:rPr>
                <w:rFonts w:ascii="Calibri Light" w:hAnsi="Calibri Light"/>
                <w:b w:val="0"/>
              </w:rPr>
              <w:t xml:space="preserve"> por lo </w:t>
            </w:r>
            <w:r w:rsidR="006E4635">
              <w:rPr>
                <w:rFonts w:ascii="Calibri Light" w:hAnsi="Calibri Light"/>
                <w:b w:val="0"/>
              </w:rPr>
              <w:t>cual</w:t>
            </w:r>
            <w:r w:rsidR="00CA18F9" w:rsidRPr="00271D1D">
              <w:rPr>
                <w:rFonts w:ascii="Calibri Light" w:hAnsi="Calibri Light"/>
                <w:b w:val="0"/>
              </w:rPr>
              <w:t xml:space="preserve">, de acuerdo a reiterada jurisprudencia de la Corte IDH no </w:t>
            </w:r>
            <w:r w:rsidR="001E79A8" w:rsidRPr="00271D1D">
              <w:rPr>
                <w:rFonts w:ascii="Calibri Light" w:hAnsi="Calibri Light"/>
                <w:b w:val="0"/>
              </w:rPr>
              <w:t xml:space="preserve">eran </w:t>
            </w:r>
            <w:r w:rsidR="00E27629" w:rsidRPr="00271D1D">
              <w:rPr>
                <w:rFonts w:ascii="Calibri Light" w:hAnsi="Calibri Light"/>
                <w:b w:val="0"/>
              </w:rPr>
              <w:t xml:space="preserve">susceptibles de juicios de veracidad y </w:t>
            </w:r>
            <w:r w:rsidR="00E27629" w:rsidRPr="00157398">
              <w:rPr>
                <w:rFonts w:ascii="Calibri Light" w:hAnsi="Calibri Light"/>
                <w:b w:val="0"/>
              </w:rPr>
              <w:t>no e</w:t>
            </w:r>
            <w:r w:rsidR="00CA18F9" w:rsidRPr="00157398">
              <w:rPr>
                <w:rFonts w:ascii="Calibri Light" w:hAnsi="Calibri Light"/>
                <w:b w:val="0"/>
              </w:rPr>
              <w:t>st</w:t>
            </w:r>
            <w:r w:rsidR="001E79A8" w:rsidRPr="00157398">
              <w:rPr>
                <w:rFonts w:ascii="Calibri Light" w:hAnsi="Calibri Light"/>
                <w:b w:val="0"/>
              </w:rPr>
              <w:t>aban</w:t>
            </w:r>
            <w:r w:rsidR="00CA18F9" w:rsidRPr="00157398">
              <w:rPr>
                <w:rFonts w:ascii="Calibri Light" w:hAnsi="Calibri Light"/>
                <w:b w:val="0"/>
              </w:rPr>
              <w:t xml:space="preserve"> </w:t>
            </w:r>
            <w:r w:rsidR="00CA18F9" w:rsidRPr="00271D1D">
              <w:rPr>
                <w:rFonts w:ascii="Calibri Light" w:hAnsi="Calibri Light"/>
                <w:b w:val="0"/>
              </w:rPr>
              <w:t xml:space="preserve">sujetas a sanción alguna. </w:t>
            </w:r>
            <w:r w:rsidR="00697740">
              <w:rPr>
                <w:rFonts w:ascii="Calibri Light" w:hAnsi="Calibri Light"/>
                <w:b w:val="0"/>
              </w:rPr>
              <w:t>Independientemente</w:t>
            </w:r>
            <w:r w:rsidR="00CA18F9" w:rsidRPr="00271D1D">
              <w:rPr>
                <w:rFonts w:ascii="Calibri Light" w:hAnsi="Calibri Light"/>
                <w:b w:val="0"/>
              </w:rPr>
              <w:t xml:space="preserve"> de ello, la CIDH </w:t>
            </w:r>
            <w:r w:rsidR="00EE4BA9" w:rsidRPr="00271D1D">
              <w:rPr>
                <w:rFonts w:ascii="Calibri Light" w:hAnsi="Calibri Light"/>
                <w:b w:val="0"/>
              </w:rPr>
              <w:t>señaló</w:t>
            </w:r>
            <w:r w:rsidR="00CA18F9" w:rsidRPr="00271D1D">
              <w:rPr>
                <w:rFonts w:ascii="Calibri Light" w:hAnsi="Calibri Light"/>
                <w:b w:val="0"/>
              </w:rPr>
              <w:t xml:space="preserve"> que las afirmaciones de</w:t>
            </w:r>
            <w:r w:rsidR="003A7A99" w:rsidRPr="00271D1D">
              <w:rPr>
                <w:rFonts w:ascii="Calibri Light" w:hAnsi="Calibri Light"/>
                <w:b w:val="0"/>
              </w:rPr>
              <w:t>l señor</w:t>
            </w:r>
            <w:r w:rsidR="00CA18F9" w:rsidRPr="00271D1D">
              <w:rPr>
                <w:rFonts w:ascii="Calibri Light" w:hAnsi="Calibri Light"/>
                <w:b w:val="0"/>
              </w:rPr>
              <w:t xml:space="preserve"> Álvarez </w:t>
            </w:r>
            <w:r w:rsidR="00E27629" w:rsidRPr="00271D1D">
              <w:rPr>
                <w:rFonts w:ascii="Calibri Light" w:hAnsi="Calibri Light"/>
                <w:b w:val="0"/>
              </w:rPr>
              <w:t>versaban sobre asuntos de claro interés p</w:t>
            </w:r>
            <w:r w:rsidR="00CA18F9" w:rsidRPr="00271D1D">
              <w:rPr>
                <w:rFonts w:ascii="Calibri Light" w:hAnsi="Calibri Light"/>
                <w:b w:val="0"/>
              </w:rPr>
              <w:t xml:space="preserve">úblico y resultaban verosímiles, siendo que a pesar de que podían </w:t>
            </w:r>
            <w:r w:rsidR="0067568C" w:rsidRPr="00271D1D">
              <w:rPr>
                <w:rFonts w:ascii="Calibri Light" w:hAnsi="Calibri Light"/>
                <w:b w:val="0"/>
              </w:rPr>
              <w:t>ofender</w:t>
            </w:r>
            <w:r w:rsidR="00CA18F9" w:rsidRPr="00271D1D">
              <w:rPr>
                <w:rFonts w:ascii="Calibri Light" w:hAnsi="Calibri Light"/>
                <w:b w:val="0"/>
              </w:rPr>
              <w:t xml:space="preserve"> y afectar la reputación del </w:t>
            </w:r>
            <w:r w:rsidR="00E27629" w:rsidRPr="00271D1D">
              <w:rPr>
                <w:rFonts w:ascii="Calibri Light" w:hAnsi="Calibri Light"/>
                <w:b w:val="0"/>
              </w:rPr>
              <w:t>diputado Willian Lara</w:t>
            </w:r>
            <w:r w:rsidR="00EE4BA9" w:rsidRPr="00271D1D">
              <w:rPr>
                <w:rFonts w:ascii="Calibri Light" w:hAnsi="Calibri Light"/>
                <w:b w:val="0"/>
              </w:rPr>
              <w:t xml:space="preserve">, </w:t>
            </w:r>
            <w:r w:rsidR="00E27629" w:rsidRPr="00271D1D">
              <w:rPr>
                <w:rFonts w:ascii="Calibri Light" w:hAnsi="Calibri Light"/>
                <w:b w:val="0"/>
              </w:rPr>
              <w:t>al referirse al manejo de recursos públicos, debían ser investigadas, rectificadas o aclaradas por los órganos aludidos</w:t>
            </w:r>
            <w:r w:rsidR="00FB1AE3" w:rsidRPr="00271D1D">
              <w:rPr>
                <w:rFonts w:ascii="Calibri Light" w:hAnsi="Calibri Light"/>
                <w:b w:val="0"/>
              </w:rPr>
              <w:t>.</w:t>
            </w:r>
            <w:r w:rsidRPr="00271D1D">
              <w:rPr>
                <w:rFonts w:ascii="Calibri Light" w:hAnsi="Calibri Light"/>
                <w:b w:val="0"/>
              </w:rPr>
              <w:t xml:space="preserve"> </w:t>
            </w:r>
            <w:r w:rsidR="0067568C" w:rsidRPr="00271D1D">
              <w:rPr>
                <w:rFonts w:ascii="Calibri Light" w:hAnsi="Calibri Light"/>
                <w:b w:val="0"/>
              </w:rPr>
              <w:t>Respecto a las continuadas manifestaciones de</w:t>
            </w:r>
            <w:r w:rsidR="003A7A99" w:rsidRPr="00271D1D">
              <w:rPr>
                <w:rFonts w:ascii="Calibri Light" w:hAnsi="Calibri Light"/>
                <w:b w:val="0"/>
              </w:rPr>
              <w:t>l señor</w:t>
            </w:r>
            <w:r w:rsidR="0067568C" w:rsidRPr="00271D1D">
              <w:rPr>
                <w:rFonts w:ascii="Calibri Light" w:hAnsi="Calibri Light"/>
                <w:b w:val="0"/>
              </w:rPr>
              <w:t xml:space="preserve"> Álvarez sobre los presuntos delitos cometidos por Lara, incluso antes de iniciarse el juicio oral, la </w:t>
            </w:r>
            <w:r w:rsidR="0006675C" w:rsidRPr="00271D1D">
              <w:rPr>
                <w:rFonts w:ascii="Calibri Light" w:hAnsi="Calibri Light"/>
                <w:b w:val="0"/>
              </w:rPr>
              <w:t xml:space="preserve">CIDH </w:t>
            </w:r>
            <w:r w:rsidR="0067568C" w:rsidRPr="00271D1D">
              <w:rPr>
                <w:rFonts w:ascii="Calibri Light" w:hAnsi="Calibri Light"/>
                <w:b w:val="0"/>
              </w:rPr>
              <w:t xml:space="preserve">estimó que dada la gravedad de los bienes jurídicos </w:t>
            </w:r>
            <w:r w:rsidR="006F5AAD" w:rsidRPr="00271D1D">
              <w:rPr>
                <w:rFonts w:ascii="Calibri Light" w:hAnsi="Calibri Light"/>
                <w:b w:val="0"/>
              </w:rPr>
              <w:t xml:space="preserve">en juego en un proceso penal por difamación interpuesto por un funcionario público en contra de un ciudadano, </w:t>
            </w:r>
            <w:r w:rsidR="0006675C" w:rsidRPr="00271D1D">
              <w:rPr>
                <w:rFonts w:ascii="Calibri Light" w:hAnsi="Calibri Light"/>
                <w:b w:val="0"/>
              </w:rPr>
              <w:t>la libertad de expresión deb</w:t>
            </w:r>
            <w:r w:rsidR="00697740">
              <w:rPr>
                <w:rFonts w:ascii="Calibri Light" w:hAnsi="Calibri Light"/>
                <w:b w:val="0"/>
              </w:rPr>
              <w:t>ía</w:t>
            </w:r>
            <w:r w:rsidR="0006675C" w:rsidRPr="00271D1D">
              <w:rPr>
                <w:rFonts w:ascii="Calibri Light" w:hAnsi="Calibri Light"/>
                <w:b w:val="0"/>
              </w:rPr>
              <w:t xml:space="preserve"> amparar el derecho de las partes intervinientes en un proceso penal de esta naturaleza a manifestar las ideas e informaciones que a su entender sean relevantes para el conocimiento de su caso, así como el derecho de la sociedad a estar informada sobre el mismo.</w:t>
            </w:r>
          </w:p>
          <w:p w14:paraId="2256A57C" w14:textId="77777777" w:rsidR="006E6371" w:rsidRPr="006E4635" w:rsidRDefault="006E6371" w:rsidP="001A1869">
            <w:pPr>
              <w:jc w:val="both"/>
              <w:rPr>
                <w:rFonts w:ascii="Calibri Light" w:hAnsi="Calibri Light"/>
                <w:b w:val="0"/>
                <w:color w:val="FF0000"/>
              </w:rPr>
            </w:pPr>
          </w:p>
          <w:p w14:paraId="12D8552A" w14:textId="2A9152A1" w:rsidR="00B16D3A" w:rsidRPr="00271D1D" w:rsidRDefault="00697740">
            <w:pPr>
              <w:jc w:val="both"/>
              <w:rPr>
                <w:rFonts w:ascii="Calibri Light" w:hAnsi="Calibri Light"/>
                <w:b w:val="0"/>
                <w:lang w:val="es-PE"/>
              </w:rPr>
            </w:pPr>
            <w:r w:rsidRPr="00BA60EF">
              <w:rPr>
                <w:rFonts w:ascii="Calibri Light" w:hAnsi="Calibri Light"/>
                <w:b w:val="0"/>
              </w:rPr>
              <w:t>Respecto de</w:t>
            </w:r>
            <w:r w:rsidR="00A153E3" w:rsidRPr="00BA60EF">
              <w:rPr>
                <w:rFonts w:ascii="Calibri Light" w:hAnsi="Calibri Light"/>
                <w:b w:val="0"/>
              </w:rPr>
              <w:t xml:space="preserve"> la </w:t>
            </w:r>
            <w:r w:rsidR="00851773" w:rsidRPr="00BA60EF">
              <w:rPr>
                <w:rFonts w:ascii="Calibri Light" w:hAnsi="Calibri Light"/>
                <w:b w:val="0"/>
              </w:rPr>
              <w:t xml:space="preserve">proporcionalidad de la </w:t>
            </w:r>
            <w:r w:rsidRPr="00BA60EF">
              <w:rPr>
                <w:rFonts w:ascii="Calibri Light" w:hAnsi="Calibri Light"/>
                <w:b w:val="0"/>
              </w:rPr>
              <w:t>medida</w:t>
            </w:r>
            <w:r w:rsidR="00851773" w:rsidRPr="00BA60EF">
              <w:rPr>
                <w:rFonts w:ascii="Calibri Light" w:hAnsi="Calibri Light"/>
                <w:b w:val="0"/>
              </w:rPr>
              <w:t>, la CIDH señaló que las consecuencias del proceso penal</w:t>
            </w:r>
            <w:r w:rsidR="0087063C" w:rsidRPr="00BA60EF">
              <w:rPr>
                <w:rFonts w:ascii="Calibri Light" w:hAnsi="Calibri Light"/>
                <w:b w:val="0"/>
              </w:rPr>
              <w:t>, la medida cautelar de prohibición de salida del país, el régimen de prueba al que fue sometido junto con el riesgo latente de</w:t>
            </w:r>
            <w:r w:rsidR="009045FB" w:rsidRPr="00BA60EF">
              <w:rPr>
                <w:rFonts w:ascii="Calibri Light" w:hAnsi="Calibri Light"/>
                <w:b w:val="0"/>
              </w:rPr>
              <w:t xml:space="preserve"> la posible pérdida de libertad</w:t>
            </w:r>
            <w:r w:rsidR="002D1D3D">
              <w:rPr>
                <w:rFonts w:ascii="Calibri Light" w:hAnsi="Calibri Light"/>
                <w:b w:val="0"/>
              </w:rPr>
              <w:t xml:space="preserve"> y la condena suspendida de prisión</w:t>
            </w:r>
            <w:r w:rsidR="009045FB" w:rsidRPr="00BA60EF">
              <w:rPr>
                <w:rFonts w:ascii="Calibri Light" w:hAnsi="Calibri Light"/>
                <w:b w:val="0"/>
              </w:rPr>
              <w:t xml:space="preserve">, </w:t>
            </w:r>
            <w:r w:rsidR="0087063C" w:rsidRPr="00BA60EF">
              <w:rPr>
                <w:rFonts w:ascii="Calibri Light" w:hAnsi="Calibri Light"/>
                <w:b w:val="0"/>
              </w:rPr>
              <w:t>la inhabilitación al ejercicio de todos los derechos políticos, el efecto estigmatizador de la condena penal</w:t>
            </w:r>
            <w:r w:rsidR="009045FB" w:rsidRPr="00BA60EF">
              <w:rPr>
                <w:rFonts w:ascii="Calibri Light" w:hAnsi="Calibri Light"/>
                <w:b w:val="0"/>
              </w:rPr>
              <w:t>, entre otras repercusiones,</w:t>
            </w:r>
            <w:r w:rsidR="0087063C" w:rsidRPr="00BA60EF">
              <w:rPr>
                <w:rFonts w:ascii="Calibri Light" w:hAnsi="Calibri Light"/>
                <w:b w:val="0"/>
              </w:rPr>
              <w:t xml:space="preserve"> demuestran que las responsabilidades impuestas </w:t>
            </w:r>
            <w:r w:rsidR="002D1D3D">
              <w:rPr>
                <w:rFonts w:ascii="Calibri Light" w:hAnsi="Calibri Light"/>
                <w:b w:val="0"/>
              </w:rPr>
              <w:t>al señor</w:t>
            </w:r>
            <w:r w:rsidR="0087063C" w:rsidRPr="00BA60EF">
              <w:rPr>
                <w:rFonts w:ascii="Calibri Light" w:hAnsi="Calibri Light"/>
                <w:b w:val="0"/>
              </w:rPr>
              <w:t xml:space="preserve"> Álvarez por el ejercicio de la libertad de expresión fueron</w:t>
            </w:r>
            <w:r w:rsidR="009045FB" w:rsidRPr="00BA60EF">
              <w:rPr>
                <w:rFonts w:ascii="Calibri Light" w:hAnsi="Calibri Light"/>
                <w:b w:val="0"/>
              </w:rPr>
              <w:t xml:space="preserve"> severas. La CIDH no enc</w:t>
            </w:r>
            <w:r w:rsidR="00BA60EF">
              <w:rPr>
                <w:rFonts w:ascii="Calibri Light" w:hAnsi="Calibri Light"/>
                <w:b w:val="0"/>
              </w:rPr>
              <w:t>o</w:t>
            </w:r>
            <w:r w:rsidR="009045FB" w:rsidRPr="00BA60EF">
              <w:rPr>
                <w:rFonts w:ascii="Calibri Light" w:hAnsi="Calibri Light"/>
                <w:b w:val="0"/>
              </w:rPr>
              <w:t>ntr</w:t>
            </w:r>
            <w:r w:rsidR="00BA60EF" w:rsidRPr="00BA60EF">
              <w:rPr>
                <w:rFonts w:ascii="Calibri Light" w:hAnsi="Calibri Light"/>
                <w:b w:val="0"/>
              </w:rPr>
              <w:t>ó</w:t>
            </w:r>
            <w:r w:rsidR="009045FB" w:rsidRPr="00BA60EF">
              <w:rPr>
                <w:rFonts w:ascii="Calibri Light" w:hAnsi="Calibri Light"/>
                <w:b w:val="0"/>
              </w:rPr>
              <w:t xml:space="preserve"> justificación para la apertura de un proceso penal y todo lo que trae consigo la misma, en un caso de libertad de expresión y crítica política a la gestión de un funcionario público en un contexto de legítimo debate sobre temas de interés público.</w:t>
            </w:r>
            <w:r w:rsidR="002D1D3D">
              <w:rPr>
                <w:rFonts w:ascii="Calibri Light" w:hAnsi="Calibri Light"/>
                <w:b w:val="0"/>
              </w:rPr>
              <w:t xml:space="preserve"> </w:t>
            </w:r>
            <w:r w:rsidR="00A153E3" w:rsidRPr="00271D1D">
              <w:rPr>
                <w:rFonts w:ascii="Calibri Light" w:hAnsi="Calibri Light"/>
                <w:b w:val="0"/>
              </w:rPr>
              <w:t xml:space="preserve">Así pues, la CIDH concluyó que la </w:t>
            </w:r>
            <w:r w:rsidR="006F5AAD" w:rsidRPr="00271D1D">
              <w:rPr>
                <w:rFonts w:ascii="Calibri Light" w:hAnsi="Calibri Light"/>
                <w:b w:val="0"/>
              </w:rPr>
              <w:t xml:space="preserve">afectación a la libertad de expresión del peticionario mediante el uso del derecho penal en este asunto </w:t>
            </w:r>
            <w:r w:rsidR="00A153E3" w:rsidRPr="00271D1D">
              <w:rPr>
                <w:rFonts w:ascii="Calibri Light" w:hAnsi="Calibri Light"/>
                <w:b w:val="0"/>
              </w:rPr>
              <w:t xml:space="preserve">vulneró </w:t>
            </w:r>
            <w:r w:rsidR="00BA60EF">
              <w:rPr>
                <w:rFonts w:ascii="Calibri Light" w:hAnsi="Calibri Light"/>
                <w:b w:val="0"/>
              </w:rPr>
              <w:t>los artículos 9 y 13</w:t>
            </w:r>
            <w:r w:rsidR="00336C3B" w:rsidRPr="00271D1D">
              <w:rPr>
                <w:rFonts w:ascii="Calibri Light" w:hAnsi="Calibri Light"/>
                <w:b w:val="0"/>
              </w:rPr>
              <w:t xml:space="preserve"> de la CADH, </w:t>
            </w:r>
            <w:r w:rsidR="00B16D3A" w:rsidRPr="00271D1D">
              <w:rPr>
                <w:rFonts w:ascii="Calibri Light" w:hAnsi="Calibri Light"/>
                <w:b w:val="0"/>
              </w:rPr>
              <w:t>en rel</w:t>
            </w:r>
            <w:r w:rsidR="00336C3B" w:rsidRPr="00271D1D">
              <w:rPr>
                <w:rFonts w:ascii="Calibri Light" w:hAnsi="Calibri Light"/>
                <w:b w:val="0"/>
              </w:rPr>
              <w:t xml:space="preserve">ación </w:t>
            </w:r>
            <w:r w:rsidR="003B2CD2" w:rsidRPr="00271D1D">
              <w:rPr>
                <w:rFonts w:ascii="Calibri Light" w:hAnsi="Calibri Light"/>
                <w:b w:val="0"/>
              </w:rPr>
              <w:t>a</w:t>
            </w:r>
            <w:r w:rsidR="006F5AAD" w:rsidRPr="00271D1D">
              <w:rPr>
                <w:rFonts w:ascii="Calibri Light" w:hAnsi="Calibri Light"/>
                <w:b w:val="0"/>
              </w:rPr>
              <w:t xml:space="preserve"> los artículos 1.1 y 2, en perjuicio del señor Álvarez.</w:t>
            </w:r>
            <w:r w:rsidR="00B16D3A" w:rsidRPr="00271D1D">
              <w:rPr>
                <w:rFonts w:ascii="Calibri Light" w:hAnsi="Calibri Light"/>
                <w:b w:val="0"/>
              </w:rPr>
              <w:t xml:space="preserve"> </w:t>
            </w:r>
          </w:p>
          <w:p w14:paraId="1356B0F8" w14:textId="77777777" w:rsidR="00B16D3A" w:rsidRPr="00271D1D" w:rsidRDefault="00B16D3A" w:rsidP="00336C3B">
            <w:pPr>
              <w:jc w:val="both"/>
              <w:rPr>
                <w:rFonts w:ascii="Calibri Light" w:hAnsi="Calibri Light"/>
                <w:b w:val="0"/>
                <w:lang w:val="es-PE"/>
              </w:rPr>
            </w:pPr>
          </w:p>
          <w:p w14:paraId="20C96626" w14:textId="1FFE2658" w:rsidR="006F5AAD" w:rsidRPr="00271D1D" w:rsidRDefault="00690328" w:rsidP="00840908">
            <w:pPr>
              <w:jc w:val="both"/>
              <w:rPr>
                <w:rFonts w:ascii="Calibri Light" w:hAnsi="Calibri Light"/>
                <w:lang w:val="es-PE"/>
              </w:rPr>
            </w:pPr>
            <w:r w:rsidRPr="00271D1D">
              <w:rPr>
                <w:rFonts w:ascii="Calibri Light" w:hAnsi="Calibri Light"/>
                <w:lang w:val="es-PE"/>
              </w:rPr>
              <w:t>Derechos Políticos y derecho a la protección judicial (</w:t>
            </w:r>
            <w:r w:rsidR="003B2CD2" w:rsidRPr="00271D1D">
              <w:rPr>
                <w:rFonts w:ascii="Calibri Light" w:hAnsi="Calibri Light"/>
                <w:lang w:val="es-PE"/>
              </w:rPr>
              <w:t xml:space="preserve">artículo 23 y </w:t>
            </w:r>
            <w:r w:rsidRPr="00271D1D">
              <w:rPr>
                <w:rFonts w:ascii="Calibri Light" w:hAnsi="Calibri Light"/>
                <w:lang w:val="es-PE"/>
              </w:rPr>
              <w:t>artículo 25</w:t>
            </w:r>
            <w:r w:rsidR="003B2CD2" w:rsidRPr="00271D1D">
              <w:rPr>
                <w:rFonts w:ascii="Calibri Light" w:hAnsi="Calibri Light"/>
                <w:lang w:val="es-PE"/>
              </w:rPr>
              <w:t xml:space="preserve"> de la CADH</w:t>
            </w:r>
            <w:r w:rsidRPr="00271D1D">
              <w:rPr>
                <w:rFonts w:ascii="Calibri Light" w:hAnsi="Calibri Light"/>
                <w:lang w:val="es-PE"/>
              </w:rPr>
              <w:t>)</w:t>
            </w:r>
          </w:p>
          <w:p w14:paraId="703BAD07" w14:textId="77777777" w:rsidR="006F5AAD" w:rsidRPr="00271D1D" w:rsidRDefault="006F5AAD" w:rsidP="00B16D3A">
            <w:pPr>
              <w:rPr>
                <w:rFonts w:ascii="Calibri Light" w:hAnsi="Calibri Light"/>
              </w:rPr>
            </w:pPr>
          </w:p>
          <w:p w14:paraId="3A410658" w14:textId="492A9EED" w:rsidR="00A43A03" w:rsidRPr="00271D1D" w:rsidRDefault="00A43A03" w:rsidP="0007777B">
            <w:pPr>
              <w:jc w:val="both"/>
              <w:rPr>
                <w:rFonts w:ascii="Calibri Light" w:hAnsi="Calibri Light"/>
                <w:b w:val="0"/>
                <w:lang w:val="es-PE"/>
              </w:rPr>
            </w:pPr>
            <w:r w:rsidRPr="00271D1D">
              <w:rPr>
                <w:rFonts w:ascii="Calibri Light" w:hAnsi="Calibri Light"/>
                <w:b w:val="0"/>
                <w:lang w:val="es-PE"/>
              </w:rPr>
              <w:t>De acuerdo a la CIDH, si bien la inhabilitación política vía condena penal está reconocida en la CADH, su aplicación como medida accesoria no se enc</w:t>
            </w:r>
            <w:r w:rsidR="00697740">
              <w:rPr>
                <w:rFonts w:ascii="Calibri Light" w:hAnsi="Calibri Light"/>
                <w:b w:val="0"/>
                <w:lang w:val="es-PE"/>
              </w:rPr>
              <w:t>ontraba</w:t>
            </w:r>
            <w:r w:rsidRPr="00271D1D">
              <w:rPr>
                <w:rFonts w:ascii="Calibri Light" w:hAnsi="Calibri Light"/>
                <w:b w:val="0"/>
                <w:lang w:val="es-PE"/>
              </w:rPr>
              <w:t xml:space="preserve"> justificada en la naturaleza del delito por el que se condenó </w:t>
            </w:r>
            <w:r w:rsidR="002D1D3D">
              <w:rPr>
                <w:rFonts w:ascii="Calibri Light" w:hAnsi="Calibri Light"/>
                <w:b w:val="0"/>
                <w:lang w:val="es-PE"/>
              </w:rPr>
              <w:t>al señor</w:t>
            </w:r>
            <w:r w:rsidRPr="00271D1D">
              <w:rPr>
                <w:rFonts w:ascii="Calibri Light" w:hAnsi="Calibri Light"/>
                <w:b w:val="0"/>
                <w:lang w:val="es-PE"/>
              </w:rPr>
              <w:t xml:space="preserve"> Álvarez y su uso en el presente caso </w:t>
            </w:r>
            <w:r w:rsidR="00697740">
              <w:rPr>
                <w:rFonts w:ascii="Calibri Light" w:hAnsi="Calibri Light"/>
                <w:b w:val="0"/>
                <w:lang w:val="es-PE"/>
              </w:rPr>
              <w:t>fue</w:t>
            </w:r>
            <w:r w:rsidRPr="00271D1D">
              <w:rPr>
                <w:rFonts w:ascii="Calibri Light" w:hAnsi="Calibri Light"/>
                <w:b w:val="0"/>
                <w:lang w:val="es-PE"/>
              </w:rPr>
              <w:t xml:space="preserve"> desproporcionado</w:t>
            </w:r>
            <w:r w:rsidR="0007777B" w:rsidRPr="00271D1D">
              <w:rPr>
                <w:rFonts w:ascii="Calibri Light" w:hAnsi="Calibri Light"/>
                <w:b w:val="0"/>
                <w:lang w:val="es-PE"/>
              </w:rPr>
              <w:t>, pues además dicha medida s</w:t>
            </w:r>
            <w:r w:rsidRPr="00271D1D">
              <w:rPr>
                <w:rFonts w:ascii="Calibri Light" w:hAnsi="Calibri Light"/>
                <w:b w:val="0"/>
                <w:lang w:val="es-PE"/>
              </w:rPr>
              <w:t xml:space="preserve">e extendió indebidamente </w:t>
            </w:r>
            <w:r w:rsidR="00244853" w:rsidRPr="00271D1D">
              <w:rPr>
                <w:rFonts w:ascii="Calibri Light" w:hAnsi="Calibri Light"/>
                <w:b w:val="0"/>
                <w:lang w:val="es-PE"/>
              </w:rPr>
              <w:t>más allá del tiempo de la ejecución de la condena y sobre derechos electorales propios de las actividades de la presunta víctima como docente y miembro activo de la asociación de profesores de una universidad pública del país</w:t>
            </w:r>
            <w:r w:rsidR="0007777B" w:rsidRPr="00271D1D">
              <w:rPr>
                <w:rFonts w:ascii="Calibri Light" w:hAnsi="Calibri Light"/>
                <w:b w:val="0"/>
                <w:lang w:val="es-PE"/>
              </w:rPr>
              <w:t xml:space="preserve">. </w:t>
            </w:r>
          </w:p>
          <w:p w14:paraId="0B447CEC" w14:textId="77777777" w:rsidR="00A43A03" w:rsidRPr="00271D1D" w:rsidRDefault="00A43A03" w:rsidP="008E1571">
            <w:pPr>
              <w:jc w:val="both"/>
              <w:rPr>
                <w:rFonts w:ascii="Calibri Light" w:hAnsi="Calibri Light"/>
                <w:b w:val="0"/>
                <w:lang w:val="es-PE"/>
              </w:rPr>
            </w:pPr>
          </w:p>
          <w:p w14:paraId="0D248EDB" w14:textId="27EBBDE9" w:rsidR="00A526EC" w:rsidRPr="00271D1D" w:rsidRDefault="0007777B" w:rsidP="008E1571">
            <w:pPr>
              <w:jc w:val="both"/>
              <w:rPr>
                <w:rFonts w:ascii="Calibri Light" w:hAnsi="Calibri Light"/>
                <w:b w:val="0"/>
                <w:lang w:val="es-PE"/>
              </w:rPr>
            </w:pPr>
            <w:r w:rsidRPr="00271D1D">
              <w:rPr>
                <w:rFonts w:ascii="Calibri Light" w:hAnsi="Calibri Light"/>
                <w:b w:val="0"/>
                <w:lang w:val="es-PE"/>
              </w:rPr>
              <w:t xml:space="preserve">Asimismo, </w:t>
            </w:r>
            <w:r w:rsidRPr="00E550B9">
              <w:rPr>
                <w:rFonts w:ascii="Calibri Light" w:hAnsi="Calibri Light"/>
                <w:b w:val="0"/>
                <w:lang w:val="es-PE"/>
              </w:rPr>
              <w:t>el rechazo de la acción de amparo interpuesta</w:t>
            </w:r>
            <w:r w:rsidRPr="00271D1D">
              <w:rPr>
                <w:rFonts w:ascii="Calibri Light" w:hAnsi="Calibri Light"/>
                <w:b w:val="0"/>
                <w:lang w:val="es-PE"/>
              </w:rPr>
              <w:t xml:space="preserve"> por Álvarez </w:t>
            </w:r>
            <w:r w:rsidR="009045FB" w:rsidRPr="00271D1D">
              <w:rPr>
                <w:rFonts w:ascii="Calibri Light" w:hAnsi="Calibri Light"/>
                <w:b w:val="0"/>
                <w:lang w:val="es-PE"/>
              </w:rPr>
              <w:t xml:space="preserve"> en el año 2009 </w:t>
            </w:r>
            <w:r w:rsidRPr="00271D1D">
              <w:rPr>
                <w:rFonts w:ascii="Calibri Light" w:hAnsi="Calibri Light"/>
                <w:b w:val="0"/>
                <w:lang w:val="es-PE"/>
              </w:rPr>
              <w:t xml:space="preserve">para que </w:t>
            </w:r>
            <w:r w:rsidRPr="00271D1D">
              <w:rPr>
                <w:rFonts w:ascii="Calibri Light" w:hAnsi="Calibri Light"/>
                <w:b w:val="0"/>
                <w:lang w:val="es-PE"/>
              </w:rPr>
              <w:lastRenderedPageBreak/>
              <w:t>se permitiera su participación en</w:t>
            </w:r>
            <w:r w:rsidR="009045FB" w:rsidRPr="00271D1D">
              <w:rPr>
                <w:rFonts w:ascii="Calibri Light" w:hAnsi="Calibri Light"/>
                <w:b w:val="0"/>
                <w:lang w:val="es-PE"/>
              </w:rPr>
              <w:t xml:space="preserve"> la</w:t>
            </w:r>
            <w:r w:rsidRPr="00271D1D">
              <w:rPr>
                <w:rFonts w:ascii="Calibri Light" w:hAnsi="Calibri Light"/>
                <w:b w:val="0"/>
                <w:lang w:val="es-PE"/>
              </w:rPr>
              <w:t xml:space="preserve"> </w:t>
            </w:r>
            <w:r w:rsidR="009045FB" w:rsidRPr="00271D1D">
              <w:rPr>
                <w:rFonts w:ascii="Calibri Light" w:hAnsi="Calibri Light"/>
                <w:b w:val="0"/>
                <w:lang w:val="es-PE"/>
              </w:rPr>
              <w:t>Asociación de Profesores de la Universidad Central de Venezuela</w:t>
            </w:r>
            <w:r w:rsidRPr="00271D1D">
              <w:rPr>
                <w:rFonts w:ascii="Calibri Light" w:hAnsi="Calibri Light"/>
                <w:b w:val="0"/>
                <w:lang w:val="es-PE"/>
              </w:rPr>
              <w:t xml:space="preserve">, </w:t>
            </w:r>
            <w:r w:rsidR="00244853" w:rsidRPr="00271D1D">
              <w:rPr>
                <w:rFonts w:ascii="Calibri Light" w:hAnsi="Calibri Light"/>
                <w:b w:val="0"/>
                <w:lang w:val="es-PE"/>
              </w:rPr>
              <w:t xml:space="preserve">a pesar de existir </w:t>
            </w:r>
            <w:r w:rsidR="003B2CD2" w:rsidRPr="00271D1D">
              <w:rPr>
                <w:rFonts w:ascii="Calibri Light" w:hAnsi="Calibri Light"/>
                <w:b w:val="0"/>
                <w:lang w:val="es-PE"/>
              </w:rPr>
              <w:t xml:space="preserve">una </w:t>
            </w:r>
            <w:r w:rsidR="00244853" w:rsidRPr="00271D1D">
              <w:rPr>
                <w:rFonts w:ascii="Calibri Light" w:hAnsi="Calibri Light"/>
                <w:b w:val="0"/>
                <w:lang w:val="es-PE"/>
              </w:rPr>
              <w:t>sentencia que otorgaba la libertad plena</w:t>
            </w:r>
            <w:r w:rsidRPr="00271D1D">
              <w:rPr>
                <w:rFonts w:ascii="Calibri Light" w:hAnsi="Calibri Light"/>
                <w:b w:val="0"/>
                <w:lang w:val="es-PE"/>
              </w:rPr>
              <w:t xml:space="preserve"> por cumplimiento de la condena</w:t>
            </w:r>
            <w:r w:rsidR="008E1571" w:rsidRPr="00271D1D">
              <w:rPr>
                <w:rFonts w:ascii="Calibri Light" w:hAnsi="Calibri Light"/>
                <w:b w:val="0"/>
                <w:lang w:val="es-PE"/>
              </w:rPr>
              <w:t>, vulneró su derecho a la</w:t>
            </w:r>
            <w:r w:rsidR="00244853" w:rsidRPr="00271D1D">
              <w:rPr>
                <w:rFonts w:ascii="Calibri Light" w:hAnsi="Calibri Light"/>
                <w:b w:val="0"/>
                <w:lang w:val="es-PE"/>
              </w:rPr>
              <w:t xml:space="preserve"> protección judicial efectiva</w:t>
            </w:r>
            <w:r w:rsidR="00E550B9">
              <w:rPr>
                <w:rFonts w:ascii="Calibri Light" w:hAnsi="Calibri Light"/>
                <w:b w:val="0"/>
                <w:lang w:val="es-PE"/>
              </w:rPr>
              <w:t xml:space="preserve">. </w:t>
            </w:r>
            <w:r w:rsidR="008E1571" w:rsidRPr="00271D1D">
              <w:rPr>
                <w:rFonts w:ascii="Calibri Light" w:hAnsi="Calibri Light"/>
                <w:b w:val="0"/>
                <w:lang w:val="es-PE"/>
              </w:rPr>
              <w:t>Así pues, l</w:t>
            </w:r>
            <w:r w:rsidR="00FF0A1A" w:rsidRPr="00271D1D">
              <w:rPr>
                <w:rFonts w:ascii="Calibri Light" w:hAnsi="Calibri Light"/>
                <w:b w:val="0"/>
                <w:lang w:val="es-PE"/>
              </w:rPr>
              <w:t>a CIDH manifestó que el Estado vul</w:t>
            </w:r>
            <w:r w:rsidR="00A526EC" w:rsidRPr="00271D1D">
              <w:rPr>
                <w:rFonts w:ascii="Calibri Light" w:hAnsi="Calibri Light"/>
                <w:b w:val="0"/>
                <w:lang w:val="es-PE"/>
              </w:rPr>
              <w:t xml:space="preserve">neró los artículos 23 y 25 de la </w:t>
            </w:r>
            <w:r w:rsidR="00646696" w:rsidRPr="00271D1D">
              <w:rPr>
                <w:rFonts w:ascii="Calibri Light" w:hAnsi="Calibri Light"/>
                <w:b w:val="0"/>
                <w:lang w:val="es-PE"/>
              </w:rPr>
              <w:t>CADH</w:t>
            </w:r>
            <w:r w:rsidR="00A526EC" w:rsidRPr="00271D1D">
              <w:rPr>
                <w:rFonts w:ascii="Calibri Light" w:hAnsi="Calibri Light"/>
                <w:b w:val="0"/>
                <w:lang w:val="es-PE"/>
              </w:rPr>
              <w:t>, en relación con el artículo 1.1, en perjuicio del señor Álvarez.</w:t>
            </w:r>
          </w:p>
          <w:p w14:paraId="4E8931F6" w14:textId="77777777" w:rsidR="00A526EC" w:rsidRPr="00271D1D" w:rsidRDefault="00A526EC" w:rsidP="00B16D3A">
            <w:pPr>
              <w:rPr>
                <w:rFonts w:ascii="Calibri Light" w:hAnsi="Calibri Light"/>
                <w:b w:val="0"/>
                <w:lang w:val="es-PE"/>
              </w:rPr>
            </w:pPr>
          </w:p>
          <w:p w14:paraId="15E471F1" w14:textId="1385F67A" w:rsidR="00A526EC" w:rsidRPr="00271D1D" w:rsidRDefault="00CC31C4" w:rsidP="00840908">
            <w:pPr>
              <w:jc w:val="both"/>
              <w:rPr>
                <w:rFonts w:ascii="Calibri Light" w:hAnsi="Calibri Light"/>
                <w:lang w:val="es-PE"/>
              </w:rPr>
            </w:pPr>
            <w:r>
              <w:rPr>
                <w:rFonts w:ascii="Calibri Light" w:hAnsi="Calibri Light"/>
                <w:lang w:val="es-PE"/>
              </w:rPr>
              <w:t>G</w:t>
            </w:r>
            <w:r w:rsidR="00A526EC" w:rsidRPr="00271D1D">
              <w:rPr>
                <w:rFonts w:ascii="Calibri Light" w:hAnsi="Calibri Light"/>
                <w:lang w:val="es-PE"/>
              </w:rPr>
              <w:t xml:space="preserve">arantías Judiciales y </w:t>
            </w:r>
            <w:r w:rsidR="003B2CD2" w:rsidRPr="00271D1D">
              <w:rPr>
                <w:rFonts w:ascii="Calibri Light" w:hAnsi="Calibri Light"/>
                <w:lang w:val="es-PE"/>
              </w:rPr>
              <w:t>el d</w:t>
            </w:r>
            <w:r>
              <w:rPr>
                <w:rFonts w:ascii="Calibri Light" w:hAnsi="Calibri Light"/>
                <w:lang w:val="es-PE"/>
              </w:rPr>
              <w:t>erecho a la circulación y r</w:t>
            </w:r>
            <w:r w:rsidR="00A526EC" w:rsidRPr="00271D1D">
              <w:rPr>
                <w:rFonts w:ascii="Calibri Light" w:hAnsi="Calibri Light"/>
                <w:lang w:val="es-PE"/>
              </w:rPr>
              <w:t>esidencia (</w:t>
            </w:r>
            <w:r w:rsidR="003B2CD2" w:rsidRPr="00271D1D">
              <w:rPr>
                <w:rFonts w:ascii="Calibri Light" w:hAnsi="Calibri Light"/>
                <w:lang w:val="es-PE"/>
              </w:rPr>
              <w:t xml:space="preserve">artículo 8 y  </w:t>
            </w:r>
            <w:r w:rsidR="00A526EC" w:rsidRPr="00271D1D">
              <w:rPr>
                <w:rFonts w:ascii="Calibri Light" w:hAnsi="Calibri Light"/>
                <w:lang w:val="es-PE"/>
              </w:rPr>
              <w:t>artículo 22</w:t>
            </w:r>
            <w:r w:rsidR="003B2CD2" w:rsidRPr="00271D1D">
              <w:rPr>
                <w:rFonts w:ascii="Calibri Light" w:hAnsi="Calibri Light"/>
                <w:lang w:val="es-PE"/>
              </w:rPr>
              <w:t xml:space="preserve"> de la CADH</w:t>
            </w:r>
            <w:r w:rsidR="00A526EC" w:rsidRPr="00271D1D">
              <w:rPr>
                <w:rFonts w:ascii="Calibri Light" w:hAnsi="Calibri Light"/>
                <w:lang w:val="es-PE"/>
              </w:rPr>
              <w:t>)</w:t>
            </w:r>
          </w:p>
          <w:p w14:paraId="232AF254" w14:textId="77777777" w:rsidR="00A526EC" w:rsidRPr="00271D1D" w:rsidRDefault="00A526EC" w:rsidP="00B16D3A">
            <w:pPr>
              <w:rPr>
                <w:rFonts w:ascii="Calibri Light" w:hAnsi="Calibri Light"/>
                <w:lang w:val="es-PE"/>
              </w:rPr>
            </w:pPr>
          </w:p>
          <w:p w14:paraId="77F3E178" w14:textId="75749F45" w:rsidR="00A526EC" w:rsidRPr="00E550B9" w:rsidRDefault="00974F30" w:rsidP="00E550B9">
            <w:pPr>
              <w:pStyle w:val="ListParagraph"/>
              <w:numPr>
                <w:ilvl w:val="0"/>
                <w:numId w:val="9"/>
              </w:numPr>
              <w:rPr>
                <w:rFonts w:ascii="Calibri Light" w:hAnsi="Calibri Light"/>
                <w:lang w:val="es-PE"/>
              </w:rPr>
            </w:pPr>
            <w:r w:rsidRPr="00E550B9">
              <w:rPr>
                <w:rFonts w:ascii="Calibri Light" w:hAnsi="Calibri Light"/>
                <w:lang w:val="es-PE"/>
              </w:rPr>
              <w:t xml:space="preserve">Presunción de </w:t>
            </w:r>
            <w:r w:rsidR="003B2CD2" w:rsidRPr="00E550B9">
              <w:rPr>
                <w:rFonts w:ascii="Calibri Light" w:hAnsi="Calibri Light"/>
                <w:lang w:val="es-PE"/>
              </w:rPr>
              <w:t>i</w:t>
            </w:r>
            <w:r w:rsidRPr="00E550B9">
              <w:rPr>
                <w:rFonts w:ascii="Calibri Light" w:hAnsi="Calibri Light"/>
                <w:lang w:val="es-PE"/>
              </w:rPr>
              <w:t>nocencia e ilegitimidad de la medida cautelar de restricción de salida del país</w:t>
            </w:r>
          </w:p>
          <w:p w14:paraId="4FA24CD9" w14:textId="77777777" w:rsidR="006833CD" w:rsidRPr="00271D1D" w:rsidRDefault="006833CD" w:rsidP="006833CD">
            <w:pPr>
              <w:rPr>
                <w:rFonts w:ascii="Calibri Light" w:hAnsi="Calibri Light"/>
                <w:lang w:val="es-PE"/>
              </w:rPr>
            </w:pPr>
          </w:p>
          <w:p w14:paraId="7891D877" w14:textId="3AA5186A" w:rsidR="006833CD" w:rsidRPr="00271D1D" w:rsidRDefault="00C5799F" w:rsidP="008D38A2">
            <w:pPr>
              <w:jc w:val="both"/>
              <w:rPr>
                <w:rFonts w:ascii="Calibri Light" w:hAnsi="Calibri Light"/>
                <w:b w:val="0"/>
                <w:lang w:val="es-PE"/>
              </w:rPr>
            </w:pPr>
            <w:r w:rsidRPr="00271D1D">
              <w:rPr>
                <w:rFonts w:ascii="Calibri Light" w:hAnsi="Calibri Light"/>
                <w:b w:val="0"/>
                <w:lang w:val="es-PE"/>
              </w:rPr>
              <w:t xml:space="preserve">La restricción para salir del país, aplicada más allá de lo estrictamente necesario, durante un proceso judicial es una medida contraria al </w:t>
            </w:r>
            <w:r w:rsidR="00E550B9">
              <w:rPr>
                <w:rFonts w:ascii="Calibri Light" w:hAnsi="Calibri Light"/>
                <w:b w:val="0"/>
                <w:lang w:val="es-PE"/>
              </w:rPr>
              <w:t>principio</w:t>
            </w:r>
            <w:r w:rsidRPr="00271D1D">
              <w:rPr>
                <w:rFonts w:ascii="Calibri Light" w:hAnsi="Calibri Light"/>
                <w:b w:val="0"/>
                <w:lang w:val="es-PE"/>
              </w:rPr>
              <w:t xml:space="preserve"> de presunción de inocencia</w:t>
            </w:r>
            <w:r w:rsidR="00E550B9">
              <w:rPr>
                <w:rFonts w:ascii="Calibri Light" w:hAnsi="Calibri Light"/>
                <w:b w:val="0"/>
                <w:lang w:val="es-PE"/>
              </w:rPr>
              <w:t>,</w:t>
            </w:r>
            <w:r w:rsidRPr="00271D1D">
              <w:rPr>
                <w:rFonts w:ascii="Calibri Light" w:hAnsi="Calibri Light"/>
                <w:b w:val="0"/>
                <w:lang w:val="es-PE"/>
              </w:rPr>
              <w:t xml:space="preserve"> </w:t>
            </w:r>
            <w:r w:rsidR="006833CD" w:rsidRPr="00271D1D">
              <w:rPr>
                <w:rFonts w:ascii="Calibri Light" w:hAnsi="Calibri Light"/>
                <w:b w:val="0"/>
                <w:lang w:val="es-PE"/>
              </w:rPr>
              <w:t>contem</w:t>
            </w:r>
            <w:r w:rsidR="00646696" w:rsidRPr="00271D1D">
              <w:rPr>
                <w:rFonts w:ascii="Calibri Light" w:hAnsi="Calibri Light"/>
                <w:b w:val="0"/>
                <w:lang w:val="es-PE"/>
              </w:rPr>
              <w:t>plado en el artículo 8.2 de la CADH</w:t>
            </w:r>
            <w:r w:rsidR="00E550B9">
              <w:rPr>
                <w:rFonts w:ascii="Calibri Light" w:hAnsi="Calibri Light"/>
                <w:b w:val="0"/>
                <w:lang w:val="es-PE"/>
              </w:rPr>
              <w:t>,</w:t>
            </w:r>
            <w:r w:rsidR="00646696" w:rsidRPr="00271D1D">
              <w:rPr>
                <w:rFonts w:ascii="Calibri Light" w:hAnsi="Calibri Light"/>
                <w:b w:val="0"/>
                <w:lang w:val="es-PE"/>
              </w:rPr>
              <w:t xml:space="preserve"> </w:t>
            </w:r>
            <w:r w:rsidR="006833CD" w:rsidRPr="00271D1D">
              <w:rPr>
                <w:rFonts w:ascii="Calibri Light" w:hAnsi="Calibri Light"/>
                <w:b w:val="0"/>
                <w:lang w:val="es-PE"/>
              </w:rPr>
              <w:t xml:space="preserve">y </w:t>
            </w:r>
            <w:r w:rsidR="006462EA" w:rsidRPr="00271D1D">
              <w:rPr>
                <w:rFonts w:ascii="Calibri Light" w:hAnsi="Calibri Light"/>
                <w:b w:val="0"/>
                <w:lang w:val="es-PE"/>
              </w:rPr>
              <w:t>a</w:t>
            </w:r>
            <w:r w:rsidR="006833CD" w:rsidRPr="00271D1D">
              <w:rPr>
                <w:rFonts w:ascii="Calibri Light" w:hAnsi="Calibri Light"/>
                <w:b w:val="0"/>
                <w:lang w:val="es-PE"/>
              </w:rPr>
              <w:t>l derecho a la libre circulación</w:t>
            </w:r>
            <w:r w:rsidR="00E550B9">
              <w:rPr>
                <w:rFonts w:ascii="Calibri Light" w:hAnsi="Calibri Light"/>
                <w:b w:val="0"/>
                <w:lang w:val="es-PE"/>
              </w:rPr>
              <w:t>,</w:t>
            </w:r>
            <w:r w:rsidR="006833CD" w:rsidRPr="00271D1D">
              <w:rPr>
                <w:rFonts w:ascii="Calibri Light" w:hAnsi="Calibri Light"/>
                <w:b w:val="0"/>
                <w:lang w:val="es-PE"/>
              </w:rPr>
              <w:t xml:space="preserve"> establecido en el</w:t>
            </w:r>
            <w:r w:rsidR="008D38A2" w:rsidRPr="00271D1D">
              <w:rPr>
                <w:rFonts w:ascii="Calibri Light" w:hAnsi="Calibri Light"/>
                <w:b w:val="0"/>
                <w:lang w:val="es-PE"/>
              </w:rPr>
              <w:t xml:space="preserve"> artículo 22 de dicho tratado.</w:t>
            </w:r>
            <w:r w:rsidR="006E4635">
              <w:rPr>
                <w:rFonts w:ascii="Calibri Light" w:hAnsi="Calibri Light"/>
                <w:b w:val="0"/>
                <w:lang w:val="es-PE"/>
              </w:rPr>
              <w:t xml:space="preserve"> </w:t>
            </w:r>
            <w:r w:rsidRPr="00271D1D">
              <w:rPr>
                <w:rFonts w:ascii="Calibri Light" w:hAnsi="Calibri Light"/>
                <w:b w:val="0"/>
                <w:lang w:val="es-PE"/>
              </w:rPr>
              <w:t xml:space="preserve">A pesar de que el derecho de circulación, incluido el derecho de salir del propio país, puede ser objeto de restricciones de acuerdo a los artículos </w:t>
            </w:r>
            <w:r w:rsidR="008D38A2" w:rsidRPr="00271D1D">
              <w:rPr>
                <w:rFonts w:ascii="Calibri Light" w:hAnsi="Calibri Light"/>
                <w:b w:val="0"/>
                <w:lang w:val="es-PE"/>
              </w:rPr>
              <w:t xml:space="preserve">22.3 y 30 de la </w:t>
            </w:r>
            <w:r w:rsidR="00646696" w:rsidRPr="00271D1D">
              <w:rPr>
                <w:rFonts w:ascii="Calibri Light" w:hAnsi="Calibri Light"/>
                <w:b w:val="0"/>
                <w:lang w:val="es-PE"/>
              </w:rPr>
              <w:t>CADH</w:t>
            </w:r>
            <w:r w:rsidR="009600A0" w:rsidRPr="00271D1D">
              <w:rPr>
                <w:rFonts w:ascii="Calibri Light" w:hAnsi="Calibri Light"/>
                <w:b w:val="0"/>
                <w:lang w:val="es-PE"/>
              </w:rPr>
              <w:t>;</w:t>
            </w:r>
            <w:r w:rsidRPr="00271D1D">
              <w:rPr>
                <w:rFonts w:ascii="Calibri Light" w:hAnsi="Calibri Light"/>
                <w:b w:val="0"/>
                <w:lang w:val="es-PE"/>
              </w:rPr>
              <w:t xml:space="preserve"> </w:t>
            </w:r>
            <w:r w:rsidR="009600A0" w:rsidRPr="00271D1D">
              <w:rPr>
                <w:rFonts w:ascii="Calibri Light" w:hAnsi="Calibri Light"/>
                <w:b w:val="0"/>
                <w:lang w:val="es-PE"/>
              </w:rPr>
              <w:t xml:space="preserve">para ello, </w:t>
            </w:r>
            <w:r w:rsidRPr="00271D1D">
              <w:rPr>
                <w:rFonts w:ascii="Calibri Light" w:hAnsi="Calibri Light"/>
                <w:b w:val="0"/>
                <w:lang w:val="es-PE"/>
              </w:rPr>
              <w:t>debe cumplir</w:t>
            </w:r>
            <w:r w:rsidR="009600A0" w:rsidRPr="00271D1D">
              <w:rPr>
                <w:rFonts w:ascii="Calibri Light" w:hAnsi="Calibri Light"/>
                <w:b w:val="0"/>
                <w:lang w:val="es-PE"/>
              </w:rPr>
              <w:t>se</w:t>
            </w:r>
            <w:r w:rsidRPr="00271D1D">
              <w:rPr>
                <w:rFonts w:ascii="Calibri Light" w:hAnsi="Calibri Light"/>
                <w:b w:val="0"/>
                <w:lang w:val="es-PE"/>
              </w:rPr>
              <w:t xml:space="preserve"> con los requisitos: </w:t>
            </w:r>
            <w:r w:rsidR="006462EA" w:rsidRPr="00271D1D">
              <w:rPr>
                <w:rFonts w:ascii="Calibri Light" w:hAnsi="Calibri Light"/>
                <w:b w:val="0"/>
                <w:lang w:val="es-PE"/>
              </w:rPr>
              <w:t>i</w:t>
            </w:r>
            <w:r w:rsidR="008D38A2" w:rsidRPr="00271D1D">
              <w:rPr>
                <w:rFonts w:ascii="Calibri Light" w:hAnsi="Calibri Light"/>
                <w:b w:val="0"/>
                <w:lang w:val="es-PE"/>
              </w:rPr>
              <w:t xml:space="preserve">) estar fijados expresamente por la ley; </w:t>
            </w:r>
            <w:r w:rsidR="006462EA" w:rsidRPr="00271D1D">
              <w:rPr>
                <w:rFonts w:ascii="Calibri Light" w:hAnsi="Calibri Light"/>
                <w:b w:val="0"/>
                <w:lang w:val="es-PE"/>
              </w:rPr>
              <w:t>ii</w:t>
            </w:r>
            <w:r w:rsidR="008D38A2" w:rsidRPr="00271D1D">
              <w:rPr>
                <w:rFonts w:ascii="Calibri Light" w:hAnsi="Calibri Light"/>
                <w:b w:val="0"/>
                <w:lang w:val="es-PE"/>
              </w:rPr>
              <w:t xml:space="preserve">) estar destinados a prevenir infracciones penales o a proteger la seguridad nacional, la seguridad o el orden público, la moral o la salud pública o los derechos y libertades de los demás, en la medida indispensable en una sociedad democrática; y </w:t>
            </w:r>
            <w:r w:rsidR="006462EA" w:rsidRPr="00271D1D">
              <w:rPr>
                <w:rFonts w:ascii="Calibri Light" w:hAnsi="Calibri Light"/>
                <w:b w:val="0"/>
                <w:lang w:val="es-PE"/>
              </w:rPr>
              <w:t>iii</w:t>
            </w:r>
            <w:r w:rsidR="008D38A2" w:rsidRPr="00271D1D">
              <w:rPr>
                <w:rFonts w:ascii="Calibri Light" w:hAnsi="Calibri Light"/>
                <w:b w:val="0"/>
                <w:lang w:val="es-PE"/>
              </w:rPr>
              <w:t>) cumplir con el principio de proporcionalidad.</w:t>
            </w:r>
          </w:p>
          <w:p w14:paraId="6A6D0D59" w14:textId="77777777" w:rsidR="006A3FA1" w:rsidRPr="00E550B9" w:rsidRDefault="006A3FA1" w:rsidP="006A3FA1">
            <w:pPr>
              <w:jc w:val="both"/>
              <w:rPr>
                <w:rFonts w:ascii="Calibri Light" w:hAnsi="Calibri Light"/>
                <w:b w:val="0"/>
                <w:lang w:val="es-PE"/>
              </w:rPr>
            </w:pPr>
          </w:p>
          <w:p w14:paraId="45F97F1F" w14:textId="70DE427E" w:rsidR="008D38A2" w:rsidRPr="00E550B9" w:rsidRDefault="006A3FA1" w:rsidP="008D38A2">
            <w:pPr>
              <w:jc w:val="both"/>
              <w:rPr>
                <w:rFonts w:ascii="Calibri Light" w:hAnsi="Calibri Light"/>
                <w:b w:val="0"/>
                <w:lang w:val="es-PE"/>
              </w:rPr>
            </w:pPr>
            <w:r w:rsidRPr="00E550B9">
              <w:rPr>
                <w:rFonts w:ascii="Calibri Light" w:hAnsi="Calibri Light"/>
                <w:b w:val="0"/>
                <w:lang w:val="es-PE"/>
              </w:rPr>
              <w:t xml:space="preserve">La CIDH manifestó que a pesar de que la medida de restricción de salida del país cumplió con el requisito de legalidad, </w:t>
            </w:r>
            <w:r w:rsidR="006462EA" w:rsidRPr="00E550B9">
              <w:rPr>
                <w:rFonts w:ascii="Calibri Light" w:hAnsi="Calibri Light"/>
                <w:b w:val="0"/>
                <w:lang w:val="es-PE"/>
              </w:rPr>
              <w:t xml:space="preserve">ello </w:t>
            </w:r>
            <w:r w:rsidRPr="00E550B9">
              <w:rPr>
                <w:rFonts w:ascii="Calibri Light" w:hAnsi="Calibri Light"/>
                <w:b w:val="0"/>
                <w:lang w:val="es-PE"/>
              </w:rPr>
              <w:t>no resulta</w:t>
            </w:r>
            <w:r w:rsidR="006462EA" w:rsidRPr="00E550B9">
              <w:rPr>
                <w:rFonts w:ascii="Calibri Light" w:hAnsi="Calibri Light"/>
                <w:b w:val="0"/>
                <w:lang w:val="es-PE"/>
              </w:rPr>
              <w:t>ba</w:t>
            </w:r>
            <w:r w:rsidRPr="00E550B9">
              <w:rPr>
                <w:rFonts w:ascii="Calibri Light" w:hAnsi="Calibri Light"/>
                <w:b w:val="0"/>
                <w:lang w:val="es-PE"/>
              </w:rPr>
              <w:t xml:space="preserve"> suficiente pues tal medida solo debe aplicarse con carácter excepcional</w:t>
            </w:r>
            <w:r w:rsidR="00E550B9" w:rsidRPr="00E550B9">
              <w:rPr>
                <w:rFonts w:ascii="Calibri Light" w:hAnsi="Calibri Light"/>
                <w:b w:val="0"/>
                <w:lang w:val="es-PE"/>
              </w:rPr>
              <w:t>. E</w:t>
            </w:r>
            <w:r w:rsidRPr="00E550B9">
              <w:rPr>
                <w:rFonts w:ascii="Calibri Light" w:hAnsi="Calibri Light"/>
                <w:b w:val="0"/>
                <w:lang w:val="es-PE"/>
              </w:rPr>
              <w:t>n el caso bajo análisis, el Estado no demostró la necesidad y proporcionalidad de la medida, evidenciando una manifiesta falta de motivación de la decisión adoptada. Por lo tanto, la CIDH consideró que el Estado vulneró los</w:t>
            </w:r>
            <w:r w:rsidR="00C5799F" w:rsidRPr="00E550B9">
              <w:rPr>
                <w:rFonts w:ascii="Calibri Light" w:hAnsi="Calibri Light"/>
                <w:b w:val="0"/>
                <w:lang w:val="es-PE"/>
              </w:rPr>
              <w:t xml:space="preserve"> derechos a la presunción de inocencia y a la libre circulación</w:t>
            </w:r>
            <w:r w:rsidR="00646696" w:rsidRPr="00E550B9">
              <w:rPr>
                <w:rFonts w:ascii="Calibri Light" w:hAnsi="Calibri Light"/>
                <w:b w:val="0"/>
                <w:lang w:val="es-PE"/>
              </w:rPr>
              <w:t xml:space="preserve"> de</w:t>
            </w:r>
            <w:r w:rsidR="009600A0" w:rsidRPr="00E550B9">
              <w:rPr>
                <w:rFonts w:ascii="Calibri Light" w:hAnsi="Calibri Light"/>
                <w:b w:val="0"/>
                <w:lang w:val="es-PE"/>
              </w:rPr>
              <w:t>l señor</w:t>
            </w:r>
            <w:r w:rsidR="00646696" w:rsidRPr="00E550B9">
              <w:rPr>
                <w:rFonts w:ascii="Calibri Light" w:hAnsi="Calibri Light"/>
                <w:b w:val="0"/>
                <w:lang w:val="es-PE"/>
              </w:rPr>
              <w:t xml:space="preserve"> Álvarez,</w:t>
            </w:r>
            <w:r w:rsidR="00C5799F" w:rsidRPr="00E550B9">
              <w:rPr>
                <w:rFonts w:ascii="Calibri Light" w:hAnsi="Calibri Light"/>
                <w:b w:val="0"/>
                <w:lang w:val="es-PE"/>
              </w:rPr>
              <w:t xml:space="preserve"> consagrados en los artículos 8.2 </w:t>
            </w:r>
            <w:r w:rsidRPr="00E550B9">
              <w:rPr>
                <w:rFonts w:ascii="Calibri Light" w:hAnsi="Calibri Light"/>
                <w:b w:val="0"/>
                <w:lang w:val="es-PE"/>
              </w:rPr>
              <w:t xml:space="preserve">y 22 de la </w:t>
            </w:r>
            <w:r w:rsidR="00646696" w:rsidRPr="00E550B9">
              <w:rPr>
                <w:rFonts w:ascii="Calibri Light" w:hAnsi="Calibri Light"/>
                <w:b w:val="0"/>
                <w:lang w:val="es-PE"/>
              </w:rPr>
              <w:t>CADH</w:t>
            </w:r>
            <w:r w:rsidRPr="00E550B9">
              <w:rPr>
                <w:rFonts w:ascii="Calibri Light" w:hAnsi="Calibri Light"/>
                <w:b w:val="0"/>
                <w:lang w:val="es-PE"/>
              </w:rPr>
              <w:t>.</w:t>
            </w:r>
          </w:p>
          <w:p w14:paraId="41EBD7FF" w14:textId="77777777" w:rsidR="006833CD" w:rsidRPr="00271D1D" w:rsidRDefault="006833CD" w:rsidP="006833CD">
            <w:pPr>
              <w:rPr>
                <w:rFonts w:ascii="Calibri Light" w:hAnsi="Calibri Light"/>
                <w:b w:val="0"/>
                <w:lang w:val="es-PE"/>
              </w:rPr>
            </w:pPr>
          </w:p>
          <w:p w14:paraId="03B03F6B" w14:textId="4B143603" w:rsidR="00974F30" w:rsidRPr="00E550B9" w:rsidRDefault="00974F30" w:rsidP="00E550B9">
            <w:pPr>
              <w:pStyle w:val="ListParagraph"/>
              <w:numPr>
                <w:ilvl w:val="0"/>
                <w:numId w:val="9"/>
              </w:numPr>
              <w:rPr>
                <w:rFonts w:ascii="Calibri Light" w:hAnsi="Calibri Light"/>
                <w:lang w:val="es-PE"/>
              </w:rPr>
            </w:pPr>
            <w:r w:rsidRPr="00E550B9">
              <w:rPr>
                <w:rFonts w:ascii="Calibri Light" w:hAnsi="Calibri Light"/>
                <w:lang w:val="es-PE"/>
              </w:rPr>
              <w:t>Comunicación previa y detallada de la acusación (artículo 8.2.b)</w:t>
            </w:r>
          </w:p>
          <w:p w14:paraId="213AD570" w14:textId="77777777" w:rsidR="008D38A2" w:rsidRPr="00271D1D" w:rsidRDefault="008D38A2" w:rsidP="00ED7AD6">
            <w:pPr>
              <w:jc w:val="both"/>
              <w:rPr>
                <w:rFonts w:ascii="Calibri Light" w:hAnsi="Calibri Light"/>
                <w:lang w:val="es-PE"/>
              </w:rPr>
            </w:pPr>
          </w:p>
          <w:p w14:paraId="4375E5F1" w14:textId="5D20A31A" w:rsidR="000E570F" w:rsidRPr="00271D1D" w:rsidRDefault="006E4635" w:rsidP="00C5799F">
            <w:pPr>
              <w:jc w:val="both"/>
              <w:rPr>
                <w:rFonts w:ascii="Calibri Light" w:hAnsi="Calibri Light"/>
                <w:b w:val="0"/>
                <w:lang w:val="es-PE"/>
              </w:rPr>
            </w:pPr>
            <w:r>
              <w:rPr>
                <w:rFonts w:ascii="Calibri Light" w:hAnsi="Calibri Light"/>
                <w:b w:val="0"/>
                <w:lang w:val="es-PE"/>
              </w:rPr>
              <w:t>E</w:t>
            </w:r>
            <w:r w:rsidR="000E570F" w:rsidRPr="00271D1D">
              <w:rPr>
                <w:rFonts w:ascii="Calibri Light" w:hAnsi="Calibri Light"/>
                <w:b w:val="0"/>
                <w:lang w:val="es-PE"/>
              </w:rPr>
              <w:t>l artículo 8.2.b</w:t>
            </w:r>
            <w:r>
              <w:rPr>
                <w:rFonts w:ascii="Calibri Light" w:hAnsi="Calibri Light"/>
                <w:b w:val="0"/>
                <w:lang w:val="es-PE"/>
              </w:rPr>
              <w:t>)</w:t>
            </w:r>
            <w:r w:rsidR="000E570F" w:rsidRPr="00271D1D">
              <w:rPr>
                <w:rFonts w:ascii="Calibri Light" w:hAnsi="Calibri Light"/>
                <w:b w:val="0"/>
                <w:lang w:val="es-PE"/>
              </w:rPr>
              <w:t xml:space="preserve"> impone a los Estado el deber de garantizar el derecho a ser informado de la acusación, como presupuesto del derecho a la defensa, a través de la observ</w:t>
            </w:r>
            <w:r w:rsidR="002077A5" w:rsidRPr="00271D1D">
              <w:rPr>
                <w:rFonts w:ascii="Calibri Light" w:hAnsi="Calibri Light"/>
                <w:b w:val="0"/>
                <w:lang w:val="es-PE"/>
              </w:rPr>
              <w:t>ancia de los requisitos previsto</w:t>
            </w:r>
            <w:r w:rsidR="000E570F" w:rsidRPr="00271D1D">
              <w:rPr>
                <w:rFonts w:ascii="Calibri Light" w:hAnsi="Calibri Light"/>
                <w:b w:val="0"/>
                <w:lang w:val="es-PE"/>
              </w:rPr>
              <w:t xml:space="preserve">s en la ley. En el caso bajo análisis, </w:t>
            </w:r>
            <w:r>
              <w:rPr>
                <w:rFonts w:ascii="Calibri Light" w:hAnsi="Calibri Light"/>
                <w:b w:val="0"/>
                <w:lang w:val="es-PE"/>
              </w:rPr>
              <w:t>el señor</w:t>
            </w:r>
            <w:r w:rsidR="000E570F" w:rsidRPr="00271D1D">
              <w:rPr>
                <w:rFonts w:ascii="Calibri Light" w:hAnsi="Calibri Light"/>
                <w:b w:val="0"/>
                <w:lang w:val="es-PE"/>
              </w:rPr>
              <w:t xml:space="preserve"> Álvarez manifestó que</w:t>
            </w:r>
            <w:r w:rsidR="000E570F" w:rsidRPr="00AD4451">
              <w:rPr>
                <w:rFonts w:ascii="Calibri Light" w:hAnsi="Calibri Light"/>
                <w:b w:val="0"/>
                <w:lang w:val="es-PE"/>
              </w:rPr>
              <w:t xml:space="preserve"> la querella penal presentada en su contra no cumplía con los requisitos </w:t>
            </w:r>
            <w:r w:rsidR="006462EA" w:rsidRPr="00AD4451">
              <w:rPr>
                <w:rFonts w:ascii="Calibri Light" w:hAnsi="Calibri Light"/>
                <w:b w:val="0"/>
                <w:lang w:val="es-PE"/>
              </w:rPr>
              <w:t xml:space="preserve">establecidos por </w:t>
            </w:r>
            <w:r w:rsidR="00AD4451" w:rsidRPr="00AD4451">
              <w:rPr>
                <w:rFonts w:ascii="Calibri Light" w:hAnsi="Calibri Light"/>
                <w:b w:val="0"/>
                <w:lang w:val="es-PE"/>
              </w:rPr>
              <w:t>el artículo 401 del Código Orgánico Procesal Penal</w:t>
            </w:r>
            <w:r w:rsidR="000E570F" w:rsidRPr="00AD4451">
              <w:rPr>
                <w:rFonts w:ascii="Calibri Light" w:hAnsi="Calibri Light"/>
                <w:b w:val="0"/>
                <w:lang w:val="es-PE"/>
              </w:rPr>
              <w:t xml:space="preserve"> para delitos de acción privada</w:t>
            </w:r>
            <w:r w:rsidR="006462EA" w:rsidRPr="00271D1D">
              <w:rPr>
                <w:rFonts w:ascii="Calibri Light" w:hAnsi="Calibri Light"/>
                <w:b w:val="0"/>
                <w:lang w:val="es-PE"/>
              </w:rPr>
              <w:t xml:space="preserve">. </w:t>
            </w:r>
            <w:r w:rsidR="00AD4451">
              <w:rPr>
                <w:rFonts w:ascii="Calibri Light" w:hAnsi="Calibri Light"/>
                <w:b w:val="0"/>
                <w:lang w:val="es-PE"/>
              </w:rPr>
              <w:t xml:space="preserve">Sin embargo, la CIDH observó que de acuerdo al Juzgado Séptimo sí se habría exigido el cumplimiento de los requisitos establecidos en esa disposición. Ante esta falta de precisión, </w:t>
            </w:r>
            <w:r w:rsidR="000E570F" w:rsidRPr="00271D1D">
              <w:rPr>
                <w:rFonts w:ascii="Calibri Light" w:hAnsi="Calibri Light"/>
                <w:b w:val="0"/>
                <w:lang w:val="es-PE"/>
              </w:rPr>
              <w:t xml:space="preserve">la CIDH no </w:t>
            </w:r>
            <w:r w:rsidR="006462EA" w:rsidRPr="00271D1D">
              <w:rPr>
                <w:rFonts w:ascii="Calibri Light" w:hAnsi="Calibri Light"/>
                <w:b w:val="0"/>
                <w:lang w:val="es-PE"/>
              </w:rPr>
              <w:t xml:space="preserve">pudo </w:t>
            </w:r>
            <w:r w:rsidR="000E570F" w:rsidRPr="00271D1D">
              <w:rPr>
                <w:rFonts w:ascii="Calibri Light" w:hAnsi="Calibri Light"/>
                <w:b w:val="0"/>
                <w:lang w:val="es-PE"/>
              </w:rPr>
              <w:t>concluir que el Estado hubiese violado el artículo 8.2.b de la CADH.</w:t>
            </w:r>
          </w:p>
          <w:p w14:paraId="1A73F58F" w14:textId="77777777" w:rsidR="000E570F" w:rsidRPr="00271D1D" w:rsidRDefault="000E570F" w:rsidP="00C5799F">
            <w:pPr>
              <w:jc w:val="both"/>
              <w:rPr>
                <w:rFonts w:ascii="Calibri Light" w:hAnsi="Calibri Light"/>
                <w:b w:val="0"/>
                <w:lang w:val="es-PE"/>
              </w:rPr>
            </w:pPr>
          </w:p>
          <w:p w14:paraId="6A5D8172" w14:textId="325B191A" w:rsidR="00974F30" w:rsidRPr="00E550B9" w:rsidRDefault="00974F30" w:rsidP="00E550B9">
            <w:pPr>
              <w:pStyle w:val="ListParagraph"/>
              <w:numPr>
                <w:ilvl w:val="0"/>
                <w:numId w:val="9"/>
              </w:numPr>
              <w:jc w:val="both"/>
              <w:rPr>
                <w:rFonts w:ascii="Calibri Light" w:hAnsi="Calibri Light"/>
              </w:rPr>
            </w:pPr>
            <w:r w:rsidRPr="00E550B9">
              <w:rPr>
                <w:rFonts w:ascii="Calibri Light" w:hAnsi="Calibri Light"/>
                <w:lang w:val="es-PE"/>
              </w:rPr>
              <w:t>Concesión al inculpado del tiempo y de los medios adecuados para la preparación de su defensa</w:t>
            </w:r>
          </w:p>
          <w:p w14:paraId="368A8B5C" w14:textId="77777777" w:rsidR="00283F01" w:rsidRPr="00271D1D" w:rsidRDefault="00283F01" w:rsidP="00283F01">
            <w:pPr>
              <w:pStyle w:val="Default"/>
              <w:jc w:val="both"/>
              <w:rPr>
                <w:rFonts w:ascii="Calibri Light" w:eastAsia="Calibri" w:hAnsi="Calibri Light" w:cs="Times New Roman"/>
                <w:b w:val="0"/>
                <w:color w:val="auto"/>
                <w:sz w:val="22"/>
                <w:szCs w:val="22"/>
              </w:rPr>
            </w:pPr>
          </w:p>
          <w:p w14:paraId="6F1FB1F9" w14:textId="2A9FE233" w:rsidR="000E570F" w:rsidRPr="00271D1D" w:rsidRDefault="00283F01" w:rsidP="00283F01">
            <w:pPr>
              <w:pStyle w:val="Default"/>
              <w:jc w:val="both"/>
              <w:rPr>
                <w:rFonts w:ascii="Calibri Light" w:eastAsia="Calibri" w:hAnsi="Calibri Light" w:cs="Times New Roman"/>
                <w:b w:val="0"/>
                <w:color w:val="auto"/>
                <w:sz w:val="22"/>
                <w:szCs w:val="22"/>
              </w:rPr>
            </w:pPr>
            <w:r w:rsidRPr="00271D1D">
              <w:rPr>
                <w:rFonts w:ascii="Calibri Light" w:eastAsia="Calibri" w:hAnsi="Calibri Light" w:cs="Times New Roman"/>
                <w:b w:val="0"/>
                <w:color w:val="auto"/>
                <w:sz w:val="22"/>
                <w:szCs w:val="22"/>
              </w:rPr>
              <w:t>La CIDH señaló que uno de los derechos incluidos en el debido proceso es el derecho a contar con los medios ade</w:t>
            </w:r>
            <w:r w:rsidR="00AD4451">
              <w:rPr>
                <w:rFonts w:ascii="Calibri Light" w:eastAsia="Calibri" w:hAnsi="Calibri Light" w:cs="Times New Roman"/>
                <w:b w:val="0"/>
                <w:color w:val="auto"/>
                <w:sz w:val="22"/>
                <w:szCs w:val="22"/>
              </w:rPr>
              <w:t>cuados para preparar la defensa. Este se encuentra</w:t>
            </w:r>
            <w:r w:rsidRPr="00271D1D">
              <w:rPr>
                <w:rFonts w:ascii="Calibri Light" w:eastAsia="Calibri" w:hAnsi="Calibri Light" w:cs="Times New Roman"/>
                <w:b w:val="0"/>
                <w:color w:val="auto"/>
                <w:sz w:val="22"/>
                <w:szCs w:val="22"/>
              </w:rPr>
              <w:t xml:space="preserve"> previsto en el artículo 8.2.c de la CADH. Dicho artículo determina la obligación del Estado de permitir el acceso del inculpado al conocimiento expediente llevado en su contra así como su intervención en el análisis de la prueba. </w:t>
            </w:r>
            <w:r w:rsidR="00A679C6" w:rsidRPr="00271D1D">
              <w:rPr>
                <w:rFonts w:ascii="Calibri Light" w:eastAsia="Calibri" w:hAnsi="Calibri Light" w:cs="Times New Roman"/>
                <w:b w:val="0"/>
                <w:color w:val="auto"/>
                <w:sz w:val="22"/>
                <w:szCs w:val="22"/>
              </w:rPr>
              <w:t xml:space="preserve">De acuerdo al análisis del caso, se determinó que, a pesar de que la acusación contra </w:t>
            </w:r>
            <w:r w:rsidR="002D1D3D">
              <w:rPr>
                <w:rFonts w:ascii="Calibri Light" w:eastAsia="Calibri" w:hAnsi="Calibri Light" w:cs="Times New Roman"/>
                <w:b w:val="0"/>
                <w:color w:val="auto"/>
                <w:sz w:val="22"/>
                <w:szCs w:val="22"/>
              </w:rPr>
              <w:t>el señor</w:t>
            </w:r>
            <w:r w:rsidR="00A679C6" w:rsidRPr="00271D1D">
              <w:rPr>
                <w:rFonts w:ascii="Calibri Light" w:eastAsia="Calibri" w:hAnsi="Calibri Light" w:cs="Times New Roman"/>
                <w:b w:val="0"/>
                <w:color w:val="auto"/>
                <w:sz w:val="22"/>
                <w:szCs w:val="22"/>
              </w:rPr>
              <w:t xml:space="preserve"> Álvarez fue ampliada en dos oportunidades, no contó con el tiempo necesario y adecuado para preparar su defensa y no tuvo acceso a la prueba aportada por la contraparte. En esta medida, la CIDH estim</w:t>
            </w:r>
            <w:r w:rsidR="006D06A7" w:rsidRPr="00271D1D">
              <w:rPr>
                <w:rFonts w:ascii="Calibri Light" w:eastAsia="Calibri" w:hAnsi="Calibri Light" w:cs="Times New Roman"/>
                <w:b w:val="0"/>
                <w:color w:val="auto"/>
                <w:sz w:val="22"/>
                <w:szCs w:val="22"/>
              </w:rPr>
              <w:t>ó</w:t>
            </w:r>
            <w:r w:rsidR="00A679C6" w:rsidRPr="00271D1D">
              <w:rPr>
                <w:rFonts w:ascii="Calibri Light" w:eastAsia="Calibri" w:hAnsi="Calibri Light" w:cs="Times New Roman"/>
                <w:b w:val="0"/>
                <w:color w:val="auto"/>
                <w:sz w:val="22"/>
                <w:szCs w:val="22"/>
              </w:rPr>
              <w:t xml:space="preserve"> que la restricción resultó violatoria del artículo </w:t>
            </w:r>
            <w:r w:rsidR="00A679C6" w:rsidRPr="00271D1D">
              <w:rPr>
                <w:rFonts w:ascii="Calibri Light" w:eastAsia="Calibri" w:hAnsi="Calibri Light" w:cs="Times New Roman"/>
                <w:b w:val="0"/>
                <w:color w:val="auto"/>
                <w:sz w:val="22"/>
                <w:szCs w:val="22"/>
              </w:rPr>
              <w:lastRenderedPageBreak/>
              <w:t>8.2.c de la Convención.</w:t>
            </w:r>
          </w:p>
          <w:p w14:paraId="2DFB920C" w14:textId="77777777" w:rsidR="000E570F" w:rsidRPr="00271D1D" w:rsidRDefault="000E570F" w:rsidP="00283F01">
            <w:pPr>
              <w:pStyle w:val="Default"/>
              <w:jc w:val="both"/>
              <w:rPr>
                <w:rFonts w:ascii="Calibri Light" w:eastAsia="Calibri" w:hAnsi="Calibri Light" w:cs="Times New Roman"/>
                <w:b w:val="0"/>
                <w:color w:val="auto"/>
                <w:sz w:val="22"/>
                <w:szCs w:val="22"/>
              </w:rPr>
            </w:pPr>
          </w:p>
          <w:p w14:paraId="3BB3D5A5" w14:textId="728BFCDE" w:rsidR="006030CE" w:rsidRPr="00E550B9" w:rsidRDefault="006030CE" w:rsidP="00E550B9">
            <w:pPr>
              <w:pStyle w:val="ListParagraph"/>
              <w:numPr>
                <w:ilvl w:val="0"/>
                <w:numId w:val="9"/>
              </w:numPr>
              <w:jc w:val="both"/>
              <w:rPr>
                <w:rFonts w:ascii="Calibri Light" w:hAnsi="Calibri Light"/>
              </w:rPr>
            </w:pPr>
            <w:r w:rsidRPr="00E550B9">
              <w:rPr>
                <w:rFonts w:ascii="Calibri Light" w:hAnsi="Calibri Light"/>
              </w:rPr>
              <w:t>Derecho a interrogar y obtener la comparecencia de testigos y peritos (artículo 8.2.f)</w:t>
            </w:r>
          </w:p>
          <w:p w14:paraId="6E8872E0" w14:textId="77777777" w:rsidR="006030CE" w:rsidRPr="00271D1D" w:rsidRDefault="006030CE" w:rsidP="00646696">
            <w:pPr>
              <w:pStyle w:val="ListParagraph"/>
              <w:jc w:val="both"/>
              <w:rPr>
                <w:rFonts w:ascii="Calibri Light" w:hAnsi="Calibri Light"/>
              </w:rPr>
            </w:pPr>
          </w:p>
          <w:p w14:paraId="23A88D6C" w14:textId="44E3B2CC" w:rsidR="00646696" w:rsidRPr="00271D1D" w:rsidRDefault="002B3B1E" w:rsidP="00845CE5">
            <w:pPr>
              <w:jc w:val="both"/>
              <w:rPr>
                <w:rFonts w:ascii="Calibri Light" w:hAnsi="Calibri Light"/>
                <w:b w:val="0"/>
              </w:rPr>
            </w:pPr>
            <w:r w:rsidRPr="00271D1D">
              <w:rPr>
                <w:rFonts w:ascii="Calibri Light" w:hAnsi="Calibri Light"/>
                <w:b w:val="0"/>
              </w:rPr>
              <w:t xml:space="preserve">La CIDH manifestó que la detención de un testigo propuesto por la defensa constituyó un hecho probado en el caso, situación </w:t>
            </w:r>
            <w:r w:rsidR="00646696" w:rsidRPr="00271D1D">
              <w:rPr>
                <w:rFonts w:ascii="Calibri Light" w:hAnsi="Calibri Light"/>
                <w:b w:val="0"/>
              </w:rPr>
              <w:t xml:space="preserve">que resultó injustificada al tratarse de una práctica de intimidación en perjuicio del derecho a la defensa de Álvarez. </w:t>
            </w:r>
            <w:r w:rsidR="009600A0" w:rsidRPr="00271D1D">
              <w:rPr>
                <w:rFonts w:ascii="Calibri Light" w:hAnsi="Calibri Light"/>
                <w:b w:val="0"/>
              </w:rPr>
              <w:t xml:space="preserve">Por ello, la CIDH también encontró responsable al Estado de la </w:t>
            </w:r>
            <w:r w:rsidR="00845CE5" w:rsidRPr="00271D1D">
              <w:rPr>
                <w:rFonts w:ascii="Calibri Light" w:hAnsi="Calibri Light"/>
                <w:b w:val="0"/>
              </w:rPr>
              <w:t xml:space="preserve">violación del artículo 8.2.f de la Convención, en perjuicio </w:t>
            </w:r>
            <w:r w:rsidR="002D1D3D">
              <w:rPr>
                <w:rFonts w:ascii="Calibri Light" w:hAnsi="Calibri Light"/>
                <w:b w:val="0"/>
              </w:rPr>
              <w:t>del señor</w:t>
            </w:r>
            <w:r w:rsidR="00845CE5" w:rsidRPr="00271D1D">
              <w:rPr>
                <w:rFonts w:ascii="Calibri Light" w:hAnsi="Calibri Light"/>
                <w:b w:val="0"/>
              </w:rPr>
              <w:t xml:space="preserve"> Álvarez.</w:t>
            </w:r>
          </w:p>
          <w:p w14:paraId="5AA471B6" w14:textId="49F32B54" w:rsidR="006D06A7" w:rsidRPr="00271D1D" w:rsidRDefault="006D06A7" w:rsidP="00845CE5">
            <w:pPr>
              <w:jc w:val="both"/>
              <w:rPr>
                <w:rFonts w:ascii="Calibri Light" w:hAnsi="Calibri Light"/>
                <w:b w:val="0"/>
                <w:lang w:val="es-PE"/>
              </w:rPr>
            </w:pPr>
          </w:p>
        </w:tc>
      </w:tr>
      <w:tr w:rsidR="005173CF" w:rsidRPr="00271D1D" w14:paraId="0FBFBB6F" w14:textId="77777777" w:rsidTr="00271D1D">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Pr="00271D1D" w:rsidRDefault="00AC6F31" w:rsidP="00AC6F31">
            <w:pPr>
              <w:pStyle w:val="ListParagraph"/>
              <w:rPr>
                <w:rFonts w:ascii="Calibri Light" w:hAnsi="Calibri Light"/>
              </w:rPr>
            </w:pPr>
          </w:p>
          <w:p w14:paraId="5CF7BA21" w14:textId="5790D6FB" w:rsidR="005173CF" w:rsidRPr="00271D1D" w:rsidRDefault="007A6C56" w:rsidP="0029671B">
            <w:pPr>
              <w:pStyle w:val="ListParagraph"/>
              <w:numPr>
                <w:ilvl w:val="0"/>
                <w:numId w:val="2"/>
              </w:numPr>
              <w:jc w:val="center"/>
              <w:rPr>
                <w:rFonts w:ascii="Calibri Light" w:hAnsi="Calibri Light"/>
              </w:rPr>
            </w:pPr>
            <w:r w:rsidRPr="00271D1D">
              <w:rPr>
                <w:rFonts w:ascii="Calibri Light" w:hAnsi="Calibri Light"/>
              </w:rPr>
              <w:t>Recomendaciones</w:t>
            </w:r>
            <w:r w:rsidR="00230F24" w:rsidRPr="00271D1D">
              <w:rPr>
                <w:rFonts w:ascii="Calibri Light" w:hAnsi="Calibri Light"/>
              </w:rPr>
              <w:t xml:space="preserve"> de la CIDH al Estado</w:t>
            </w:r>
          </w:p>
          <w:p w14:paraId="510D8BF9" w14:textId="77777777" w:rsidR="00AC6F31" w:rsidRPr="00271D1D" w:rsidRDefault="00AC6F31" w:rsidP="00AC6F31">
            <w:pPr>
              <w:pStyle w:val="ListParagraph"/>
              <w:rPr>
                <w:rFonts w:ascii="Calibri Light" w:hAnsi="Calibri Light"/>
              </w:rPr>
            </w:pPr>
          </w:p>
        </w:tc>
      </w:tr>
      <w:tr w:rsidR="007A6C56" w:rsidRPr="00271D1D" w14:paraId="3D91AF16" w14:textId="77777777" w:rsidTr="00271D1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144629E0" w14:textId="77777777" w:rsidR="006D06A7" w:rsidRPr="00271D1D" w:rsidRDefault="006D06A7" w:rsidP="006D06A7">
            <w:pPr>
              <w:pStyle w:val="ListParagraph"/>
              <w:ind w:left="360"/>
              <w:jc w:val="both"/>
              <w:rPr>
                <w:rFonts w:ascii="Calibri Light" w:hAnsi="Calibri Light"/>
                <w:b w:val="0"/>
              </w:rPr>
            </w:pPr>
          </w:p>
          <w:p w14:paraId="712C4FA9" w14:textId="30068DED" w:rsidR="003A3ADB" w:rsidRPr="00271D1D" w:rsidRDefault="003A3ADB" w:rsidP="00B55B6C">
            <w:pPr>
              <w:pStyle w:val="ListParagraph"/>
              <w:numPr>
                <w:ilvl w:val="0"/>
                <w:numId w:val="4"/>
              </w:numPr>
              <w:jc w:val="both"/>
              <w:rPr>
                <w:rFonts w:ascii="Calibri Light" w:hAnsi="Calibri Light"/>
                <w:b w:val="0"/>
              </w:rPr>
            </w:pPr>
            <w:r w:rsidRPr="00271D1D">
              <w:rPr>
                <w:rFonts w:ascii="Calibri Light" w:hAnsi="Calibri Light"/>
                <w:b w:val="0"/>
              </w:rPr>
              <w:t>Dejar sin efe</w:t>
            </w:r>
            <w:r w:rsidR="00AD4451">
              <w:rPr>
                <w:rFonts w:ascii="Calibri Light" w:hAnsi="Calibri Light"/>
                <w:b w:val="0"/>
              </w:rPr>
              <w:t xml:space="preserve">cto la condena penal impuesta al señor </w:t>
            </w:r>
            <w:r w:rsidRPr="00271D1D">
              <w:rPr>
                <w:rFonts w:ascii="Calibri Light" w:hAnsi="Calibri Light"/>
                <w:b w:val="0"/>
              </w:rPr>
              <w:t xml:space="preserve">Álvarez y </w:t>
            </w:r>
            <w:r w:rsidR="00DD0E3C" w:rsidRPr="00271D1D">
              <w:rPr>
                <w:rFonts w:ascii="Calibri Light" w:hAnsi="Calibri Light"/>
                <w:b w:val="0"/>
              </w:rPr>
              <w:t>todas las consecuencias que de ella se deriven.</w:t>
            </w:r>
          </w:p>
          <w:p w14:paraId="72A1939F" w14:textId="77777777" w:rsidR="00DD0E3C" w:rsidRPr="00271D1D" w:rsidRDefault="00DD0E3C" w:rsidP="00DD0E3C">
            <w:pPr>
              <w:pStyle w:val="ListParagraph"/>
              <w:ind w:left="360"/>
              <w:jc w:val="both"/>
              <w:rPr>
                <w:rFonts w:ascii="Calibri Light" w:hAnsi="Calibri Light"/>
                <w:b w:val="0"/>
              </w:rPr>
            </w:pPr>
          </w:p>
          <w:p w14:paraId="4BF90CAA" w14:textId="42E8F618" w:rsidR="003A3ADB" w:rsidRPr="00271D1D" w:rsidRDefault="003A3ADB" w:rsidP="00B55B6C">
            <w:pPr>
              <w:pStyle w:val="ListParagraph"/>
              <w:numPr>
                <w:ilvl w:val="0"/>
                <w:numId w:val="4"/>
              </w:numPr>
              <w:jc w:val="both"/>
              <w:rPr>
                <w:rFonts w:ascii="Calibri Light" w:hAnsi="Calibri Light"/>
                <w:b w:val="0"/>
              </w:rPr>
            </w:pPr>
            <w:r w:rsidRPr="00271D1D">
              <w:rPr>
                <w:rFonts w:ascii="Calibri Light" w:hAnsi="Calibri Light"/>
                <w:b w:val="0"/>
              </w:rPr>
              <w:t xml:space="preserve">Garantizar los derechos políticos que, de ser el caso, aun continuaran siendo vulnerados </w:t>
            </w:r>
            <w:r w:rsidR="00AD4451">
              <w:rPr>
                <w:rFonts w:ascii="Calibri Light" w:hAnsi="Calibri Light"/>
                <w:b w:val="0"/>
              </w:rPr>
              <w:t>al señor Álvarez</w:t>
            </w:r>
            <w:r w:rsidRPr="00271D1D">
              <w:rPr>
                <w:rFonts w:ascii="Calibri Light" w:hAnsi="Calibri Light"/>
                <w:b w:val="0"/>
              </w:rPr>
              <w:t>, incluyendo la eliminación de cualquier registro en los antecedentes penales que lo inhabiliten para continuar desarrolla</w:t>
            </w:r>
            <w:r w:rsidR="00DD0E3C" w:rsidRPr="00271D1D">
              <w:rPr>
                <w:rFonts w:ascii="Calibri Light" w:hAnsi="Calibri Light"/>
                <w:b w:val="0"/>
              </w:rPr>
              <w:t>ndo sus derechos como ciudadano.</w:t>
            </w:r>
          </w:p>
          <w:p w14:paraId="3FD8B56E" w14:textId="77777777" w:rsidR="00DD0E3C" w:rsidRPr="00271D1D" w:rsidRDefault="00DD0E3C" w:rsidP="00DD0E3C">
            <w:pPr>
              <w:pStyle w:val="ListParagraph"/>
              <w:rPr>
                <w:rFonts w:ascii="Calibri Light" w:hAnsi="Calibri Light"/>
              </w:rPr>
            </w:pPr>
          </w:p>
          <w:p w14:paraId="2C67C2C8" w14:textId="4E5FCC25" w:rsidR="003A3ADB" w:rsidRPr="00271D1D" w:rsidRDefault="00AD4451" w:rsidP="00B55B6C">
            <w:pPr>
              <w:pStyle w:val="ListParagraph"/>
              <w:numPr>
                <w:ilvl w:val="0"/>
                <w:numId w:val="4"/>
              </w:numPr>
              <w:jc w:val="both"/>
              <w:rPr>
                <w:rFonts w:ascii="Calibri Light" w:hAnsi="Calibri Light"/>
                <w:b w:val="0"/>
              </w:rPr>
            </w:pPr>
            <w:r>
              <w:rPr>
                <w:rFonts w:ascii="Calibri Light" w:hAnsi="Calibri Light"/>
                <w:b w:val="0"/>
              </w:rPr>
              <w:t xml:space="preserve">Indemnizar al señor </w:t>
            </w:r>
            <w:r w:rsidR="003A3ADB" w:rsidRPr="00271D1D">
              <w:rPr>
                <w:rFonts w:ascii="Calibri Light" w:hAnsi="Calibri Light"/>
                <w:b w:val="0"/>
              </w:rPr>
              <w:t>Álvarez por los daños pecuniarios y no pecuniarios causados por la</w:t>
            </w:r>
            <w:r w:rsidR="00DD0E3C" w:rsidRPr="00271D1D">
              <w:rPr>
                <w:rFonts w:ascii="Calibri Light" w:hAnsi="Calibri Light"/>
                <w:b w:val="0"/>
              </w:rPr>
              <w:t>s violaciones aquí establecidas.</w:t>
            </w:r>
          </w:p>
          <w:p w14:paraId="1A79F315" w14:textId="77777777" w:rsidR="00DD0E3C" w:rsidRPr="00271D1D" w:rsidRDefault="00DD0E3C" w:rsidP="00DD0E3C">
            <w:pPr>
              <w:pStyle w:val="ListParagraph"/>
              <w:rPr>
                <w:rFonts w:ascii="Calibri Light" w:hAnsi="Calibri Light"/>
              </w:rPr>
            </w:pPr>
          </w:p>
          <w:p w14:paraId="23A83126" w14:textId="4C278AA5" w:rsidR="003A3ADB" w:rsidRPr="00271D1D" w:rsidRDefault="003A3ADB" w:rsidP="00B55B6C">
            <w:pPr>
              <w:pStyle w:val="ListParagraph"/>
              <w:numPr>
                <w:ilvl w:val="0"/>
                <w:numId w:val="4"/>
              </w:numPr>
              <w:jc w:val="both"/>
              <w:rPr>
                <w:rFonts w:ascii="Calibri Light" w:hAnsi="Calibri Light"/>
                <w:b w:val="0"/>
              </w:rPr>
            </w:pPr>
            <w:r w:rsidRPr="00271D1D">
              <w:rPr>
                <w:rFonts w:ascii="Calibri Light" w:hAnsi="Calibri Light"/>
                <w:b w:val="0"/>
              </w:rPr>
              <w:t xml:space="preserve">Adecuar su normativa penal interna en materia de libertad de expresión, de acuerdo con sus obligaciones bajo la </w:t>
            </w:r>
            <w:r w:rsidR="00646696" w:rsidRPr="00271D1D">
              <w:rPr>
                <w:rFonts w:ascii="Calibri Light" w:hAnsi="Calibri Light"/>
                <w:b w:val="0"/>
              </w:rPr>
              <w:t>CADH</w:t>
            </w:r>
            <w:r w:rsidRPr="00271D1D">
              <w:rPr>
                <w:rFonts w:ascii="Calibri Light" w:hAnsi="Calibri Light"/>
                <w:b w:val="0"/>
              </w:rPr>
              <w:t xml:space="preserve"> y lo estab</w:t>
            </w:r>
            <w:r w:rsidR="00DD0E3C" w:rsidRPr="00271D1D">
              <w:rPr>
                <w:rFonts w:ascii="Calibri Light" w:hAnsi="Calibri Light"/>
                <w:b w:val="0"/>
              </w:rPr>
              <w:t>lecido en el presente informe.</w:t>
            </w:r>
          </w:p>
          <w:p w14:paraId="657864CB" w14:textId="77777777" w:rsidR="00DD0E3C" w:rsidRPr="00271D1D" w:rsidRDefault="00DD0E3C" w:rsidP="00DD0E3C">
            <w:pPr>
              <w:pStyle w:val="ListParagraph"/>
              <w:rPr>
                <w:rFonts w:ascii="Calibri Light" w:hAnsi="Calibri Light"/>
              </w:rPr>
            </w:pPr>
          </w:p>
          <w:p w14:paraId="4611A4F9" w14:textId="77777777" w:rsidR="00676230" w:rsidRPr="00271D1D" w:rsidRDefault="003A3ADB" w:rsidP="00B55B6C">
            <w:pPr>
              <w:pStyle w:val="ListParagraph"/>
              <w:numPr>
                <w:ilvl w:val="0"/>
                <w:numId w:val="4"/>
              </w:numPr>
              <w:jc w:val="both"/>
              <w:rPr>
                <w:rFonts w:ascii="Calibri Light" w:hAnsi="Calibri Light"/>
              </w:rPr>
            </w:pPr>
            <w:r w:rsidRPr="00271D1D">
              <w:rPr>
                <w:rFonts w:ascii="Calibri Light" w:hAnsi="Calibri Light"/>
                <w:b w:val="0"/>
              </w:rPr>
              <w:t>Divulgar el presente informe en el Poder Judicial de Venezuela.</w:t>
            </w:r>
            <w:r w:rsidR="00676230" w:rsidRPr="00271D1D">
              <w:rPr>
                <w:rFonts w:ascii="Calibri Light" w:hAnsi="Calibri Light"/>
              </w:rPr>
              <w:t xml:space="preserve"> </w:t>
            </w:r>
          </w:p>
          <w:p w14:paraId="49863AFC" w14:textId="4CCC3990" w:rsidR="009600A0" w:rsidRPr="00271D1D" w:rsidRDefault="009600A0" w:rsidP="00840908">
            <w:pPr>
              <w:jc w:val="both"/>
              <w:rPr>
                <w:rFonts w:ascii="Calibri Light" w:hAnsi="Calibri Light"/>
              </w:rPr>
            </w:pPr>
          </w:p>
        </w:tc>
      </w:tr>
      <w:tr w:rsidR="00F464EC" w:rsidRPr="00271D1D" w14:paraId="0B7CC98E" w14:textId="77777777" w:rsidTr="00271D1D">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Pr="00271D1D" w:rsidRDefault="00F464EC" w:rsidP="00F464EC">
            <w:pPr>
              <w:pStyle w:val="ListParagraph"/>
              <w:spacing w:after="200" w:line="276" w:lineRule="auto"/>
              <w:rPr>
                <w:rFonts w:ascii="Calibri Light" w:hAnsi="Calibri Light"/>
              </w:rPr>
            </w:pPr>
          </w:p>
          <w:p w14:paraId="7B045F14" w14:textId="2270E615" w:rsidR="00F464EC" w:rsidRPr="00271D1D" w:rsidRDefault="00F464EC" w:rsidP="00F464EC">
            <w:pPr>
              <w:pStyle w:val="ListParagraph"/>
              <w:numPr>
                <w:ilvl w:val="0"/>
                <w:numId w:val="2"/>
              </w:numPr>
              <w:spacing w:after="200" w:line="276" w:lineRule="auto"/>
              <w:jc w:val="center"/>
              <w:rPr>
                <w:rFonts w:ascii="Calibri Light" w:hAnsi="Calibri Light"/>
              </w:rPr>
            </w:pPr>
            <w:r w:rsidRPr="00271D1D">
              <w:rPr>
                <w:rFonts w:ascii="Calibri Light" w:hAnsi="Calibri Light"/>
              </w:rPr>
              <w:t>Análisis de cumplimiento de las recomendaciones</w:t>
            </w:r>
          </w:p>
          <w:p w14:paraId="3C93C1C0" w14:textId="77777777" w:rsidR="00F464EC" w:rsidRPr="00271D1D" w:rsidRDefault="00F464EC" w:rsidP="00F464EC">
            <w:pPr>
              <w:pStyle w:val="ListParagraph"/>
              <w:ind w:left="0"/>
              <w:jc w:val="center"/>
              <w:rPr>
                <w:rFonts w:ascii="Calibri Light" w:hAnsi="Calibri Light"/>
                <w:b w:val="0"/>
              </w:rPr>
            </w:pPr>
          </w:p>
        </w:tc>
      </w:tr>
      <w:tr w:rsidR="00F464EC" w:rsidRPr="00271D1D" w14:paraId="41FA15A1" w14:textId="77777777" w:rsidTr="00271D1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1F3EA985" w14:textId="4084EB4F" w:rsidR="009802FB" w:rsidRPr="00271D1D" w:rsidRDefault="009802FB" w:rsidP="00840908">
            <w:pPr>
              <w:pStyle w:val="ListParagraph"/>
              <w:ind w:left="0"/>
              <w:jc w:val="center"/>
              <w:rPr>
                <w:rFonts w:ascii="Calibri Light" w:hAnsi="Calibri Light"/>
                <w:b w:val="0"/>
              </w:rPr>
            </w:pPr>
            <w:r w:rsidRPr="00271D1D">
              <w:rPr>
                <w:rFonts w:ascii="Calibri Light" w:hAnsi="Calibri Light"/>
                <w:b w:val="0"/>
              </w:rPr>
              <w:t>-</w:t>
            </w:r>
          </w:p>
        </w:tc>
      </w:tr>
    </w:tbl>
    <w:p w14:paraId="23A9A3C3" w14:textId="77777777" w:rsidR="00714E42" w:rsidRPr="00271D1D" w:rsidRDefault="00714E42" w:rsidP="00A65231">
      <w:pPr>
        <w:rPr>
          <w:rFonts w:ascii="Calibri Light" w:hAnsi="Calibri Light"/>
        </w:rPr>
      </w:pPr>
    </w:p>
    <w:p w14:paraId="66DC880E" w14:textId="77777777" w:rsidR="000E570F" w:rsidRPr="00271D1D" w:rsidRDefault="000E570F" w:rsidP="00A65231">
      <w:pPr>
        <w:rPr>
          <w:rFonts w:ascii="Calibri Light" w:hAnsi="Calibri Light"/>
        </w:rPr>
      </w:pPr>
    </w:p>
    <w:sectPr w:rsidR="000E570F" w:rsidRPr="00271D1D"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CDB59" w14:textId="77777777" w:rsidR="002E35DF" w:rsidRDefault="002E35DF" w:rsidP="00A65231">
      <w:pPr>
        <w:spacing w:after="0" w:line="240" w:lineRule="auto"/>
      </w:pPr>
      <w:r>
        <w:separator/>
      </w:r>
    </w:p>
  </w:endnote>
  <w:endnote w:type="continuationSeparator" w:id="0">
    <w:p w14:paraId="3CE08D52" w14:textId="77777777" w:rsidR="002E35DF" w:rsidRDefault="002E35DF"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rPr>
      <w:id w:val="210471937"/>
      <w:docPartObj>
        <w:docPartGallery w:val="Page Numbers (Bottom of Page)"/>
        <w:docPartUnique/>
      </w:docPartObj>
    </w:sdtPr>
    <w:sdtEndPr/>
    <w:sdtContent>
      <w:p w14:paraId="23A746CC" w14:textId="77777777" w:rsidR="0027092F" w:rsidRPr="003E7694" w:rsidRDefault="0027092F">
        <w:pPr>
          <w:pStyle w:val="Footer"/>
          <w:jc w:val="right"/>
          <w:rPr>
            <w:rFonts w:ascii="Calibri Light" w:hAnsi="Calibri Light"/>
          </w:rPr>
        </w:pPr>
        <w:r w:rsidRPr="003E7694">
          <w:rPr>
            <w:rFonts w:ascii="Calibri Light" w:hAnsi="Calibri Light"/>
          </w:rPr>
          <w:fldChar w:fldCharType="begin"/>
        </w:r>
        <w:r w:rsidRPr="003E7694">
          <w:rPr>
            <w:rFonts w:ascii="Calibri Light" w:hAnsi="Calibri Light"/>
          </w:rPr>
          <w:instrText>PAGE   \* MERGEFORMAT</w:instrText>
        </w:r>
        <w:r w:rsidRPr="003E7694">
          <w:rPr>
            <w:rFonts w:ascii="Calibri Light" w:hAnsi="Calibri Light"/>
          </w:rPr>
          <w:fldChar w:fldCharType="separate"/>
        </w:r>
        <w:r w:rsidR="000A484D" w:rsidRPr="000A484D">
          <w:rPr>
            <w:rFonts w:ascii="Calibri Light" w:hAnsi="Calibri Light"/>
            <w:noProof/>
            <w:lang w:val="es-ES"/>
          </w:rPr>
          <w:t>6</w:t>
        </w:r>
        <w:r w:rsidRPr="003E7694">
          <w:rPr>
            <w:rFonts w:ascii="Calibri Light" w:hAnsi="Calibri Light"/>
          </w:rPr>
          <w:fldChar w:fldCharType="end"/>
        </w:r>
      </w:p>
    </w:sdtContent>
  </w:sdt>
  <w:p w14:paraId="6353BB13" w14:textId="77777777" w:rsidR="0027092F" w:rsidRPr="003E7694" w:rsidRDefault="0027092F">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5E752" w14:textId="77777777" w:rsidR="002E35DF" w:rsidRDefault="002E35DF" w:rsidP="00A65231">
      <w:pPr>
        <w:spacing w:after="0" w:line="240" w:lineRule="auto"/>
      </w:pPr>
      <w:r>
        <w:separator/>
      </w:r>
    </w:p>
  </w:footnote>
  <w:footnote w:type="continuationSeparator" w:id="0">
    <w:p w14:paraId="5514FED9" w14:textId="77777777" w:rsidR="002E35DF" w:rsidRDefault="002E35DF"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EB8CE5F0"/>
    <w:lvl w:ilvl="0" w:tplc="D540A9C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1BF7441"/>
    <w:multiLevelType w:val="hybridMultilevel"/>
    <w:tmpl w:val="95CAF5AE"/>
    <w:lvl w:ilvl="0" w:tplc="0A108696">
      <w:start w:val="1"/>
      <w:numFmt w:val="lowerRoman"/>
      <w:lvlText w:val="%1)"/>
      <w:lvlJc w:val="left"/>
      <w:pPr>
        <w:ind w:left="1125" w:hanging="72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2" w15:restartNumberingAfterBreak="0">
    <w:nsid w:val="160E5D94"/>
    <w:multiLevelType w:val="hybridMultilevel"/>
    <w:tmpl w:val="1A50CA36"/>
    <w:lvl w:ilvl="0" w:tplc="81783FCE">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130F24"/>
    <w:multiLevelType w:val="hybridMultilevel"/>
    <w:tmpl w:val="B044A734"/>
    <w:lvl w:ilvl="0" w:tplc="280A001B">
      <w:start w:val="1"/>
      <w:numFmt w:val="lowerRoman"/>
      <w:lvlText w:val="%1."/>
      <w:lvlJc w:val="righ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405A010C"/>
    <w:multiLevelType w:val="hybridMultilevel"/>
    <w:tmpl w:val="87C86BB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6"/>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6675C"/>
    <w:rsid w:val="00066C2A"/>
    <w:rsid w:val="000748FF"/>
    <w:rsid w:val="00076EBC"/>
    <w:rsid w:val="0007777B"/>
    <w:rsid w:val="000A484D"/>
    <w:rsid w:val="000B4B72"/>
    <w:rsid w:val="000B4CF2"/>
    <w:rsid w:val="000B5257"/>
    <w:rsid w:val="000C2ED1"/>
    <w:rsid w:val="000C5A72"/>
    <w:rsid w:val="000D243B"/>
    <w:rsid w:val="000D3CF2"/>
    <w:rsid w:val="000D52F6"/>
    <w:rsid w:val="000E4587"/>
    <w:rsid w:val="000E51D8"/>
    <w:rsid w:val="000E570F"/>
    <w:rsid w:val="000F2C70"/>
    <w:rsid w:val="000F4AEA"/>
    <w:rsid w:val="00106E76"/>
    <w:rsid w:val="00123CE4"/>
    <w:rsid w:val="00157398"/>
    <w:rsid w:val="001A14F7"/>
    <w:rsid w:val="001A1869"/>
    <w:rsid w:val="001C0307"/>
    <w:rsid w:val="001C28EC"/>
    <w:rsid w:val="001E79A8"/>
    <w:rsid w:val="001F0EBD"/>
    <w:rsid w:val="002077A5"/>
    <w:rsid w:val="00212F62"/>
    <w:rsid w:val="00213757"/>
    <w:rsid w:val="00220B75"/>
    <w:rsid w:val="002233EB"/>
    <w:rsid w:val="0023068D"/>
    <w:rsid w:val="00230F24"/>
    <w:rsid w:val="00244853"/>
    <w:rsid w:val="00246EC0"/>
    <w:rsid w:val="00251DDE"/>
    <w:rsid w:val="0027092F"/>
    <w:rsid w:val="00271D1D"/>
    <w:rsid w:val="002736D6"/>
    <w:rsid w:val="00283F01"/>
    <w:rsid w:val="0029671B"/>
    <w:rsid w:val="002A7581"/>
    <w:rsid w:val="002B3B1E"/>
    <w:rsid w:val="002D1D3D"/>
    <w:rsid w:val="002E35DF"/>
    <w:rsid w:val="0030489F"/>
    <w:rsid w:val="0031046F"/>
    <w:rsid w:val="00317EE5"/>
    <w:rsid w:val="0032141E"/>
    <w:rsid w:val="00336C3B"/>
    <w:rsid w:val="00350DE9"/>
    <w:rsid w:val="00363AC7"/>
    <w:rsid w:val="00371BDD"/>
    <w:rsid w:val="0037716B"/>
    <w:rsid w:val="003A3ADB"/>
    <w:rsid w:val="003A7A99"/>
    <w:rsid w:val="003B2CD2"/>
    <w:rsid w:val="003D6E0F"/>
    <w:rsid w:val="003E1DE0"/>
    <w:rsid w:val="003E6AB8"/>
    <w:rsid w:val="003E7694"/>
    <w:rsid w:val="004043CC"/>
    <w:rsid w:val="00406F2F"/>
    <w:rsid w:val="00411A74"/>
    <w:rsid w:val="00421D6C"/>
    <w:rsid w:val="004242D0"/>
    <w:rsid w:val="00431612"/>
    <w:rsid w:val="00445D2C"/>
    <w:rsid w:val="00451809"/>
    <w:rsid w:val="00452AA6"/>
    <w:rsid w:val="004533E5"/>
    <w:rsid w:val="00455A3A"/>
    <w:rsid w:val="00464CAC"/>
    <w:rsid w:val="00475723"/>
    <w:rsid w:val="00476F6A"/>
    <w:rsid w:val="00483562"/>
    <w:rsid w:val="004858A8"/>
    <w:rsid w:val="004861D8"/>
    <w:rsid w:val="004A0763"/>
    <w:rsid w:val="004A0900"/>
    <w:rsid w:val="004B1311"/>
    <w:rsid w:val="004B151D"/>
    <w:rsid w:val="004D3F73"/>
    <w:rsid w:val="004E2BB2"/>
    <w:rsid w:val="004E678F"/>
    <w:rsid w:val="004F061A"/>
    <w:rsid w:val="0050074E"/>
    <w:rsid w:val="005173CF"/>
    <w:rsid w:val="00557C90"/>
    <w:rsid w:val="00561359"/>
    <w:rsid w:val="00561986"/>
    <w:rsid w:val="00581FEB"/>
    <w:rsid w:val="005A1120"/>
    <w:rsid w:val="005A5DA0"/>
    <w:rsid w:val="005B257B"/>
    <w:rsid w:val="005C3229"/>
    <w:rsid w:val="005C35DD"/>
    <w:rsid w:val="005D4FDF"/>
    <w:rsid w:val="005E082B"/>
    <w:rsid w:val="005E190A"/>
    <w:rsid w:val="005F14CB"/>
    <w:rsid w:val="005F1E4B"/>
    <w:rsid w:val="005F6F93"/>
    <w:rsid w:val="006030CE"/>
    <w:rsid w:val="00614649"/>
    <w:rsid w:val="00624A7E"/>
    <w:rsid w:val="0064028C"/>
    <w:rsid w:val="006407DD"/>
    <w:rsid w:val="006462EA"/>
    <w:rsid w:val="00646696"/>
    <w:rsid w:val="006576F9"/>
    <w:rsid w:val="0066351A"/>
    <w:rsid w:val="0067568C"/>
    <w:rsid w:val="00676230"/>
    <w:rsid w:val="006833CD"/>
    <w:rsid w:val="00685F04"/>
    <w:rsid w:val="00690328"/>
    <w:rsid w:val="006963FB"/>
    <w:rsid w:val="00697740"/>
    <w:rsid w:val="006A3FA1"/>
    <w:rsid w:val="006A6EC1"/>
    <w:rsid w:val="006C3F1D"/>
    <w:rsid w:val="006D06A7"/>
    <w:rsid w:val="006D488A"/>
    <w:rsid w:val="006E4635"/>
    <w:rsid w:val="006E6371"/>
    <w:rsid w:val="006F49B1"/>
    <w:rsid w:val="006F5AAD"/>
    <w:rsid w:val="006F657F"/>
    <w:rsid w:val="00714E42"/>
    <w:rsid w:val="00732DB1"/>
    <w:rsid w:val="00747E22"/>
    <w:rsid w:val="00793A83"/>
    <w:rsid w:val="0079477F"/>
    <w:rsid w:val="007A6C56"/>
    <w:rsid w:val="007B7ED8"/>
    <w:rsid w:val="007D1B56"/>
    <w:rsid w:val="007E382B"/>
    <w:rsid w:val="008023B0"/>
    <w:rsid w:val="008036E7"/>
    <w:rsid w:val="0080522D"/>
    <w:rsid w:val="00810470"/>
    <w:rsid w:val="008116C6"/>
    <w:rsid w:val="0082139A"/>
    <w:rsid w:val="00840908"/>
    <w:rsid w:val="00841B0E"/>
    <w:rsid w:val="00845CE5"/>
    <w:rsid w:val="00851773"/>
    <w:rsid w:val="008570F6"/>
    <w:rsid w:val="00864751"/>
    <w:rsid w:val="00866A4D"/>
    <w:rsid w:val="0087063C"/>
    <w:rsid w:val="00871AB0"/>
    <w:rsid w:val="008A5F25"/>
    <w:rsid w:val="008B57FB"/>
    <w:rsid w:val="008D04A1"/>
    <w:rsid w:val="008D38A2"/>
    <w:rsid w:val="008E1571"/>
    <w:rsid w:val="0090367F"/>
    <w:rsid w:val="009045FB"/>
    <w:rsid w:val="00931244"/>
    <w:rsid w:val="0093609C"/>
    <w:rsid w:val="00947FEA"/>
    <w:rsid w:val="0095310E"/>
    <w:rsid w:val="00954E20"/>
    <w:rsid w:val="009600A0"/>
    <w:rsid w:val="00961759"/>
    <w:rsid w:val="0097090A"/>
    <w:rsid w:val="00974F30"/>
    <w:rsid w:val="009802FB"/>
    <w:rsid w:val="009956CE"/>
    <w:rsid w:val="009A7AE2"/>
    <w:rsid w:val="009C056C"/>
    <w:rsid w:val="009C1E6D"/>
    <w:rsid w:val="009F10ED"/>
    <w:rsid w:val="009F34D5"/>
    <w:rsid w:val="00A133CC"/>
    <w:rsid w:val="00A153E3"/>
    <w:rsid w:val="00A16B0A"/>
    <w:rsid w:val="00A2337D"/>
    <w:rsid w:val="00A271BF"/>
    <w:rsid w:val="00A275F8"/>
    <w:rsid w:val="00A43A03"/>
    <w:rsid w:val="00A4435A"/>
    <w:rsid w:val="00A51B70"/>
    <w:rsid w:val="00A526EC"/>
    <w:rsid w:val="00A65231"/>
    <w:rsid w:val="00A679C6"/>
    <w:rsid w:val="00A73F2F"/>
    <w:rsid w:val="00A91255"/>
    <w:rsid w:val="00A91B24"/>
    <w:rsid w:val="00AB3207"/>
    <w:rsid w:val="00AC24DC"/>
    <w:rsid w:val="00AC6117"/>
    <w:rsid w:val="00AC6F31"/>
    <w:rsid w:val="00AD4451"/>
    <w:rsid w:val="00AE1C1E"/>
    <w:rsid w:val="00AF175D"/>
    <w:rsid w:val="00B03384"/>
    <w:rsid w:val="00B07E72"/>
    <w:rsid w:val="00B152F9"/>
    <w:rsid w:val="00B16D3A"/>
    <w:rsid w:val="00B36CC8"/>
    <w:rsid w:val="00B434F9"/>
    <w:rsid w:val="00B5267E"/>
    <w:rsid w:val="00B55B6C"/>
    <w:rsid w:val="00B71B8C"/>
    <w:rsid w:val="00B771B5"/>
    <w:rsid w:val="00B832A6"/>
    <w:rsid w:val="00B842FE"/>
    <w:rsid w:val="00B93CB9"/>
    <w:rsid w:val="00BA60EF"/>
    <w:rsid w:val="00BB3EB0"/>
    <w:rsid w:val="00BB61C6"/>
    <w:rsid w:val="00BD48E5"/>
    <w:rsid w:val="00BE6FA1"/>
    <w:rsid w:val="00C00A23"/>
    <w:rsid w:val="00C00A80"/>
    <w:rsid w:val="00C31DFF"/>
    <w:rsid w:val="00C40615"/>
    <w:rsid w:val="00C5799F"/>
    <w:rsid w:val="00C63B25"/>
    <w:rsid w:val="00C82C2C"/>
    <w:rsid w:val="00CA18F9"/>
    <w:rsid w:val="00CC1D4C"/>
    <w:rsid w:val="00CC31C4"/>
    <w:rsid w:val="00CE276D"/>
    <w:rsid w:val="00D0696E"/>
    <w:rsid w:val="00D14182"/>
    <w:rsid w:val="00D20798"/>
    <w:rsid w:val="00D42C31"/>
    <w:rsid w:val="00D642CE"/>
    <w:rsid w:val="00D64A9C"/>
    <w:rsid w:val="00D72764"/>
    <w:rsid w:val="00D745EB"/>
    <w:rsid w:val="00DA32BA"/>
    <w:rsid w:val="00DD0E3C"/>
    <w:rsid w:val="00DD3C7C"/>
    <w:rsid w:val="00DD5117"/>
    <w:rsid w:val="00DD6BE8"/>
    <w:rsid w:val="00DE2D65"/>
    <w:rsid w:val="00DF2AFB"/>
    <w:rsid w:val="00E11C4B"/>
    <w:rsid w:val="00E135B2"/>
    <w:rsid w:val="00E1710F"/>
    <w:rsid w:val="00E27629"/>
    <w:rsid w:val="00E35FF7"/>
    <w:rsid w:val="00E53BF1"/>
    <w:rsid w:val="00E550B9"/>
    <w:rsid w:val="00E56039"/>
    <w:rsid w:val="00E701C5"/>
    <w:rsid w:val="00E83C68"/>
    <w:rsid w:val="00E86C83"/>
    <w:rsid w:val="00EA1D5D"/>
    <w:rsid w:val="00EA4DFF"/>
    <w:rsid w:val="00EB7FF9"/>
    <w:rsid w:val="00EC4054"/>
    <w:rsid w:val="00ED7AD6"/>
    <w:rsid w:val="00EE4BA9"/>
    <w:rsid w:val="00EF1CDE"/>
    <w:rsid w:val="00EF5E2A"/>
    <w:rsid w:val="00F00887"/>
    <w:rsid w:val="00F06184"/>
    <w:rsid w:val="00F14336"/>
    <w:rsid w:val="00F33A69"/>
    <w:rsid w:val="00F35633"/>
    <w:rsid w:val="00F35CF9"/>
    <w:rsid w:val="00F464EC"/>
    <w:rsid w:val="00F53444"/>
    <w:rsid w:val="00F55CD0"/>
    <w:rsid w:val="00F725A5"/>
    <w:rsid w:val="00F83405"/>
    <w:rsid w:val="00F95138"/>
    <w:rsid w:val="00FA49E1"/>
    <w:rsid w:val="00FA6E5A"/>
    <w:rsid w:val="00FB0F60"/>
    <w:rsid w:val="00FB15AA"/>
    <w:rsid w:val="00FB1AE3"/>
    <w:rsid w:val="00FB1D17"/>
    <w:rsid w:val="00FC2568"/>
    <w:rsid w:val="00FF0A1A"/>
    <w:rsid w:val="00FF2B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32141E"/>
    <w:rPr>
      <w:color w:val="0000FF" w:themeColor="hyperlink"/>
      <w:u w:val="single"/>
    </w:rPr>
  </w:style>
  <w:style w:type="paragraph" w:customStyle="1" w:styleId="Default">
    <w:name w:val="Default"/>
    <w:rsid w:val="00810470"/>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793A83"/>
    <w:pPr>
      <w:spacing w:after="0" w:line="240" w:lineRule="auto"/>
    </w:pPr>
    <w:rPr>
      <w:rFonts w:ascii="Calibri" w:eastAsia="Calibri" w:hAnsi="Calibri" w:cs="Times New Roman"/>
      <w:lang w:val="es-MX"/>
    </w:rPr>
  </w:style>
  <w:style w:type="character" w:styleId="FollowedHyperlink">
    <w:name w:val="FollowedHyperlink"/>
    <w:basedOn w:val="DefaultParagraphFont"/>
    <w:uiPriority w:val="99"/>
    <w:semiHidden/>
    <w:unhideWhenUsed/>
    <w:rsid w:val="00793A83"/>
    <w:rPr>
      <w:color w:val="800080" w:themeColor="followedHyperlink"/>
      <w:u w:val="single"/>
    </w:rPr>
  </w:style>
  <w:style w:type="paragraph" w:styleId="Revision">
    <w:name w:val="Revision"/>
    <w:hidden/>
    <w:uiPriority w:val="99"/>
    <w:semiHidden/>
    <w:rsid w:val="00406F2F"/>
    <w:pPr>
      <w:spacing w:after="0" w:line="240" w:lineRule="auto"/>
    </w:pPr>
    <w:rPr>
      <w:rFonts w:ascii="Calibri" w:eastAsia="Calibri" w:hAnsi="Calibri" w:cs="Times New Roman"/>
      <w:lang w:val="es-MX"/>
    </w:rPr>
  </w:style>
  <w:style w:type="table" w:styleId="LightShading-Accent3">
    <w:name w:val="Light Shading Accent 3"/>
    <w:basedOn w:val="TableNormal"/>
    <w:uiPriority w:val="60"/>
    <w:rsid w:val="000D52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UnresolvedMention">
    <w:name w:val="Unresolved Mention"/>
    <w:basedOn w:val="DefaultParagraphFont"/>
    <w:uiPriority w:val="99"/>
    <w:semiHidden/>
    <w:unhideWhenUsed/>
    <w:rsid w:val="00DD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dh.oas.org/annualrep/2008sp/Venezuela400-06.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s.org/es/cidh/decisiones/corte/2017/12663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80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7C73-4A11-47D2-87CF-22238F13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2830</Words>
  <Characters>16136</Characters>
  <Application>Microsoft Office Word</Application>
  <DocSecurity>0</DocSecurity>
  <Lines>134</Lines>
  <Paragraphs>37</Paragraphs>
  <ScaleCrop>false</ScaleCrop>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2021-02-11T09:48:00Z</dcterms:created>
  <dcterms:modified xsi:type="dcterms:W3CDTF">2021-02-11T09:48:00Z</dcterms:modified>
</cp:coreProperties>
</file>