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AB05E" w14:textId="77777777" w:rsidR="00A8142B" w:rsidRDefault="00A8142B" w:rsidP="00A8142B">
      <w:pPr>
        <w:pStyle w:val="Header"/>
        <w:jc w:val="center"/>
        <w:rPr>
          <w:rFonts w:ascii="Calibri Light" w:hAnsi="Calibri Light"/>
          <w:lang w:val="es-PE"/>
        </w:rPr>
      </w:pPr>
      <w:r w:rsidRPr="00C80A19">
        <w:rPr>
          <w:rFonts w:ascii="Calibri Light" w:hAnsi="Calibri Light"/>
          <w:noProof/>
          <w:lang w:val="es-PE"/>
        </w:rPr>
        <w:drawing>
          <wp:anchor distT="0" distB="0" distL="114300" distR="114300" simplePos="0" relativeHeight="251661312" behindDoc="1" locked="0" layoutInCell="1" allowOverlap="1" wp14:anchorId="16C70AFA" wp14:editId="6CFCDC7A">
            <wp:simplePos x="0" y="0"/>
            <wp:positionH relativeFrom="margin">
              <wp:posOffset>4020820</wp:posOffset>
            </wp:positionH>
            <wp:positionV relativeFrom="margin">
              <wp:posOffset>-271145</wp:posOffset>
            </wp:positionV>
            <wp:extent cx="1849755" cy="789940"/>
            <wp:effectExtent l="0" t="0" r="4445" b="0"/>
            <wp:wrapTight wrapText="bothSides">
              <wp:wrapPolygon edited="0">
                <wp:start x="0" y="0"/>
                <wp:lineTo x="0" y="21183"/>
                <wp:lineTo x="21504" y="21183"/>
                <wp:lineTo x="21504" y="0"/>
                <wp:lineTo x="0" y="0"/>
              </wp:wrapPolygon>
            </wp:wrapTight>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rotWithShape="1">
                    <a:blip r:embed="rId8" r:link="rId9" cstate="print">
                      <a:extLst>
                        <a:ext uri="{28A0092B-C50C-407E-A947-70E740481C1C}">
                          <a14:useLocalDpi xmlns:a14="http://schemas.microsoft.com/office/drawing/2010/main" val="0"/>
                        </a:ext>
                      </a:extLst>
                    </a:blip>
                    <a:srcRect l="5442" t="27352" r="6449" b="25571"/>
                    <a:stretch/>
                  </pic:blipFill>
                  <pic:spPr bwMode="auto">
                    <a:xfrm>
                      <a:off x="0" y="0"/>
                      <a:ext cx="1849755" cy="789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60288" behindDoc="1" locked="0" layoutInCell="1" allowOverlap="1" wp14:anchorId="3BA33559" wp14:editId="7F426913">
            <wp:simplePos x="0" y="0"/>
            <wp:positionH relativeFrom="column">
              <wp:posOffset>1399540</wp:posOffset>
            </wp:positionH>
            <wp:positionV relativeFrom="paragraph">
              <wp:posOffset>-107950</wp:posOffset>
            </wp:positionV>
            <wp:extent cx="2564130" cy="626110"/>
            <wp:effectExtent l="0" t="0" r="1270" b="0"/>
            <wp:wrapTight wrapText="bothSides">
              <wp:wrapPolygon edited="0">
                <wp:start x="1605" y="2629"/>
                <wp:lineTo x="1070" y="5258"/>
                <wp:lineTo x="642" y="7886"/>
                <wp:lineTo x="642" y="11830"/>
                <wp:lineTo x="1284" y="17087"/>
                <wp:lineTo x="1498" y="17963"/>
                <wp:lineTo x="21397" y="17963"/>
                <wp:lineTo x="21504" y="16649"/>
                <wp:lineTo x="21183" y="9639"/>
                <wp:lineTo x="15406" y="2629"/>
                <wp:lineTo x="1605" y="2629"/>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0"/>
                    <a:srcRect r="3349"/>
                    <a:stretch/>
                  </pic:blipFill>
                  <pic:spPr bwMode="auto">
                    <a:xfrm>
                      <a:off x="0" y="0"/>
                      <a:ext cx="2564130" cy="626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59264" behindDoc="1" locked="0" layoutInCell="1" allowOverlap="1" wp14:anchorId="31C604A0" wp14:editId="14AC3862">
            <wp:simplePos x="0" y="0"/>
            <wp:positionH relativeFrom="column">
              <wp:posOffset>-407474</wp:posOffset>
            </wp:positionH>
            <wp:positionV relativeFrom="paragraph">
              <wp:posOffset>-200514</wp:posOffset>
            </wp:positionV>
            <wp:extent cx="1735455" cy="727710"/>
            <wp:effectExtent l="0" t="0" r="0" b="0"/>
            <wp:wrapTight wrapText="bothSides">
              <wp:wrapPolygon edited="0">
                <wp:start x="316" y="754"/>
                <wp:lineTo x="316" y="18094"/>
                <wp:lineTo x="632" y="19602"/>
                <wp:lineTo x="1739" y="20356"/>
                <wp:lineTo x="13436" y="20356"/>
                <wp:lineTo x="21181" y="19602"/>
                <wp:lineTo x="21339" y="14325"/>
                <wp:lineTo x="20075" y="13571"/>
                <wp:lineTo x="21181" y="10178"/>
                <wp:lineTo x="21181" y="7539"/>
                <wp:lineTo x="18652" y="3393"/>
                <wp:lineTo x="17546" y="754"/>
                <wp:lineTo x="316" y="754"/>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1"/>
                    <a:srcRect l="11357" t="20875" r="13129" b="18785"/>
                    <a:stretch/>
                  </pic:blipFill>
                  <pic:spPr bwMode="auto">
                    <a:xfrm>
                      <a:off x="0" y="0"/>
                      <a:ext cx="1735455" cy="727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ACA82A" w14:textId="77777777" w:rsidR="00A8142B" w:rsidRPr="00411A74" w:rsidRDefault="00A8142B" w:rsidP="00A8142B">
      <w:pPr>
        <w:pStyle w:val="Header"/>
        <w:jc w:val="center"/>
        <w:rPr>
          <w:rFonts w:ascii="Calibri Light" w:hAnsi="Calibri Light"/>
          <w:lang w:val="es-PE"/>
        </w:rPr>
      </w:pPr>
      <w:r w:rsidRPr="00411A74">
        <w:rPr>
          <w:rFonts w:ascii="Calibri Light" w:hAnsi="Calibri Light"/>
          <w:lang w:val="es-PE"/>
        </w:rPr>
        <w:t>Difundiendo los estándares para la protección de los DDHH de la CIDH</w:t>
      </w:r>
    </w:p>
    <w:p w14:paraId="7EBC3EED" w14:textId="77777777" w:rsidR="00A8142B" w:rsidRDefault="00A8142B" w:rsidP="00A8142B">
      <w:pPr>
        <w:spacing w:after="0" w:line="240" w:lineRule="auto"/>
        <w:jc w:val="center"/>
        <w:outlineLvl w:val="0"/>
        <w:rPr>
          <w:rFonts w:ascii="Calibri Light" w:hAnsi="Calibri Light"/>
          <w:b/>
          <w:i/>
          <w:lang w:val="es-PE"/>
        </w:rPr>
      </w:pPr>
      <w:r>
        <w:rPr>
          <w:rFonts w:ascii="Calibri Light" w:hAnsi="Calibri Light"/>
          <w:b/>
          <w:i/>
          <w:lang w:val="es-PE"/>
        </w:rPr>
        <w:t>Ficha de R</w:t>
      </w:r>
      <w:r w:rsidRPr="00411A74">
        <w:rPr>
          <w:rFonts w:ascii="Calibri Light" w:hAnsi="Calibri Light"/>
          <w:b/>
          <w:i/>
          <w:lang w:val="es-PE"/>
        </w:rPr>
        <w:t xml:space="preserve">esumen </w:t>
      </w:r>
    </w:p>
    <w:p w14:paraId="1162D825" w14:textId="77777777" w:rsidR="0047594F" w:rsidRPr="0047594F" w:rsidRDefault="0047594F" w:rsidP="0047594F">
      <w:pPr>
        <w:spacing w:after="0" w:line="240" w:lineRule="auto"/>
        <w:jc w:val="center"/>
        <w:outlineLvl w:val="0"/>
        <w:rPr>
          <w:rFonts w:ascii="Calibri Light" w:hAnsi="Calibri Light"/>
          <w:b/>
          <w:i/>
          <w:lang w:val="es-PE"/>
        </w:rPr>
      </w:pPr>
    </w:p>
    <w:tbl>
      <w:tblPr>
        <w:tblStyle w:val="Tabladelista2-nfasis11"/>
        <w:tblW w:w="8767" w:type="dxa"/>
        <w:tblLook w:val="04A0" w:firstRow="1" w:lastRow="0" w:firstColumn="1" w:lastColumn="0" w:noHBand="0" w:noVBand="1"/>
      </w:tblPr>
      <w:tblGrid>
        <w:gridCol w:w="3697"/>
        <w:gridCol w:w="2534"/>
        <w:gridCol w:w="2536"/>
      </w:tblGrid>
      <w:tr w:rsidR="005173CF" w:rsidRPr="0047594F" w14:paraId="01A2F61A" w14:textId="77777777" w:rsidTr="006601D0">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767" w:type="dxa"/>
            <w:gridSpan w:val="3"/>
          </w:tcPr>
          <w:p w14:paraId="07609204" w14:textId="77777777" w:rsidR="00AC6F31" w:rsidRPr="0047594F" w:rsidRDefault="00AC6F31" w:rsidP="00AC6F31">
            <w:pPr>
              <w:pStyle w:val="ListParagraph"/>
              <w:rPr>
                <w:rFonts w:ascii="Calibri Light" w:hAnsi="Calibri Light"/>
              </w:rPr>
            </w:pPr>
          </w:p>
          <w:p w14:paraId="160CE2AC" w14:textId="77777777" w:rsidR="00212F62" w:rsidRPr="0047594F" w:rsidRDefault="007A6C56" w:rsidP="00AC6F31">
            <w:pPr>
              <w:pStyle w:val="ListParagraph"/>
              <w:numPr>
                <w:ilvl w:val="0"/>
                <w:numId w:val="2"/>
              </w:numPr>
              <w:jc w:val="center"/>
              <w:rPr>
                <w:rFonts w:ascii="Calibri Light" w:hAnsi="Calibri Light"/>
              </w:rPr>
            </w:pPr>
            <w:r w:rsidRPr="0047594F">
              <w:rPr>
                <w:rFonts w:ascii="Calibri Light" w:hAnsi="Calibri Light"/>
              </w:rPr>
              <w:t>Datos generales</w:t>
            </w:r>
          </w:p>
          <w:p w14:paraId="6C5B323B" w14:textId="6BA3A748" w:rsidR="00AC6F31" w:rsidRPr="0047594F" w:rsidRDefault="00AC6F31" w:rsidP="00AC6F31">
            <w:pPr>
              <w:pStyle w:val="ListParagraph"/>
              <w:rPr>
                <w:rFonts w:ascii="Calibri Light" w:hAnsi="Calibri Light"/>
              </w:rPr>
            </w:pPr>
          </w:p>
        </w:tc>
      </w:tr>
      <w:tr w:rsidR="004533E5" w:rsidRPr="0047594F" w14:paraId="275AD1EA" w14:textId="77777777" w:rsidTr="006601D0">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3697" w:type="dxa"/>
          </w:tcPr>
          <w:p w14:paraId="63C7EFE0" w14:textId="77777777" w:rsidR="005173CF" w:rsidRPr="0047594F" w:rsidRDefault="007A6C56" w:rsidP="00A65231">
            <w:pPr>
              <w:pStyle w:val="ListParagraph"/>
              <w:numPr>
                <w:ilvl w:val="0"/>
                <w:numId w:val="3"/>
              </w:numPr>
              <w:rPr>
                <w:rFonts w:ascii="Calibri Light" w:hAnsi="Calibri Light"/>
              </w:rPr>
            </w:pPr>
            <w:r w:rsidRPr="0047594F">
              <w:rPr>
                <w:rFonts w:ascii="Calibri Light" w:hAnsi="Calibri Light"/>
              </w:rPr>
              <w:t>Nombre del caso</w:t>
            </w:r>
          </w:p>
        </w:tc>
        <w:tc>
          <w:tcPr>
            <w:tcW w:w="5070" w:type="dxa"/>
            <w:gridSpan w:val="2"/>
          </w:tcPr>
          <w:p w14:paraId="084A5991" w14:textId="42F7AA07" w:rsidR="00C7023F" w:rsidRPr="0047594F" w:rsidRDefault="007F0D54" w:rsidP="00A133CC">
            <w:pPr>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47594F">
              <w:rPr>
                <w:rFonts w:ascii="Calibri Light" w:hAnsi="Calibri Light"/>
              </w:rPr>
              <w:t xml:space="preserve">Mario Montesinos </w:t>
            </w:r>
            <w:r w:rsidR="00795C6A" w:rsidRPr="0047594F">
              <w:rPr>
                <w:rFonts w:ascii="Calibri Light" w:hAnsi="Calibri Light"/>
              </w:rPr>
              <w:t>Mejía</w:t>
            </w:r>
            <w:r w:rsidRPr="0047594F">
              <w:rPr>
                <w:rFonts w:ascii="Calibri Light" w:hAnsi="Calibri Light"/>
              </w:rPr>
              <w:t>, Ecuador</w:t>
            </w:r>
          </w:p>
        </w:tc>
      </w:tr>
      <w:tr w:rsidR="00F464EC" w:rsidRPr="0047594F" w14:paraId="59A6A8A1" w14:textId="77777777" w:rsidTr="006601D0">
        <w:trPr>
          <w:trHeight w:val="224"/>
        </w:trPr>
        <w:tc>
          <w:tcPr>
            <w:cnfStyle w:val="001000000000" w:firstRow="0" w:lastRow="0" w:firstColumn="1" w:lastColumn="0" w:oddVBand="0" w:evenVBand="0" w:oddHBand="0" w:evenHBand="0" w:firstRowFirstColumn="0" w:firstRowLastColumn="0" w:lastRowFirstColumn="0" w:lastRowLastColumn="0"/>
            <w:tcW w:w="3697" w:type="dxa"/>
          </w:tcPr>
          <w:p w14:paraId="7FA9FC90" w14:textId="45EF0668" w:rsidR="00F464EC" w:rsidRPr="0047594F" w:rsidRDefault="00C7023F" w:rsidP="00A65231">
            <w:pPr>
              <w:pStyle w:val="ListParagraph"/>
              <w:numPr>
                <w:ilvl w:val="0"/>
                <w:numId w:val="3"/>
              </w:numPr>
              <w:rPr>
                <w:rFonts w:ascii="Calibri Light" w:hAnsi="Calibri Light"/>
              </w:rPr>
            </w:pPr>
            <w:r w:rsidRPr="0047594F">
              <w:rPr>
                <w:rFonts w:ascii="Calibri Light" w:hAnsi="Calibri Light"/>
              </w:rPr>
              <w:t>Parte peticionaria</w:t>
            </w:r>
          </w:p>
        </w:tc>
        <w:tc>
          <w:tcPr>
            <w:tcW w:w="5070" w:type="dxa"/>
            <w:gridSpan w:val="2"/>
          </w:tcPr>
          <w:p w14:paraId="374B2A68" w14:textId="60343D3D" w:rsidR="00C7023F" w:rsidRPr="0047594F" w:rsidRDefault="007F0D54" w:rsidP="00B07E72">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47594F">
              <w:rPr>
                <w:rFonts w:ascii="Calibri Light" w:hAnsi="Calibri Light"/>
              </w:rPr>
              <w:t>Alejandro Ponce-Villacís</w:t>
            </w:r>
          </w:p>
        </w:tc>
      </w:tr>
      <w:tr w:rsidR="005173CF" w:rsidRPr="0047594F" w14:paraId="3A483B4F" w14:textId="77777777" w:rsidTr="006601D0">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3697" w:type="dxa"/>
          </w:tcPr>
          <w:p w14:paraId="6233C75C" w14:textId="77777777" w:rsidR="005173CF" w:rsidRPr="0047594F" w:rsidRDefault="007A6C56" w:rsidP="00A65231">
            <w:pPr>
              <w:pStyle w:val="ListParagraph"/>
              <w:numPr>
                <w:ilvl w:val="0"/>
                <w:numId w:val="3"/>
              </w:numPr>
              <w:rPr>
                <w:rFonts w:ascii="Calibri Light" w:hAnsi="Calibri Light"/>
              </w:rPr>
            </w:pPr>
            <w:r w:rsidRPr="0047594F">
              <w:rPr>
                <w:rFonts w:ascii="Calibri Light" w:hAnsi="Calibri Light"/>
              </w:rPr>
              <w:t xml:space="preserve">Número de Informe </w:t>
            </w:r>
          </w:p>
        </w:tc>
        <w:tc>
          <w:tcPr>
            <w:tcW w:w="5070" w:type="dxa"/>
            <w:gridSpan w:val="2"/>
          </w:tcPr>
          <w:p w14:paraId="77740DF4" w14:textId="1FCF7D12" w:rsidR="005173CF" w:rsidRPr="0047594F" w:rsidRDefault="00C664CD" w:rsidP="00B07E72">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hyperlink r:id="rId12" w:history="1">
              <w:r w:rsidR="007F0D54" w:rsidRPr="0047594F">
                <w:rPr>
                  <w:rStyle w:val="Hyperlink"/>
                  <w:rFonts w:ascii="Calibri Light" w:hAnsi="Calibri Light"/>
                </w:rPr>
                <w:t>Informe No. 131/17</w:t>
              </w:r>
            </w:hyperlink>
          </w:p>
        </w:tc>
      </w:tr>
      <w:tr w:rsidR="007F0D54" w:rsidRPr="0047594F" w14:paraId="5EC10F5F" w14:textId="77777777" w:rsidTr="006601D0">
        <w:trPr>
          <w:trHeight w:val="181"/>
        </w:trPr>
        <w:tc>
          <w:tcPr>
            <w:cnfStyle w:val="001000000000" w:firstRow="0" w:lastRow="0" w:firstColumn="1" w:lastColumn="0" w:oddVBand="0" w:evenVBand="0" w:oddHBand="0" w:evenHBand="0" w:firstRowFirstColumn="0" w:firstRowLastColumn="0" w:lastRowFirstColumn="0" w:lastRowLastColumn="0"/>
            <w:tcW w:w="3697" w:type="dxa"/>
          </w:tcPr>
          <w:p w14:paraId="00180E4F" w14:textId="77777777" w:rsidR="007F0D54" w:rsidRPr="0047594F" w:rsidRDefault="007F0D54" w:rsidP="00954E20">
            <w:pPr>
              <w:pStyle w:val="ListParagraph"/>
              <w:numPr>
                <w:ilvl w:val="0"/>
                <w:numId w:val="3"/>
              </w:numPr>
              <w:rPr>
                <w:rFonts w:ascii="Calibri Light" w:hAnsi="Calibri Light"/>
              </w:rPr>
            </w:pPr>
            <w:r w:rsidRPr="0047594F">
              <w:rPr>
                <w:rFonts w:ascii="Calibri Light" w:hAnsi="Calibri Light"/>
              </w:rPr>
              <w:t xml:space="preserve">Tipo de informe </w:t>
            </w:r>
          </w:p>
        </w:tc>
        <w:tc>
          <w:tcPr>
            <w:tcW w:w="5070" w:type="dxa"/>
            <w:gridSpan w:val="2"/>
          </w:tcPr>
          <w:p w14:paraId="35E9A08D" w14:textId="0A85970E" w:rsidR="007F0D54" w:rsidRPr="0047594F" w:rsidRDefault="007F0D54" w:rsidP="00954E20">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47594F">
              <w:rPr>
                <w:rFonts w:ascii="Calibri Light" w:hAnsi="Calibri Light"/>
              </w:rPr>
              <w:t>Informe de Admisibilidad y Fondo (Caso en la Corte IDH)</w:t>
            </w:r>
          </w:p>
        </w:tc>
      </w:tr>
      <w:tr w:rsidR="007F0D54" w:rsidRPr="0047594F" w14:paraId="7ED5AB61" w14:textId="77777777" w:rsidTr="006601D0">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697" w:type="dxa"/>
          </w:tcPr>
          <w:p w14:paraId="2F77A84C" w14:textId="77777777" w:rsidR="007F0D54" w:rsidRPr="0047594F" w:rsidRDefault="007F0D54" w:rsidP="00A65231">
            <w:pPr>
              <w:pStyle w:val="ListParagraph"/>
              <w:numPr>
                <w:ilvl w:val="0"/>
                <w:numId w:val="3"/>
              </w:numPr>
              <w:rPr>
                <w:rFonts w:ascii="Calibri Light" w:hAnsi="Calibri Light"/>
              </w:rPr>
            </w:pPr>
            <w:r w:rsidRPr="0047594F">
              <w:rPr>
                <w:rFonts w:ascii="Calibri Light" w:hAnsi="Calibri Light"/>
              </w:rPr>
              <w:t xml:space="preserve">Fecha </w:t>
            </w:r>
          </w:p>
        </w:tc>
        <w:tc>
          <w:tcPr>
            <w:tcW w:w="5070" w:type="dxa"/>
            <w:gridSpan w:val="2"/>
          </w:tcPr>
          <w:p w14:paraId="1C803DF5" w14:textId="0C100329" w:rsidR="007F0D54" w:rsidRPr="0047594F" w:rsidRDefault="007F0D54" w:rsidP="00BB61C6">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47594F">
              <w:rPr>
                <w:rFonts w:ascii="Calibri Light" w:hAnsi="Calibri Light"/>
              </w:rPr>
              <w:t>25 de octubre de 2017</w:t>
            </w:r>
          </w:p>
        </w:tc>
      </w:tr>
      <w:tr w:rsidR="007F0D54" w:rsidRPr="0047594F" w14:paraId="1A0D058F" w14:textId="77777777" w:rsidTr="005E3343">
        <w:trPr>
          <w:trHeight w:val="513"/>
        </w:trPr>
        <w:tc>
          <w:tcPr>
            <w:cnfStyle w:val="001000000000" w:firstRow="0" w:lastRow="0" w:firstColumn="1" w:lastColumn="0" w:oddVBand="0" w:evenVBand="0" w:oddHBand="0" w:evenHBand="0" w:firstRowFirstColumn="0" w:firstRowLastColumn="0" w:lastRowFirstColumn="0" w:lastRowLastColumn="0"/>
            <w:tcW w:w="3697" w:type="dxa"/>
          </w:tcPr>
          <w:p w14:paraId="661C9E19" w14:textId="1119002C" w:rsidR="007F0D54" w:rsidRPr="0047594F" w:rsidRDefault="007F0D54" w:rsidP="00A65231">
            <w:pPr>
              <w:pStyle w:val="ListParagraph"/>
              <w:numPr>
                <w:ilvl w:val="0"/>
                <w:numId w:val="3"/>
              </w:numPr>
              <w:rPr>
                <w:rFonts w:ascii="Calibri Light" w:hAnsi="Calibri Light"/>
              </w:rPr>
            </w:pPr>
            <w:r w:rsidRPr="0047594F">
              <w:rPr>
                <w:rFonts w:ascii="Calibri Light" w:hAnsi="Calibri Light"/>
              </w:rPr>
              <w:t>Decisiones de la CIDH y/o la Corte IDH, relacionadas</w:t>
            </w:r>
          </w:p>
        </w:tc>
        <w:tc>
          <w:tcPr>
            <w:tcW w:w="5070" w:type="dxa"/>
            <w:gridSpan w:val="2"/>
            <w:vAlign w:val="center"/>
          </w:tcPr>
          <w:p w14:paraId="72EA1AA4" w14:textId="2B5F0453" w:rsidR="007F0D54" w:rsidRPr="0047594F" w:rsidRDefault="00A8142B" w:rsidP="00A8142B">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Caso Montesinos Mejía vs. Ecuador (</w:t>
            </w:r>
            <w:hyperlink r:id="rId13" w:history="1">
              <w:r w:rsidRPr="00A8142B">
                <w:rPr>
                  <w:rStyle w:val="Hyperlink"/>
                  <w:rFonts w:ascii="Calibri Light" w:hAnsi="Calibri Light"/>
                </w:rPr>
                <w:t>Sentencia de 27 de enero de 2020</w:t>
              </w:r>
            </w:hyperlink>
            <w:r>
              <w:rPr>
                <w:rFonts w:ascii="Calibri Light" w:hAnsi="Calibri Light"/>
              </w:rPr>
              <w:t>)</w:t>
            </w:r>
          </w:p>
        </w:tc>
      </w:tr>
      <w:tr w:rsidR="0047594F" w:rsidRPr="0047594F" w14:paraId="570485B4" w14:textId="77777777" w:rsidTr="006601D0">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3697" w:type="dxa"/>
            <w:vMerge w:val="restart"/>
          </w:tcPr>
          <w:p w14:paraId="3FCF8D6E" w14:textId="568477D0" w:rsidR="0047594F" w:rsidRPr="0047594F" w:rsidRDefault="0047594F" w:rsidP="00A65231">
            <w:pPr>
              <w:pStyle w:val="ListParagraph"/>
              <w:numPr>
                <w:ilvl w:val="0"/>
                <w:numId w:val="3"/>
              </w:numPr>
              <w:rPr>
                <w:rFonts w:ascii="Calibri Light" w:hAnsi="Calibri Light"/>
              </w:rPr>
            </w:pPr>
            <w:r w:rsidRPr="0047594F">
              <w:rPr>
                <w:rFonts w:ascii="Calibri Light" w:hAnsi="Calibri Light"/>
              </w:rPr>
              <w:t>Artículos analizados</w:t>
            </w:r>
          </w:p>
        </w:tc>
        <w:tc>
          <w:tcPr>
            <w:tcW w:w="5070" w:type="dxa"/>
            <w:gridSpan w:val="2"/>
          </w:tcPr>
          <w:p w14:paraId="18718B95" w14:textId="47302E60" w:rsidR="0047594F" w:rsidRPr="0047594F" w:rsidRDefault="0047594F" w:rsidP="00AC6F31">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47594F">
              <w:rPr>
                <w:rFonts w:ascii="Calibri Light" w:hAnsi="Calibri Light"/>
              </w:rPr>
              <w:t>Convención Americana sobre Derechos Humanos</w:t>
            </w:r>
          </w:p>
        </w:tc>
      </w:tr>
      <w:tr w:rsidR="0047594F" w:rsidRPr="0047594F" w14:paraId="5172B2A3" w14:textId="77777777" w:rsidTr="006601D0">
        <w:trPr>
          <w:trHeight w:val="106"/>
        </w:trPr>
        <w:tc>
          <w:tcPr>
            <w:cnfStyle w:val="001000000000" w:firstRow="0" w:lastRow="0" w:firstColumn="1" w:lastColumn="0" w:oddVBand="0" w:evenVBand="0" w:oddHBand="0" w:evenHBand="0" w:firstRowFirstColumn="0" w:firstRowLastColumn="0" w:lastRowFirstColumn="0" w:lastRowLastColumn="0"/>
            <w:tcW w:w="3697" w:type="dxa"/>
            <w:vMerge/>
            <w:shd w:val="clear" w:color="auto" w:fill="DBE5F1" w:themeFill="accent1" w:themeFillTint="33"/>
          </w:tcPr>
          <w:p w14:paraId="41FA0205" w14:textId="77777777" w:rsidR="0047594F" w:rsidRPr="0047594F" w:rsidRDefault="0047594F" w:rsidP="00A65231">
            <w:pPr>
              <w:pStyle w:val="ListParagraph"/>
              <w:numPr>
                <w:ilvl w:val="0"/>
                <w:numId w:val="3"/>
              </w:numPr>
              <w:rPr>
                <w:rFonts w:ascii="Calibri Light" w:hAnsi="Calibri Light"/>
              </w:rPr>
            </w:pPr>
          </w:p>
        </w:tc>
        <w:tc>
          <w:tcPr>
            <w:tcW w:w="2534" w:type="dxa"/>
            <w:shd w:val="clear" w:color="auto" w:fill="auto"/>
          </w:tcPr>
          <w:p w14:paraId="4B3143F5" w14:textId="01767E4B" w:rsidR="0047594F" w:rsidRPr="0047594F" w:rsidRDefault="0047594F" w:rsidP="00AC6F31">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47594F">
              <w:rPr>
                <w:rFonts w:ascii="Calibri Light" w:hAnsi="Calibri Light"/>
              </w:rPr>
              <w:t>Artículos analizados declarados violados</w:t>
            </w:r>
          </w:p>
        </w:tc>
        <w:tc>
          <w:tcPr>
            <w:tcW w:w="2535" w:type="dxa"/>
            <w:shd w:val="clear" w:color="auto" w:fill="auto"/>
          </w:tcPr>
          <w:p w14:paraId="2F2C4C2A" w14:textId="39D7AF3B" w:rsidR="0047594F" w:rsidRPr="0047594F" w:rsidRDefault="0047594F" w:rsidP="00AC6F31">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47594F">
              <w:rPr>
                <w:rFonts w:ascii="Calibri Light" w:hAnsi="Calibri Light"/>
              </w:rPr>
              <w:t>Artículos analizados no declarados violados</w:t>
            </w:r>
          </w:p>
        </w:tc>
      </w:tr>
      <w:tr w:rsidR="0047594F" w:rsidRPr="0047594F" w14:paraId="6B5911F4" w14:textId="77777777" w:rsidTr="006601D0">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3697" w:type="dxa"/>
            <w:vMerge/>
          </w:tcPr>
          <w:p w14:paraId="383BE6B7" w14:textId="77777777" w:rsidR="0047594F" w:rsidRPr="0047594F" w:rsidRDefault="0047594F" w:rsidP="00A65231">
            <w:pPr>
              <w:pStyle w:val="ListParagraph"/>
              <w:numPr>
                <w:ilvl w:val="0"/>
                <w:numId w:val="3"/>
              </w:numPr>
              <w:rPr>
                <w:rFonts w:ascii="Calibri Light" w:hAnsi="Calibri Light"/>
              </w:rPr>
            </w:pPr>
          </w:p>
        </w:tc>
        <w:tc>
          <w:tcPr>
            <w:tcW w:w="2534" w:type="dxa"/>
          </w:tcPr>
          <w:p w14:paraId="3F6EAA6C" w14:textId="632DEF9C" w:rsidR="0047594F" w:rsidRPr="0047594F" w:rsidRDefault="00241851" w:rsidP="00340398">
            <w:pPr>
              <w:jc w:val="both"/>
              <w:cnfStyle w:val="000000100000" w:firstRow="0" w:lastRow="0" w:firstColumn="0" w:lastColumn="0" w:oddVBand="0" w:evenVBand="0" w:oddHBand="1" w:evenHBand="0" w:firstRowFirstColumn="0" w:firstRowLastColumn="0" w:lastRowFirstColumn="0" w:lastRowLastColumn="0"/>
              <w:rPr>
                <w:rFonts w:ascii="Calibri Light" w:hAnsi="Calibri Light"/>
                <w:lang w:val="en-US"/>
              </w:rPr>
            </w:pPr>
            <w:r>
              <w:rPr>
                <w:rFonts w:ascii="Calibri Light" w:hAnsi="Calibri Light"/>
                <w:lang w:val="en-US"/>
              </w:rPr>
              <w:t>Art. 1, art. 2, a</w:t>
            </w:r>
            <w:r w:rsidR="0047594F" w:rsidRPr="0047594F">
              <w:rPr>
                <w:rFonts w:ascii="Calibri Light" w:hAnsi="Calibri Light"/>
                <w:lang w:val="en-US"/>
              </w:rPr>
              <w:t>rt. 5, art. 7, art. 8, art. 24, art. 25</w:t>
            </w:r>
          </w:p>
        </w:tc>
        <w:tc>
          <w:tcPr>
            <w:tcW w:w="2535" w:type="dxa"/>
          </w:tcPr>
          <w:p w14:paraId="6D0EC99A" w14:textId="46624C7F" w:rsidR="0047594F" w:rsidRPr="0047594F" w:rsidRDefault="0047594F" w:rsidP="00AC6F31">
            <w:pPr>
              <w:jc w:val="both"/>
              <w:cnfStyle w:val="000000100000" w:firstRow="0" w:lastRow="0" w:firstColumn="0" w:lastColumn="0" w:oddVBand="0" w:evenVBand="0" w:oddHBand="1" w:evenHBand="0" w:firstRowFirstColumn="0" w:firstRowLastColumn="0" w:lastRowFirstColumn="0" w:lastRowLastColumn="0"/>
              <w:rPr>
                <w:rFonts w:ascii="Calibri Light" w:hAnsi="Calibri Light"/>
                <w:lang w:val="en-US"/>
              </w:rPr>
            </w:pPr>
            <w:r>
              <w:rPr>
                <w:rFonts w:ascii="Calibri Light" w:hAnsi="Calibri Light"/>
                <w:lang w:val="en-US"/>
              </w:rPr>
              <w:t>-</w:t>
            </w:r>
          </w:p>
        </w:tc>
      </w:tr>
      <w:tr w:rsidR="0047594F" w:rsidRPr="0047594F" w14:paraId="6ADA70FC" w14:textId="77777777" w:rsidTr="006601D0">
        <w:trPr>
          <w:trHeight w:val="201"/>
        </w:trPr>
        <w:tc>
          <w:tcPr>
            <w:cnfStyle w:val="001000000000" w:firstRow="0" w:lastRow="0" w:firstColumn="1" w:lastColumn="0" w:oddVBand="0" w:evenVBand="0" w:oddHBand="0" w:evenHBand="0" w:firstRowFirstColumn="0" w:firstRowLastColumn="0" w:lastRowFirstColumn="0" w:lastRowLastColumn="0"/>
            <w:tcW w:w="3697" w:type="dxa"/>
            <w:vMerge/>
          </w:tcPr>
          <w:p w14:paraId="49E6D737" w14:textId="77777777" w:rsidR="0047594F" w:rsidRPr="0047594F" w:rsidRDefault="0047594F" w:rsidP="00A65231">
            <w:pPr>
              <w:pStyle w:val="ListParagraph"/>
              <w:numPr>
                <w:ilvl w:val="0"/>
                <w:numId w:val="3"/>
              </w:numPr>
              <w:rPr>
                <w:rFonts w:ascii="Calibri Light" w:hAnsi="Calibri Light"/>
              </w:rPr>
            </w:pPr>
          </w:p>
        </w:tc>
        <w:tc>
          <w:tcPr>
            <w:tcW w:w="5070" w:type="dxa"/>
            <w:gridSpan w:val="2"/>
          </w:tcPr>
          <w:p w14:paraId="6DDDA39B" w14:textId="448B88B0" w:rsidR="0047594F" w:rsidRPr="002C4052" w:rsidRDefault="0047594F" w:rsidP="00AC6F31">
            <w:pPr>
              <w:jc w:val="both"/>
              <w:cnfStyle w:val="000000000000" w:firstRow="0" w:lastRow="0" w:firstColumn="0" w:lastColumn="0" w:oddVBand="0" w:evenVBand="0" w:oddHBand="0" w:evenHBand="0" w:firstRowFirstColumn="0" w:firstRowLastColumn="0" w:lastRowFirstColumn="0" w:lastRowLastColumn="0"/>
              <w:rPr>
                <w:rFonts w:ascii="Calibri Light" w:hAnsi="Calibri Light"/>
                <w:lang w:val="es-PE"/>
              </w:rPr>
            </w:pPr>
            <w:r w:rsidRPr="0047594F">
              <w:rPr>
                <w:rFonts w:ascii="Calibri Light" w:hAnsi="Calibri Light"/>
              </w:rPr>
              <w:t>Convención Interamericana para Prevenir y Sancionar la Tortura</w:t>
            </w:r>
          </w:p>
        </w:tc>
      </w:tr>
      <w:tr w:rsidR="0047594F" w:rsidRPr="0047594F" w14:paraId="51A6920A" w14:textId="77777777" w:rsidTr="006601D0">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3697" w:type="dxa"/>
            <w:vMerge/>
          </w:tcPr>
          <w:p w14:paraId="3B718CA9" w14:textId="77777777" w:rsidR="0047594F" w:rsidRPr="0047594F" w:rsidRDefault="0047594F" w:rsidP="00A65231">
            <w:pPr>
              <w:pStyle w:val="ListParagraph"/>
              <w:numPr>
                <w:ilvl w:val="0"/>
                <w:numId w:val="3"/>
              </w:numPr>
              <w:rPr>
                <w:rFonts w:ascii="Calibri Light" w:hAnsi="Calibri Light"/>
              </w:rPr>
            </w:pPr>
          </w:p>
        </w:tc>
        <w:tc>
          <w:tcPr>
            <w:tcW w:w="2534" w:type="dxa"/>
          </w:tcPr>
          <w:p w14:paraId="0E2DFD8C" w14:textId="39AD7A8C" w:rsidR="0047594F" w:rsidRDefault="0047594F" w:rsidP="00340398">
            <w:pPr>
              <w:jc w:val="both"/>
              <w:cnfStyle w:val="000000100000" w:firstRow="0" w:lastRow="0" w:firstColumn="0" w:lastColumn="0" w:oddVBand="0" w:evenVBand="0" w:oddHBand="1" w:evenHBand="0" w:firstRowFirstColumn="0" w:firstRowLastColumn="0" w:lastRowFirstColumn="0" w:lastRowLastColumn="0"/>
              <w:rPr>
                <w:rFonts w:ascii="Calibri Light" w:hAnsi="Calibri Light"/>
                <w:lang w:val="en-US"/>
              </w:rPr>
            </w:pPr>
            <w:r w:rsidRPr="0047594F">
              <w:rPr>
                <w:rFonts w:ascii="Calibri Light" w:hAnsi="Calibri Light"/>
              </w:rPr>
              <w:t>Artículos analizados declarados violados</w:t>
            </w:r>
          </w:p>
        </w:tc>
        <w:tc>
          <w:tcPr>
            <w:tcW w:w="2535" w:type="dxa"/>
          </w:tcPr>
          <w:p w14:paraId="1564A8A5" w14:textId="765CD9F7" w:rsidR="0047594F" w:rsidRPr="002C4052" w:rsidRDefault="0047594F" w:rsidP="00AC6F31">
            <w:pPr>
              <w:jc w:val="both"/>
              <w:cnfStyle w:val="000000100000" w:firstRow="0" w:lastRow="0" w:firstColumn="0" w:lastColumn="0" w:oddVBand="0" w:evenVBand="0" w:oddHBand="1" w:evenHBand="0" w:firstRowFirstColumn="0" w:firstRowLastColumn="0" w:lastRowFirstColumn="0" w:lastRowLastColumn="0"/>
              <w:rPr>
                <w:rFonts w:ascii="Calibri Light" w:hAnsi="Calibri Light"/>
                <w:lang w:val="es-PE"/>
              </w:rPr>
            </w:pPr>
            <w:r w:rsidRPr="0047594F">
              <w:rPr>
                <w:rFonts w:ascii="Calibri Light" w:hAnsi="Calibri Light"/>
              </w:rPr>
              <w:t>Artículos analizados no declarados violados</w:t>
            </w:r>
          </w:p>
        </w:tc>
      </w:tr>
      <w:tr w:rsidR="0047594F" w:rsidRPr="0047594F" w14:paraId="67968912" w14:textId="77777777" w:rsidTr="006601D0">
        <w:trPr>
          <w:trHeight w:val="130"/>
        </w:trPr>
        <w:tc>
          <w:tcPr>
            <w:cnfStyle w:val="001000000000" w:firstRow="0" w:lastRow="0" w:firstColumn="1" w:lastColumn="0" w:oddVBand="0" w:evenVBand="0" w:oddHBand="0" w:evenHBand="0" w:firstRowFirstColumn="0" w:firstRowLastColumn="0" w:lastRowFirstColumn="0" w:lastRowLastColumn="0"/>
            <w:tcW w:w="3697" w:type="dxa"/>
            <w:vMerge/>
          </w:tcPr>
          <w:p w14:paraId="4AFD85EF" w14:textId="77777777" w:rsidR="0047594F" w:rsidRPr="0047594F" w:rsidRDefault="0047594F" w:rsidP="00A65231">
            <w:pPr>
              <w:pStyle w:val="ListParagraph"/>
              <w:numPr>
                <w:ilvl w:val="0"/>
                <w:numId w:val="3"/>
              </w:numPr>
              <w:rPr>
                <w:rFonts w:ascii="Calibri Light" w:hAnsi="Calibri Light"/>
              </w:rPr>
            </w:pPr>
          </w:p>
        </w:tc>
        <w:tc>
          <w:tcPr>
            <w:tcW w:w="2534" w:type="dxa"/>
          </w:tcPr>
          <w:p w14:paraId="7B0802B4" w14:textId="7451AAC3" w:rsidR="0047594F" w:rsidRDefault="0047594F" w:rsidP="00340398">
            <w:pPr>
              <w:jc w:val="both"/>
              <w:cnfStyle w:val="000000000000" w:firstRow="0" w:lastRow="0" w:firstColumn="0" w:lastColumn="0" w:oddVBand="0" w:evenVBand="0" w:oddHBand="0" w:evenHBand="0" w:firstRowFirstColumn="0" w:firstRowLastColumn="0" w:lastRowFirstColumn="0" w:lastRowLastColumn="0"/>
              <w:rPr>
                <w:rFonts w:ascii="Calibri Light" w:hAnsi="Calibri Light"/>
                <w:lang w:val="en-US"/>
              </w:rPr>
            </w:pPr>
            <w:r w:rsidRPr="0047594F">
              <w:rPr>
                <w:rFonts w:ascii="Calibri Light" w:hAnsi="Calibri Light"/>
              </w:rPr>
              <w:t>Art.1, art. 6, art. 8</w:t>
            </w:r>
          </w:p>
        </w:tc>
        <w:tc>
          <w:tcPr>
            <w:tcW w:w="2535" w:type="dxa"/>
          </w:tcPr>
          <w:p w14:paraId="7D5CAE45" w14:textId="2D57CAEE" w:rsidR="0047594F" w:rsidRPr="0047594F" w:rsidRDefault="000456ED" w:rsidP="00AC6F31">
            <w:pPr>
              <w:jc w:val="both"/>
              <w:cnfStyle w:val="000000000000" w:firstRow="0" w:lastRow="0" w:firstColumn="0" w:lastColumn="0" w:oddVBand="0" w:evenVBand="0" w:oddHBand="0" w:evenHBand="0" w:firstRowFirstColumn="0" w:firstRowLastColumn="0" w:lastRowFirstColumn="0" w:lastRowLastColumn="0"/>
              <w:rPr>
                <w:rFonts w:ascii="Calibri Light" w:hAnsi="Calibri Light"/>
                <w:lang w:val="en-US"/>
              </w:rPr>
            </w:pPr>
            <w:r>
              <w:rPr>
                <w:rFonts w:ascii="Calibri Light" w:hAnsi="Calibri Light"/>
                <w:lang w:val="en-US"/>
              </w:rPr>
              <w:t>-</w:t>
            </w:r>
          </w:p>
        </w:tc>
      </w:tr>
      <w:tr w:rsidR="0047594F" w:rsidRPr="0047594F" w14:paraId="54B7813B" w14:textId="77777777" w:rsidTr="006601D0">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8767" w:type="dxa"/>
            <w:gridSpan w:val="3"/>
          </w:tcPr>
          <w:p w14:paraId="6D4895DD" w14:textId="77777777" w:rsidR="0047594F" w:rsidRPr="0047594F" w:rsidRDefault="0047594F" w:rsidP="00AC6F31">
            <w:pPr>
              <w:pStyle w:val="ListParagraph"/>
              <w:rPr>
                <w:rFonts w:ascii="Calibri Light" w:hAnsi="Calibri Light"/>
              </w:rPr>
            </w:pPr>
          </w:p>
          <w:p w14:paraId="1ECE5967" w14:textId="77777777" w:rsidR="0047594F" w:rsidRPr="0047594F" w:rsidRDefault="0047594F" w:rsidP="0029671B">
            <w:pPr>
              <w:pStyle w:val="ListParagraph"/>
              <w:numPr>
                <w:ilvl w:val="0"/>
                <w:numId w:val="2"/>
              </w:numPr>
              <w:jc w:val="center"/>
              <w:rPr>
                <w:rFonts w:ascii="Calibri Light" w:hAnsi="Calibri Light"/>
              </w:rPr>
            </w:pPr>
            <w:r w:rsidRPr="0047594F">
              <w:rPr>
                <w:rFonts w:ascii="Calibri Light" w:hAnsi="Calibri Light"/>
              </w:rPr>
              <w:t>Sumilla</w:t>
            </w:r>
          </w:p>
          <w:p w14:paraId="009AFBB8" w14:textId="77777777" w:rsidR="0047594F" w:rsidRPr="0047594F" w:rsidRDefault="0047594F" w:rsidP="00AC6F31">
            <w:pPr>
              <w:pStyle w:val="ListParagraph"/>
              <w:rPr>
                <w:rFonts w:ascii="Calibri Light" w:hAnsi="Calibri Light"/>
              </w:rPr>
            </w:pPr>
          </w:p>
        </w:tc>
      </w:tr>
      <w:tr w:rsidR="0047594F" w:rsidRPr="0047594F" w14:paraId="6B670455" w14:textId="77777777" w:rsidTr="00F978DF">
        <w:trPr>
          <w:trHeight w:val="892"/>
        </w:trPr>
        <w:tc>
          <w:tcPr>
            <w:cnfStyle w:val="001000000000" w:firstRow="0" w:lastRow="0" w:firstColumn="1" w:lastColumn="0" w:oddVBand="0" w:evenVBand="0" w:oddHBand="0" w:evenHBand="0" w:firstRowFirstColumn="0" w:firstRowLastColumn="0" w:lastRowFirstColumn="0" w:lastRowLastColumn="0"/>
            <w:tcW w:w="8767" w:type="dxa"/>
            <w:gridSpan w:val="3"/>
            <w:vAlign w:val="center"/>
          </w:tcPr>
          <w:p w14:paraId="30B8BA9C" w14:textId="77777777" w:rsidR="00F978DF" w:rsidRDefault="00F978DF" w:rsidP="00F978DF">
            <w:pPr>
              <w:jc w:val="both"/>
              <w:rPr>
                <w:rFonts w:ascii="Calibri Light" w:hAnsi="Calibri Light"/>
                <w:b w:val="0"/>
                <w:lang w:val="es-PE"/>
              </w:rPr>
            </w:pPr>
          </w:p>
          <w:p w14:paraId="39DBB18A" w14:textId="305AE72E" w:rsidR="005E3343" w:rsidRDefault="00F978DF" w:rsidP="00F978DF">
            <w:pPr>
              <w:jc w:val="both"/>
              <w:rPr>
                <w:rFonts w:ascii="Calibri Light" w:hAnsi="Calibri Light"/>
                <w:b w:val="0"/>
              </w:rPr>
            </w:pPr>
            <w:r>
              <w:rPr>
                <w:rFonts w:ascii="Calibri Light" w:hAnsi="Calibri Light"/>
                <w:b w:val="0"/>
                <w:lang w:val="es-PE"/>
              </w:rPr>
              <w:t>E</w:t>
            </w:r>
            <w:r w:rsidR="0047594F" w:rsidRPr="0047594F">
              <w:rPr>
                <w:rFonts w:ascii="Calibri Light" w:hAnsi="Calibri Light"/>
                <w:b w:val="0"/>
                <w:lang w:val="es-PE"/>
              </w:rPr>
              <w:t xml:space="preserve">l caso trata sobre la detención de Mario Montesinos Mejía </w:t>
            </w:r>
            <w:r w:rsidR="00CA7E9E">
              <w:rPr>
                <w:rFonts w:ascii="Calibri Light" w:hAnsi="Calibri Light"/>
                <w:b w:val="0"/>
                <w:lang w:val="es-PE"/>
              </w:rPr>
              <w:t xml:space="preserve">por haber encontrado en su casa armas. </w:t>
            </w:r>
            <w:r w:rsidR="00FA2E08">
              <w:rPr>
                <w:rFonts w:ascii="Calibri Light" w:hAnsi="Calibri Light"/>
                <w:b w:val="0"/>
                <w:lang w:val="es-PE"/>
              </w:rPr>
              <w:t>Su detención</w:t>
            </w:r>
            <w:r w:rsidR="00CA7E9E">
              <w:rPr>
                <w:rFonts w:ascii="Calibri Light" w:hAnsi="Calibri Light"/>
                <w:b w:val="0"/>
                <w:lang w:val="es-PE"/>
              </w:rPr>
              <w:t xml:space="preserve"> se llevó a cabo en el marco </w:t>
            </w:r>
            <w:r w:rsidR="000E306C">
              <w:rPr>
                <w:rFonts w:ascii="Calibri Light" w:hAnsi="Calibri Light"/>
                <w:b w:val="0"/>
                <w:lang w:val="es-PE"/>
              </w:rPr>
              <w:t>de la “</w:t>
            </w:r>
            <w:r w:rsidR="000E306C">
              <w:rPr>
                <w:rFonts w:ascii="Calibri Light" w:hAnsi="Calibri Light"/>
                <w:b w:val="0"/>
              </w:rPr>
              <w:t>O</w:t>
            </w:r>
            <w:r w:rsidR="000E306C" w:rsidRPr="0047594F">
              <w:rPr>
                <w:rFonts w:ascii="Calibri Light" w:hAnsi="Calibri Light"/>
                <w:b w:val="0"/>
              </w:rPr>
              <w:t>peración</w:t>
            </w:r>
            <w:r w:rsidR="000E306C">
              <w:rPr>
                <w:rFonts w:ascii="Calibri Light" w:hAnsi="Calibri Light"/>
                <w:b w:val="0"/>
              </w:rPr>
              <w:t xml:space="preserve"> </w:t>
            </w:r>
            <w:r w:rsidR="000E306C" w:rsidRPr="0047594F">
              <w:rPr>
                <w:rFonts w:ascii="Calibri Light" w:hAnsi="Calibri Light"/>
                <w:b w:val="0"/>
              </w:rPr>
              <w:t>Ciclón”</w:t>
            </w:r>
            <w:r w:rsidR="000C6A47">
              <w:rPr>
                <w:rFonts w:ascii="Calibri Light" w:hAnsi="Calibri Light"/>
                <w:b w:val="0"/>
              </w:rPr>
              <w:t>, que</w:t>
            </w:r>
            <w:r w:rsidR="000E306C">
              <w:rPr>
                <w:rFonts w:ascii="Calibri Light" w:hAnsi="Calibri Light"/>
                <w:b w:val="0"/>
              </w:rPr>
              <w:t xml:space="preserve"> </w:t>
            </w:r>
            <w:r w:rsidR="000C6A47">
              <w:rPr>
                <w:rFonts w:ascii="Calibri Light" w:hAnsi="Calibri Light"/>
                <w:b w:val="0"/>
              </w:rPr>
              <w:t>tenía como propósito</w:t>
            </w:r>
            <w:r w:rsidR="000E306C" w:rsidRPr="0047594F">
              <w:rPr>
                <w:rFonts w:ascii="Calibri Light" w:hAnsi="Calibri Light"/>
                <w:b w:val="0"/>
              </w:rPr>
              <w:t xml:space="preserve"> desarticular a una gran organización de narcotráfico</w:t>
            </w:r>
            <w:r w:rsidR="000E306C">
              <w:rPr>
                <w:rFonts w:ascii="Calibri Light" w:hAnsi="Calibri Light"/>
                <w:b w:val="0"/>
              </w:rPr>
              <w:t>.</w:t>
            </w:r>
            <w:r w:rsidR="00CA7E9E">
              <w:rPr>
                <w:rFonts w:ascii="Calibri Light" w:hAnsi="Calibri Light"/>
                <w:b w:val="0"/>
              </w:rPr>
              <w:t xml:space="preserve"> Por estos hechos, se le aplicó la medida de prisión preventiva durante seis años, en base al artículo 177 del Código de Procedimientos Penal que establecía que para ello bastaba la existencia de indicios de responsabilidad. Asimismo, se abrieron tres procesos en su contra que tardaron en resolverse al menos seis años. </w:t>
            </w:r>
            <w:r w:rsidR="00FA2E08">
              <w:rPr>
                <w:rFonts w:ascii="Calibri Light" w:hAnsi="Calibri Light"/>
                <w:b w:val="0"/>
              </w:rPr>
              <w:t>Además, mientras estuvo detenido</w:t>
            </w:r>
            <w:r w:rsidR="00CA7E9E">
              <w:rPr>
                <w:rFonts w:ascii="Calibri Light" w:hAnsi="Calibri Light"/>
                <w:b w:val="0"/>
              </w:rPr>
              <w:t xml:space="preserve">, el señor </w:t>
            </w:r>
            <w:r w:rsidR="00FA2E08">
              <w:rPr>
                <w:rFonts w:ascii="Calibri Light" w:hAnsi="Calibri Light"/>
                <w:b w:val="0"/>
              </w:rPr>
              <w:t xml:space="preserve">Montesinos sufrió tratos crueles, inhumanos y degradantes. </w:t>
            </w:r>
          </w:p>
          <w:p w14:paraId="1EE5A7E7" w14:textId="6D64024A" w:rsidR="00F978DF" w:rsidRPr="0047594F" w:rsidRDefault="00F978DF" w:rsidP="00F978DF">
            <w:pPr>
              <w:jc w:val="both"/>
              <w:rPr>
                <w:rFonts w:ascii="Calibri Light" w:hAnsi="Calibri Light"/>
                <w:b w:val="0"/>
              </w:rPr>
            </w:pPr>
          </w:p>
        </w:tc>
      </w:tr>
      <w:tr w:rsidR="0047594F" w:rsidRPr="0047594F" w14:paraId="238A2196" w14:textId="77777777" w:rsidTr="006601D0">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8767" w:type="dxa"/>
            <w:gridSpan w:val="3"/>
          </w:tcPr>
          <w:p w14:paraId="76D9AAF2" w14:textId="77777777" w:rsidR="0047594F" w:rsidRPr="0047594F" w:rsidRDefault="0047594F" w:rsidP="00AC6F31">
            <w:pPr>
              <w:pStyle w:val="ListParagraph"/>
              <w:rPr>
                <w:rFonts w:ascii="Calibri Light" w:hAnsi="Calibri Light"/>
              </w:rPr>
            </w:pPr>
          </w:p>
          <w:p w14:paraId="6E7AC4B8" w14:textId="77777777" w:rsidR="0047594F" w:rsidRPr="0047594F" w:rsidRDefault="0047594F" w:rsidP="0029671B">
            <w:pPr>
              <w:pStyle w:val="ListParagraph"/>
              <w:numPr>
                <w:ilvl w:val="0"/>
                <w:numId w:val="2"/>
              </w:numPr>
              <w:jc w:val="center"/>
              <w:rPr>
                <w:rFonts w:ascii="Calibri Light" w:hAnsi="Calibri Light"/>
              </w:rPr>
            </w:pPr>
            <w:r w:rsidRPr="0047594F">
              <w:rPr>
                <w:rFonts w:ascii="Calibri Light" w:hAnsi="Calibri Light"/>
              </w:rPr>
              <w:t>Palabras clave</w:t>
            </w:r>
          </w:p>
          <w:p w14:paraId="6A1E32A7" w14:textId="77777777" w:rsidR="0047594F" w:rsidRPr="0047594F" w:rsidRDefault="0047594F" w:rsidP="00AC6F31">
            <w:pPr>
              <w:pStyle w:val="ListParagraph"/>
              <w:rPr>
                <w:rFonts w:ascii="Calibri Light" w:hAnsi="Calibri Light"/>
              </w:rPr>
            </w:pPr>
          </w:p>
        </w:tc>
      </w:tr>
      <w:tr w:rsidR="0047594F" w:rsidRPr="0047594F" w14:paraId="34AE2D45" w14:textId="77777777" w:rsidTr="006601D0">
        <w:trPr>
          <w:trHeight w:val="434"/>
        </w:trPr>
        <w:tc>
          <w:tcPr>
            <w:cnfStyle w:val="001000000000" w:firstRow="0" w:lastRow="0" w:firstColumn="1" w:lastColumn="0" w:oddVBand="0" w:evenVBand="0" w:oddHBand="0" w:evenHBand="0" w:firstRowFirstColumn="0" w:firstRowLastColumn="0" w:lastRowFirstColumn="0" w:lastRowLastColumn="0"/>
            <w:tcW w:w="8767" w:type="dxa"/>
            <w:gridSpan w:val="3"/>
          </w:tcPr>
          <w:p w14:paraId="7AE7A6F5" w14:textId="77777777" w:rsidR="005E3343" w:rsidRDefault="005E3343" w:rsidP="005D4FDF">
            <w:pPr>
              <w:jc w:val="both"/>
              <w:rPr>
                <w:rFonts w:ascii="Calibri Light" w:hAnsi="Calibri Light"/>
                <w:b w:val="0"/>
              </w:rPr>
            </w:pPr>
          </w:p>
          <w:p w14:paraId="23FCF480" w14:textId="1F27308B" w:rsidR="0047594F" w:rsidRDefault="0047594F" w:rsidP="005D4FDF">
            <w:pPr>
              <w:jc w:val="both"/>
              <w:rPr>
                <w:rFonts w:ascii="Calibri Light" w:hAnsi="Calibri Light"/>
                <w:b w:val="0"/>
              </w:rPr>
            </w:pPr>
            <w:r w:rsidRPr="0047594F">
              <w:rPr>
                <w:rFonts w:ascii="Calibri Light" w:hAnsi="Calibri Light"/>
                <w:b w:val="0"/>
              </w:rPr>
              <w:t xml:space="preserve">CIPST, </w:t>
            </w:r>
            <w:r w:rsidR="00E3576E">
              <w:rPr>
                <w:rFonts w:ascii="Calibri Light" w:hAnsi="Calibri Light"/>
                <w:b w:val="0"/>
              </w:rPr>
              <w:t xml:space="preserve">Condiciones de detención, </w:t>
            </w:r>
            <w:r w:rsidRPr="0047594F">
              <w:rPr>
                <w:rFonts w:ascii="Calibri Light" w:hAnsi="Calibri Light"/>
                <w:b w:val="0"/>
              </w:rPr>
              <w:t>Libertad personal, Prisión preventiva, Tortura tratos crueles inhumanos o degradantes, Protección judicial y garantías judiciales, Integridad personal</w:t>
            </w:r>
          </w:p>
          <w:p w14:paraId="05374712" w14:textId="13688696" w:rsidR="005E3343" w:rsidRPr="006601D0" w:rsidRDefault="005E3343" w:rsidP="005D4FDF">
            <w:pPr>
              <w:jc w:val="both"/>
              <w:rPr>
                <w:rFonts w:ascii="Calibri Light" w:hAnsi="Calibri Light"/>
                <w:b w:val="0"/>
              </w:rPr>
            </w:pPr>
          </w:p>
        </w:tc>
      </w:tr>
      <w:tr w:rsidR="0047594F" w:rsidRPr="0047594F" w14:paraId="69044E7B" w14:textId="77777777" w:rsidTr="006601D0">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8767" w:type="dxa"/>
            <w:gridSpan w:val="3"/>
          </w:tcPr>
          <w:p w14:paraId="23949460" w14:textId="77777777" w:rsidR="0047594F" w:rsidRPr="0047594F" w:rsidRDefault="0047594F" w:rsidP="00AC6F31">
            <w:pPr>
              <w:pStyle w:val="ListParagraph"/>
              <w:rPr>
                <w:rFonts w:ascii="Calibri Light" w:hAnsi="Calibri Light"/>
              </w:rPr>
            </w:pPr>
          </w:p>
          <w:p w14:paraId="177FF988" w14:textId="77777777" w:rsidR="0047594F" w:rsidRPr="0047594F" w:rsidRDefault="0047594F" w:rsidP="0029671B">
            <w:pPr>
              <w:pStyle w:val="ListParagraph"/>
              <w:numPr>
                <w:ilvl w:val="0"/>
                <w:numId w:val="2"/>
              </w:numPr>
              <w:jc w:val="center"/>
              <w:rPr>
                <w:rFonts w:ascii="Calibri Light" w:hAnsi="Calibri Light"/>
              </w:rPr>
            </w:pPr>
            <w:r w:rsidRPr="0047594F">
              <w:rPr>
                <w:rFonts w:ascii="Calibri Light" w:hAnsi="Calibri Light"/>
              </w:rPr>
              <w:t>Hechos</w:t>
            </w:r>
          </w:p>
          <w:p w14:paraId="190B7E98" w14:textId="77777777" w:rsidR="0047594F" w:rsidRPr="0047594F" w:rsidRDefault="0047594F" w:rsidP="00AC6F31">
            <w:pPr>
              <w:pStyle w:val="ListParagraph"/>
              <w:rPr>
                <w:rFonts w:ascii="Calibri Light" w:hAnsi="Calibri Light"/>
              </w:rPr>
            </w:pPr>
          </w:p>
        </w:tc>
      </w:tr>
      <w:tr w:rsidR="0047594F" w:rsidRPr="0047594F" w14:paraId="6F58DE83" w14:textId="77777777" w:rsidTr="006601D0">
        <w:trPr>
          <w:trHeight w:val="565"/>
        </w:trPr>
        <w:tc>
          <w:tcPr>
            <w:cnfStyle w:val="001000000000" w:firstRow="0" w:lastRow="0" w:firstColumn="1" w:lastColumn="0" w:oddVBand="0" w:evenVBand="0" w:oddHBand="0" w:evenHBand="0" w:firstRowFirstColumn="0" w:firstRowLastColumn="0" w:lastRowFirstColumn="0" w:lastRowLastColumn="0"/>
            <w:tcW w:w="8767" w:type="dxa"/>
            <w:gridSpan w:val="3"/>
          </w:tcPr>
          <w:p w14:paraId="3A3C90C4" w14:textId="77777777" w:rsidR="005E3343" w:rsidRDefault="005E3343" w:rsidP="0083206B">
            <w:pPr>
              <w:jc w:val="both"/>
              <w:rPr>
                <w:rFonts w:ascii="Calibri Light" w:hAnsi="Calibri Light"/>
                <w:b w:val="0"/>
              </w:rPr>
            </w:pPr>
          </w:p>
          <w:p w14:paraId="2BE50A2D" w14:textId="1F79417A" w:rsidR="0083206B" w:rsidRPr="00E3576E" w:rsidRDefault="0083206B" w:rsidP="0083206B">
            <w:pPr>
              <w:jc w:val="both"/>
              <w:rPr>
                <w:rFonts w:ascii="Calibri Light" w:hAnsi="Calibri Light"/>
                <w:b w:val="0"/>
              </w:rPr>
            </w:pPr>
            <w:r w:rsidRPr="00E3576E">
              <w:rPr>
                <w:rFonts w:ascii="Calibri Light" w:hAnsi="Calibri Light"/>
                <w:b w:val="0"/>
              </w:rPr>
              <w:t xml:space="preserve">El 19 de junio de 1992, el Servicio de Inteligencia Antidrogas de la Policía Nacional inició la </w:t>
            </w:r>
            <w:r w:rsidR="00D40064" w:rsidRPr="00E3576E">
              <w:rPr>
                <w:rFonts w:ascii="Calibri Light" w:hAnsi="Calibri Light"/>
                <w:b w:val="0"/>
              </w:rPr>
              <w:t>“O</w:t>
            </w:r>
            <w:r w:rsidRPr="00E3576E">
              <w:rPr>
                <w:rFonts w:ascii="Calibri Light" w:hAnsi="Calibri Light"/>
                <w:b w:val="0"/>
              </w:rPr>
              <w:t>peración</w:t>
            </w:r>
            <w:r w:rsidR="00D40064" w:rsidRPr="00E3576E">
              <w:rPr>
                <w:rFonts w:ascii="Calibri Light" w:hAnsi="Calibri Light"/>
                <w:b w:val="0"/>
              </w:rPr>
              <w:t xml:space="preserve"> </w:t>
            </w:r>
            <w:r w:rsidRPr="00E3576E">
              <w:rPr>
                <w:rFonts w:ascii="Calibri Light" w:hAnsi="Calibri Light"/>
                <w:b w:val="0"/>
              </w:rPr>
              <w:t>Ciclón”, con la que se buscaba desarticular a una gran organización de narcotráfico.  Como parte de esta, el 21 de junio, agentes policiales interceptaron el ve</w:t>
            </w:r>
            <w:r w:rsidR="0052301B" w:rsidRPr="00E3576E">
              <w:rPr>
                <w:rFonts w:ascii="Calibri Light" w:hAnsi="Calibri Light"/>
                <w:b w:val="0"/>
              </w:rPr>
              <w:t xml:space="preserve">hículo que era conducido por </w:t>
            </w:r>
            <w:r w:rsidRPr="00E3576E">
              <w:rPr>
                <w:rFonts w:ascii="Calibri Light" w:hAnsi="Calibri Light"/>
                <w:b w:val="0"/>
              </w:rPr>
              <w:t xml:space="preserve">Mario Montesinos Mejía y procedieron a detenerlo. Le indicaron que contaban con una orden de detención en su contra y una orden para allanar su domicilio. </w:t>
            </w:r>
            <w:r w:rsidR="00491387" w:rsidRPr="00E3576E">
              <w:rPr>
                <w:rFonts w:ascii="Calibri Light" w:hAnsi="Calibri Light"/>
                <w:b w:val="0"/>
              </w:rPr>
              <w:t xml:space="preserve">Sin embargo, estos documentos no constaron en el expediente. </w:t>
            </w:r>
            <w:r w:rsidRPr="00E3576E">
              <w:rPr>
                <w:rFonts w:ascii="Calibri Light" w:hAnsi="Calibri Light"/>
                <w:b w:val="0"/>
              </w:rPr>
              <w:t>Tras ingresar a su casa, le informaron que habían encontrado armas, por lo cual tenía que firmar un acta. Al negarse a ello, fue llevado a una celda de aproximadamente 11 metros cuadrados, custodiada por dos guardias sin uniforme que portaban ametralladoras, donde estaban otras trece personas</w:t>
            </w:r>
            <w:r w:rsidR="00491387" w:rsidRPr="00E3576E">
              <w:rPr>
                <w:rFonts w:ascii="Calibri Light" w:hAnsi="Calibri Light"/>
                <w:b w:val="0"/>
              </w:rPr>
              <w:t>.</w:t>
            </w:r>
          </w:p>
          <w:p w14:paraId="40E63829" w14:textId="77777777" w:rsidR="00720B26" w:rsidRPr="00E3576E" w:rsidRDefault="00720B26" w:rsidP="006F5961">
            <w:pPr>
              <w:jc w:val="both"/>
              <w:rPr>
                <w:rFonts w:ascii="Calibri Light" w:hAnsi="Calibri Light"/>
                <w:b w:val="0"/>
              </w:rPr>
            </w:pPr>
          </w:p>
          <w:p w14:paraId="0177F189" w14:textId="77777777" w:rsidR="006564F1" w:rsidRPr="00E3576E" w:rsidRDefault="0047594F" w:rsidP="006F5961">
            <w:pPr>
              <w:jc w:val="both"/>
              <w:rPr>
                <w:rFonts w:ascii="Calibri Light" w:hAnsi="Calibri Light"/>
                <w:b w:val="0"/>
              </w:rPr>
            </w:pPr>
            <w:r w:rsidRPr="00E3576E">
              <w:rPr>
                <w:rFonts w:ascii="Calibri Light" w:hAnsi="Calibri Light"/>
                <w:b w:val="0"/>
              </w:rPr>
              <w:t xml:space="preserve">Los días 25 de junio y 12 de julio de 1992, el señor Montesinos </w:t>
            </w:r>
            <w:r w:rsidR="006564F1" w:rsidRPr="00E3576E">
              <w:rPr>
                <w:rFonts w:ascii="Calibri Light" w:hAnsi="Calibri Light"/>
                <w:b w:val="0"/>
              </w:rPr>
              <w:t>rindió</w:t>
            </w:r>
            <w:r w:rsidRPr="00E3576E">
              <w:rPr>
                <w:rFonts w:ascii="Calibri Light" w:hAnsi="Calibri Light"/>
                <w:b w:val="0"/>
              </w:rPr>
              <w:t xml:space="preserve"> </w:t>
            </w:r>
            <w:r w:rsidR="00241851" w:rsidRPr="00E3576E">
              <w:rPr>
                <w:rFonts w:ascii="Calibri Light" w:hAnsi="Calibri Light"/>
                <w:b w:val="0"/>
              </w:rPr>
              <w:t>declaraciones</w:t>
            </w:r>
            <w:r w:rsidR="001737F4" w:rsidRPr="00E3576E">
              <w:rPr>
                <w:rFonts w:ascii="Calibri Light" w:hAnsi="Calibri Light"/>
                <w:b w:val="0"/>
              </w:rPr>
              <w:t xml:space="preserve"> pre</w:t>
            </w:r>
            <w:r w:rsidR="004520B9" w:rsidRPr="00E3576E">
              <w:rPr>
                <w:rFonts w:ascii="Calibri Light" w:hAnsi="Calibri Light"/>
                <w:b w:val="0"/>
              </w:rPr>
              <w:t>sumariales</w:t>
            </w:r>
            <w:r w:rsidR="003606FC" w:rsidRPr="00E3576E">
              <w:rPr>
                <w:rFonts w:ascii="Calibri Light" w:hAnsi="Calibri Light"/>
                <w:b w:val="0"/>
              </w:rPr>
              <w:t>, las cuales fueron realizadas</w:t>
            </w:r>
            <w:r w:rsidR="00241851" w:rsidRPr="00E3576E">
              <w:rPr>
                <w:rFonts w:ascii="Calibri Light" w:hAnsi="Calibri Light"/>
                <w:b w:val="0"/>
              </w:rPr>
              <w:t xml:space="preserve"> </w:t>
            </w:r>
            <w:r w:rsidR="00326727" w:rsidRPr="00E3576E">
              <w:rPr>
                <w:rFonts w:ascii="Calibri Light" w:hAnsi="Calibri Light"/>
                <w:b w:val="0"/>
              </w:rPr>
              <w:t xml:space="preserve">solo </w:t>
            </w:r>
            <w:r w:rsidR="00241851" w:rsidRPr="00E3576E">
              <w:rPr>
                <w:rFonts w:ascii="Calibri Light" w:hAnsi="Calibri Light"/>
                <w:b w:val="0"/>
              </w:rPr>
              <w:t>ante ofici</w:t>
            </w:r>
            <w:r w:rsidRPr="00E3576E">
              <w:rPr>
                <w:rFonts w:ascii="Calibri Light" w:hAnsi="Calibri Light"/>
                <w:b w:val="0"/>
              </w:rPr>
              <w:t>a</w:t>
            </w:r>
            <w:r w:rsidR="00241851" w:rsidRPr="00E3576E">
              <w:rPr>
                <w:rFonts w:ascii="Calibri Light" w:hAnsi="Calibri Light"/>
                <w:b w:val="0"/>
              </w:rPr>
              <w:t>l</w:t>
            </w:r>
            <w:r w:rsidRPr="00E3576E">
              <w:rPr>
                <w:rFonts w:ascii="Calibri Light" w:hAnsi="Calibri Light"/>
                <w:b w:val="0"/>
              </w:rPr>
              <w:t>es policiales y fiscales</w:t>
            </w:r>
            <w:r w:rsidR="00241851" w:rsidRPr="00E3576E">
              <w:rPr>
                <w:rFonts w:ascii="Calibri Light" w:hAnsi="Calibri Light"/>
                <w:b w:val="0"/>
              </w:rPr>
              <w:t xml:space="preserve">, </w:t>
            </w:r>
            <w:r w:rsidR="003606FC" w:rsidRPr="00E3576E">
              <w:rPr>
                <w:rFonts w:ascii="Calibri Light" w:hAnsi="Calibri Light"/>
                <w:b w:val="0"/>
              </w:rPr>
              <w:t xml:space="preserve">y </w:t>
            </w:r>
            <w:r w:rsidR="00241851" w:rsidRPr="00E3576E">
              <w:rPr>
                <w:rFonts w:ascii="Calibri Light" w:hAnsi="Calibri Light"/>
                <w:b w:val="0"/>
              </w:rPr>
              <w:t>sin contar con una defensa legal</w:t>
            </w:r>
            <w:r w:rsidR="001D65D1" w:rsidRPr="00E3576E">
              <w:rPr>
                <w:rFonts w:ascii="Calibri Light" w:hAnsi="Calibri Light"/>
                <w:b w:val="0"/>
              </w:rPr>
              <w:t>.</w:t>
            </w:r>
            <w:r w:rsidR="00E536E0" w:rsidRPr="00E3576E">
              <w:rPr>
                <w:rFonts w:ascii="Calibri Light" w:hAnsi="Calibri Light"/>
                <w:b w:val="0"/>
              </w:rPr>
              <w:t xml:space="preserve"> En estas</w:t>
            </w:r>
            <w:r w:rsidR="00EE49C4" w:rsidRPr="00E3576E">
              <w:rPr>
                <w:rFonts w:ascii="Calibri Light" w:hAnsi="Calibri Light"/>
                <w:b w:val="0"/>
              </w:rPr>
              <w:t xml:space="preserve">, </w:t>
            </w:r>
            <w:r w:rsidR="00720B26" w:rsidRPr="00E3576E">
              <w:rPr>
                <w:rFonts w:ascii="Calibri Light" w:hAnsi="Calibri Light"/>
                <w:b w:val="0"/>
              </w:rPr>
              <w:t xml:space="preserve">manifestó que conocidos de la esposa del señor </w:t>
            </w:r>
            <w:r w:rsidR="00EE49C4" w:rsidRPr="00E3576E">
              <w:rPr>
                <w:rFonts w:ascii="Calibri Light" w:hAnsi="Calibri Light"/>
                <w:b w:val="0"/>
              </w:rPr>
              <w:t xml:space="preserve">Jorge Hugo </w:t>
            </w:r>
            <w:r w:rsidR="00720B26" w:rsidRPr="00E3576E">
              <w:rPr>
                <w:rFonts w:ascii="Calibri Light" w:hAnsi="Calibri Light"/>
                <w:b w:val="0"/>
              </w:rPr>
              <w:t>Reyes Torres</w:t>
            </w:r>
            <w:r w:rsidR="00E536E0" w:rsidRPr="00E3576E">
              <w:rPr>
                <w:rFonts w:ascii="Calibri Light" w:hAnsi="Calibri Light"/>
                <w:b w:val="0"/>
              </w:rPr>
              <w:t>,</w:t>
            </w:r>
            <w:r w:rsidR="001D39CF" w:rsidRPr="00E3576E">
              <w:rPr>
                <w:rFonts w:ascii="Calibri Light" w:hAnsi="Calibri Light"/>
                <w:b w:val="0"/>
              </w:rPr>
              <w:t xml:space="preserve"> </w:t>
            </w:r>
            <w:r w:rsidR="00EE49C4" w:rsidRPr="00E3576E">
              <w:rPr>
                <w:rFonts w:ascii="Calibri Light" w:hAnsi="Calibri Light"/>
                <w:b w:val="0"/>
              </w:rPr>
              <w:t>considerado parte de una organización crimina</w:t>
            </w:r>
            <w:r w:rsidR="001D39CF" w:rsidRPr="00E3576E">
              <w:rPr>
                <w:rFonts w:ascii="Calibri Light" w:hAnsi="Calibri Light"/>
                <w:b w:val="0"/>
              </w:rPr>
              <w:t>l</w:t>
            </w:r>
            <w:r w:rsidR="00E536E0" w:rsidRPr="00E3576E">
              <w:rPr>
                <w:rFonts w:ascii="Calibri Light" w:hAnsi="Calibri Light"/>
                <w:b w:val="0"/>
              </w:rPr>
              <w:t>,</w:t>
            </w:r>
            <w:r w:rsidR="00EE49C4" w:rsidRPr="00E3576E">
              <w:rPr>
                <w:rFonts w:ascii="Calibri Light" w:hAnsi="Calibri Light"/>
                <w:b w:val="0"/>
              </w:rPr>
              <w:t xml:space="preserve"> </w:t>
            </w:r>
            <w:r w:rsidR="00720B26" w:rsidRPr="00E3576E">
              <w:rPr>
                <w:rFonts w:ascii="Calibri Light" w:hAnsi="Calibri Light"/>
                <w:b w:val="0"/>
              </w:rPr>
              <w:t>ingresaron a su vivienda con varias armas pidiéndole que las guardara por unos días</w:t>
            </w:r>
            <w:r w:rsidR="00EE49C4" w:rsidRPr="00E3576E">
              <w:rPr>
                <w:rFonts w:ascii="Calibri Light" w:hAnsi="Calibri Light"/>
                <w:b w:val="0"/>
              </w:rPr>
              <w:t>.</w:t>
            </w:r>
            <w:r w:rsidR="000F61F1" w:rsidRPr="00E3576E">
              <w:rPr>
                <w:rFonts w:ascii="Calibri Light" w:hAnsi="Calibri Light"/>
                <w:b w:val="0"/>
              </w:rPr>
              <w:t xml:space="preserve"> </w:t>
            </w:r>
            <w:r w:rsidR="006564F1" w:rsidRPr="00E3576E">
              <w:rPr>
                <w:rFonts w:ascii="Calibri Light" w:hAnsi="Calibri Light"/>
                <w:b w:val="0"/>
              </w:rPr>
              <w:t xml:space="preserve">El señor Montesinos señaló que una de las declaraciones había sido obtenida bajo coacción. El 23 de julio de ese año, durante su traslado al Centro de Rehabilitación Social No. 1 de Varones de Quito, se le pegó cinta adhesiva en los ojos y la boca, fue amarrado de manos por detrás de la espalda, y estuvo aislado e incomunicado durante 8 días. </w:t>
            </w:r>
          </w:p>
          <w:p w14:paraId="6A14D2C3" w14:textId="77777777" w:rsidR="006564F1" w:rsidRPr="00E3576E" w:rsidRDefault="006564F1" w:rsidP="006F5961">
            <w:pPr>
              <w:jc w:val="both"/>
              <w:rPr>
                <w:rFonts w:ascii="Calibri Light" w:hAnsi="Calibri Light"/>
                <w:b w:val="0"/>
              </w:rPr>
            </w:pPr>
          </w:p>
          <w:p w14:paraId="2BE43386" w14:textId="5D003B4D" w:rsidR="006564F1" w:rsidRPr="00E3576E" w:rsidRDefault="006564F1" w:rsidP="006564F1">
            <w:pPr>
              <w:jc w:val="both"/>
              <w:rPr>
                <w:rFonts w:ascii="Calibri Light" w:hAnsi="Calibri Light"/>
                <w:b w:val="0"/>
              </w:rPr>
            </w:pPr>
            <w:r w:rsidRPr="00E3576E">
              <w:rPr>
                <w:rFonts w:ascii="Calibri Light" w:hAnsi="Calibri Light"/>
                <w:b w:val="0"/>
              </w:rPr>
              <w:t>Si bien existía una boleta de encarcelamiento de fecha 11 de julio de 1992, emitida por el Intendente General de Policía de Pichincha, dicha boleta no estableció las razones por las cuales el señor Montesinos estaba siendo procesado por el delito de conversión y transferencia de bienes. Además, de acuerdo a los peticionarios, la boleta habría sido emitida recién el 31 de julio de 1992. El 13 de agosto de 1992, el señor Montesinos recibió por primera vez una boleta de detención emitida por la Jueza Primera de lo Penal, que ordenaba</w:t>
            </w:r>
            <w:r w:rsidR="00E960E7">
              <w:rPr>
                <w:rFonts w:ascii="Calibri Light" w:hAnsi="Calibri Light"/>
                <w:b w:val="0"/>
              </w:rPr>
              <w:t xml:space="preserve">, </w:t>
            </w:r>
            <w:r w:rsidRPr="00E3576E">
              <w:rPr>
                <w:rFonts w:ascii="Calibri Light" w:hAnsi="Calibri Light"/>
                <w:b w:val="0"/>
              </w:rPr>
              <w:t>en base al artículo 177 del C</w:t>
            </w:r>
            <w:r w:rsidR="00CA7E9E">
              <w:rPr>
                <w:rFonts w:ascii="Calibri Light" w:hAnsi="Calibri Light"/>
                <w:b w:val="0"/>
              </w:rPr>
              <w:t xml:space="preserve">ódigo de </w:t>
            </w:r>
            <w:r w:rsidRPr="00E3576E">
              <w:rPr>
                <w:rFonts w:ascii="Calibri Light" w:hAnsi="Calibri Light"/>
                <w:b w:val="0"/>
              </w:rPr>
              <w:t>P</w:t>
            </w:r>
            <w:r w:rsidR="00CA7E9E">
              <w:rPr>
                <w:rFonts w:ascii="Calibri Light" w:hAnsi="Calibri Light"/>
                <w:b w:val="0"/>
              </w:rPr>
              <w:t xml:space="preserve">rocedimiento </w:t>
            </w:r>
            <w:r w:rsidRPr="00E3576E">
              <w:rPr>
                <w:rFonts w:ascii="Calibri Light" w:hAnsi="Calibri Light"/>
                <w:b w:val="0"/>
              </w:rPr>
              <w:t>P</w:t>
            </w:r>
            <w:r w:rsidR="00CA7E9E">
              <w:rPr>
                <w:rFonts w:ascii="Calibri Light" w:hAnsi="Calibri Light"/>
                <w:b w:val="0"/>
              </w:rPr>
              <w:t>enal (en adelante, CPP)</w:t>
            </w:r>
            <w:r w:rsidR="00E960E7">
              <w:rPr>
                <w:rFonts w:ascii="Calibri Light" w:hAnsi="Calibri Light"/>
                <w:b w:val="0"/>
              </w:rPr>
              <w:t>,</w:t>
            </w:r>
            <w:r w:rsidR="00CA7E9E">
              <w:rPr>
                <w:rFonts w:ascii="Calibri Light" w:hAnsi="Calibri Light"/>
                <w:b w:val="0"/>
              </w:rPr>
              <w:t xml:space="preserve"> </w:t>
            </w:r>
            <w:r w:rsidRPr="00E3576E">
              <w:rPr>
                <w:rFonts w:ascii="Calibri Light" w:hAnsi="Calibri Light"/>
                <w:b w:val="0"/>
              </w:rPr>
              <w:t>que se mantuviese la prisión preventiva.</w:t>
            </w:r>
          </w:p>
          <w:p w14:paraId="3A757B0E" w14:textId="77777777" w:rsidR="0047594F" w:rsidRPr="00E3576E" w:rsidRDefault="0047594F" w:rsidP="006F5961">
            <w:pPr>
              <w:jc w:val="both"/>
              <w:rPr>
                <w:rFonts w:ascii="Calibri Light" w:hAnsi="Calibri Light"/>
                <w:b w:val="0"/>
              </w:rPr>
            </w:pPr>
          </w:p>
          <w:p w14:paraId="2E541B7C" w14:textId="0365D835" w:rsidR="006564F1" w:rsidRPr="00E3576E" w:rsidRDefault="00B7616B" w:rsidP="00F57A91">
            <w:pPr>
              <w:jc w:val="both"/>
              <w:rPr>
                <w:rFonts w:ascii="Calibri Light" w:hAnsi="Calibri Light"/>
                <w:b w:val="0"/>
              </w:rPr>
            </w:pPr>
            <w:r w:rsidRPr="00E3576E">
              <w:rPr>
                <w:rFonts w:ascii="Calibri Light" w:hAnsi="Calibri Light"/>
                <w:b w:val="0"/>
              </w:rPr>
              <w:t xml:space="preserve">Entre el 16 y 30 de noviembre de 1992, se abrieron tres procesos penales </w:t>
            </w:r>
            <w:r w:rsidR="00EE1F07" w:rsidRPr="00E3576E">
              <w:rPr>
                <w:rFonts w:ascii="Calibri Light" w:hAnsi="Calibri Light"/>
                <w:b w:val="0"/>
              </w:rPr>
              <w:t>en su contra</w:t>
            </w:r>
            <w:r w:rsidR="0047594F" w:rsidRPr="00E3576E">
              <w:rPr>
                <w:rFonts w:ascii="Calibri Light" w:hAnsi="Calibri Light"/>
                <w:b w:val="0"/>
              </w:rPr>
              <w:t xml:space="preserve"> por </w:t>
            </w:r>
            <w:r w:rsidRPr="00E3576E">
              <w:rPr>
                <w:rFonts w:ascii="Calibri Light" w:hAnsi="Calibri Light"/>
                <w:b w:val="0"/>
              </w:rPr>
              <w:t xml:space="preserve">los delitos de </w:t>
            </w:r>
            <w:r w:rsidR="0047594F" w:rsidRPr="00E3576E">
              <w:rPr>
                <w:rFonts w:ascii="Calibri Light" w:hAnsi="Calibri Light"/>
                <w:b w:val="0"/>
              </w:rPr>
              <w:t>enriquecimiento ilícito,</w:t>
            </w:r>
            <w:r w:rsidRPr="00E3576E">
              <w:rPr>
                <w:rFonts w:ascii="Calibri Light" w:hAnsi="Calibri Light"/>
                <w:b w:val="0"/>
              </w:rPr>
              <w:t xml:space="preserve"> </w:t>
            </w:r>
            <w:r w:rsidR="0047594F" w:rsidRPr="00E3576E">
              <w:rPr>
                <w:rFonts w:ascii="Calibri Light" w:hAnsi="Calibri Light"/>
                <w:b w:val="0"/>
              </w:rPr>
              <w:t>conversión y transferencia de bienes</w:t>
            </w:r>
            <w:r w:rsidR="00FC391E" w:rsidRPr="00E3576E">
              <w:rPr>
                <w:rFonts w:ascii="Calibri Light" w:hAnsi="Calibri Light"/>
                <w:b w:val="0"/>
              </w:rPr>
              <w:t>,</w:t>
            </w:r>
            <w:r w:rsidR="006F6E2C" w:rsidRPr="00E3576E">
              <w:rPr>
                <w:rFonts w:ascii="Calibri Light" w:hAnsi="Calibri Light"/>
                <w:b w:val="0"/>
              </w:rPr>
              <w:t xml:space="preserve"> </w:t>
            </w:r>
            <w:r w:rsidR="0047594F" w:rsidRPr="00E3576E">
              <w:rPr>
                <w:rFonts w:ascii="Calibri Light" w:hAnsi="Calibri Light"/>
                <w:b w:val="0"/>
              </w:rPr>
              <w:t xml:space="preserve">y testaferrismo. </w:t>
            </w:r>
            <w:r w:rsidR="00E3576E" w:rsidRPr="00E3576E">
              <w:rPr>
                <w:rFonts w:ascii="Calibri Light" w:hAnsi="Calibri Light"/>
                <w:b w:val="0"/>
              </w:rPr>
              <w:t>Estos tuvieron sustento en la Ley de Sustancias, Estupefacientes y Psicotrópicas (en adelante, la Ley de Sustancias), cuyo artículo 116 establecía que la declaración presumarial y el informe policial constituían un “grave indicio de culpabilidad”. En mayo y noviembre de 1998, fueron sobreseídos respectivamente los procesos relativos a los delitos de conversión y transferencia de bienes, y enriquecimiento ilícito. En marzo de 2004, se emitió una sentencia absolutoria a favor del señor Montesinos respecto al delito de testaferrismo, que habría sido apelada por el Ministerio Fiscal.</w:t>
            </w:r>
          </w:p>
          <w:p w14:paraId="3BF769DF" w14:textId="77777777" w:rsidR="006564F1" w:rsidRPr="00E3576E" w:rsidRDefault="006564F1" w:rsidP="00F57A91">
            <w:pPr>
              <w:jc w:val="both"/>
              <w:rPr>
                <w:rFonts w:ascii="Calibri Light" w:hAnsi="Calibri Light"/>
                <w:b w:val="0"/>
              </w:rPr>
            </w:pPr>
          </w:p>
          <w:p w14:paraId="6FA7218E" w14:textId="4D72D45B" w:rsidR="00E3576E" w:rsidRPr="00E3576E" w:rsidRDefault="00EE49C4" w:rsidP="00F57A91">
            <w:pPr>
              <w:jc w:val="both"/>
              <w:rPr>
                <w:rFonts w:ascii="Calibri Light" w:hAnsi="Calibri Light"/>
                <w:b w:val="0"/>
              </w:rPr>
            </w:pPr>
            <w:r w:rsidRPr="00E3576E">
              <w:rPr>
                <w:rFonts w:ascii="Calibri Light" w:hAnsi="Calibri Light"/>
                <w:b w:val="0"/>
              </w:rPr>
              <w:t>El 10 de septiembre de 1996, el señor Montesinos interpuso un recurso de hábeas corpus ante el Alcalde del Distrito Metropolitano de Quito</w:t>
            </w:r>
            <w:r w:rsidR="00EE1F07" w:rsidRPr="00E3576E">
              <w:rPr>
                <w:rFonts w:ascii="Calibri Light" w:hAnsi="Calibri Light"/>
                <w:b w:val="0"/>
              </w:rPr>
              <w:t>. En este</w:t>
            </w:r>
            <w:r w:rsidRPr="00E3576E">
              <w:rPr>
                <w:rFonts w:ascii="Calibri Light" w:hAnsi="Calibri Light"/>
                <w:b w:val="0"/>
              </w:rPr>
              <w:t xml:space="preserve">, </w:t>
            </w:r>
            <w:r w:rsidR="00EE1F07" w:rsidRPr="00E3576E">
              <w:rPr>
                <w:rFonts w:ascii="Calibri Light" w:hAnsi="Calibri Light"/>
                <w:b w:val="0"/>
              </w:rPr>
              <w:t>alegó</w:t>
            </w:r>
            <w:r w:rsidRPr="00E3576E">
              <w:rPr>
                <w:rFonts w:ascii="Calibri Light" w:hAnsi="Calibri Light"/>
                <w:b w:val="0"/>
              </w:rPr>
              <w:t xml:space="preserve"> la ilegalidad de su arresto</w:t>
            </w:r>
            <w:r w:rsidR="00EE1F07" w:rsidRPr="00E3576E">
              <w:rPr>
                <w:rFonts w:ascii="Calibri Light" w:hAnsi="Calibri Light"/>
                <w:b w:val="0"/>
              </w:rPr>
              <w:t>,</w:t>
            </w:r>
            <w:r w:rsidRPr="00E3576E">
              <w:rPr>
                <w:rFonts w:ascii="Calibri Light" w:hAnsi="Calibri Light"/>
                <w:b w:val="0"/>
              </w:rPr>
              <w:t xml:space="preserve"> pues se realizó sin orden de detención</w:t>
            </w:r>
            <w:r w:rsidR="001D65D1" w:rsidRPr="00E3576E">
              <w:rPr>
                <w:rFonts w:ascii="Calibri Light" w:hAnsi="Calibri Light"/>
                <w:b w:val="0"/>
              </w:rPr>
              <w:t>,</w:t>
            </w:r>
            <w:r w:rsidR="00326727" w:rsidRPr="00E3576E">
              <w:rPr>
                <w:rFonts w:ascii="Calibri Light" w:hAnsi="Calibri Light"/>
                <w:b w:val="0"/>
              </w:rPr>
              <w:t xml:space="preserve"> </w:t>
            </w:r>
            <w:r w:rsidR="009A2F2E" w:rsidRPr="00E3576E">
              <w:rPr>
                <w:rFonts w:ascii="Calibri Light" w:hAnsi="Calibri Light"/>
                <w:b w:val="0"/>
              </w:rPr>
              <w:t xml:space="preserve">firmó sus declaraciones bajo coacción siendo </w:t>
            </w:r>
            <w:r w:rsidR="00F277D9" w:rsidRPr="00E3576E">
              <w:rPr>
                <w:rFonts w:ascii="Calibri Light" w:hAnsi="Calibri Light"/>
                <w:b w:val="0"/>
              </w:rPr>
              <w:t>víctima de golpes y de amenaza</w:t>
            </w:r>
            <w:r w:rsidR="009A2F2E" w:rsidRPr="00E3576E">
              <w:rPr>
                <w:rFonts w:ascii="Calibri Light" w:hAnsi="Calibri Light"/>
                <w:b w:val="0"/>
              </w:rPr>
              <w:t>s</w:t>
            </w:r>
            <w:r w:rsidR="001D65D1" w:rsidRPr="00E3576E">
              <w:rPr>
                <w:rFonts w:ascii="Calibri Light" w:hAnsi="Calibri Light"/>
                <w:b w:val="0"/>
              </w:rPr>
              <w:t xml:space="preserve">, </w:t>
            </w:r>
            <w:r w:rsidRPr="00E3576E">
              <w:rPr>
                <w:rFonts w:ascii="Calibri Light" w:hAnsi="Calibri Light"/>
                <w:b w:val="0"/>
              </w:rPr>
              <w:t>se encontraba detenido por más de cincuenta meses</w:t>
            </w:r>
            <w:r w:rsidR="00FC391E" w:rsidRPr="00E3576E">
              <w:rPr>
                <w:rFonts w:ascii="Calibri Light" w:hAnsi="Calibri Light"/>
                <w:b w:val="0"/>
              </w:rPr>
              <w:t>, no se le informó sobre las razones de su detención</w:t>
            </w:r>
            <w:r w:rsidR="00E536E0" w:rsidRPr="00E3576E">
              <w:rPr>
                <w:rFonts w:ascii="Calibri Light" w:hAnsi="Calibri Light"/>
                <w:b w:val="0"/>
              </w:rPr>
              <w:t>,</w:t>
            </w:r>
            <w:r w:rsidR="00FC391E" w:rsidRPr="00E3576E">
              <w:rPr>
                <w:rFonts w:ascii="Calibri Light" w:hAnsi="Calibri Light"/>
                <w:b w:val="0"/>
              </w:rPr>
              <w:t xml:space="preserve"> y </w:t>
            </w:r>
            <w:r w:rsidR="001D65D1" w:rsidRPr="00E3576E">
              <w:rPr>
                <w:rFonts w:ascii="Calibri Light" w:hAnsi="Calibri Light"/>
                <w:b w:val="0"/>
              </w:rPr>
              <w:t>no había contado con un</w:t>
            </w:r>
            <w:r w:rsidR="00FC391E" w:rsidRPr="00E3576E">
              <w:rPr>
                <w:rFonts w:ascii="Calibri Light" w:hAnsi="Calibri Light"/>
                <w:b w:val="0"/>
              </w:rPr>
              <w:t xml:space="preserve"> abogado.</w:t>
            </w:r>
            <w:r w:rsidRPr="00E3576E">
              <w:rPr>
                <w:rFonts w:ascii="Calibri Light" w:hAnsi="Calibri Light"/>
                <w:b w:val="0"/>
              </w:rPr>
              <w:t xml:space="preserve"> </w:t>
            </w:r>
            <w:r w:rsidR="0052301B" w:rsidRPr="00E3576E">
              <w:rPr>
                <w:rFonts w:ascii="Calibri Light" w:hAnsi="Calibri Light"/>
                <w:b w:val="0"/>
              </w:rPr>
              <w:t>Sin embargo, seis días después, el recurso fue declarado improcedente, en tanto se indicó que él estaba siendo procesado por la comisión de tres delitos.</w:t>
            </w:r>
            <w:r w:rsidR="00E3576E" w:rsidRPr="00E3576E">
              <w:rPr>
                <w:rFonts w:ascii="Calibri Light" w:hAnsi="Calibri Light"/>
                <w:b w:val="0"/>
              </w:rPr>
              <w:t xml:space="preserve"> </w:t>
            </w:r>
            <w:r w:rsidR="00F57A91" w:rsidRPr="00E3576E">
              <w:rPr>
                <w:rFonts w:ascii="Calibri Light" w:hAnsi="Calibri Light"/>
                <w:b w:val="0"/>
              </w:rPr>
              <w:t xml:space="preserve">Ante esta decisión, el señor Montesinos presentó una apelación al Tribunal de Garantías Constitucionales (en adelante, TGC). El 30 de octubre de 1996, este indicó que se había excedido el plazo razonable para dictar sentencia en los </w:t>
            </w:r>
            <w:r w:rsidR="00B246BF" w:rsidRPr="00E3576E">
              <w:rPr>
                <w:rFonts w:ascii="Calibri Light" w:hAnsi="Calibri Light"/>
                <w:b w:val="0"/>
              </w:rPr>
              <w:t xml:space="preserve">tres </w:t>
            </w:r>
            <w:r w:rsidR="00F57A91" w:rsidRPr="00E3576E">
              <w:rPr>
                <w:rFonts w:ascii="Calibri Light" w:hAnsi="Calibri Light"/>
                <w:b w:val="0"/>
              </w:rPr>
              <w:t xml:space="preserve">procesos y ordenó su liberación. A pesar de esta sentencia, el Director del Centro Penitenciario no cumplió con dicha orden; por lo cual, a mediados de noviembre de 1996, se presentó una queja por desacato. </w:t>
            </w:r>
          </w:p>
          <w:p w14:paraId="3640D347" w14:textId="77777777" w:rsidR="00E3576E" w:rsidRPr="00E3576E" w:rsidRDefault="00E3576E" w:rsidP="00F57A91">
            <w:pPr>
              <w:jc w:val="both"/>
              <w:rPr>
                <w:rFonts w:ascii="Calibri Light" w:hAnsi="Calibri Light"/>
                <w:b w:val="0"/>
              </w:rPr>
            </w:pPr>
          </w:p>
          <w:p w14:paraId="3A2EC653" w14:textId="6CEFF2CE" w:rsidR="00933B71" w:rsidRPr="00E3576E" w:rsidRDefault="00F57A91" w:rsidP="00933B71">
            <w:pPr>
              <w:jc w:val="both"/>
              <w:rPr>
                <w:rFonts w:ascii="Calibri Light" w:hAnsi="Calibri Light"/>
                <w:b w:val="0"/>
              </w:rPr>
            </w:pPr>
            <w:r w:rsidRPr="00E3576E">
              <w:rPr>
                <w:rFonts w:ascii="Calibri Light" w:hAnsi="Calibri Light"/>
                <w:b w:val="0"/>
              </w:rPr>
              <w:t xml:space="preserve">Igualmente, el 14 de abril de 1998, la parte peticionaria presentó otro recurso de hábeas corpus indicando que el señor Montesinos había estado detenido por casi seis años, y señalando que la </w:t>
            </w:r>
            <w:r w:rsidRPr="00E3576E">
              <w:rPr>
                <w:rFonts w:ascii="Calibri Light" w:hAnsi="Calibri Light"/>
                <w:b w:val="0"/>
              </w:rPr>
              <w:lastRenderedPageBreak/>
              <w:t xml:space="preserve">sentencia del TGC continuaba sin ser cumplida. No obstante, el 21 de abril del mismo año, el Alcalde declaró improcedente dicho recurso, e indicó que la duración de la detención era razonable. </w:t>
            </w:r>
            <w:r w:rsidR="007A7F34" w:rsidRPr="00E3576E">
              <w:rPr>
                <w:rFonts w:ascii="Calibri Light" w:hAnsi="Calibri Light"/>
                <w:b w:val="0"/>
              </w:rPr>
              <w:t>Contra esta decisión, el señor Montesinos presentó un recurso de apelación, que fue resuelto e</w:t>
            </w:r>
            <w:r w:rsidR="0047594F" w:rsidRPr="00E3576E">
              <w:rPr>
                <w:rFonts w:ascii="Calibri Light" w:hAnsi="Calibri Light"/>
                <w:b w:val="0"/>
              </w:rPr>
              <w:t>l 13 de agosto de 1998</w:t>
            </w:r>
            <w:r w:rsidR="007A7F34" w:rsidRPr="00E3576E">
              <w:rPr>
                <w:rFonts w:ascii="Calibri Light" w:hAnsi="Calibri Light"/>
                <w:b w:val="0"/>
              </w:rPr>
              <w:t xml:space="preserve"> por</w:t>
            </w:r>
            <w:r w:rsidR="0047594F" w:rsidRPr="00E3576E">
              <w:rPr>
                <w:rFonts w:ascii="Calibri Light" w:hAnsi="Calibri Light"/>
                <w:b w:val="0"/>
              </w:rPr>
              <w:t xml:space="preserve"> el TGC</w:t>
            </w:r>
            <w:r w:rsidR="007A7F34" w:rsidRPr="00E3576E">
              <w:rPr>
                <w:rFonts w:ascii="Calibri Light" w:hAnsi="Calibri Light"/>
                <w:b w:val="0"/>
              </w:rPr>
              <w:t>,</w:t>
            </w:r>
            <w:r w:rsidR="0047594F" w:rsidRPr="00E3576E">
              <w:rPr>
                <w:rFonts w:ascii="Calibri Light" w:hAnsi="Calibri Light"/>
                <w:b w:val="0"/>
              </w:rPr>
              <w:t xml:space="preserve"> </w:t>
            </w:r>
            <w:r w:rsidR="007A7F34" w:rsidRPr="00E3576E">
              <w:rPr>
                <w:rFonts w:ascii="Calibri Light" w:hAnsi="Calibri Light"/>
                <w:b w:val="0"/>
              </w:rPr>
              <w:t xml:space="preserve">disponiendo </w:t>
            </w:r>
            <w:r w:rsidR="0047594F" w:rsidRPr="00E3576E">
              <w:rPr>
                <w:rFonts w:ascii="Calibri Light" w:hAnsi="Calibri Light"/>
                <w:b w:val="0"/>
              </w:rPr>
              <w:t>su inmediata libertad</w:t>
            </w:r>
            <w:r w:rsidR="00B246BF" w:rsidRPr="00E3576E">
              <w:rPr>
                <w:rFonts w:ascii="Calibri Light" w:hAnsi="Calibri Light"/>
                <w:b w:val="0"/>
              </w:rPr>
              <w:t>, pues consideró</w:t>
            </w:r>
            <w:r w:rsidR="00EE1F07" w:rsidRPr="00E3576E">
              <w:rPr>
                <w:rFonts w:ascii="Calibri Light" w:hAnsi="Calibri Light"/>
                <w:b w:val="0"/>
              </w:rPr>
              <w:t>, en base a</w:t>
            </w:r>
            <w:r w:rsidR="0047594F" w:rsidRPr="00E3576E">
              <w:rPr>
                <w:rFonts w:ascii="Calibri Light" w:hAnsi="Calibri Light"/>
                <w:b w:val="0"/>
              </w:rPr>
              <w:t xml:space="preserve"> las posibles penas que serían impuestas en caso de ser declarado culpable, que el plazo de detención preventiva </w:t>
            </w:r>
            <w:r w:rsidR="00E3576E" w:rsidRPr="00E3576E">
              <w:rPr>
                <w:rFonts w:ascii="Calibri Light" w:hAnsi="Calibri Light"/>
                <w:b w:val="0"/>
              </w:rPr>
              <w:t>no era</w:t>
            </w:r>
            <w:r w:rsidR="0047594F" w:rsidRPr="00E3576E">
              <w:rPr>
                <w:rFonts w:ascii="Calibri Light" w:hAnsi="Calibri Light"/>
                <w:b w:val="0"/>
              </w:rPr>
              <w:t xml:space="preserve"> razonable.</w:t>
            </w:r>
            <w:r w:rsidR="00933B71" w:rsidRPr="00E3576E">
              <w:rPr>
                <w:rFonts w:ascii="Calibri Light" w:hAnsi="Calibri Light"/>
                <w:b w:val="0"/>
              </w:rPr>
              <w:t xml:space="preserve"> </w:t>
            </w:r>
          </w:p>
          <w:p w14:paraId="6DE9A3ED" w14:textId="77777777" w:rsidR="0047594F" w:rsidRPr="00E3576E" w:rsidRDefault="0047594F" w:rsidP="006F5961">
            <w:pPr>
              <w:jc w:val="both"/>
              <w:rPr>
                <w:rFonts w:ascii="Calibri Light" w:hAnsi="Calibri Light"/>
                <w:b w:val="0"/>
              </w:rPr>
            </w:pPr>
          </w:p>
          <w:p w14:paraId="66EF37D4" w14:textId="183538E4" w:rsidR="0047594F" w:rsidRPr="0047594F" w:rsidRDefault="0047594F" w:rsidP="006F5961">
            <w:pPr>
              <w:jc w:val="both"/>
              <w:rPr>
                <w:rFonts w:ascii="Calibri Light" w:hAnsi="Calibri Light"/>
                <w:b w:val="0"/>
              </w:rPr>
            </w:pPr>
            <w:r w:rsidRPr="00E3576E">
              <w:rPr>
                <w:rFonts w:ascii="Calibri Light" w:hAnsi="Calibri Light"/>
                <w:b w:val="0"/>
              </w:rPr>
              <w:t>Frente a tales hechos, el 30 de agosto de 1996, Alejandro Ponce-Villacís presentó una petición ante la CIDH alegando la responsabilidad internacional del Estado de Ecuador por la vulneración de</w:t>
            </w:r>
            <w:r w:rsidR="00241851" w:rsidRPr="00E3576E">
              <w:rPr>
                <w:rFonts w:ascii="Calibri Light" w:hAnsi="Calibri Light"/>
                <w:b w:val="0"/>
              </w:rPr>
              <w:t xml:space="preserve"> los derechos</w:t>
            </w:r>
            <w:r w:rsidRPr="00E3576E">
              <w:rPr>
                <w:rFonts w:ascii="Calibri Light" w:hAnsi="Calibri Light"/>
                <w:b w:val="0"/>
              </w:rPr>
              <w:t xml:space="preserve"> </w:t>
            </w:r>
            <w:r w:rsidR="00241851" w:rsidRPr="00E3576E">
              <w:rPr>
                <w:rFonts w:ascii="Calibri Light" w:hAnsi="Calibri Light"/>
                <w:b w:val="0"/>
              </w:rPr>
              <w:t xml:space="preserve">del señor Mario Montesinos Mejía a la integridad personal, </w:t>
            </w:r>
            <w:r w:rsidRPr="00E3576E">
              <w:rPr>
                <w:rFonts w:ascii="Calibri Light" w:hAnsi="Calibri Light"/>
                <w:b w:val="0"/>
              </w:rPr>
              <w:t xml:space="preserve">a la libertad personal, </w:t>
            </w:r>
            <w:r w:rsidR="00241851" w:rsidRPr="00E3576E">
              <w:rPr>
                <w:rFonts w:ascii="Calibri Light" w:hAnsi="Calibri Light"/>
                <w:b w:val="0"/>
              </w:rPr>
              <w:t xml:space="preserve">a las garantías judiciales, </w:t>
            </w:r>
            <w:r w:rsidRPr="00E3576E">
              <w:rPr>
                <w:rFonts w:ascii="Calibri Light" w:hAnsi="Calibri Light"/>
                <w:b w:val="0"/>
              </w:rPr>
              <w:t>a la igualdad ante la ley, y a la protección judicial</w:t>
            </w:r>
            <w:r w:rsidR="00241851" w:rsidRPr="00E3576E">
              <w:rPr>
                <w:rFonts w:ascii="Calibri Light" w:hAnsi="Calibri Light"/>
                <w:b w:val="0"/>
              </w:rPr>
              <w:t>, reconocidos en la Convención Americana sobre Derechos Humanos (en adelante, CADH)</w:t>
            </w:r>
            <w:r w:rsidRPr="00E3576E">
              <w:rPr>
                <w:rFonts w:ascii="Calibri Light" w:hAnsi="Calibri Light"/>
                <w:b w:val="0"/>
              </w:rPr>
              <w:t>.</w:t>
            </w:r>
            <w:r w:rsidRPr="0047594F">
              <w:rPr>
                <w:rFonts w:ascii="Calibri Light" w:hAnsi="Calibri Light"/>
                <w:b w:val="0"/>
              </w:rPr>
              <w:t xml:space="preserve"> </w:t>
            </w:r>
          </w:p>
          <w:p w14:paraId="6543A68A" w14:textId="675B471A" w:rsidR="0047594F" w:rsidRPr="0047594F" w:rsidRDefault="0047594F" w:rsidP="00C7023F">
            <w:pPr>
              <w:jc w:val="both"/>
              <w:rPr>
                <w:rFonts w:ascii="Calibri Light" w:hAnsi="Calibri Light"/>
                <w:b w:val="0"/>
              </w:rPr>
            </w:pPr>
          </w:p>
        </w:tc>
      </w:tr>
      <w:tr w:rsidR="0047594F" w:rsidRPr="0047594F" w14:paraId="7B81A2F3" w14:textId="77777777" w:rsidTr="006601D0">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8767" w:type="dxa"/>
            <w:gridSpan w:val="3"/>
          </w:tcPr>
          <w:p w14:paraId="4B448BEC" w14:textId="77777777" w:rsidR="0047594F" w:rsidRPr="0047594F" w:rsidRDefault="0047594F" w:rsidP="00AC6F31">
            <w:pPr>
              <w:pStyle w:val="ListParagraph"/>
              <w:rPr>
                <w:rFonts w:ascii="Calibri Light" w:hAnsi="Calibri Light"/>
              </w:rPr>
            </w:pPr>
          </w:p>
          <w:p w14:paraId="1FB8AB09" w14:textId="77777777" w:rsidR="0047594F" w:rsidRPr="0047594F" w:rsidRDefault="0047594F" w:rsidP="003E6AB8">
            <w:pPr>
              <w:pStyle w:val="ListParagraph"/>
              <w:numPr>
                <w:ilvl w:val="0"/>
                <w:numId w:val="2"/>
              </w:numPr>
              <w:jc w:val="center"/>
              <w:rPr>
                <w:rFonts w:ascii="Calibri Light" w:hAnsi="Calibri Light"/>
              </w:rPr>
            </w:pPr>
            <w:r w:rsidRPr="0047594F">
              <w:rPr>
                <w:rFonts w:ascii="Calibri Light" w:hAnsi="Calibri Light"/>
              </w:rPr>
              <w:t>Análisis jurídico</w:t>
            </w:r>
          </w:p>
          <w:p w14:paraId="158A739A" w14:textId="77777777" w:rsidR="0047594F" w:rsidRPr="0047594F" w:rsidRDefault="0047594F" w:rsidP="00AC6F31">
            <w:pPr>
              <w:pStyle w:val="ListParagraph"/>
              <w:rPr>
                <w:rFonts w:ascii="Calibri Light" w:hAnsi="Calibri Light"/>
              </w:rPr>
            </w:pPr>
          </w:p>
        </w:tc>
      </w:tr>
      <w:tr w:rsidR="0047594F" w:rsidRPr="0047594F" w14:paraId="71AB3B44" w14:textId="77777777" w:rsidTr="006601D0">
        <w:trPr>
          <w:trHeight w:val="978"/>
        </w:trPr>
        <w:tc>
          <w:tcPr>
            <w:cnfStyle w:val="001000000000" w:firstRow="0" w:lastRow="0" w:firstColumn="1" w:lastColumn="0" w:oddVBand="0" w:evenVBand="0" w:oddHBand="0" w:evenHBand="0" w:firstRowFirstColumn="0" w:firstRowLastColumn="0" w:lastRowFirstColumn="0" w:lastRowLastColumn="0"/>
            <w:tcW w:w="8767" w:type="dxa"/>
            <w:gridSpan w:val="3"/>
          </w:tcPr>
          <w:p w14:paraId="408A86DF" w14:textId="7D828014" w:rsidR="005E3343" w:rsidRDefault="005E3343" w:rsidP="00290959">
            <w:pPr>
              <w:jc w:val="both"/>
              <w:rPr>
                <w:rFonts w:ascii="Calibri Light" w:hAnsi="Calibri Light"/>
              </w:rPr>
            </w:pPr>
          </w:p>
          <w:p w14:paraId="0D6BDF72" w14:textId="4CD43807" w:rsidR="0047594F" w:rsidRPr="0047594F" w:rsidRDefault="0047594F" w:rsidP="00290959">
            <w:pPr>
              <w:jc w:val="both"/>
              <w:rPr>
                <w:rFonts w:ascii="Calibri Light" w:hAnsi="Calibri Light"/>
              </w:rPr>
            </w:pPr>
            <w:r w:rsidRPr="0047594F">
              <w:rPr>
                <w:rFonts w:ascii="Calibri Light" w:hAnsi="Calibri Light"/>
              </w:rPr>
              <w:t>Derecho a la libertad personal y derecho a la igualdad ante la ley (artículos 7 y 24 de la CADH)</w:t>
            </w:r>
          </w:p>
          <w:p w14:paraId="1702F881" w14:textId="77777777" w:rsidR="0047594F" w:rsidRPr="0047594F" w:rsidRDefault="0047594F" w:rsidP="00290959">
            <w:pPr>
              <w:jc w:val="both"/>
              <w:rPr>
                <w:rFonts w:ascii="Calibri Light" w:hAnsi="Calibri Light"/>
                <w:b w:val="0"/>
              </w:rPr>
            </w:pPr>
          </w:p>
          <w:p w14:paraId="28150BAF" w14:textId="78D8EA01" w:rsidR="0047594F" w:rsidRPr="007F24A7" w:rsidRDefault="0047594F" w:rsidP="002C4052">
            <w:pPr>
              <w:pStyle w:val="ListParagraph"/>
              <w:numPr>
                <w:ilvl w:val="0"/>
                <w:numId w:val="10"/>
              </w:numPr>
              <w:jc w:val="both"/>
              <w:rPr>
                <w:rFonts w:ascii="Calibri Light" w:hAnsi="Calibri Light"/>
              </w:rPr>
            </w:pPr>
            <w:r w:rsidRPr="007F24A7">
              <w:rPr>
                <w:rFonts w:ascii="Calibri Light" w:hAnsi="Calibri Light"/>
              </w:rPr>
              <w:t>El derecho a no ser privado de libertad ilegalmente</w:t>
            </w:r>
          </w:p>
          <w:p w14:paraId="68042C07" w14:textId="77777777" w:rsidR="0047594F" w:rsidRPr="007F24A7" w:rsidRDefault="0047594F" w:rsidP="00290959">
            <w:pPr>
              <w:jc w:val="both"/>
              <w:rPr>
                <w:rFonts w:ascii="Calibri Light" w:hAnsi="Calibri Light"/>
              </w:rPr>
            </w:pPr>
          </w:p>
          <w:p w14:paraId="0EF702C7" w14:textId="42D4F7E1" w:rsidR="00307E40" w:rsidRPr="007F24A7" w:rsidRDefault="00A07AE8" w:rsidP="00290959">
            <w:pPr>
              <w:jc w:val="both"/>
              <w:rPr>
                <w:rFonts w:ascii="Calibri Light" w:hAnsi="Calibri Light"/>
                <w:b w:val="0"/>
              </w:rPr>
            </w:pPr>
            <w:r w:rsidRPr="007F24A7">
              <w:rPr>
                <w:rFonts w:ascii="Calibri Light" w:hAnsi="Calibri Light"/>
                <w:b w:val="0"/>
              </w:rPr>
              <w:t>El artículo 7.2 de la CADH protege la garantía de reserva de ley, conforme a la cual el derecho a la libertad personal solo puede ser afectado a través de una ley. Esta garantía debe ir acompañada además del principio de tipicidad, que implica</w:t>
            </w:r>
            <w:r w:rsidR="00307E40" w:rsidRPr="007F24A7">
              <w:rPr>
                <w:rFonts w:ascii="Calibri Light" w:hAnsi="Calibri Light"/>
                <w:b w:val="0"/>
              </w:rPr>
              <w:t xml:space="preserve"> que </w:t>
            </w:r>
            <w:r w:rsidRPr="007F24A7">
              <w:rPr>
                <w:rFonts w:ascii="Calibri Light" w:hAnsi="Calibri Light"/>
                <w:b w:val="0"/>
              </w:rPr>
              <w:t xml:space="preserve">las causas y condiciones de la detención deben establecerse </w:t>
            </w:r>
            <w:r w:rsidR="00E5611E" w:rsidRPr="007F24A7">
              <w:rPr>
                <w:rFonts w:ascii="Calibri Light" w:hAnsi="Calibri Light"/>
                <w:b w:val="0"/>
              </w:rPr>
              <w:t xml:space="preserve">en la ley </w:t>
            </w:r>
            <w:r w:rsidRPr="007F24A7">
              <w:rPr>
                <w:rFonts w:ascii="Calibri Light" w:hAnsi="Calibri Light"/>
                <w:b w:val="0"/>
              </w:rPr>
              <w:t xml:space="preserve">de manera concreta y previa. </w:t>
            </w:r>
            <w:r w:rsidR="00E5611E" w:rsidRPr="007F24A7">
              <w:rPr>
                <w:rFonts w:ascii="Calibri Light" w:hAnsi="Calibri Light"/>
                <w:b w:val="0"/>
              </w:rPr>
              <w:t xml:space="preserve">La CIDH observó que la Constitución de Ecuador y el </w:t>
            </w:r>
            <w:r w:rsidR="00307E40" w:rsidRPr="007F24A7">
              <w:rPr>
                <w:rFonts w:ascii="Calibri Light" w:hAnsi="Calibri Light"/>
                <w:b w:val="0"/>
              </w:rPr>
              <w:t xml:space="preserve">artículo 172 del </w:t>
            </w:r>
            <w:r w:rsidR="00E5611E" w:rsidRPr="007F24A7">
              <w:rPr>
                <w:rFonts w:ascii="Calibri Light" w:hAnsi="Calibri Light"/>
                <w:b w:val="0"/>
              </w:rPr>
              <w:t>CPP</w:t>
            </w:r>
            <w:r w:rsidR="00307E40" w:rsidRPr="007F24A7">
              <w:rPr>
                <w:rFonts w:ascii="Calibri Light" w:hAnsi="Calibri Light"/>
                <w:b w:val="0"/>
              </w:rPr>
              <w:t xml:space="preserve"> establecían que se podía detener legalmente a una persona cuando existiera una orden judicial que cumpliera los requisitos señalados en estas normas o una situación de flagrancia</w:t>
            </w:r>
            <w:r w:rsidR="00E5611E" w:rsidRPr="007F24A7">
              <w:rPr>
                <w:rFonts w:ascii="Calibri Light" w:hAnsi="Calibri Light"/>
                <w:b w:val="0"/>
              </w:rPr>
              <w:t xml:space="preserve">. </w:t>
            </w:r>
            <w:r w:rsidR="00307E40" w:rsidRPr="007F24A7">
              <w:rPr>
                <w:rFonts w:ascii="Calibri Light" w:hAnsi="Calibri Light"/>
                <w:b w:val="0"/>
              </w:rPr>
              <w:t>Adicionalmente,</w:t>
            </w:r>
            <w:r w:rsidR="00E5611E" w:rsidRPr="007F24A7">
              <w:rPr>
                <w:rFonts w:ascii="Calibri Light" w:hAnsi="Calibri Light"/>
                <w:b w:val="0"/>
              </w:rPr>
              <w:t xml:space="preserve"> el art</w:t>
            </w:r>
            <w:r w:rsidR="00307E40" w:rsidRPr="007F24A7">
              <w:rPr>
                <w:rFonts w:ascii="Calibri Light" w:hAnsi="Calibri Light"/>
                <w:b w:val="0"/>
              </w:rPr>
              <w:t>ículo 54 del CPP establecía</w:t>
            </w:r>
            <w:r w:rsidR="00E5611E" w:rsidRPr="007F24A7">
              <w:rPr>
                <w:rFonts w:ascii="Calibri Light" w:hAnsi="Calibri Light"/>
                <w:b w:val="0"/>
              </w:rPr>
              <w:t xml:space="preserve"> que la policía judicial pod</w:t>
            </w:r>
            <w:r w:rsidR="00307E40" w:rsidRPr="007F24A7">
              <w:rPr>
                <w:rFonts w:ascii="Calibri Light" w:hAnsi="Calibri Light"/>
                <w:b w:val="0"/>
              </w:rPr>
              <w:t>ía</w:t>
            </w:r>
            <w:r w:rsidR="00E5611E" w:rsidRPr="007F24A7">
              <w:rPr>
                <w:rFonts w:ascii="Calibri Light" w:hAnsi="Calibri Light"/>
                <w:b w:val="0"/>
              </w:rPr>
              <w:t xml:space="preserve"> detener provisionalmente a una persona cuando exist</w:t>
            </w:r>
            <w:r w:rsidR="00307E40" w:rsidRPr="007F24A7">
              <w:rPr>
                <w:rFonts w:ascii="Calibri Light" w:hAnsi="Calibri Light"/>
                <w:b w:val="0"/>
              </w:rPr>
              <w:t>ieran</w:t>
            </w:r>
            <w:r w:rsidR="00E5611E" w:rsidRPr="007F24A7">
              <w:rPr>
                <w:rFonts w:ascii="Calibri Light" w:hAnsi="Calibri Light"/>
                <w:b w:val="0"/>
              </w:rPr>
              <w:t xml:space="preserve"> </w:t>
            </w:r>
            <w:r w:rsidR="00E960E7">
              <w:rPr>
                <w:rFonts w:ascii="Calibri Light" w:hAnsi="Calibri Light"/>
                <w:b w:val="0"/>
              </w:rPr>
              <w:t>“</w:t>
            </w:r>
            <w:r w:rsidR="00E5611E" w:rsidRPr="007F24A7">
              <w:rPr>
                <w:rFonts w:ascii="Calibri Light" w:hAnsi="Calibri Light"/>
                <w:b w:val="0"/>
              </w:rPr>
              <w:t>graves presunciones de responsabilidad</w:t>
            </w:r>
            <w:r w:rsidR="00E960E7">
              <w:rPr>
                <w:rFonts w:ascii="Calibri Light" w:hAnsi="Calibri Light"/>
                <w:b w:val="0"/>
              </w:rPr>
              <w:t>”</w:t>
            </w:r>
            <w:r w:rsidR="00E5611E" w:rsidRPr="007F24A7">
              <w:rPr>
                <w:rFonts w:ascii="Calibri Light" w:hAnsi="Calibri Light"/>
                <w:b w:val="0"/>
              </w:rPr>
              <w:t xml:space="preserve">. </w:t>
            </w:r>
          </w:p>
          <w:p w14:paraId="640FF6E0" w14:textId="77777777" w:rsidR="00307E40" w:rsidRPr="007F24A7" w:rsidRDefault="00307E40" w:rsidP="00290959">
            <w:pPr>
              <w:jc w:val="both"/>
              <w:rPr>
                <w:rFonts w:ascii="Calibri Light" w:hAnsi="Calibri Light"/>
                <w:b w:val="0"/>
              </w:rPr>
            </w:pPr>
          </w:p>
          <w:p w14:paraId="599CBD72" w14:textId="0BF67BCD" w:rsidR="0047594F" w:rsidRPr="007F24A7" w:rsidRDefault="00E5611E" w:rsidP="0023695D">
            <w:pPr>
              <w:jc w:val="both"/>
              <w:rPr>
                <w:rFonts w:ascii="Calibri Light" w:hAnsi="Calibri Light"/>
                <w:b w:val="0"/>
              </w:rPr>
            </w:pPr>
            <w:r w:rsidRPr="007F24A7">
              <w:rPr>
                <w:rFonts w:ascii="Calibri Light" w:hAnsi="Calibri Light"/>
                <w:b w:val="0"/>
              </w:rPr>
              <w:t xml:space="preserve">En este caso, la CIDH </w:t>
            </w:r>
            <w:r w:rsidR="00307E40" w:rsidRPr="007F24A7">
              <w:rPr>
                <w:rFonts w:ascii="Calibri Light" w:hAnsi="Calibri Light"/>
                <w:b w:val="0"/>
              </w:rPr>
              <w:t xml:space="preserve">observó que el señor Montesinos fue detenido sin una orden judicial que cumpliera los requisitos de la normativa ecuatoriana y sin que existiera flagrancia. Además, en caso se le hubiera detenido en base al artículo 54 del CPP, la CIDH recordó que esta norma no cumplía con el principio de tipicidad pues la expresión “graves presunciones de responsabilidad” era genérica e indefinida. </w:t>
            </w:r>
            <w:r w:rsidR="0023695D" w:rsidRPr="007F24A7">
              <w:rPr>
                <w:rFonts w:ascii="Calibri Light" w:hAnsi="Calibri Light"/>
                <w:b w:val="0"/>
              </w:rPr>
              <w:t xml:space="preserve">En base a estas consideraciones, la CIDH </w:t>
            </w:r>
            <w:r w:rsidR="0047594F" w:rsidRPr="007F24A7">
              <w:rPr>
                <w:rFonts w:ascii="Calibri Light" w:hAnsi="Calibri Light"/>
                <w:b w:val="0"/>
              </w:rPr>
              <w:t>consideró que el Estado de Ecuador violó los artículos 7.1 y 7.2 de la CADH</w:t>
            </w:r>
            <w:r w:rsidR="0023695D" w:rsidRPr="007F24A7">
              <w:rPr>
                <w:rFonts w:ascii="Calibri Light" w:hAnsi="Calibri Light"/>
                <w:b w:val="0"/>
              </w:rPr>
              <w:t>,</w:t>
            </w:r>
            <w:r w:rsidR="0047594F" w:rsidRPr="007F24A7">
              <w:rPr>
                <w:rFonts w:ascii="Calibri Light" w:hAnsi="Calibri Light"/>
                <w:b w:val="0"/>
              </w:rPr>
              <w:t xml:space="preserve"> en relación con los artículos 1.1 y 2</w:t>
            </w:r>
            <w:r w:rsidR="0023695D" w:rsidRPr="007F24A7">
              <w:rPr>
                <w:rFonts w:ascii="Calibri Light" w:hAnsi="Calibri Light"/>
                <w:b w:val="0"/>
              </w:rPr>
              <w:t>, en perjuicio de</w:t>
            </w:r>
            <w:r w:rsidR="00617EF0" w:rsidRPr="007F24A7">
              <w:rPr>
                <w:rFonts w:ascii="Calibri Light" w:hAnsi="Calibri Light"/>
                <w:b w:val="0"/>
              </w:rPr>
              <w:t xml:space="preserve">l señor </w:t>
            </w:r>
            <w:r w:rsidR="00372B89" w:rsidRPr="007F24A7">
              <w:rPr>
                <w:rFonts w:ascii="Calibri Light" w:hAnsi="Calibri Light"/>
                <w:b w:val="0"/>
              </w:rPr>
              <w:t>Montesinos</w:t>
            </w:r>
            <w:r w:rsidR="00617EF0" w:rsidRPr="007F24A7">
              <w:rPr>
                <w:rFonts w:ascii="Calibri Light" w:hAnsi="Calibri Light"/>
                <w:b w:val="0"/>
              </w:rPr>
              <w:t>.</w:t>
            </w:r>
          </w:p>
          <w:p w14:paraId="5A542D62" w14:textId="77777777" w:rsidR="0047594F" w:rsidRPr="008F5690" w:rsidRDefault="0047594F" w:rsidP="00290959">
            <w:pPr>
              <w:jc w:val="both"/>
              <w:rPr>
                <w:rFonts w:ascii="Calibri Light" w:hAnsi="Calibri Light"/>
              </w:rPr>
            </w:pPr>
          </w:p>
          <w:p w14:paraId="3359A5F5" w14:textId="41829546" w:rsidR="0047594F" w:rsidRPr="008F5690" w:rsidRDefault="0047594F" w:rsidP="002C4052">
            <w:pPr>
              <w:pStyle w:val="ListParagraph"/>
              <w:numPr>
                <w:ilvl w:val="0"/>
                <w:numId w:val="10"/>
              </w:numPr>
              <w:jc w:val="both"/>
              <w:rPr>
                <w:rFonts w:ascii="Calibri Light" w:hAnsi="Calibri Light"/>
              </w:rPr>
            </w:pPr>
            <w:r w:rsidRPr="008F5690">
              <w:rPr>
                <w:rFonts w:ascii="Calibri Light" w:hAnsi="Calibri Light"/>
              </w:rPr>
              <w:t>El derecho a no ser privado de libertad arbitrariamente y consideraciones sobre la duración de la detención preventiva</w:t>
            </w:r>
          </w:p>
          <w:p w14:paraId="5BAFC811" w14:textId="77777777" w:rsidR="0047594F" w:rsidRPr="001542F0" w:rsidRDefault="0047594F" w:rsidP="00290959">
            <w:pPr>
              <w:jc w:val="both"/>
              <w:rPr>
                <w:rFonts w:ascii="Calibri Light" w:hAnsi="Calibri Light"/>
                <w:highlight w:val="yellow"/>
              </w:rPr>
            </w:pPr>
          </w:p>
          <w:p w14:paraId="4D9A7325" w14:textId="77777777" w:rsidR="003A4E96" w:rsidRDefault="008F5690" w:rsidP="008F5690">
            <w:pPr>
              <w:jc w:val="both"/>
              <w:rPr>
                <w:rFonts w:ascii="Calibri Light" w:hAnsi="Calibri Light"/>
                <w:b w:val="0"/>
              </w:rPr>
            </w:pPr>
            <w:r>
              <w:rPr>
                <w:rFonts w:ascii="Calibri Light" w:hAnsi="Calibri Light"/>
                <w:b w:val="0"/>
              </w:rPr>
              <w:t>L</w:t>
            </w:r>
            <w:r w:rsidRPr="00425C8B">
              <w:rPr>
                <w:rFonts w:ascii="Calibri Light" w:hAnsi="Calibri Light"/>
                <w:b w:val="0"/>
              </w:rPr>
              <w:t>a prisión preventiva debe ser una medida cautelar y no punitiva</w:t>
            </w:r>
            <w:r>
              <w:rPr>
                <w:rFonts w:ascii="Calibri Light" w:hAnsi="Calibri Light"/>
                <w:b w:val="0"/>
              </w:rPr>
              <w:t xml:space="preserve">, que al ser la más severa, </w:t>
            </w:r>
            <w:r w:rsidRPr="00425C8B">
              <w:rPr>
                <w:rFonts w:ascii="Calibri Light" w:hAnsi="Calibri Light"/>
                <w:b w:val="0"/>
              </w:rPr>
              <w:t xml:space="preserve">solo debe aplicarse de manera excepcional. En cuanto a las razones que </w:t>
            </w:r>
            <w:r>
              <w:rPr>
                <w:rFonts w:ascii="Calibri Light" w:hAnsi="Calibri Light"/>
                <w:b w:val="0"/>
              </w:rPr>
              <w:t>justifican</w:t>
            </w:r>
            <w:r w:rsidRPr="00425C8B">
              <w:rPr>
                <w:rFonts w:ascii="Calibri Light" w:hAnsi="Calibri Light"/>
                <w:b w:val="0"/>
              </w:rPr>
              <w:t xml:space="preserve"> su aplicación</w:t>
            </w:r>
            <w:r>
              <w:rPr>
                <w:rFonts w:ascii="Calibri Light" w:hAnsi="Calibri Light"/>
                <w:b w:val="0"/>
              </w:rPr>
              <w:t xml:space="preserve"> </w:t>
            </w:r>
            <w:r w:rsidRPr="008009BA">
              <w:rPr>
                <w:rFonts w:ascii="Calibri Light" w:hAnsi="Calibri Light"/>
                <w:b w:val="0"/>
              </w:rPr>
              <w:t>de acuerdo al artículo 7.3 de la CADH,</w:t>
            </w:r>
            <w:r w:rsidRPr="00425C8B">
              <w:rPr>
                <w:rFonts w:ascii="Calibri Light" w:hAnsi="Calibri Light"/>
                <w:b w:val="0"/>
              </w:rPr>
              <w:t xml:space="preserve"> </w:t>
            </w:r>
            <w:r>
              <w:rPr>
                <w:rFonts w:ascii="Calibri Light" w:hAnsi="Calibri Light"/>
                <w:b w:val="0"/>
              </w:rPr>
              <w:t>la CIDH señaló que de por sí, no son suficientes para ello las características personales del presunto autor o la gravedad del delito que se le imputa</w:t>
            </w:r>
            <w:r w:rsidR="003A4E96">
              <w:rPr>
                <w:rFonts w:ascii="Calibri Light" w:hAnsi="Calibri Light"/>
                <w:b w:val="0"/>
              </w:rPr>
              <w:t>, sino que se requiere</w:t>
            </w:r>
            <w:r>
              <w:rPr>
                <w:rFonts w:ascii="Calibri Light" w:hAnsi="Calibri Light"/>
                <w:b w:val="0"/>
              </w:rPr>
              <w:t xml:space="preserve"> la existencia de un fin legítimo, como evitar que el acusado impida el desarrollo del proceso o eluda la acción de la justicia. </w:t>
            </w:r>
          </w:p>
          <w:p w14:paraId="6F42C891" w14:textId="77777777" w:rsidR="003A4E96" w:rsidRDefault="003A4E96" w:rsidP="008F5690">
            <w:pPr>
              <w:jc w:val="both"/>
              <w:rPr>
                <w:rFonts w:ascii="Calibri Light" w:hAnsi="Calibri Light"/>
                <w:b w:val="0"/>
              </w:rPr>
            </w:pPr>
          </w:p>
          <w:p w14:paraId="4EB23A1C" w14:textId="6315E510" w:rsidR="008F5690" w:rsidRDefault="008F5690" w:rsidP="008F5690">
            <w:pPr>
              <w:jc w:val="both"/>
              <w:rPr>
                <w:rFonts w:ascii="Calibri Light" w:hAnsi="Calibri Light"/>
                <w:b w:val="0"/>
              </w:rPr>
            </w:pPr>
            <w:r>
              <w:rPr>
                <w:rFonts w:ascii="Calibri Light" w:hAnsi="Calibri Light"/>
                <w:b w:val="0"/>
              </w:rPr>
              <w:t xml:space="preserve">De otra parte, indicó que de acuerdo al artículo 7.5 de la CADH, el plazo de aplicación de esta medida no debe exceder el límite de lo razonable. Además, sostuvo que la aplicación de la prisión preventiva debe ser revisada periódicamente para que no se prolongue en caso ya no existan los argumentos que llevaron a su adopción. Por último, indicó que la prisión preventiva </w:t>
            </w:r>
            <w:r>
              <w:rPr>
                <w:rFonts w:ascii="Calibri Light" w:hAnsi="Calibri Light"/>
                <w:b w:val="0"/>
              </w:rPr>
              <w:lastRenderedPageBreak/>
              <w:t xml:space="preserve">también puede afectar el principio de presunción de inocencia, reconocido en el artículo 8.2 de la CADH, pues mantener a una persona detenida por más tiempo del necesario para cumplir con los fines de la prisión preventiva equivale a una pena anticipada. </w:t>
            </w:r>
            <w:r w:rsidR="003A4E96">
              <w:rPr>
                <w:rFonts w:ascii="Calibri Light" w:hAnsi="Calibri Light"/>
                <w:b w:val="0"/>
              </w:rPr>
              <w:t xml:space="preserve">Asimismo, este principio es afectado si la </w:t>
            </w:r>
            <w:r w:rsidR="00E960E7">
              <w:rPr>
                <w:rFonts w:ascii="Calibri Light" w:hAnsi="Calibri Light"/>
                <w:b w:val="0"/>
              </w:rPr>
              <w:t xml:space="preserve">medida </w:t>
            </w:r>
            <w:r w:rsidR="003A4E96">
              <w:rPr>
                <w:rFonts w:ascii="Calibri Light" w:hAnsi="Calibri Light"/>
                <w:b w:val="0"/>
              </w:rPr>
              <w:t xml:space="preserve">es aplicada sin que se cumplan los requisitos antes señalados. </w:t>
            </w:r>
          </w:p>
          <w:p w14:paraId="349500F5" w14:textId="77777777" w:rsidR="0047594F" w:rsidRPr="003A4E96" w:rsidRDefault="0047594F" w:rsidP="00290959">
            <w:pPr>
              <w:jc w:val="both"/>
              <w:rPr>
                <w:rFonts w:ascii="Calibri Light" w:hAnsi="Calibri Light"/>
                <w:b w:val="0"/>
              </w:rPr>
            </w:pPr>
          </w:p>
          <w:p w14:paraId="08FCB92D" w14:textId="2FE1CB12" w:rsidR="0047594F" w:rsidRPr="003A4E96" w:rsidRDefault="00D66C06" w:rsidP="00290959">
            <w:pPr>
              <w:jc w:val="both"/>
              <w:rPr>
                <w:rFonts w:ascii="Calibri Light" w:hAnsi="Calibri Light"/>
                <w:b w:val="0"/>
              </w:rPr>
            </w:pPr>
            <w:r w:rsidRPr="003A4E96">
              <w:rPr>
                <w:rFonts w:ascii="Calibri Light" w:hAnsi="Calibri Light"/>
                <w:b w:val="0"/>
              </w:rPr>
              <w:t>En este caso, l</w:t>
            </w:r>
            <w:r w:rsidR="0047594F" w:rsidRPr="003A4E96">
              <w:rPr>
                <w:rFonts w:ascii="Calibri Light" w:hAnsi="Calibri Light"/>
                <w:b w:val="0"/>
              </w:rPr>
              <w:t xml:space="preserve">a CIDH </w:t>
            </w:r>
            <w:r w:rsidR="001D0653" w:rsidRPr="003A4E96">
              <w:rPr>
                <w:rFonts w:ascii="Calibri Light" w:hAnsi="Calibri Light"/>
                <w:b w:val="0"/>
              </w:rPr>
              <w:t xml:space="preserve">observó </w:t>
            </w:r>
            <w:r w:rsidR="0047594F" w:rsidRPr="003A4E96">
              <w:rPr>
                <w:rFonts w:ascii="Calibri Light" w:hAnsi="Calibri Light"/>
                <w:b w:val="0"/>
              </w:rPr>
              <w:t xml:space="preserve">que la decisión de la Jueza Primera de lo Penal en la boleta de detención de 13 de agosto de 1992 sostuvo que se encontraban reunidos todos los requisitos del artículo 177 del </w:t>
            </w:r>
            <w:r w:rsidR="00883C8F" w:rsidRPr="003A4E96">
              <w:rPr>
                <w:rFonts w:ascii="Calibri Light" w:hAnsi="Calibri Light"/>
                <w:b w:val="0"/>
              </w:rPr>
              <w:t>CPP</w:t>
            </w:r>
            <w:r w:rsidR="003A4E96" w:rsidRPr="003A4E96">
              <w:rPr>
                <w:rFonts w:ascii="Calibri Light" w:hAnsi="Calibri Light"/>
                <w:b w:val="0"/>
              </w:rPr>
              <w:t>. Esta disposición establece</w:t>
            </w:r>
            <w:r w:rsidR="001D0653" w:rsidRPr="003A4E96">
              <w:rPr>
                <w:rFonts w:ascii="Calibri Light" w:hAnsi="Calibri Light"/>
                <w:b w:val="0"/>
              </w:rPr>
              <w:t xml:space="preserve"> </w:t>
            </w:r>
            <w:r w:rsidR="006F056D" w:rsidRPr="003A4E96">
              <w:rPr>
                <w:rFonts w:ascii="Calibri Light" w:hAnsi="Calibri Light"/>
                <w:b w:val="0"/>
              </w:rPr>
              <w:t xml:space="preserve">que </w:t>
            </w:r>
            <w:r w:rsidR="001D0653" w:rsidRPr="003A4E96">
              <w:rPr>
                <w:rFonts w:ascii="Calibri Light" w:hAnsi="Calibri Light"/>
                <w:b w:val="0"/>
              </w:rPr>
              <w:t xml:space="preserve">la prisión preventiva puede ser aplicada a consideración del juez, </w:t>
            </w:r>
            <w:r w:rsidR="00540483" w:rsidRPr="003A4E96">
              <w:rPr>
                <w:rFonts w:ascii="Calibri Light" w:hAnsi="Calibri Light"/>
                <w:b w:val="0"/>
              </w:rPr>
              <w:t>con tan solo</w:t>
            </w:r>
            <w:r w:rsidR="001D0653" w:rsidRPr="003A4E96">
              <w:rPr>
                <w:rFonts w:ascii="Calibri Light" w:hAnsi="Calibri Light"/>
                <w:b w:val="0"/>
              </w:rPr>
              <w:t xml:space="preserve"> indicios de la comisión de un delito </w:t>
            </w:r>
            <w:r w:rsidR="00540483" w:rsidRPr="003A4E96">
              <w:rPr>
                <w:rFonts w:ascii="Calibri Light" w:hAnsi="Calibri Light"/>
                <w:b w:val="0"/>
              </w:rPr>
              <w:t xml:space="preserve">y </w:t>
            </w:r>
            <w:r w:rsidR="001D0653" w:rsidRPr="003A4E96">
              <w:rPr>
                <w:rFonts w:ascii="Calibri Light" w:hAnsi="Calibri Light"/>
                <w:b w:val="0"/>
              </w:rPr>
              <w:t xml:space="preserve">de responsabilidad por este. </w:t>
            </w:r>
            <w:r w:rsidR="0047594F" w:rsidRPr="003A4E96">
              <w:rPr>
                <w:rFonts w:ascii="Calibri Light" w:hAnsi="Calibri Light"/>
                <w:b w:val="0"/>
              </w:rPr>
              <w:t xml:space="preserve">En ese sentido, la CIDH </w:t>
            </w:r>
            <w:r w:rsidR="001D0653" w:rsidRPr="003A4E96">
              <w:rPr>
                <w:rFonts w:ascii="Calibri Light" w:hAnsi="Calibri Light"/>
                <w:b w:val="0"/>
              </w:rPr>
              <w:t xml:space="preserve">señaló </w:t>
            </w:r>
            <w:r w:rsidR="0047594F" w:rsidRPr="003A4E96">
              <w:rPr>
                <w:rFonts w:ascii="Calibri Light" w:hAnsi="Calibri Light"/>
                <w:b w:val="0"/>
              </w:rPr>
              <w:t xml:space="preserve">que esta norma y la </w:t>
            </w:r>
            <w:r w:rsidR="00A86BE7" w:rsidRPr="003A4E96">
              <w:rPr>
                <w:rFonts w:ascii="Calibri Light" w:hAnsi="Calibri Light"/>
                <w:b w:val="0"/>
              </w:rPr>
              <w:t xml:space="preserve">boleta de detención </w:t>
            </w:r>
            <w:r w:rsidR="0047594F" w:rsidRPr="003A4E96">
              <w:rPr>
                <w:rFonts w:ascii="Calibri Light" w:hAnsi="Calibri Light"/>
                <w:b w:val="0"/>
              </w:rPr>
              <w:t>emitida con base en la misma</w:t>
            </w:r>
            <w:r w:rsidR="00E960E7">
              <w:rPr>
                <w:rFonts w:ascii="Calibri Light" w:hAnsi="Calibri Light"/>
                <w:b w:val="0"/>
              </w:rPr>
              <w:t xml:space="preserve"> eran</w:t>
            </w:r>
            <w:r w:rsidR="0047594F" w:rsidRPr="003A4E96">
              <w:rPr>
                <w:rFonts w:ascii="Calibri Light" w:hAnsi="Calibri Light"/>
                <w:b w:val="0"/>
              </w:rPr>
              <w:t xml:space="preserve"> incompatibles con la CADH. </w:t>
            </w:r>
            <w:r w:rsidR="006D5104">
              <w:rPr>
                <w:rFonts w:ascii="Calibri Light" w:hAnsi="Calibri Light"/>
                <w:b w:val="0"/>
              </w:rPr>
              <w:t>También</w:t>
            </w:r>
            <w:r w:rsidR="0047594F" w:rsidRPr="003A4E96">
              <w:rPr>
                <w:rFonts w:ascii="Calibri Light" w:hAnsi="Calibri Light"/>
                <w:b w:val="0"/>
              </w:rPr>
              <w:t xml:space="preserve"> concluyó </w:t>
            </w:r>
            <w:r w:rsidR="00E960E7">
              <w:rPr>
                <w:rFonts w:ascii="Calibri Light" w:hAnsi="Calibri Light"/>
                <w:b w:val="0"/>
              </w:rPr>
              <w:t>que la extensión de</w:t>
            </w:r>
            <w:r w:rsidR="006D5104">
              <w:rPr>
                <w:rFonts w:ascii="Calibri Light" w:hAnsi="Calibri Light"/>
                <w:b w:val="0"/>
              </w:rPr>
              <w:t>,</w:t>
            </w:r>
            <w:r w:rsidR="00E960E7">
              <w:rPr>
                <w:rFonts w:ascii="Calibri Light" w:hAnsi="Calibri Light"/>
                <w:b w:val="0"/>
              </w:rPr>
              <w:t xml:space="preserve"> al menos seis años</w:t>
            </w:r>
            <w:r w:rsidR="006D5104">
              <w:rPr>
                <w:rFonts w:ascii="Calibri Light" w:hAnsi="Calibri Light"/>
                <w:b w:val="0"/>
              </w:rPr>
              <w:t>,</w:t>
            </w:r>
            <w:r w:rsidR="00E960E7">
              <w:rPr>
                <w:rFonts w:ascii="Calibri Light" w:hAnsi="Calibri Light"/>
                <w:b w:val="0"/>
              </w:rPr>
              <w:t xml:space="preserve"> de esta medida fue </w:t>
            </w:r>
            <w:r w:rsidR="0047594F" w:rsidRPr="003A4E96">
              <w:rPr>
                <w:rFonts w:ascii="Calibri Light" w:hAnsi="Calibri Light"/>
                <w:b w:val="0"/>
              </w:rPr>
              <w:t>irrazonable</w:t>
            </w:r>
            <w:r w:rsidR="00FA5EED" w:rsidRPr="003A4E96">
              <w:rPr>
                <w:rFonts w:ascii="Calibri Light" w:hAnsi="Calibri Light"/>
                <w:b w:val="0"/>
              </w:rPr>
              <w:t xml:space="preserve"> y</w:t>
            </w:r>
            <w:r w:rsidR="0047594F" w:rsidRPr="003A4E96">
              <w:rPr>
                <w:rFonts w:ascii="Calibri Light" w:hAnsi="Calibri Light"/>
                <w:b w:val="0"/>
              </w:rPr>
              <w:t xml:space="preserve"> </w:t>
            </w:r>
            <w:r w:rsidR="00E960E7">
              <w:rPr>
                <w:rFonts w:ascii="Calibri Light" w:hAnsi="Calibri Light"/>
                <w:b w:val="0"/>
              </w:rPr>
              <w:t>no tuvo</w:t>
            </w:r>
            <w:r w:rsidR="0047594F" w:rsidRPr="003A4E96">
              <w:rPr>
                <w:rFonts w:ascii="Calibri Light" w:hAnsi="Calibri Light"/>
                <w:b w:val="0"/>
              </w:rPr>
              <w:t xml:space="preserve"> justificación.</w:t>
            </w:r>
            <w:r w:rsidR="00E16A1C" w:rsidRPr="003A4E96">
              <w:rPr>
                <w:rFonts w:ascii="Calibri Light" w:hAnsi="Calibri Light"/>
                <w:b w:val="0"/>
              </w:rPr>
              <w:t xml:space="preserve"> </w:t>
            </w:r>
            <w:r w:rsidR="003A4E96" w:rsidRPr="003A4E96">
              <w:rPr>
                <w:rFonts w:ascii="Calibri Light" w:hAnsi="Calibri Light"/>
                <w:b w:val="0"/>
              </w:rPr>
              <w:t xml:space="preserve">Finalmente, como el artículo 144 del Código Penal prohibía la excarcelación para delitos relacionados al narcotráfico, consideró que ello también era contrario a la libertad personal y que, además, al ser una prohibición solo para ciertos delitos violaba la igualdad ante la ley. </w:t>
            </w:r>
            <w:r w:rsidR="006D5104">
              <w:rPr>
                <w:rFonts w:ascii="Calibri Light" w:hAnsi="Calibri Light"/>
                <w:b w:val="0"/>
              </w:rPr>
              <w:t>En vista de estas razones</w:t>
            </w:r>
            <w:r w:rsidR="0047594F" w:rsidRPr="003A4E96">
              <w:rPr>
                <w:rFonts w:ascii="Calibri Light" w:hAnsi="Calibri Light"/>
                <w:b w:val="0"/>
              </w:rPr>
              <w:t xml:space="preserve">, la CIDH </w:t>
            </w:r>
            <w:r w:rsidRPr="003A4E96">
              <w:rPr>
                <w:rFonts w:ascii="Calibri Light" w:hAnsi="Calibri Light"/>
                <w:b w:val="0"/>
              </w:rPr>
              <w:t>declaró que</w:t>
            </w:r>
            <w:r w:rsidR="0047594F" w:rsidRPr="003A4E96">
              <w:rPr>
                <w:rFonts w:ascii="Calibri Light" w:hAnsi="Calibri Light"/>
                <w:b w:val="0"/>
              </w:rPr>
              <w:t xml:space="preserve"> el Estado de Ecuador </w:t>
            </w:r>
            <w:r w:rsidR="00D40064" w:rsidRPr="003A4E96">
              <w:rPr>
                <w:rFonts w:ascii="Calibri Light" w:hAnsi="Calibri Light"/>
                <w:b w:val="0"/>
              </w:rPr>
              <w:t>violó</w:t>
            </w:r>
            <w:r w:rsidRPr="003A4E96">
              <w:rPr>
                <w:rFonts w:ascii="Calibri Light" w:hAnsi="Calibri Light"/>
                <w:b w:val="0"/>
              </w:rPr>
              <w:t xml:space="preserve"> </w:t>
            </w:r>
            <w:r w:rsidR="0047594F" w:rsidRPr="003A4E96">
              <w:rPr>
                <w:rFonts w:ascii="Calibri Light" w:hAnsi="Calibri Light"/>
                <w:b w:val="0"/>
              </w:rPr>
              <w:t>los artículos 7.3, 7.5, 8.2 y 24</w:t>
            </w:r>
            <w:r w:rsidRPr="003A4E96">
              <w:rPr>
                <w:rFonts w:ascii="Calibri Light" w:hAnsi="Calibri Light"/>
                <w:b w:val="0"/>
              </w:rPr>
              <w:t xml:space="preserve"> de la CADH</w:t>
            </w:r>
            <w:r w:rsidR="0047594F" w:rsidRPr="003A4E96">
              <w:rPr>
                <w:rFonts w:ascii="Calibri Light" w:hAnsi="Calibri Light"/>
                <w:b w:val="0"/>
              </w:rPr>
              <w:t>, en relación con los artículos 1.1 y 2</w:t>
            </w:r>
            <w:r w:rsidRPr="003A4E96">
              <w:rPr>
                <w:rFonts w:ascii="Calibri Light" w:hAnsi="Calibri Light"/>
                <w:b w:val="0"/>
              </w:rPr>
              <w:t>, en perjuicio de</w:t>
            </w:r>
            <w:r w:rsidR="006F056D" w:rsidRPr="003A4E96">
              <w:rPr>
                <w:rFonts w:ascii="Calibri Light" w:hAnsi="Calibri Light"/>
                <w:b w:val="0"/>
              </w:rPr>
              <w:t xml:space="preserve">l señor </w:t>
            </w:r>
            <w:r w:rsidR="00372B89" w:rsidRPr="003A4E96">
              <w:rPr>
                <w:rFonts w:ascii="Calibri Light" w:hAnsi="Calibri Light"/>
                <w:b w:val="0"/>
              </w:rPr>
              <w:t>Montesinos</w:t>
            </w:r>
            <w:r w:rsidR="006F056D" w:rsidRPr="003A4E96">
              <w:rPr>
                <w:rFonts w:ascii="Calibri Light" w:hAnsi="Calibri Light"/>
                <w:b w:val="0"/>
              </w:rPr>
              <w:t xml:space="preserve">. </w:t>
            </w:r>
          </w:p>
          <w:p w14:paraId="3CE5D339" w14:textId="77777777" w:rsidR="0047594F" w:rsidRPr="0047594F" w:rsidRDefault="0047594F" w:rsidP="00290959">
            <w:pPr>
              <w:jc w:val="both"/>
              <w:rPr>
                <w:rFonts w:ascii="Calibri Light" w:hAnsi="Calibri Light"/>
              </w:rPr>
            </w:pPr>
          </w:p>
          <w:p w14:paraId="33F3C337" w14:textId="501C84B6" w:rsidR="0047594F" w:rsidRPr="002C4052" w:rsidRDefault="0047594F" w:rsidP="002C4052">
            <w:pPr>
              <w:pStyle w:val="ListParagraph"/>
              <w:numPr>
                <w:ilvl w:val="0"/>
                <w:numId w:val="10"/>
              </w:numPr>
              <w:jc w:val="both"/>
              <w:rPr>
                <w:rFonts w:ascii="Calibri Light" w:hAnsi="Calibri Light"/>
              </w:rPr>
            </w:pPr>
            <w:r w:rsidRPr="002C4052">
              <w:rPr>
                <w:rFonts w:ascii="Calibri Light" w:hAnsi="Calibri Light"/>
              </w:rPr>
              <w:t>El derecho al control judicial de la prisión preventiva</w:t>
            </w:r>
          </w:p>
          <w:p w14:paraId="71A35645" w14:textId="77777777" w:rsidR="0047594F" w:rsidRPr="0047594F" w:rsidRDefault="0047594F" w:rsidP="00290959">
            <w:pPr>
              <w:jc w:val="both"/>
              <w:rPr>
                <w:rFonts w:ascii="Calibri Light" w:hAnsi="Calibri Light"/>
              </w:rPr>
            </w:pPr>
          </w:p>
          <w:p w14:paraId="4658D11A" w14:textId="7A720ACB" w:rsidR="0047594F" w:rsidRPr="0047594F" w:rsidRDefault="0047594F" w:rsidP="00290959">
            <w:pPr>
              <w:jc w:val="both"/>
              <w:rPr>
                <w:rFonts w:ascii="Calibri Light" w:hAnsi="Calibri Light"/>
                <w:b w:val="0"/>
              </w:rPr>
            </w:pPr>
            <w:r w:rsidRPr="0047594F">
              <w:rPr>
                <w:rFonts w:ascii="Calibri Light" w:hAnsi="Calibri Light"/>
                <w:b w:val="0"/>
              </w:rPr>
              <w:t>El artículo 7.5 de la CADH dispone que toda persona sometida a una detención tiene derecho a que una autoridad judicial revise dicha detención, sin demora, como medio de control idóneo para evitar capturas arbitrarias e ilegales</w:t>
            </w:r>
            <w:r w:rsidR="001737F4">
              <w:rPr>
                <w:rFonts w:ascii="Calibri Light" w:hAnsi="Calibri Light"/>
                <w:b w:val="0"/>
              </w:rPr>
              <w:t>. Esta medida garantiza que se</w:t>
            </w:r>
            <w:r w:rsidRPr="0047594F">
              <w:rPr>
                <w:rFonts w:ascii="Calibri Light" w:hAnsi="Calibri Light"/>
                <w:b w:val="0"/>
              </w:rPr>
              <w:t xml:space="preserve"> trate al inculpado de manera consecuente con la presunción de inocencia. </w:t>
            </w:r>
            <w:r w:rsidR="003A2DEB">
              <w:rPr>
                <w:rFonts w:ascii="Calibri Light" w:hAnsi="Calibri Light"/>
                <w:b w:val="0"/>
              </w:rPr>
              <w:t xml:space="preserve">La CIDH recordó que </w:t>
            </w:r>
            <w:r w:rsidR="003A2DEB" w:rsidRPr="0047594F">
              <w:rPr>
                <w:rFonts w:ascii="Calibri Light" w:hAnsi="Calibri Light"/>
                <w:b w:val="0"/>
              </w:rPr>
              <w:t xml:space="preserve">en el caso </w:t>
            </w:r>
            <w:r w:rsidR="003A2DEB" w:rsidRPr="003A2DEB">
              <w:rPr>
                <w:rFonts w:ascii="Calibri Light" w:hAnsi="Calibri Light"/>
                <w:b w:val="0"/>
                <w:i/>
              </w:rPr>
              <w:t>Acosta Calderón vs. Ecuador</w:t>
            </w:r>
            <w:r w:rsidR="003A2DEB" w:rsidRPr="0047594F">
              <w:rPr>
                <w:rFonts w:ascii="Calibri Light" w:hAnsi="Calibri Light"/>
                <w:b w:val="0"/>
              </w:rPr>
              <w:t xml:space="preserve">, la Corte IDH </w:t>
            </w:r>
            <w:r w:rsidR="003A2DEB">
              <w:rPr>
                <w:rFonts w:ascii="Calibri Light" w:hAnsi="Calibri Light"/>
                <w:b w:val="0"/>
              </w:rPr>
              <w:t xml:space="preserve">señaló que según el artículo 98 de la </w:t>
            </w:r>
            <w:r w:rsidR="003A2DEB" w:rsidRPr="0047594F">
              <w:rPr>
                <w:rFonts w:ascii="Calibri Light" w:hAnsi="Calibri Light"/>
                <w:b w:val="0"/>
              </w:rPr>
              <w:t>Constitución Política del Ecuador</w:t>
            </w:r>
            <w:r w:rsidR="003A2DEB">
              <w:rPr>
                <w:rFonts w:ascii="Calibri Light" w:hAnsi="Calibri Light"/>
                <w:b w:val="0"/>
              </w:rPr>
              <w:t xml:space="preserve"> y el artículo 7.5 de la CADH, un</w:t>
            </w:r>
            <w:r w:rsidR="003A2DEB" w:rsidRPr="0047594F">
              <w:rPr>
                <w:rFonts w:ascii="Calibri Light" w:hAnsi="Calibri Light"/>
                <w:b w:val="0"/>
              </w:rPr>
              <w:t xml:space="preserve"> </w:t>
            </w:r>
            <w:r w:rsidR="003A4E96">
              <w:rPr>
                <w:rFonts w:ascii="Calibri Light" w:hAnsi="Calibri Light"/>
                <w:b w:val="0"/>
              </w:rPr>
              <w:t>fiscal</w:t>
            </w:r>
            <w:r w:rsidR="003A2DEB" w:rsidRPr="0047594F">
              <w:rPr>
                <w:rFonts w:ascii="Calibri Light" w:hAnsi="Calibri Light"/>
                <w:b w:val="0"/>
              </w:rPr>
              <w:t xml:space="preserve"> no posee las atribuciones para ser considerado “funcionario autorizado para ejercer funciones judiciales”</w:t>
            </w:r>
            <w:r w:rsidR="003A2DEB">
              <w:rPr>
                <w:rFonts w:ascii="Calibri Light" w:hAnsi="Calibri Light"/>
                <w:b w:val="0"/>
              </w:rPr>
              <w:t>.</w:t>
            </w:r>
            <w:r w:rsidR="00BC08E4">
              <w:rPr>
                <w:rFonts w:ascii="Calibri Light" w:hAnsi="Calibri Light"/>
                <w:b w:val="0"/>
              </w:rPr>
              <w:t xml:space="preserve"> </w:t>
            </w:r>
            <w:r w:rsidR="003A4E96">
              <w:rPr>
                <w:rFonts w:ascii="Calibri Light" w:hAnsi="Calibri Light"/>
                <w:b w:val="0"/>
              </w:rPr>
              <w:t>A pesar de ello</w:t>
            </w:r>
            <w:r w:rsidR="004B0A5C">
              <w:rPr>
                <w:rFonts w:ascii="Calibri Light" w:hAnsi="Calibri Light"/>
                <w:b w:val="0"/>
              </w:rPr>
              <w:t xml:space="preserve">, </w:t>
            </w:r>
            <w:r w:rsidR="00371CC4" w:rsidRPr="0047594F">
              <w:rPr>
                <w:rFonts w:ascii="Calibri Light" w:hAnsi="Calibri Light"/>
                <w:b w:val="0"/>
              </w:rPr>
              <w:t>el señor Montesinos</w:t>
            </w:r>
            <w:r w:rsidR="00371CC4">
              <w:rPr>
                <w:rFonts w:ascii="Calibri Light" w:hAnsi="Calibri Light"/>
                <w:b w:val="0"/>
              </w:rPr>
              <w:t xml:space="preserve"> rindió declaraciones presumariales el 25 de junio y el 12 julio de 1992 </w:t>
            </w:r>
            <w:r w:rsidR="003A4E96">
              <w:rPr>
                <w:rFonts w:ascii="Calibri Light" w:hAnsi="Calibri Light"/>
                <w:b w:val="0"/>
              </w:rPr>
              <w:t>ante</w:t>
            </w:r>
            <w:r w:rsidR="00371CC4">
              <w:rPr>
                <w:rFonts w:ascii="Calibri Light" w:hAnsi="Calibri Light"/>
                <w:b w:val="0"/>
              </w:rPr>
              <w:t xml:space="preserve"> agentes policiales y fiscales</w:t>
            </w:r>
            <w:r w:rsidR="001D1D01">
              <w:rPr>
                <w:rFonts w:ascii="Calibri Light" w:hAnsi="Calibri Light"/>
                <w:b w:val="0"/>
              </w:rPr>
              <w:t>,</w:t>
            </w:r>
            <w:r w:rsidR="00371CC4">
              <w:rPr>
                <w:rFonts w:ascii="Calibri Light" w:hAnsi="Calibri Light"/>
                <w:b w:val="0"/>
              </w:rPr>
              <w:t xml:space="preserve"> mas no ante una autoridad judicial. Además, el</w:t>
            </w:r>
            <w:r w:rsidR="00371CC4" w:rsidRPr="0047594F">
              <w:rPr>
                <w:rFonts w:ascii="Calibri Light" w:hAnsi="Calibri Light"/>
                <w:b w:val="0"/>
              </w:rPr>
              <w:t xml:space="preserve"> primer pronunciamiento judicial</w:t>
            </w:r>
            <w:r w:rsidR="00371CC4">
              <w:rPr>
                <w:rFonts w:ascii="Calibri Light" w:hAnsi="Calibri Light"/>
                <w:b w:val="0"/>
              </w:rPr>
              <w:t xml:space="preserve"> </w:t>
            </w:r>
            <w:r w:rsidR="00371CC4" w:rsidRPr="0047594F">
              <w:rPr>
                <w:rFonts w:ascii="Calibri Light" w:hAnsi="Calibri Light"/>
                <w:b w:val="0"/>
              </w:rPr>
              <w:t xml:space="preserve">respecto de la privación de libertad del señor Montesinos </w:t>
            </w:r>
            <w:r w:rsidR="00371CC4">
              <w:rPr>
                <w:rFonts w:ascii="Calibri Light" w:hAnsi="Calibri Light"/>
                <w:b w:val="0"/>
              </w:rPr>
              <w:t xml:space="preserve">fue recién </w:t>
            </w:r>
            <w:r w:rsidR="00371CC4" w:rsidRPr="0047594F">
              <w:rPr>
                <w:rFonts w:ascii="Calibri Light" w:hAnsi="Calibri Light"/>
                <w:b w:val="0"/>
              </w:rPr>
              <w:t>el 13 de agosto de 1992</w:t>
            </w:r>
            <w:r w:rsidR="00371CC4">
              <w:rPr>
                <w:rFonts w:ascii="Calibri Light" w:hAnsi="Calibri Light"/>
                <w:b w:val="0"/>
              </w:rPr>
              <w:t xml:space="preserve">. </w:t>
            </w:r>
            <w:r w:rsidR="006D5104">
              <w:rPr>
                <w:rFonts w:ascii="Calibri Light" w:hAnsi="Calibri Light"/>
                <w:b w:val="0"/>
              </w:rPr>
              <w:t>Por ello</w:t>
            </w:r>
            <w:r w:rsidR="00371CC4" w:rsidRPr="0047594F">
              <w:rPr>
                <w:rFonts w:ascii="Calibri Light" w:hAnsi="Calibri Light"/>
                <w:b w:val="0"/>
              </w:rPr>
              <w:t>, la CIDH concluyó que el Estado violó la garantía establecida en el artículo 7.5 de la CADH</w:t>
            </w:r>
            <w:r w:rsidR="00371CC4">
              <w:rPr>
                <w:rFonts w:ascii="Calibri Light" w:hAnsi="Calibri Light"/>
                <w:b w:val="0"/>
              </w:rPr>
              <w:t>,</w:t>
            </w:r>
            <w:r w:rsidR="00371CC4" w:rsidRPr="0047594F">
              <w:rPr>
                <w:rFonts w:ascii="Calibri Light" w:hAnsi="Calibri Light"/>
                <w:b w:val="0"/>
              </w:rPr>
              <w:t xml:space="preserve"> en relación con el artículo 1.1</w:t>
            </w:r>
            <w:r w:rsidR="00CA4F4D">
              <w:rPr>
                <w:rFonts w:ascii="Calibri Light" w:hAnsi="Calibri Light"/>
                <w:b w:val="0"/>
              </w:rPr>
              <w:t>, en perjuicio del señor Montesinos</w:t>
            </w:r>
            <w:r w:rsidR="00371CC4">
              <w:rPr>
                <w:rFonts w:ascii="Calibri Light" w:hAnsi="Calibri Light"/>
                <w:b w:val="0"/>
              </w:rPr>
              <w:t>.</w:t>
            </w:r>
            <w:r w:rsidRPr="0047594F">
              <w:rPr>
                <w:rFonts w:ascii="Calibri Light" w:hAnsi="Calibri Light"/>
                <w:b w:val="0"/>
              </w:rPr>
              <w:t xml:space="preserve"> </w:t>
            </w:r>
          </w:p>
          <w:p w14:paraId="5F3105C4" w14:textId="77777777" w:rsidR="0047594F" w:rsidRPr="0047594F" w:rsidRDefault="0047594F" w:rsidP="00290959">
            <w:pPr>
              <w:jc w:val="both"/>
              <w:rPr>
                <w:rFonts w:ascii="Calibri Light" w:hAnsi="Calibri Light"/>
              </w:rPr>
            </w:pPr>
          </w:p>
          <w:p w14:paraId="668A9F5B" w14:textId="72D0F6C4" w:rsidR="0047594F" w:rsidRPr="002C4052" w:rsidRDefault="0047594F" w:rsidP="002C4052">
            <w:pPr>
              <w:pStyle w:val="ListParagraph"/>
              <w:numPr>
                <w:ilvl w:val="0"/>
                <w:numId w:val="10"/>
              </w:numPr>
              <w:jc w:val="both"/>
              <w:rPr>
                <w:rFonts w:ascii="Calibri Light" w:hAnsi="Calibri Light"/>
              </w:rPr>
            </w:pPr>
            <w:r w:rsidRPr="002C4052">
              <w:rPr>
                <w:rFonts w:ascii="Calibri Light" w:hAnsi="Calibri Light"/>
              </w:rPr>
              <w:t>El derecho a contar con un recurso para controvertir la detención</w:t>
            </w:r>
          </w:p>
          <w:p w14:paraId="3A527ECA" w14:textId="77777777" w:rsidR="0047594F" w:rsidRPr="0047594F" w:rsidRDefault="0047594F" w:rsidP="00290959">
            <w:pPr>
              <w:jc w:val="both"/>
              <w:rPr>
                <w:rFonts w:ascii="Calibri Light" w:hAnsi="Calibri Light"/>
              </w:rPr>
            </w:pPr>
          </w:p>
          <w:p w14:paraId="40D9C563" w14:textId="44E72776" w:rsidR="0006528E" w:rsidRDefault="001542F0" w:rsidP="00290959">
            <w:pPr>
              <w:jc w:val="both"/>
              <w:rPr>
                <w:rFonts w:ascii="Calibri Light" w:hAnsi="Calibri Light"/>
                <w:b w:val="0"/>
              </w:rPr>
            </w:pPr>
            <w:r>
              <w:rPr>
                <w:rFonts w:ascii="Calibri Light" w:hAnsi="Calibri Light"/>
                <w:b w:val="0"/>
              </w:rPr>
              <w:t>L</w:t>
            </w:r>
            <w:r w:rsidR="0047594F" w:rsidRPr="0047594F">
              <w:rPr>
                <w:rFonts w:ascii="Calibri Light" w:hAnsi="Calibri Light"/>
                <w:b w:val="0"/>
              </w:rPr>
              <w:t xml:space="preserve">a Corte IDH ha indicado que </w:t>
            </w:r>
            <w:r>
              <w:rPr>
                <w:rFonts w:ascii="Calibri Light" w:hAnsi="Calibri Light"/>
                <w:b w:val="0"/>
              </w:rPr>
              <w:t xml:space="preserve">el artículo 7.6 de la CADH </w:t>
            </w:r>
            <w:r w:rsidR="0047594F" w:rsidRPr="0047594F">
              <w:rPr>
                <w:rFonts w:ascii="Calibri Light" w:hAnsi="Calibri Light"/>
                <w:b w:val="0"/>
              </w:rPr>
              <w:t>consiste en</w:t>
            </w:r>
            <w:r w:rsidR="008F5071">
              <w:rPr>
                <w:rFonts w:ascii="Calibri Light" w:hAnsi="Calibri Light"/>
                <w:b w:val="0"/>
              </w:rPr>
              <w:t xml:space="preserve"> que, a través de un recurso, se pueda</w:t>
            </w:r>
            <w:r w:rsidR="0047594F" w:rsidRPr="0047594F">
              <w:rPr>
                <w:rFonts w:ascii="Calibri Light" w:hAnsi="Calibri Light"/>
                <w:b w:val="0"/>
              </w:rPr>
              <w:t xml:space="preserve"> tutelar de manera directa la libertad personal o física, a fin de que </w:t>
            </w:r>
            <w:r w:rsidR="008F5071">
              <w:rPr>
                <w:rFonts w:ascii="Calibri Light" w:hAnsi="Calibri Light"/>
                <w:b w:val="0"/>
              </w:rPr>
              <w:t xml:space="preserve">un </w:t>
            </w:r>
            <w:r w:rsidR="0047594F" w:rsidRPr="0047594F">
              <w:rPr>
                <w:rFonts w:ascii="Calibri Light" w:hAnsi="Calibri Light"/>
                <w:b w:val="0"/>
              </w:rPr>
              <w:t xml:space="preserve">juez </w:t>
            </w:r>
            <w:r w:rsidR="008F5071">
              <w:rPr>
                <w:rFonts w:ascii="Calibri Light" w:hAnsi="Calibri Light"/>
                <w:b w:val="0"/>
              </w:rPr>
              <w:t xml:space="preserve">examine </w:t>
            </w:r>
            <w:r w:rsidR="0047594F" w:rsidRPr="0047594F">
              <w:rPr>
                <w:rFonts w:ascii="Calibri Light" w:hAnsi="Calibri Light"/>
                <w:b w:val="0"/>
              </w:rPr>
              <w:t xml:space="preserve">la legalidad de la privación. </w:t>
            </w:r>
            <w:r w:rsidR="008F5071">
              <w:rPr>
                <w:rFonts w:ascii="Calibri Light" w:hAnsi="Calibri Light"/>
                <w:b w:val="0"/>
              </w:rPr>
              <w:t>En este sentido, se</w:t>
            </w:r>
            <w:r w:rsidR="0047594F" w:rsidRPr="0047594F">
              <w:rPr>
                <w:rFonts w:ascii="Calibri Light" w:hAnsi="Calibri Light"/>
                <w:b w:val="0"/>
              </w:rPr>
              <w:t xml:space="preserve"> ha </w:t>
            </w:r>
            <w:r w:rsidR="0006528E">
              <w:rPr>
                <w:rFonts w:ascii="Calibri Light" w:hAnsi="Calibri Light"/>
                <w:b w:val="0"/>
              </w:rPr>
              <w:t>señala</w:t>
            </w:r>
            <w:r w:rsidR="0047594F" w:rsidRPr="0047594F">
              <w:rPr>
                <w:rFonts w:ascii="Calibri Light" w:hAnsi="Calibri Light"/>
                <w:b w:val="0"/>
              </w:rPr>
              <w:t xml:space="preserve">do que </w:t>
            </w:r>
            <w:r w:rsidR="0006528E">
              <w:rPr>
                <w:rFonts w:ascii="Calibri Light" w:hAnsi="Calibri Light"/>
                <w:b w:val="0"/>
              </w:rPr>
              <w:t>este derecho</w:t>
            </w:r>
            <w:r w:rsidR="0047594F" w:rsidRPr="0047594F">
              <w:rPr>
                <w:rFonts w:ascii="Calibri Light" w:hAnsi="Calibri Light"/>
                <w:b w:val="0"/>
              </w:rPr>
              <w:t xml:space="preserve"> no se cumple con la sola existencia formal de los recursos</w:t>
            </w:r>
            <w:r w:rsidR="008F5071">
              <w:rPr>
                <w:rFonts w:ascii="Calibri Light" w:hAnsi="Calibri Light"/>
                <w:b w:val="0"/>
              </w:rPr>
              <w:t>,</w:t>
            </w:r>
            <w:r w:rsidR="0047594F" w:rsidRPr="0047594F">
              <w:rPr>
                <w:rFonts w:ascii="Calibri Light" w:hAnsi="Calibri Light"/>
                <w:b w:val="0"/>
              </w:rPr>
              <w:t xml:space="preserve"> sino que estos deben ser eficaces. </w:t>
            </w:r>
            <w:r w:rsidR="0006528E">
              <w:rPr>
                <w:rFonts w:ascii="Calibri Light" w:hAnsi="Calibri Light"/>
                <w:b w:val="0"/>
              </w:rPr>
              <w:t xml:space="preserve">En el caso del señor Montesinos, este </w:t>
            </w:r>
            <w:r w:rsidR="0047594F" w:rsidRPr="0047594F">
              <w:rPr>
                <w:rFonts w:ascii="Calibri Light" w:hAnsi="Calibri Light"/>
                <w:b w:val="0"/>
              </w:rPr>
              <w:t xml:space="preserve">presentó un recurso de hábeas corpus </w:t>
            </w:r>
            <w:r w:rsidR="0006528E" w:rsidRPr="0047594F">
              <w:rPr>
                <w:rFonts w:ascii="Calibri Light" w:hAnsi="Calibri Light"/>
                <w:b w:val="0"/>
              </w:rPr>
              <w:t xml:space="preserve">en septiembre de 1996 </w:t>
            </w:r>
            <w:r w:rsidR="0047594F" w:rsidRPr="0047594F">
              <w:rPr>
                <w:rFonts w:ascii="Calibri Light" w:hAnsi="Calibri Light"/>
                <w:b w:val="0"/>
              </w:rPr>
              <w:t>ante el Alcalde del Distrito Metropolitano de Quito</w:t>
            </w:r>
            <w:r w:rsidR="0006528E">
              <w:rPr>
                <w:rFonts w:ascii="Calibri Light" w:hAnsi="Calibri Light"/>
                <w:b w:val="0"/>
              </w:rPr>
              <w:t xml:space="preserve">, </w:t>
            </w:r>
            <w:r w:rsidR="003A4E96">
              <w:rPr>
                <w:rFonts w:ascii="Calibri Light" w:hAnsi="Calibri Light"/>
                <w:b w:val="0"/>
              </w:rPr>
              <w:t>que</w:t>
            </w:r>
            <w:r w:rsidR="0047594F" w:rsidRPr="0047594F">
              <w:rPr>
                <w:rFonts w:ascii="Calibri Light" w:hAnsi="Calibri Light"/>
                <w:b w:val="0"/>
              </w:rPr>
              <w:t xml:space="preserve"> fue declarado improcedente. </w:t>
            </w:r>
            <w:r w:rsidR="0006528E">
              <w:rPr>
                <w:rFonts w:ascii="Calibri Light" w:hAnsi="Calibri Light"/>
                <w:b w:val="0"/>
              </w:rPr>
              <w:t>Al respecto</w:t>
            </w:r>
            <w:r w:rsidR="0047594F" w:rsidRPr="0047594F">
              <w:rPr>
                <w:rFonts w:ascii="Calibri Light" w:hAnsi="Calibri Light"/>
                <w:b w:val="0"/>
              </w:rPr>
              <w:t xml:space="preserve">, </w:t>
            </w:r>
            <w:r w:rsidR="0006528E">
              <w:rPr>
                <w:rFonts w:ascii="Calibri Light" w:hAnsi="Calibri Light"/>
                <w:b w:val="0"/>
              </w:rPr>
              <w:t xml:space="preserve">cabe señalar que </w:t>
            </w:r>
            <w:r w:rsidR="0047594F" w:rsidRPr="0047594F">
              <w:rPr>
                <w:rFonts w:ascii="Calibri Light" w:hAnsi="Calibri Light"/>
                <w:b w:val="0"/>
              </w:rPr>
              <w:t xml:space="preserve">tanto la CIDH como la Corte IDH han establecido que un hábeas corpus ante una autoridad administrativa no constituye un recurso efectivo bajo los estándares interamericanos. A pesar de que dicho recurso </w:t>
            </w:r>
            <w:r w:rsidR="0006528E">
              <w:rPr>
                <w:rFonts w:ascii="Calibri Light" w:hAnsi="Calibri Light"/>
                <w:b w:val="0"/>
              </w:rPr>
              <w:t>pueda</w:t>
            </w:r>
            <w:r w:rsidR="0006528E" w:rsidRPr="0047594F">
              <w:rPr>
                <w:rFonts w:ascii="Calibri Light" w:hAnsi="Calibri Light"/>
                <w:b w:val="0"/>
              </w:rPr>
              <w:t xml:space="preserve"> </w:t>
            </w:r>
            <w:r w:rsidR="0047594F" w:rsidRPr="0047594F">
              <w:rPr>
                <w:rFonts w:ascii="Calibri Light" w:hAnsi="Calibri Light"/>
                <w:b w:val="0"/>
              </w:rPr>
              <w:t xml:space="preserve">ser apelado ante una autoridad judicial, la Corte IDH ha indicado que tener que recurrir a una apelación para que </w:t>
            </w:r>
            <w:r w:rsidR="0006528E">
              <w:rPr>
                <w:rFonts w:ascii="Calibri Light" w:hAnsi="Calibri Light"/>
                <w:b w:val="0"/>
              </w:rPr>
              <w:t>el recurso sea conocido por</w:t>
            </w:r>
            <w:r w:rsidR="0047594F" w:rsidRPr="0047594F">
              <w:rPr>
                <w:rFonts w:ascii="Calibri Light" w:hAnsi="Calibri Light"/>
                <w:b w:val="0"/>
              </w:rPr>
              <w:t xml:space="preserve"> una autoridad judicial genera obstáculos a un recurso que debe ser sencillo. </w:t>
            </w:r>
          </w:p>
          <w:p w14:paraId="3E1C5F70" w14:textId="77777777" w:rsidR="0006528E" w:rsidRDefault="0006528E" w:rsidP="00290959">
            <w:pPr>
              <w:jc w:val="both"/>
              <w:rPr>
                <w:rFonts w:ascii="Calibri Light" w:hAnsi="Calibri Light"/>
                <w:b w:val="0"/>
              </w:rPr>
            </w:pPr>
          </w:p>
          <w:p w14:paraId="0DA182C3" w14:textId="72E1BC9F" w:rsidR="0047594F" w:rsidRPr="0047594F" w:rsidRDefault="0006528E" w:rsidP="00290959">
            <w:pPr>
              <w:jc w:val="both"/>
              <w:rPr>
                <w:rFonts w:ascii="Calibri Light" w:hAnsi="Calibri Light"/>
                <w:b w:val="0"/>
              </w:rPr>
            </w:pPr>
            <w:r>
              <w:rPr>
                <w:rFonts w:ascii="Calibri Light" w:hAnsi="Calibri Light"/>
                <w:b w:val="0"/>
              </w:rPr>
              <w:t>En vista de ello, l</w:t>
            </w:r>
            <w:r w:rsidR="0047594F" w:rsidRPr="0047594F">
              <w:rPr>
                <w:rFonts w:ascii="Calibri Light" w:hAnsi="Calibri Light"/>
                <w:b w:val="0"/>
              </w:rPr>
              <w:t>a CIDH concluyó que el habeas corpus no cumplía con los requerimientos del artículo 7.6 de la CADH</w:t>
            </w:r>
            <w:r w:rsidR="002B6E85">
              <w:rPr>
                <w:rFonts w:ascii="Calibri Light" w:hAnsi="Calibri Light"/>
                <w:b w:val="0"/>
              </w:rPr>
              <w:t>, por lo que el señor Montesinos</w:t>
            </w:r>
            <w:r w:rsidR="002B6E85" w:rsidRPr="0047594F">
              <w:rPr>
                <w:rFonts w:ascii="Calibri Light" w:hAnsi="Calibri Light"/>
                <w:b w:val="0"/>
              </w:rPr>
              <w:t xml:space="preserve"> no contó con un recurso judicial efectivo para lograr el control de la detención preventiva</w:t>
            </w:r>
            <w:r w:rsidR="002B6E85">
              <w:rPr>
                <w:rFonts w:ascii="Calibri Light" w:hAnsi="Calibri Light"/>
                <w:b w:val="0"/>
              </w:rPr>
              <w:t xml:space="preserve">. </w:t>
            </w:r>
            <w:r w:rsidR="0047594F" w:rsidRPr="0047594F">
              <w:rPr>
                <w:rFonts w:ascii="Calibri Light" w:hAnsi="Calibri Light"/>
                <w:b w:val="0"/>
              </w:rPr>
              <w:t xml:space="preserve">Además, aunque el TGC </w:t>
            </w:r>
            <w:r>
              <w:rPr>
                <w:rFonts w:ascii="Calibri Light" w:hAnsi="Calibri Light"/>
                <w:b w:val="0"/>
              </w:rPr>
              <w:t>estimó</w:t>
            </w:r>
            <w:r w:rsidR="0047594F" w:rsidRPr="0047594F">
              <w:rPr>
                <w:rFonts w:ascii="Calibri Light" w:hAnsi="Calibri Light"/>
                <w:b w:val="0"/>
              </w:rPr>
              <w:t xml:space="preserve"> el recurso, el mismo no fue cumplido por las autoridades penitenciarias por un largo periodo de tiempo</w:t>
            </w:r>
            <w:r w:rsidR="002B6E85">
              <w:rPr>
                <w:rFonts w:ascii="Calibri Light" w:hAnsi="Calibri Light"/>
                <w:b w:val="0"/>
              </w:rPr>
              <w:t>.</w:t>
            </w:r>
            <w:r w:rsidR="0047594F" w:rsidRPr="0047594F">
              <w:rPr>
                <w:rFonts w:ascii="Calibri Light" w:hAnsi="Calibri Light"/>
                <w:b w:val="0"/>
              </w:rPr>
              <w:t xml:space="preserve"> </w:t>
            </w:r>
            <w:r w:rsidR="00BC08E4">
              <w:rPr>
                <w:rFonts w:ascii="Calibri Light" w:hAnsi="Calibri Light"/>
                <w:b w:val="0"/>
              </w:rPr>
              <w:t>Por ello</w:t>
            </w:r>
            <w:r w:rsidR="0047594F" w:rsidRPr="0047594F">
              <w:rPr>
                <w:rFonts w:ascii="Calibri Light" w:hAnsi="Calibri Light"/>
                <w:b w:val="0"/>
              </w:rPr>
              <w:t>, el Estado también incurrió en responsabilidad por la violación del artículo 25.2</w:t>
            </w:r>
            <w:r w:rsidR="00BC08E4">
              <w:rPr>
                <w:rFonts w:ascii="Calibri Light" w:hAnsi="Calibri Light"/>
                <w:b w:val="0"/>
              </w:rPr>
              <w:t>.</w:t>
            </w:r>
            <w:r w:rsidR="0047594F" w:rsidRPr="0047594F">
              <w:rPr>
                <w:rFonts w:ascii="Calibri Light" w:hAnsi="Calibri Light"/>
                <w:b w:val="0"/>
              </w:rPr>
              <w:t>c de la CADH.</w:t>
            </w:r>
          </w:p>
          <w:p w14:paraId="09C49FA9" w14:textId="77777777" w:rsidR="0047594F" w:rsidRPr="0047594F" w:rsidRDefault="0047594F" w:rsidP="00290959">
            <w:pPr>
              <w:jc w:val="both"/>
              <w:rPr>
                <w:rFonts w:ascii="Calibri Light" w:hAnsi="Calibri Light"/>
              </w:rPr>
            </w:pPr>
          </w:p>
          <w:p w14:paraId="1521851B" w14:textId="19067BD5" w:rsidR="0047594F" w:rsidRPr="0047594F" w:rsidRDefault="0047594F" w:rsidP="00290959">
            <w:pPr>
              <w:jc w:val="both"/>
              <w:rPr>
                <w:rFonts w:ascii="Calibri Light" w:hAnsi="Calibri Light"/>
              </w:rPr>
            </w:pPr>
            <w:r w:rsidRPr="0047594F">
              <w:rPr>
                <w:rFonts w:ascii="Calibri Light" w:hAnsi="Calibri Light"/>
              </w:rPr>
              <w:t>Derecho a la integridad personal, derecho a las garantías judiciales y a la protección judicial (artículos 5, 8 y 25 de la CADH y artículos 1, 6 y 8 de la CIPST)</w:t>
            </w:r>
          </w:p>
          <w:p w14:paraId="758ED6BC" w14:textId="77777777" w:rsidR="0047594F" w:rsidRPr="0047594F" w:rsidRDefault="0047594F" w:rsidP="00290959">
            <w:pPr>
              <w:jc w:val="both"/>
              <w:rPr>
                <w:rFonts w:ascii="Calibri Light" w:hAnsi="Calibri Light"/>
              </w:rPr>
            </w:pPr>
          </w:p>
          <w:p w14:paraId="34326EB6" w14:textId="6425494B" w:rsidR="0047594F" w:rsidRDefault="0047594F" w:rsidP="001F2FEB">
            <w:pPr>
              <w:jc w:val="both"/>
              <w:rPr>
                <w:rFonts w:ascii="Calibri Light" w:hAnsi="Calibri Light"/>
                <w:b w:val="0"/>
              </w:rPr>
            </w:pPr>
            <w:r w:rsidRPr="0047594F">
              <w:rPr>
                <w:rFonts w:ascii="Calibri Light" w:hAnsi="Calibri Light"/>
                <w:b w:val="0"/>
              </w:rPr>
              <w:t xml:space="preserve">La CIDH indicó que la CADH prohíbe la imposición de la tortura o de un trato o castigo cruel, inhumano o degradante contra las personas en cualquier circunstancia, y que además esta es norma </w:t>
            </w:r>
            <w:r w:rsidR="002B6E85">
              <w:rPr>
                <w:rFonts w:ascii="Calibri Light" w:hAnsi="Calibri Light"/>
                <w:b w:val="0"/>
              </w:rPr>
              <w:t xml:space="preserve">de </w:t>
            </w:r>
            <w:r w:rsidR="002B6E85" w:rsidRPr="00BC08E4">
              <w:rPr>
                <w:rFonts w:ascii="Calibri Light" w:hAnsi="Calibri Light"/>
                <w:b w:val="0"/>
                <w:i/>
              </w:rPr>
              <w:t>ius cogens</w:t>
            </w:r>
            <w:r w:rsidR="002B6E85">
              <w:rPr>
                <w:rFonts w:ascii="Calibri Light" w:hAnsi="Calibri Light"/>
                <w:b w:val="0"/>
              </w:rPr>
              <w:t>.</w:t>
            </w:r>
            <w:r w:rsidRPr="0047594F">
              <w:rPr>
                <w:rFonts w:ascii="Calibri Light" w:hAnsi="Calibri Light"/>
                <w:b w:val="0"/>
              </w:rPr>
              <w:t xml:space="preserve"> </w:t>
            </w:r>
            <w:r w:rsidR="001F2FEB">
              <w:rPr>
                <w:rFonts w:ascii="Calibri Light" w:hAnsi="Calibri Light"/>
                <w:b w:val="0"/>
              </w:rPr>
              <w:t xml:space="preserve">En el caso concreto, la CIDH observó que el señor Montesinos: </w:t>
            </w:r>
            <w:r w:rsidRPr="0047594F">
              <w:rPr>
                <w:rFonts w:ascii="Calibri Light" w:hAnsi="Calibri Light"/>
                <w:b w:val="0"/>
              </w:rPr>
              <w:t xml:space="preserve">i) fue amenazado durante la rendición de una de sus declaraciones; ii) estuvo en una celda de once metros cuadrados con otras trece personas; iii) fue golpeado por agentes policiales; iv) estuvo incomunicado durante ocho días; y v) las condiciones penitenciarias al momento de ser detenido fueron deplorables. </w:t>
            </w:r>
            <w:r w:rsidR="001F2FEB">
              <w:rPr>
                <w:rFonts w:ascii="Calibri Light" w:hAnsi="Calibri Light"/>
                <w:b w:val="0"/>
              </w:rPr>
              <w:t>Además, e</w:t>
            </w:r>
            <w:r w:rsidR="00500BC6">
              <w:rPr>
                <w:rFonts w:ascii="Calibri Light" w:hAnsi="Calibri Light"/>
                <w:b w:val="0"/>
              </w:rPr>
              <w:t xml:space="preserve">n el primer recurso </w:t>
            </w:r>
            <w:r w:rsidR="00500BC6" w:rsidRPr="00500BC6">
              <w:rPr>
                <w:rFonts w:ascii="Calibri Light" w:hAnsi="Calibri Light"/>
                <w:b w:val="0"/>
              </w:rPr>
              <w:t xml:space="preserve">de hábeas corpus </w:t>
            </w:r>
            <w:r w:rsidR="001F2FEB">
              <w:rPr>
                <w:rFonts w:ascii="Calibri Light" w:hAnsi="Calibri Light"/>
                <w:b w:val="0"/>
              </w:rPr>
              <w:t>que presentó,</w:t>
            </w:r>
            <w:r w:rsidR="00500BC6" w:rsidRPr="00500BC6">
              <w:rPr>
                <w:rFonts w:ascii="Calibri Light" w:hAnsi="Calibri Light"/>
                <w:b w:val="0"/>
              </w:rPr>
              <w:t xml:space="preserve"> alegó que </w:t>
            </w:r>
            <w:r w:rsidR="001F2FEB">
              <w:rPr>
                <w:rFonts w:ascii="Calibri Light" w:hAnsi="Calibri Light"/>
                <w:b w:val="0"/>
              </w:rPr>
              <w:t>había sido</w:t>
            </w:r>
            <w:r w:rsidR="001F2FEB" w:rsidRPr="00500BC6">
              <w:rPr>
                <w:rFonts w:ascii="Calibri Light" w:hAnsi="Calibri Light"/>
                <w:b w:val="0"/>
              </w:rPr>
              <w:t xml:space="preserve"> </w:t>
            </w:r>
            <w:r w:rsidR="00500BC6" w:rsidRPr="00500BC6">
              <w:rPr>
                <w:rFonts w:ascii="Calibri Light" w:hAnsi="Calibri Light"/>
                <w:b w:val="0"/>
              </w:rPr>
              <w:t>víctima de golpes y de amenazas a efectos de firmar sus declaracione</w:t>
            </w:r>
            <w:r w:rsidR="00500BC6">
              <w:rPr>
                <w:rFonts w:ascii="Calibri Light" w:hAnsi="Calibri Light"/>
                <w:b w:val="0"/>
              </w:rPr>
              <w:t xml:space="preserve">s; sin embargo, el </w:t>
            </w:r>
            <w:r w:rsidR="00500BC6" w:rsidRPr="00500BC6">
              <w:rPr>
                <w:rFonts w:ascii="Calibri Light" w:hAnsi="Calibri Light"/>
                <w:b w:val="0"/>
              </w:rPr>
              <w:t>Estado no inici</w:t>
            </w:r>
            <w:r w:rsidR="00BC08E4">
              <w:rPr>
                <w:rFonts w:ascii="Calibri Light" w:hAnsi="Calibri Light"/>
                <w:b w:val="0"/>
              </w:rPr>
              <w:t>ó</w:t>
            </w:r>
            <w:r w:rsidR="00500BC6" w:rsidRPr="00500BC6">
              <w:rPr>
                <w:rFonts w:ascii="Calibri Light" w:hAnsi="Calibri Light"/>
                <w:b w:val="0"/>
              </w:rPr>
              <w:t xml:space="preserve"> ninguna investigación</w:t>
            </w:r>
            <w:r w:rsidR="00500BC6">
              <w:rPr>
                <w:rFonts w:ascii="Calibri Light" w:hAnsi="Calibri Light"/>
                <w:b w:val="0"/>
              </w:rPr>
              <w:t>.</w:t>
            </w:r>
          </w:p>
          <w:p w14:paraId="2651E9F0" w14:textId="77777777" w:rsidR="00D40064" w:rsidRPr="0047594F" w:rsidRDefault="00D40064" w:rsidP="001F2FEB">
            <w:pPr>
              <w:jc w:val="both"/>
              <w:rPr>
                <w:rFonts w:ascii="Calibri Light" w:hAnsi="Calibri Light"/>
                <w:b w:val="0"/>
              </w:rPr>
            </w:pPr>
          </w:p>
          <w:p w14:paraId="1FC005D6" w14:textId="346F0FED" w:rsidR="001C609D" w:rsidRDefault="001C609D" w:rsidP="001C609D">
            <w:pPr>
              <w:jc w:val="both"/>
              <w:rPr>
                <w:rFonts w:ascii="Calibri Light" w:hAnsi="Calibri Light"/>
                <w:b w:val="0"/>
              </w:rPr>
            </w:pPr>
            <w:r>
              <w:rPr>
                <w:rFonts w:ascii="Calibri Light" w:hAnsi="Calibri Light"/>
                <w:b w:val="0"/>
              </w:rPr>
              <w:t xml:space="preserve">Estos hechos resultan similares a los analizados por la Corte IDH en el </w:t>
            </w:r>
            <w:r w:rsidRPr="000E306C">
              <w:rPr>
                <w:rFonts w:ascii="Calibri Light" w:hAnsi="Calibri Light"/>
                <w:b w:val="0"/>
              </w:rPr>
              <w:t xml:space="preserve">caso </w:t>
            </w:r>
            <w:r w:rsidRPr="000E306C">
              <w:rPr>
                <w:rFonts w:ascii="Calibri Light" w:hAnsi="Calibri Light"/>
                <w:b w:val="0"/>
                <w:i/>
              </w:rPr>
              <w:t>Suárez Rosero vs. Ecuador</w:t>
            </w:r>
            <w:r w:rsidRPr="000E306C">
              <w:rPr>
                <w:rFonts w:ascii="Calibri Light" w:hAnsi="Calibri Light"/>
                <w:b w:val="0"/>
              </w:rPr>
              <w:t>.</w:t>
            </w:r>
            <w:r>
              <w:rPr>
                <w:rFonts w:ascii="Calibri Light" w:hAnsi="Calibri Light"/>
                <w:b w:val="0"/>
              </w:rPr>
              <w:t xml:space="preserve"> En este, la Corte IDH determinó que el señor Suárez Rosero había sido sometido a tratos crueles, inhumanos y degradantes, pues </w:t>
            </w:r>
            <w:r w:rsidRPr="0047594F">
              <w:rPr>
                <w:rFonts w:ascii="Calibri Light" w:hAnsi="Calibri Light"/>
                <w:b w:val="0"/>
              </w:rPr>
              <w:t>i) estuvo incomunicad</w:t>
            </w:r>
            <w:r>
              <w:rPr>
                <w:rFonts w:ascii="Calibri Light" w:hAnsi="Calibri Light"/>
                <w:b w:val="0"/>
              </w:rPr>
              <w:t>o</w:t>
            </w:r>
            <w:r w:rsidRPr="0047594F">
              <w:rPr>
                <w:rFonts w:ascii="Calibri Light" w:hAnsi="Calibri Light"/>
                <w:b w:val="0"/>
              </w:rPr>
              <w:t xml:space="preserve">; ii) </w:t>
            </w:r>
            <w:r>
              <w:rPr>
                <w:rFonts w:ascii="Calibri Light" w:hAnsi="Calibri Light"/>
                <w:b w:val="0"/>
              </w:rPr>
              <w:t>no contó</w:t>
            </w:r>
            <w:r w:rsidRPr="0047594F">
              <w:rPr>
                <w:rFonts w:ascii="Calibri Light" w:hAnsi="Calibri Light"/>
                <w:b w:val="0"/>
              </w:rPr>
              <w:t xml:space="preserve"> con un abogado; iii) estuvo en una celda de quince metros cuadrados; y iv) fue sometido a amenazas y golpes durante su detención. </w:t>
            </w:r>
            <w:r>
              <w:rPr>
                <w:rFonts w:ascii="Calibri Light" w:hAnsi="Calibri Light"/>
                <w:b w:val="0"/>
              </w:rPr>
              <w:t xml:space="preserve">Cabe señalar que el señor Suárez Rosero </w:t>
            </w:r>
            <w:r w:rsidR="006D5104">
              <w:rPr>
                <w:rFonts w:ascii="Calibri Light" w:hAnsi="Calibri Light"/>
                <w:b w:val="0"/>
              </w:rPr>
              <w:t>fue</w:t>
            </w:r>
            <w:r>
              <w:rPr>
                <w:rFonts w:ascii="Calibri Light" w:hAnsi="Calibri Light"/>
                <w:b w:val="0"/>
              </w:rPr>
              <w:t xml:space="preserve"> detenido junto al señor Montesinos </w:t>
            </w:r>
            <w:r w:rsidR="00E97EE1">
              <w:rPr>
                <w:rFonts w:ascii="Calibri Light" w:hAnsi="Calibri Light"/>
                <w:b w:val="0"/>
              </w:rPr>
              <w:t>en el contexto de la misma operación policial</w:t>
            </w:r>
            <w:r>
              <w:rPr>
                <w:rFonts w:ascii="Calibri Light" w:hAnsi="Calibri Light"/>
                <w:b w:val="0"/>
              </w:rPr>
              <w:t xml:space="preserve">. </w:t>
            </w:r>
            <w:r w:rsidRPr="00500BC6">
              <w:rPr>
                <w:rFonts w:ascii="Calibri Light" w:hAnsi="Calibri Light"/>
                <w:b w:val="0"/>
              </w:rPr>
              <w:t xml:space="preserve">En base a estas consideraciones, la CIDH estableció que </w:t>
            </w:r>
            <w:r w:rsidR="00E97EE1">
              <w:rPr>
                <w:rFonts w:ascii="Calibri Light" w:hAnsi="Calibri Light"/>
                <w:b w:val="0"/>
              </w:rPr>
              <w:t>el señor Montesinos fue sometido</w:t>
            </w:r>
            <w:r w:rsidRPr="00500BC6">
              <w:rPr>
                <w:rFonts w:ascii="Calibri Light" w:hAnsi="Calibri Light"/>
                <w:b w:val="0"/>
              </w:rPr>
              <w:t>, al menos, a tratos crueles, inhumanos y degradantes en la etapa inicial de su detención.</w:t>
            </w:r>
          </w:p>
          <w:p w14:paraId="3D314D4E" w14:textId="77777777" w:rsidR="00D40064" w:rsidRPr="0047594F" w:rsidRDefault="00D40064" w:rsidP="001C609D">
            <w:pPr>
              <w:jc w:val="both"/>
              <w:rPr>
                <w:rFonts w:ascii="Calibri Light" w:hAnsi="Calibri Light"/>
                <w:b w:val="0"/>
              </w:rPr>
            </w:pPr>
          </w:p>
          <w:p w14:paraId="5270D87C" w14:textId="010A9911" w:rsidR="0047594F" w:rsidRPr="0047594F" w:rsidRDefault="006D5104" w:rsidP="00290959">
            <w:pPr>
              <w:jc w:val="both"/>
              <w:rPr>
                <w:rFonts w:ascii="Calibri Light" w:hAnsi="Calibri Light"/>
                <w:b w:val="0"/>
              </w:rPr>
            </w:pPr>
            <w:r>
              <w:rPr>
                <w:rFonts w:ascii="Calibri Light" w:hAnsi="Calibri Light"/>
                <w:b w:val="0"/>
              </w:rPr>
              <w:t>Consecuentemente</w:t>
            </w:r>
            <w:r w:rsidR="001C609D" w:rsidRPr="0047594F">
              <w:rPr>
                <w:rFonts w:ascii="Calibri Light" w:hAnsi="Calibri Light"/>
                <w:b w:val="0"/>
              </w:rPr>
              <w:t>, la CIDH consideró que el Estado violó los artículos 5.1 y 5.2 de la CADH</w:t>
            </w:r>
            <w:r w:rsidR="001C609D">
              <w:rPr>
                <w:rFonts w:ascii="Calibri Light" w:hAnsi="Calibri Light"/>
                <w:b w:val="0"/>
              </w:rPr>
              <w:t>,</w:t>
            </w:r>
            <w:r w:rsidR="001C609D" w:rsidRPr="0047594F">
              <w:rPr>
                <w:rFonts w:ascii="Calibri Light" w:hAnsi="Calibri Light"/>
                <w:b w:val="0"/>
              </w:rPr>
              <w:t xml:space="preserve"> en relación con el artículo 1.1</w:t>
            </w:r>
            <w:r w:rsidR="00D40064">
              <w:rPr>
                <w:rFonts w:ascii="Calibri Light" w:hAnsi="Calibri Light"/>
                <w:b w:val="0"/>
              </w:rPr>
              <w:t xml:space="preserve">. </w:t>
            </w:r>
            <w:r w:rsidR="00E97EE1">
              <w:rPr>
                <w:rFonts w:ascii="Calibri Light" w:hAnsi="Calibri Light"/>
                <w:b w:val="0"/>
              </w:rPr>
              <w:t>Además, p</w:t>
            </w:r>
            <w:r w:rsidR="00D40064">
              <w:rPr>
                <w:rFonts w:ascii="Calibri Light" w:hAnsi="Calibri Light"/>
                <w:b w:val="0"/>
              </w:rPr>
              <w:t xml:space="preserve">or </w:t>
            </w:r>
            <w:r w:rsidR="001C609D" w:rsidRPr="0047594F">
              <w:rPr>
                <w:rFonts w:ascii="Calibri Light" w:hAnsi="Calibri Light"/>
                <w:b w:val="0"/>
              </w:rPr>
              <w:t>la total falta de investigación de los maltratos denunciados por la víctima, concluyó que el Estado violó los artículos 8.1 y 25.1 de la CADH</w:t>
            </w:r>
            <w:r w:rsidR="001C609D">
              <w:rPr>
                <w:rFonts w:ascii="Calibri Light" w:hAnsi="Calibri Light"/>
                <w:b w:val="0"/>
              </w:rPr>
              <w:t>,</w:t>
            </w:r>
            <w:r w:rsidR="001C609D" w:rsidRPr="0047594F">
              <w:rPr>
                <w:rFonts w:ascii="Calibri Light" w:hAnsi="Calibri Light"/>
                <w:b w:val="0"/>
              </w:rPr>
              <w:t xml:space="preserve"> en relación el artículo 1.1. </w:t>
            </w:r>
            <w:r w:rsidR="001C7E66">
              <w:rPr>
                <w:rFonts w:ascii="Calibri Light" w:hAnsi="Calibri Light"/>
                <w:b w:val="0"/>
              </w:rPr>
              <w:t>Asimismo</w:t>
            </w:r>
            <w:r w:rsidR="001C609D" w:rsidRPr="0047594F">
              <w:rPr>
                <w:rFonts w:ascii="Calibri Light" w:hAnsi="Calibri Light"/>
                <w:b w:val="0"/>
              </w:rPr>
              <w:t>, tomando en cuenta que la Convención Interamericana para Prevenir y Sancionar la Tortura (</w:t>
            </w:r>
            <w:r w:rsidR="001C609D">
              <w:rPr>
                <w:rFonts w:ascii="Calibri Light" w:hAnsi="Calibri Light"/>
                <w:b w:val="0"/>
              </w:rPr>
              <w:t xml:space="preserve">en adelante, </w:t>
            </w:r>
            <w:r w:rsidR="001C609D" w:rsidRPr="0047594F">
              <w:rPr>
                <w:rFonts w:ascii="Calibri Light" w:hAnsi="Calibri Light"/>
                <w:b w:val="0"/>
              </w:rPr>
              <w:t xml:space="preserve">CIPST) entró en vigor en Ecuador el 9 de diciembre de 1999, la CIDH </w:t>
            </w:r>
            <w:r w:rsidR="001C7E66">
              <w:rPr>
                <w:rFonts w:ascii="Calibri Light" w:hAnsi="Calibri Light"/>
                <w:b w:val="0"/>
              </w:rPr>
              <w:t>determin</w:t>
            </w:r>
            <w:r w:rsidR="001C609D" w:rsidRPr="0047594F">
              <w:rPr>
                <w:rFonts w:ascii="Calibri Light" w:hAnsi="Calibri Light"/>
                <w:b w:val="0"/>
              </w:rPr>
              <w:t xml:space="preserve">ó que, desde </w:t>
            </w:r>
            <w:r w:rsidR="001C609D">
              <w:rPr>
                <w:rFonts w:ascii="Calibri Light" w:hAnsi="Calibri Light"/>
                <w:b w:val="0"/>
              </w:rPr>
              <w:t>ese momento</w:t>
            </w:r>
            <w:r w:rsidR="001C609D" w:rsidRPr="0047594F">
              <w:rPr>
                <w:rFonts w:ascii="Calibri Light" w:hAnsi="Calibri Light"/>
                <w:b w:val="0"/>
              </w:rPr>
              <w:t>, la falta de investigación de las denuncias de tortura también constituy</w:t>
            </w:r>
            <w:r w:rsidR="001C609D">
              <w:rPr>
                <w:rFonts w:ascii="Calibri Light" w:hAnsi="Calibri Light"/>
                <w:b w:val="0"/>
              </w:rPr>
              <w:t>ó</w:t>
            </w:r>
            <w:r w:rsidR="001C609D" w:rsidRPr="0047594F">
              <w:rPr>
                <w:rFonts w:ascii="Calibri Light" w:hAnsi="Calibri Light"/>
                <w:b w:val="0"/>
              </w:rPr>
              <w:t xml:space="preserve"> una violación de los artículos 1, 6 y 8 de </w:t>
            </w:r>
            <w:r w:rsidR="001C609D">
              <w:rPr>
                <w:rFonts w:ascii="Calibri Light" w:hAnsi="Calibri Light"/>
                <w:b w:val="0"/>
              </w:rPr>
              <w:t>este tratado</w:t>
            </w:r>
            <w:r w:rsidR="00D40064">
              <w:rPr>
                <w:rFonts w:ascii="Calibri Light" w:hAnsi="Calibri Light"/>
                <w:b w:val="0"/>
              </w:rPr>
              <w:t>.</w:t>
            </w:r>
          </w:p>
          <w:p w14:paraId="0BD0AE18" w14:textId="77777777" w:rsidR="0047594F" w:rsidRPr="0047594F" w:rsidRDefault="0047594F" w:rsidP="00290959">
            <w:pPr>
              <w:jc w:val="both"/>
              <w:rPr>
                <w:rFonts w:ascii="Calibri Light" w:hAnsi="Calibri Light"/>
              </w:rPr>
            </w:pPr>
          </w:p>
          <w:p w14:paraId="5FB38EB5" w14:textId="3F0F44EA" w:rsidR="0047594F" w:rsidRPr="0047594F" w:rsidRDefault="0047594F" w:rsidP="00290959">
            <w:pPr>
              <w:jc w:val="both"/>
              <w:rPr>
                <w:rFonts w:ascii="Calibri Light" w:hAnsi="Calibri Light"/>
              </w:rPr>
            </w:pPr>
            <w:r w:rsidRPr="0047594F">
              <w:rPr>
                <w:rFonts w:ascii="Calibri Light" w:hAnsi="Calibri Light"/>
              </w:rPr>
              <w:t>Derecho a las garantías judiciales (artículo 8 de la CADH)</w:t>
            </w:r>
          </w:p>
          <w:p w14:paraId="377D1907" w14:textId="77777777" w:rsidR="0047594F" w:rsidRPr="0047594F" w:rsidRDefault="0047594F" w:rsidP="00290959">
            <w:pPr>
              <w:jc w:val="both"/>
              <w:rPr>
                <w:rFonts w:ascii="Calibri Light" w:hAnsi="Calibri Light"/>
                <w:b w:val="0"/>
              </w:rPr>
            </w:pPr>
          </w:p>
          <w:p w14:paraId="5C8BBFF6" w14:textId="7627B2BE" w:rsidR="00644440" w:rsidRDefault="00644440" w:rsidP="002C4052">
            <w:pPr>
              <w:pStyle w:val="ListParagraph"/>
              <w:numPr>
                <w:ilvl w:val="0"/>
                <w:numId w:val="12"/>
              </w:numPr>
              <w:jc w:val="both"/>
              <w:rPr>
                <w:rFonts w:ascii="Calibri Light" w:hAnsi="Calibri Light"/>
              </w:rPr>
            </w:pPr>
            <w:r>
              <w:rPr>
                <w:rFonts w:ascii="Calibri Light" w:hAnsi="Calibri Light"/>
              </w:rPr>
              <w:t xml:space="preserve">La regla de exclusión de pruebas </w:t>
            </w:r>
          </w:p>
          <w:p w14:paraId="6C011A28" w14:textId="77777777" w:rsidR="00644440" w:rsidRPr="002C4052" w:rsidRDefault="00644440" w:rsidP="002C4052">
            <w:pPr>
              <w:pStyle w:val="ListParagraph"/>
              <w:ind w:left="1080"/>
              <w:jc w:val="both"/>
              <w:rPr>
                <w:rFonts w:ascii="Calibri Light" w:hAnsi="Calibri Light"/>
              </w:rPr>
            </w:pPr>
          </w:p>
          <w:p w14:paraId="28F2538F" w14:textId="77777777" w:rsidR="00AC70EA" w:rsidRDefault="00E913FF" w:rsidP="00290959">
            <w:pPr>
              <w:jc w:val="both"/>
              <w:rPr>
                <w:rFonts w:ascii="Calibri Light" w:hAnsi="Calibri Light"/>
                <w:b w:val="0"/>
              </w:rPr>
            </w:pPr>
            <w:r>
              <w:rPr>
                <w:rFonts w:ascii="Calibri Light" w:hAnsi="Calibri Light"/>
                <w:b w:val="0"/>
              </w:rPr>
              <w:t>L</w:t>
            </w:r>
            <w:r w:rsidR="0047594F" w:rsidRPr="0047594F">
              <w:rPr>
                <w:rFonts w:ascii="Calibri Light" w:hAnsi="Calibri Light"/>
                <w:b w:val="0"/>
              </w:rPr>
              <w:t xml:space="preserve">a Corte IDH ha reconocido que la regla de exclusión de las pruebas obtenidas mediante la tortura o tratos crueles e inhumanos se encuentra reconocida por diversos tratados y órganos internacionales de derechos humanos, y tiene un carácter absoluto e inderogable. </w:t>
            </w:r>
            <w:r w:rsidR="007E4C0E">
              <w:rPr>
                <w:rFonts w:ascii="Calibri Light" w:hAnsi="Calibri Light"/>
                <w:b w:val="0"/>
              </w:rPr>
              <w:t>En</w:t>
            </w:r>
            <w:r w:rsidR="007E4C0E" w:rsidRPr="0047594F">
              <w:rPr>
                <w:rFonts w:ascii="Calibri Light" w:hAnsi="Calibri Light"/>
                <w:b w:val="0"/>
              </w:rPr>
              <w:t xml:space="preserve"> </w:t>
            </w:r>
            <w:r w:rsidR="0047594F" w:rsidRPr="0047594F">
              <w:rPr>
                <w:rFonts w:ascii="Calibri Light" w:hAnsi="Calibri Light"/>
                <w:b w:val="0"/>
              </w:rPr>
              <w:t>consecuencia</w:t>
            </w:r>
            <w:r w:rsidR="007E4C0E">
              <w:rPr>
                <w:rFonts w:ascii="Calibri Light" w:hAnsi="Calibri Light"/>
                <w:b w:val="0"/>
              </w:rPr>
              <w:t xml:space="preserve">, </w:t>
            </w:r>
            <w:r w:rsidR="0047594F" w:rsidRPr="0047594F">
              <w:rPr>
                <w:rFonts w:ascii="Calibri Light" w:hAnsi="Calibri Light"/>
                <w:b w:val="0"/>
              </w:rPr>
              <w:t xml:space="preserve">la anulación de actos procesales y la exclusión de la evidencia derivada de la tortura o actos crueles constituyen medidas efectivas para cesar la violación a las garantías judiciales. </w:t>
            </w:r>
            <w:r w:rsidR="00E97EE1">
              <w:rPr>
                <w:rFonts w:ascii="Calibri Light" w:hAnsi="Calibri Light"/>
                <w:b w:val="0"/>
              </w:rPr>
              <w:t>D</w:t>
            </w:r>
            <w:r w:rsidR="0047594F" w:rsidRPr="0047594F">
              <w:rPr>
                <w:rFonts w:ascii="Calibri Light" w:hAnsi="Calibri Light"/>
                <w:b w:val="0"/>
              </w:rPr>
              <w:t xml:space="preserve">icha medida no sólo comprende confesiones </w:t>
            </w:r>
            <w:r w:rsidR="007E4C0E">
              <w:rPr>
                <w:rFonts w:ascii="Calibri Light" w:hAnsi="Calibri Light"/>
                <w:b w:val="0"/>
              </w:rPr>
              <w:t>dadas</w:t>
            </w:r>
            <w:r w:rsidR="007E4C0E" w:rsidRPr="0047594F">
              <w:rPr>
                <w:rFonts w:ascii="Calibri Light" w:hAnsi="Calibri Light"/>
                <w:b w:val="0"/>
              </w:rPr>
              <w:t xml:space="preserve"> </w:t>
            </w:r>
            <w:r w:rsidR="0047594F" w:rsidRPr="0047594F">
              <w:rPr>
                <w:rFonts w:ascii="Calibri Light" w:hAnsi="Calibri Light"/>
                <w:b w:val="0"/>
              </w:rPr>
              <w:t>mediante torturas o tratos crueles</w:t>
            </w:r>
            <w:r>
              <w:rPr>
                <w:rFonts w:ascii="Calibri Light" w:hAnsi="Calibri Light"/>
                <w:b w:val="0"/>
              </w:rPr>
              <w:t>,</w:t>
            </w:r>
            <w:r w:rsidR="0047594F" w:rsidRPr="0047594F">
              <w:rPr>
                <w:rFonts w:ascii="Calibri Light" w:hAnsi="Calibri Light"/>
                <w:b w:val="0"/>
              </w:rPr>
              <w:t xml:space="preserve"> sino que abarca cualquier tipo de coacción que sea capaz de quebrar la expresión de voluntad de una persona.</w:t>
            </w:r>
            <w:r w:rsidR="00E97EE1">
              <w:rPr>
                <w:rFonts w:ascii="Calibri Light" w:hAnsi="Calibri Light"/>
                <w:b w:val="0"/>
              </w:rPr>
              <w:t xml:space="preserve"> </w:t>
            </w:r>
          </w:p>
          <w:p w14:paraId="072BF323" w14:textId="77777777" w:rsidR="00AC70EA" w:rsidRDefault="00AC70EA" w:rsidP="00290959">
            <w:pPr>
              <w:jc w:val="both"/>
              <w:rPr>
                <w:rFonts w:ascii="Calibri Light" w:hAnsi="Calibri Light"/>
                <w:b w:val="0"/>
              </w:rPr>
            </w:pPr>
          </w:p>
          <w:p w14:paraId="7C25BF2D" w14:textId="09D1B400" w:rsidR="00A86BE7" w:rsidRPr="0047594F" w:rsidRDefault="00E97EE1" w:rsidP="00290959">
            <w:pPr>
              <w:jc w:val="both"/>
              <w:rPr>
                <w:rFonts w:ascii="Calibri Light" w:hAnsi="Calibri Light"/>
                <w:b w:val="0"/>
              </w:rPr>
            </w:pPr>
            <w:r>
              <w:rPr>
                <w:rFonts w:ascii="Calibri Light" w:hAnsi="Calibri Light"/>
                <w:b w:val="0"/>
              </w:rPr>
              <w:t>En este caso, la CIDH observó que la declaración presumarial del señor Montesinos, en la que aceptó tener armas en su domicilio, fue incorporada en el informe policial “Operación Ciclón”</w:t>
            </w:r>
            <w:r w:rsidR="00AC70EA">
              <w:rPr>
                <w:rFonts w:ascii="Calibri Light" w:hAnsi="Calibri Light"/>
                <w:b w:val="0"/>
              </w:rPr>
              <w:t xml:space="preserve"> en base al cual se le abrieron tres procesos penales</w:t>
            </w:r>
            <w:r>
              <w:rPr>
                <w:rFonts w:ascii="Calibri Light" w:hAnsi="Calibri Light"/>
                <w:b w:val="0"/>
              </w:rPr>
              <w:t xml:space="preserve">. </w:t>
            </w:r>
            <w:r w:rsidR="00AC70EA">
              <w:rPr>
                <w:rFonts w:ascii="Calibri Light" w:hAnsi="Calibri Light"/>
                <w:b w:val="0"/>
              </w:rPr>
              <w:t xml:space="preserve">Así, las autoridades le dieron un valor preponderante a esta declaración a pesar de las denuncias de que esta había sido baja coacción y correspondía su exclusión. </w:t>
            </w:r>
            <w:r w:rsidR="0047594F" w:rsidRPr="0047594F">
              <w:rPr>
                <w:rFonts w:ascii="Calibri Light" w:hAnsi="Calibri Light"/>
                <w:b w:val="0"/>
              </w:rPr>
              <w:t>En vista de lo señalado, la CIDH consideró que el Estado violó</w:t>
            </w:r>
            <w:r w:rsidR="00275407">
              <w:rPr>
                <w:rFonts w:ascii="Calibri Light" w:hAnsi="Calibri Light"/>
                <w:b w:val="0"/>
              </w:rPr>
              <w:t xml:space="preserve"> </w:t>
            </w:r>
            <w:r w:rsidR="0047594F" w:rsidRPr="0047594F">
              <w:rPr>
                <w:rFonts w:ascii="Calibri Light" w:hAnsi="Calibri Light"/>
                <w:b w:val="0"/>
              </w:rPr>
              <w:t>el artículo 8.3 de la CADH</w:t>
            </w:r>
            <w:r w:rsidR="00275407">
              <w:rPr>
                <w:rFonts w:ascii="Calibri Light" w:hAnsi="Calibri Light"/>
                <w:b w:val="0"/>
              </w:rPr>
              <w:t>,</w:t>
            </w:r>
            <w:r w:rsidR="0047594F" w:rsidRPr="0047594F">
              <w:rPr>
                <w:rFonts w:ascii="Calibri Light" w:hAnsi="Calibri Light"/>
                <w:b w:val="0"/>
              </w:rPr>
              <w:t xml:space="preserve"> en relación con el artículo 1.1</w:t>
            </w:r>
            <w:r w:rsidR="00275407">
              <w:rPr>
                <w:rFonts w:ascii="Calibri Light" w:hAnsi="Calibri Light"/>
                <w:b w:val="0"/>
              </w:rPr>
              <w:t>,</w:t>
            </w:r>
            <w:r w:rsidR="0047594F" w:rsidRPr="0047594F">
              <w:rPr>
                <w:rFonts w:ascii="Calibri Light" w:hAnsi="Calibri Light"/>
                <w:b w:val="0"/>
              </w:rPr>
              <w:t xml:space="preserve"> </w:t>
            </w:r>
            <w:r w:rsidR="00275407">
              <w:rPr>
                <w:rFonts w:ascii="Calibri Light" w:hAnsi="Calibri Light"/>
                <w:b w:val="0"/>
              </w:rPr>
              <w:t>en perjuicio de</w:t>
            </w:r>
            <w:r w:rsidR="00E913FF">
              <w:rPr>
                <w:rFonts w:ascii="Calibri Light" w:hAnsi="Calibri Light"/>
                <w:b w:val="0"/>
              </w:rPr>
              <w:t>l señor</w:t>
            </w:r>
            <w:r w:rsidR="00372B89" w:rsidRPr="0047594F">
              <w:rPr>
                <w:rFonts w:ascii="Calibri Light" w:hAnsi="Calibri Light"/>
                <w:b w:val="0"/>
              </w:rPr>
              <w:t xml:space="preserve"> Montesinos</w:t>
            </w:r>
            <w:r w:rsidR="00A86BE7">
              <w:rPr>
                <w:rFonts w:ascii="Calibri Light" w:hAnsi="Calibri Light"/>
                <w:b w:val="0"/>
              </w:rPr>
              <w:t>.</w:t>
            </w:r>
          </w:p>
          <w:p w14:paraId="1308436B" w14:textId="77777777" w:rsidR="0047594F" w:rsidRPr="0047594F" w:rsidRDefault="0047594F" w:rsidP="00290959">
            <w:pPr>
              <w:jc w:val="both"/>
              <w:rPr>
                <w:rFonts w:ascii="Calibri Light" w:hAnsi="Calibri Light"/>
              </w:rPr>
            </w:pPr>
          </w:p>
          <w:p w14:paraId="3F0F1F56" w14:textId="54D2FF2A" w:rsidR="0047594F" w:rsidRPr="002C4052" w:rsidRDefault="0047594F" w:rsidP="00A86BE7">
            <w:pPr>
              <w:pStyle w:val="ListParagraph"/>
              <w:numPr>
                <w:ilvl w:val="0"/>
                <w:numId w:val="12"/>
              </w:numPr>
              <w:jc w:val="both"/>
              <w:rPr>
                <w:rFonts w:ascii="Calibri Light" w:hAnsi="Calibri Light"/>
              </w:rPr>
            </w:pPr>
            <w:r w:rsidRPr="002C4052">
              <w:rPr>
                <w:rFonts w:ascii="Calibri Light" w:hAnsi="Calibri Light"/>
              </w:rPr>
              <w:t>El derecho a la defensa técnica</w:t>
            </w:r>
          </w:p>
          <w:p w14:paraId="251F5653" w14:textId="77777777" w:rsidR="0047594F" w:rsidRPr="0047594F" w:rsidRDefault="0047594F" w:rsidP="00290959">
            <w:pPr>
              <w:jc w:val="both"/>
              <w:rPr>
                <w:rFonts w:ascii="Calibri Light" w:hAnsi="Calibri Light"/>
              </w:rPr>
            </w:pPr>
          </w:p>
          <w:p w14:paraId="3E3F7D0D" w14:textId="42D22ABD" w:rsidR="0047594F" w:rsidRPr="0047594F" w:rsidRDefault="0047594F" w:rsidP="00290959">
            <w:pPr>
              <w:jc w:val="both"/>
              <w:rPr>
                <w:rFonts w:ascii="Calibri Light" w:hAnsi="Calibri Light"/>
                <w:b w:val="0"/>
              </w:rPr>
            </w:pPr>
            <w:r w:rsidRPr="0047594F">
              <w:rPr>
                <w:rFonts w:ascii="Calibri Light" w:hAnsi="Calibri Light"/>
                <w:b w:val="0"/>
              </w:rPr>
              <w:lastRenderedPageBreak/>
              <w:t xml:space="preserve">La CIDH </w:t>
            </w:r>
            <w:r w:rsidR="00275407">
              <w:rPr>
                <w:rFonts w:ascii="Calibri Light" w:hAnsi="Calibri Light"/>
                <w:b w:val="0"/>
              </w:rPr>
              <w:t>recordó que</w:t>
            </w:r>
            <w:r w:rsidRPr="0047594F">
              <w:rPr>
                <w:rFonts w:ascii="Calibri Light" w:hAnsi="Calibri Light"/>
                <w:b w:val="0"/>
              </w:rPr>
              <w:t xml:space="preserve"> </w:t>
            </w:r>
            <w:r w:rsidR="00275407">
              <w:rPr>
                <w:rFonts w:ascii="Calibri Light" w:hAnsi="Calibri Light"/>
                <w:b w:val="0"/>
              </w:rPr>
              <w:t>el</w:t>
            </w:r>
            <w:r w:rsidR="00275407" w:rsidRPr="0047594F">
              <w:rPr>
                <w:rFonts w:ascii="Calibri Light" w:hAnsi="Calibri Light"/>
                <w:b w:val="0"/>
              </w:rPr>
              <w:t xml:space="preserve"> </w:t>
            </w:r>
            <w:r w:rsidRPr="0047594F">
              <w:rPr>
                <w:rFonts w:ascii="Calibri Light" w:hAnsi="Calibri Light"/>
                <w:b w:val="0"/>
              </w:rPr>
              <w:t>derecho</w:t>
            </w:r>
            <w:r w:rsidR="00275407">
              <w:rPr>
                <w:rFonts w:ascii="Calibri Light" w:hAnsi="Calibri Light"/>
                <w:b w:val="0"/>
              </w:rPr>
              <w:t xml:space="preserve"> de defensa</w:t>
            </w:r>
            <w:r w:rsidRPr="0047594F">
              <w:rPr>
                <w:rFonts w:ascii="Calibri Light" w:hAnsi="Calibri Light"/>
                <w:b w:val="0"/>
              </w:rPr>
              <w:t xml:space="preserve"> debe poder ejercerse desde que se señala a una persona como posible autor o partícipe de un hecho punible y s</w:t>
            </w:r>
            <w:r w:rsidR="00E913FF">
              <w:rPr>
                <w:rFonts w:ascii="Calibri Light" w:hAnsi="Calibri Light"/>
                <w:b w:val="0"/>
              </w:rPr>
              <w:t>o</w:t>
            </w:r>
            <w:r w:rsidRPr="0047594F">
              <w:rPr>
                <w:rFonts w:ascii="Calibri Light" w:hAnsi="Calibri Light"/>
                <w:b w:val="0"/>
              </w:rPr>
              <w:t xml:space="preserve">lo culmina cuando finaliza el proceso. </w:t>
            </w:r>
            <w:r w:rsidR="00E97EE1">
              <w:rPr>
                <w:rFonts w:ascii="Calibri Light" w:hAnsi="Calibri Light"/>
                <w:b w:val="0"/>
              </w:rPr>
              <w:t>A</w:t>
            </w:r>
            <w:r w:rsidR="00E97EE1" w:rsidRPr="0047594F">
              <w:rPr>
                <w:rFonts w:ascii="Calibri Light" w:hAnsi="Calibri Light"/>
                <w:b w:val="0"/>
              </w:rPr>
              <w:t>l analizar el expediente</w:t>
            </w:r>
            <w:r w:rsidR="00E97EE1">
              <w:rPr>
                <w:rFonts w:ascii="Calibri Light" w:hAnsi="Calibri Light"/>
                <w:b w:val="0"/>
              </w:rPr>
              <w:t>,</w:t>
            </w:r>
            <w:r w:rsidR="00E97EE1" w:rsidRPr="0047594F">
              <w:rPr>
                <w:rFonts w:ascii="Calibri Light" w:hAnsi="Calibri Light"/>
                <w:b w:val="0"/>
              </w:rPr>
              <w:t xml:space="preserve"> </w:t>
            </w:r>
            <w:r w:rsidR="00E97EE1">
              <w:rPr>
                <w:rFonts w:ascii="Calibri Light" w:hAnsi="Calibri Light"/>
                <w:b w:val="0"/>
              </w:rPr>
              <w:t>la</w:t>
            </w:r>
            <w:r w:rsidRPr="0047594F">
              <w:rPr>
                <w:rFonts w:ascii="Calibri Light" w:hAnsi="Calibri Light"/>
                <w:b w:val="0"/>
              </w:rPr>
              <w:t xml:space="preserve"> CIDH indicó que el señor Montesinos</w:t>
            </w:r>
            <w:r w:rsidR="001C609D">
              <w:rPr>
                <w:rFonts w:ascii="Calibri Light" w:hAnsi="Calibri Light"/>
                <w:b w:val="0"/>
              </w:rPr>
              <w:t xml:space="preserve"> no</w:t>
            </w:r>
            <w:r w:rsidRPr="0047594F">
              <w:rPr>
                <w:rFonts w:ascii="Calibri Light" w:hAnsi="Calibri Light"/>
                <w:b w:val="0"/>
              </w:rPr>
              <w:t xml:space="preserve"> contó </w:t>
            </w:r>
            <w:r w:rsidR="00A86BE7">
              <w:rPr>
                <w:rFonts w:ascii="Calibri Light" w:hAnsi="Calibri Light"/>
                <w:b w:val="0"/>
              </w:rPr>
              <w:t xml:space="preserve">con </w:t>
            </w:r>
            <w:r w:rsidRPr="0047594F">
              <w:rPr>
                <w:rFonts w:ascii="Calibri Light" w:hAnsi="Calibri Light"/>
                <w:b w:val="0"/>
              </w:rPr>
              <w:t>un defensor legal</w:t>
            </w:r>
            <w:r w:rsidR="001C609D">
              <w:rPr>
                <w:rFonts w:ascii="Calibri Light" w:hAnsi="Calibri Light"/>
                <w:b w:val="0"/>
              </w:rPr>
              <w:t xml:space="preserve"> en las diligencias preliminares ni </w:t>
            </w:r>
            <w:r w:rsidRPr="0047594F">
              <w:rPr>
                <w:rFonts w:ascii="Calibri Light" w:hAnsi="Calibri Light"/>
                <w:b w:val="0"/>
              </w:rPr>
              <w:t>durante las posteriores declaraciones rendidas ante policías y agentes fiscales. Por lo tanto, indicó que el Estado de Ecuador violó el artículo 8.2</w:t>
            </w:r>
            <w:r w:rsidR="00E97EE1">
              <w:rPr>
                <w:rFonts w:ascii="Calibri Light" w:hAnsi="Calibri Light"/>
                <w:b w:val="0"/>
              </w:rPr>
              <w:t>.</w:t>
            </w:r>
            <w:r w:rsidRPr="0047594F">
              <w:rPr>
                <w:rFonts w:ascii="Calibri Light" w:hAnsi="Calibri Light"/>
                <w:b w:val="0"/>
              </w:rPr>
              <w:t>d) de la C</w:t>
            </w:r>
            <w:r w:rsidR="00275407">
              <w:rPr>
                <w:rFonts w:ascii="Calibri Light" w:hAnsi="Calibri Light"/>
                <w:b w:val="0"/>
              </w:rPr>
              <w:t>ADH</w:t>
            </w:r>
            <w:r w:rsidRPr="0047594F">
              <w:rPr>
                <w:rFonts w:ascii="Calibri Light" w:hAnsi="Calibri Light"/>
                <w:b w:val="0"/>
              </w:rPr>
              <w:t>, en relación con el artículo 1.1</w:t>
            </w:r>
            <w:r w:rsidR="00275407">
              <w:rPr>
                <w:rFonts w:ascii="Calibri Light" w:hAnsi="Calibri Light"/>
                <w:b w:val="0"/>
              </w:rPr>
              <w:t>, en perjuicio de</w:t>
            </w:r>
            <w:r w:rsidR="00E913FF">
              <w:rPr>
                <w:rFonts w:ascii="Calibri Light" w:hAnsi="Calibri Light"/>
                <w:b w:val="0"/>
              </w:rPr>
              <w:t>l señor</w:t>
            </w:r>
            <w:r w:rsidR="00275407">
              <w:rPr>
                <w:rFonts w:ascii="Calibri Light" w:hAnsi="Calibri Light"/>
                <w:b w:val="0"/>
              </w:rPr>
              <w:t xml:space="preserve"> </w:t>
            </w:r>
            <w:r w:rsidR="00372B89" w:rsidRPr="0047594F">
              <w:rPr>
                <w:rFonts w:ascii="Calibri Light" w:hAnsi="Calibri Light"/>
                <w:b w:val="0"/>
              </w:rPr>
              <w:t>Montesinos</w:t>
            </w:r>
            <w:r w:rsidR="00A86BE7">
              <w:rPr>
                <w:rFonts w:ascii="Calibri Light" w:hAnsi="Calibri Light"/>
                <w:b w:val="0"/>
              </w:rPr>
              <w:t>.</w:t>
            </w:r>
          </w:p>
          <w:p w14:paraId="7267ACAD" w14:textId="77777777" w:rsidR="0047594F" w:rsidRPr="0047594F" w:rsidRDefault="0047594F" w:rsidP="00290959">
            <w:pPr>
              <w:jc w:val="both"/>
              <w:rPr>
                <w:rFonts w:ascii="Calibri Light" w:hAnsi="Calibri Light"/>
              </w:rPr>
            </w:pPr>
          </w:p>
          <w:p w14:paraId="14AA05F6" w14:textId="66DA02DC" w:rsidR="00D32764" w:rsidRPr="002C4052" w:rsidRDefault="0047594F" w:rsidP="00E536E0">
            <w:pPr>
              <w:pStyle w:val="ListParagraph"/>
              <w:numPr>
                <w:ilvl w:val="0"/>
                <w:numId w:val="12"/>
              </w:numPr>
              <w:jc w:val="both"/>
              <w:rPr>
                <w:rFonts w:ascii="Calibri Light" w:hAnsi="Calibri Light"/>
              </w:rPr>
            </w:pPr>
            <w:r w:rsidRPr="002C4052">
              <w:rPr>
                <w:rFonts w:ascii="Calibri Light" w:hAnsi="Calibri Light"/>
              </w:rPr>
              <w:t>El principio de presunción de inocencia</w:t>
            </w:r>
          </w:p>
          <w:p w14:paraId="630F5D49" w14:textId="77777777" w:rsidR="0047594F" w:rsidRPr="002C4052" w:rsidRDefault="0047594F" w:rsidP="002C4052">
            <w:pPr>
              <w:pStyle w:val="ListParagraph"/>
              <w:ind w:left="1080"/>
              <w:jc w:val="both"/>
              <w:rPr>
                <w:rFonts w:ascii="Calibri Light" w:hAnsi="Calibri Light"/>
              </w:rPr>
            </w:pPr>
          </w:p>
          <w:p w14:paraId="09444E76" w14:textId="05E40DD1" w:rsidR="001703AF" w:rsidRPr="0047594F" w:rsidRDefault="0047594F" w:rsidP="001703AF">
            <w:pPr>
              <w:jc w:val="both"/>
              <w:rPr>
                <w:rFonts w:ascii="Calibri Light" w:hAnsi="Calibri Light"/>
                <w:b w:val="0"/>
              </w:rPr>
            </w:pPr>
            <w:r w:rsidRPr="0047594F">
              <w:rPr>
                <w:rFonts w:ascii="Calibri Light" w:hAnsi="Calibri Light"/>
                <w:b w:val="0"/>
              </w:rPr>
              <w:t>La CIDH recordó que la Corte IDH ha señalado en diversas ocasiones que el principio de presunción de inocencia implica que quien acusa</w:t>
            </w:r>
            <w:r w:rsidR="00F2599C">
              <w:rPr>
                <w:rFonts w:ascii="Calibri Light" w:hAnsi="Calibri Light"/>
                <w:b w:val="0"/>
              </w:rPr>
              <w:t xml:space="preserve"> </w:t>
            </w:r>
            <w:r w:rsidR="00E913FF">
              <w:rPr>
                <w:rFonts w:ascii="Calibri Light" w:hAnsi="Calibri Light"/>
                <w:b w:val="0"/>
              </w:rPr>
              <w:t xml:space="preserve">debe </w:t>
            </w:r>
            <w:r w:rsidR="00F2599C">
              <w:rPr>
                <w:rFonts w:ascii="Calibri Light" w:hAnsi="Calibri Light"/>
                <w:b w:val="0"/>
              </w:rPr>
              <w:t xml:space="preserve">probar la </w:t>
            </w:r>
            <w:r w:rsidRPr="0047594F">
              <w:rPr>
                <w:rFonts w:ascii="Calibri Light" w:hAnsi="Calibri Light"/>
                <w:b w:val="0"/>
              </w:rPr>
              <w:t>comisión de</w:t>
            </w:r>
            <w:r w:rsidR="00E913FF">
              <w:rPr>
                <w:rFonts w:ascii="Calibri Light" w:hAnsi="Calibri Light"/>
                <w:b w:val="0"/>
              </w:rPr>
              <w:t>l</w:t>
            </w:r>
            <w:r w:rsidRPr="0047594F">
              <w:rPr>
                <w:rFonts w:ascii="Calibri Light" w:hAnsi="Calibri Light"/>
                <w:b w:val="0"/>
              </w:rPr>
              <w:t xml:space="preserve"> hecho punible</w:t>
            </w:r>
            <w:r w:rsidR="00E913FF">
              <w:rPr>
                <w:rFonts w:ascii="Calibri Light" w:hAnsi="Calibri Light"/>
                <w:b w:val="0"/>
              </w:rPr>
              <w:t xml:space="preserve">. En </w:t>
            </w:r>
            <w:r w:rsidR="00FA3FF8">
              <w:rPr>
                <w:rFonts w:ascii="Calibri Light" w:hAnsi="Calibri Light"/>
                <w:b w:val="0"/>
              </w:rPr>
              <w:t>este caso</w:t>
            </w:r>
            <w:r w:rsidR="00E913FF">
              <w:rPr>
                <w:rFonts w:ascii="Calibri Light" w:hAnsi="Calibri Light"/>
                <w:b w:val="0"/>
              </w:rPr>
              <w:t>, l</w:t>
            </w:r>
            <w:r w:rsidRPr="0047594F">
              <w:rPr>
                <w:rFonts w:ascii="Calibri Light" w:hAnsi="Calibri Light"/>
                <w:b w:val="0"/>
              </w:rPr>
              <w:t xml:space="preserve">a CIDH observó que </w:t>
            </w:r>
            <w:r w:rsidR="00F277D9">
              <w:rPr>
                <w:rFonts w:ascii="Calibri Light" w:hAnsi="Calibri Light"/>
                <w:b w:val="0"/>
              </w:rPr>
              <w:t xml:space="preserve">la </w:t>
            </w:r>
            <w:r w:rsidR="00211B88">
              <w:rPr>
                <w:rFonts w:ascii="Calibri Light" w:hAnsi="Calibri Light"/>
                <w:b w:val="0"/>
              </w:rPr>
              <w:t>validación</w:t>
            </w:r>
            <w:r w:rsidR="00F277D9">
              <w:rPr>
                <w:rFonts w:ascii="Calibri Light" w:hAnsi="Calibri Light"/>
                <w:b w:val="0"/>
              </w:rPr>
              <w:t xml:space="preserve"> de</w:t>
            </w:r>
            <w:r w:rsidRPr="0047594F">
              <w:rPr>
                <w:rFonts w:ascii="Calibri Light" w:hAnsi="Calibri Light"/>
                <w:b w:val="0"/>
              </w:rPr>
              <w:t xml:space="preserve"> la</w:t>
            </w:r>
            <w:r w:rsidR="00F277D9">
              <w:rPr>
                <w:rFonts w:ascii="Calibri Light" w:hAnsi="Calibri Light"/>
                <w:b w:val="0"/>
              </w:rPr>
              <w:t>s</w:t>
            </w:r>
            <w:r w:rsidRPr="0047594F">
              <w:rPr>
                <w:rFonts w:ascii="Calibri Light" w:hAnsi="Calibri Light"/>
                <w:b w:val="0"/>
              </w:rPr>
              <w:t xml:space="preserve"> declarac</w:t>
            </w:r>
            <w:r w:rsidR="001C609D">
              <w:rPr>
                <w:rFonts w:ascii="Calibri Light" w:hAnsi="Calibri Light"/>
                <w:b w:val="0"/>
              </w:rPr>
              <w:t>i</w:t>
            </w:r>
            <w:r w:rsidR="00F277D9">
              <w:rPr>
                <w:rFonts w:ascii="Calibri Light" w:hAnsi="Calibri Light"/>
                <w:b w:val="0"/>
              </w:rPr>
              <w:t>ones</w:t>
            </w:r>
            <w:r w:rsidRPr="0047594F">
              <w:rPr>
                <w:rFonts w:ascii="Calibri Light" w:hAnsi="Calibri Light"/>
                <w:b w:val="0"/>
              </w:rPr>
              <w:t xml:space="preserve"> presumarial</w:t>
            </w:r>
            <w:r w:rsidR="00F277D9">
              <w:rPr>
                <w:rFonts w:ascii="Calibri Light" w:hAnsi="Calibri Light"/>
                <w:b w:val="0"/>
              </w:rPr>
              <w:t>es</w:t>
            </w:r>
            <w:r w:rsidR="00211B88">
              <w:rPr>
                <w:rFonts w:ascii="Calibri Light" w:hAnsi="Calibri Light"/>
                <w:b w:val="0"/>
              </w:rPr>
              <w:t>, a pesar de las denuncias de que habían sido obtenidas sin coacción y sin defensa técnica,</w:t>
            </w:r>
            <w:r w:rsidRPr="0047594F">
              <w:rPr>
                <w:rFonts w:ascii="Calibri Light" w:hAnsi="Calibri Light"/>
                <w:b w:val="0"/>
              </w:rPr>
              <w:t xml:space="preserve"> </w:t>
            </w:r>
            <w:r w:rsidR="00FA3FF8">
              <w:rPr>
                <w:rFonts w:ascii="Calibri Light" w:hAnsi="Calibri Light"/>
                <w:b w:val="0"/>
              </w:rPr>
              <w:t>se debió</w:t>
            </w:r>
            <w:r w:rsidRPr="0047594F">
              <w:rPr>
                <w:rFonts w:ascii="Calibri Light" w:hAnsi="Calibri Light"/>
                <w:b w:val="0"/>
              </w:rPr>
              <w:t xml:space="preserve"> </w:t>
            </w:r>
            <w:r w:rsidR="00FA3FF8">
              <w:rPr>
                <w:rFonts w:ascii="Calibri Light" w:hAnsi="Calibri Light"/>
                <w:b w:val="0"/>
              </w:rPr>
              <w:t xml:space="preserve">a que </w:t>
            </w:r>
            <w:r w:rsidRPr="0047594F">
              <w:rPr>
                <w:rFonts w:ascii="Calibri Light" w:hAnsi="Calibri Light"/>
                <w:b w:val="0"/>
              </w:rPr>
              <w:t>en dicha época</w:t>
            </w:r>
            <w:r w:rsidR="00A86BE7">
              <w:rPr>
                <w:rFonts w:ascii="Calibri Light" w:hAnsi="Calibri Light"/>
                <w:b w:val="0"/>
              </w:rPr>
              <w:t>,</w:t>
            </w:r>
            <w:r w:rsidRPr="0047594F">
              <w:rPr>
                <w:rFonts w:ascii="Calibri Light" w:hAnsi="Calibri Light"/>
                <w:b w:val="0"/>
              </w:rPr>
              <w:t xml:space="preserve"> el artículo 116 de </w:t>
            </w:r>
            <w:r w:rsidR="002427ED">
              <w:rPr>
                <w:rFonts w:ascii="Calibri Light" w:hAnsi="Calibri Light"/>
                <w:b w:val="0"/>
              </w:rPr>
              <w:t>l</w:t>
            </w:r>
            <w:r w:rsidRPr="0047594F">
              <w:rPr>
                <w:rFonts w:ascii="Calibri Light" w:hAnsi="Calibri Light"/>
                <w:b w:val="0"/>
              </w:rPr>
              <w:t>a Ley</w:t>
            </w:r>
            <w:r w:rsidR="002427ED">
              <w:rPr>
                <w:rFonts w:ascii="Calibri Light" w:hAnsi="Calibri Light"/>
                <w:b w:val="0"/>
              </w:rPr>
              <w:t xml:space="preserve"> de Sustancias</w:t>
            </w:r>
            <w:r w:rsidRPr="0047594F">
              <w:rPr>
                <w:rFonts w:ascii="Calibri Light" w:hAnsi="Calibri Light"/>
                <w:b w:val="0"/>
              </w:rPr>
              <w:t xml:space="preserve"> establecía que </w:t>
            </w:r>
            <w:r w:rsidR="00A86BE7">
              <w:rPr>
                <w:rFonts w:ascii="Calibri Light" w:hAnsi="Calibri Light"/>
                <w:b w:val="0"/>
              </w:rPr>
              <w:t>el parte policial</w:t>
            </w:r>
            <w:r w:rsidRPr="0047594F">
              <w:rPr>
                <w:rFonts w:ascii="Calibri Light" w:hAnsi="Calibri Light"/>
                <w:b w:val="0"/>
              </w:rPr>
              <w:t xml:space="preserve"> y la declaración </w:t>
            </w:r>
            <w:r w:rsidR="00A86BE7" w:rsidRPr="0047594F">
              <w:rPr>
                <w:rFonts w:ascii="Calibri Light" w:hAnsi="Calibri Light"/>
                <w:b w:val="0"/>
              </w:rPr>
              <w:t>pre</w:t>
            </w:r>
            <w:r w:rsidR="00A86BE7">
              <w:rPr>
                <w:rFonts w:ascii="Calibri Light" w:hAnsi="Calibri Light"/>
                <w:b w:val="0"/>
              </w:rPr>
              <w:t>sumarial</w:t>
            </w:r>
            <w:r w:rsidR="00A86BE7" w:rsidRPr="0047594F">
              <w:rPr>
                <w:rFonts w:ascii="Calibri Light" w:hAnsi="Calibri Light"/>
                <w:b w:val="0"/>
              </w:rPr>
              <w:t xml:space="preserve"> </w:t>
            </w:r>
            <w:r w:rsidR="006D5104">
              <w:rPr>
                <w:rFonts w:ascii="Calibri Light" w:hAnsi="Calibri Light"/>
                <w:b w:val="0"/>
              </w:rPr>
              <w:t>en presencia del agente fiscal</w:t>
            </w:r>
            <w:r w:rsidRPr="0047594F">
              <w:rPr>
                <w:rFonts w:ascii="Calibri Light" w:hAnsi="Calibri Light"/>
                <w:b w:val="0"/>
              </w:rPr>
              <w:t xml:space="preserve"> constitu</w:t>
            </w:r>
            <w:r w:rsidR="006D5104">
              <w:rPr>
                <w:rFonts w:ascii="Calibri Light" w:hAnsi="Calibri Light"/>
                <w:b w:val="0"/>
              </w:rPr>
              <w:t>ían</w:t>
            </w:r>
            <w:r w:rsidRPr="0047594F">
              <w:rPr>
                <w:rFonts w:ascii="Calibri Light" w:hAnsi="Calibri Light"/>
                <w:b w:val="0"/>
              </w:rPr>
              <w:t xml:space="preserve"> </w:t>
            </w:r>
            <w:r w:rsidR="00E913FF">
              <w:rPr>
                <w:rFonts w:ascii="Calibri Light" w:hAnsi="Calibri Light"/>
                <w:b w:val="0"/>
              </w:rPr>
              <w:t>“</w:t>
            </w:r>
            <w:r w:rsidR="00FA5EED" w:rsidRPr="0047594F">
              <w:rPr>
                <w:rFonts w:ascii="Calibri Light" w:hAnsi="Calibri Light"/>
                <w:b w:val="0"/>
              </w:rPr>
              <w:t xml:space="preserve">grave </w:t>
            </w:r>
            <w:r w:rsidRPr="0047594F">
              <w:rPr>
                <w:rFonts w:ascii="Calibri Light" w:hAnsi="Calibri Light"/>
                <w:b w:val="0"/>
              </w:rPr>
              <w:t xml:space="preserve">presunción de culpabilidad”. </w:t>
            </w:r>
            <w:r w:rsidR="00211B88">
              <w:rPr>
                <w:rFonts w:ascii="Calibri Light" w:hAnsi="Calibri Light"/>
                <w:b w:val="0"/>
              </w:rPr>
              <w:t xml:space="preserve">Esto hacía que la persona inculpada tenga la carga de revertir </w:t>
            </w:r>
            <w:r w:rsidR="006D5104">
              <w:rPr>
                <w:rFonts w:ascii="Calibri Light" w:hAnsi="Calibri Light"/>
                <w:b w:val="0"/>
              </w:rPr>
              <w:t>dicha presunción</w:t>
            </w:r>
            <w:r w:rsidR="00211B88">
              <w:rPr>
                <w:rFonts w:ascii="Calibri Light" w:hAnsi="Calibri Light"/>
                <w:b w:val="0"/>
              </w:rPr>
              <w:t xml:space="preserve">. </w:t>
            </w:r>
            <w:r w:rsidRPr="0047594F">
              <w:rPr>
                <w:rFonts w:ascii="Calibri Light" w:hAnsi="Calibri Light"/>
                <w:b w:val="0"/>
              </w:rPr>
              <w:t xml:space="preserve">La CIDH </w:t>
            </w:r>
            <w:r w:rsidR="00E913FF" w:rsidRPr="0047594F">
              <w:rPr>
                <w:rFonts w:ascii="Calibri Light" w:hAnsi="Calibri Light"/>
                <w:b w:val="0"/>
              </w:rPr>
              <w:t>rec</w:t>
            </w:r>
            <w:r w:rsidR="00E913FF">
              <w:rPr>
                <w:rFonts w:ascii="Calibri Light" w:hAnsi="Calibri Light"/>
                <w:b w:val="0"/>
              </w:rPr>
              <w:t>ordó</w:t>
            </w:r>
            <w:r w:rsidR="00E913FF" w:rsidRPr="0047594F">
              <w:rPr>
                <w:rFonts w:ascii="Calibri Light" w:hAnsi="Calibri Light"/>
                <w:b w:val="0"/>
              </w:rPr>
              <w:t xml:space="preserve"> </w:t>
            </w:r>
            <w:r w:rsidRPr="0047594F">
              <w:rPr>
                <w:rFonts w:ascii="Calibri Light" w:hAnsi="Calibri Light"/>
                <w:b w:val="0"/>
              </w:rPr>
              <w:t>que la situación de incompatibilidad de esta norma con el principio de presunción de inocencia fue reconocida posteriormente por el TGC al declararla inconstitucional. No obstante, dicha norma ya había sido aplicada en el caso. En razón de ello, la CIDH determinó que el Estado ecuatoriano era responsable de la violación del el artículo 8.2 de la CADH</w:t>
            </w:r>
            <w:r w:rsidR="0037297D">
              <w:rPr>
                <w:rFonts w:ascii="Calibri Light" w:hAnsi="Calibri Light"/>
                <w:b w:val="0"/>
              </w:rPr>
              <w:t>,</w:t>
            </w:r>
            <w:r w:rsidRPr="0047594F">
              <w:rPr>
                <w:rFonts w:ascii="Calibri Light" w:hAnsi="Calibri Light"/>
                <w:b w:val="0"/>
              </w:rPr>
              <w:t xml:space="preserve"> en relación con los artículos 1.1 y 2</w:t>
            </w:r>
            <w:r w:rsidR="001703AF">
              <w:rPr>
                <w:rFonts w:ascii="Calibri Light" w:hAnsi="Calibri Light"/>
                <w:b w:val="0"/>
              </w:rPr>
              <w:t>, en perjuicio de</w:t>
            </w:r>
            <w:r w:rsidR="00E913FF">
              <w:rPr>
                <w:rFonts w:ascii="Calibri Light" w:hAnsi="Calibri Light"/>
                <w:b w:val="0"/>
              </w:rPr>
              <w:t>l señor</w:t>
            </w:r>
            <w:r w:rsidR="001703AF" w:rsidRPr="0047594F">
              <w:rPr>
                <w:rFonts w:ascii="Calibri Light" w:hAnsi="Calibri Light"/>
                <w:b w:val="0"/>
              </w:rPr>
              <w:t xml:space="preserve"> Montesinos</w:t>
            </w:r>
            <w:r w:rsidR="001703AF">
              <w:rPr>
                <w:rFonts w:ascii="Calibri Light" w:hAnsi="Calibri Light"/>
                <w:b w:val="0"/>
              </w:rPr>
              <w:t>.</w:t>
            </w:r>
          </w:p>
          <w:p w14:paraId="0400D338" w14:textId="3C12001B" w:rsidR="0047594F" w:rsidRPr="0047594F" w:rsidRDefault="0047594F" w:rsidP="00290959">
            <w:pPr>
              <w:jc w:val="both"/>
              <w:rPr>
                <w:rFonts w:ascii="Calibri Light" w:hAnsi="Calibri Light"/>
                <w:b w:val="0"/>
              </w:rPr>
            </w:pPr>
          </w:p>
          <w:p w14:paraId="406DEB39" w14:textId="17A3E219" w:rsidR="0047594F" w:rsidRPr="002C4052" w:rsidRDefault="00E913FF" w:rsidP="00E536E0">
            <w:pPr>
              <w:pStyle w:val="ListParagraph"/>
              <w:numPr>
                <w:ilvl w:val="0"/>
                <w:numId w:val="12"/>
              </w:numPr>
              <w:jc w:val="both"/>
              <w:rPr>
                <w:rFonts w:ascii="Calibri Light" w:hAnsi="Calibri Light"/>
              </w:rPr>
            </w:pPr>
            <w:r>
              <w:rPr>
                <w:rFonts w:ascii="Calibri Light" w:hAnsi="Calibri Light"/>
              </w:rPr>
              <w:tab/>
            </w:r>
            <w:r w:rsidR="0047594F" w:rsidRPr="002C4052">
              <w:rPr>
                <w:rFonts w:ascii="Calibri Light" w:hAnsi="Calibri Light"/>
              </w:rPr>
              <w:t>La razonabilidad del proceso penal</w:t>
            </w:r>
          </w:p>
          <w:p w14:paraId="7462A48C" w14:textId="77777777" w:rsidR="0047594F" w:rsidRPr="002C4052" w:rsidRDefault="0047594F" w:rsidP="002C4052">
            <w:pPr>
              <w:pStyle w:val="ListParagraph"/>
              <w:ind w:left="1080"/>
              <w:jc w:val="both"/>
              <w:rPr>
                <w:rFonts w:ascii="Calibri Light" w:hAnsi="Calibri Light"/>
              </w:rPr>
            </w:pPr>
          </w:p>
          <w:p w14:paraId="074F8C71" w14:textId="069F19B4" w:rsidR="0047594F" w:rsidRPr="0047594F" w:rsidRDefault="007633D7" w:rsidP="00290959">
            <w:pPr>
              <w:jc w:val="both"/>
              <w:rPr>
                <w:rFonts w:ascii="Calibri Light" w:hAnsi="Calibri Light"/>
                <w:b w:val="0"/>
              </w:rPr>
            </w:pPr>
            <w:r>
              <w:rPr>
                <w:rFonts w:ascii="Calibri Light" w:hAnsi="Calibri Light"/>
                <w:b w:val="0"/>
              </w:rPr>
              <w:t>L</w:t>
            </w:r>
            <w:r w:rsidR="0047594F" w:rsidRPr="0047594F">
              <w:rPr>
                <w:rFonts w:ascii="Calibri Light" w:hAnsi="Calibri Light"/>
                <w:b w:val="0"/>
              </w:rPr>
              <w:t xml:space="preserve">a CIDH </w:t>
            </w:r>
            <w:r>
              <w:rPr>
                <w:rFonts w:ascii="Calibri Light" w:hAnsi="Calibri Light"/>
                <w:b w:val="0"/>
              </w:rPr>
              <w:t>recordó que, de acuerdo a</w:t>
            </w:r>
            <w:r w:rsidR="0047594F" w:rsidRPr="0047594F">
              <w:rPr>
                <w:rFonts w:ascii="Calibri Light" w:hAnsi="Calibri Light"/>
                <w:b w:val="0"/>
              </w:rPr>
              <w:t xml:space="preserve"> la Corte IDH, </w:t>
            </w:r>
            <w:r w:rsidR="00F2599C">
              <w:rPr>
                <w:rFonts w:ascii="Calibri Light" w:hAnsi="Calibri Light"/>
                <w:b w:val="0"/>
              </w:rPr>
              <w:t>la duración d</w:t>
            </w:r>
            <w:r w:rsidR="0047594F" w:rsidRPr="0047594F">
              <w:rPr>
                <w:rFonts w:ascii="Calibri Light" w:hAnsi="Calibri Light"/>
                <w:b w:val="0"/>
              </w:rPr>
              <w:t>el p</w:t>
            </w:r>
            <w:r w:rsidR="00F2599C">
              <w:rPr>
                <w:rFonts w:ascii="Calibri Light" w:hAnsi="Calibri Light"/>
                <w:b w:val="0"/>
              </w:rPr>
              <w:t>l</w:t>
            </w:r>
            <w:r w:rsidR="0047594F" w:rsidRPr="0047594F">
              <w:rPr>
                <w:rFonts w:ascii="Calibri Light" w:hAnsi="Calibri Light"/>
                <w:b w:val="0"/>
              </w:rPr>
              <w:t>azo</w:t>
            </w:r>
            <w:r w:rsidR="00F2599C">
              <w:rPr>
                <w:rFonts w:ascii="Calibri Light" w:hAnsi="Calibri Light"/>
                <w:b w:val="0"/>
              </w:rPr>
              <w:t xml:space="preserve"> razonable</w:t>
            </w:r>
            <w:r w:rsidR="0047594F" w:rsidRPr="0047594F">
              <w:rPr>
                <w:rFonts w:ascii="Calibri Light" w:hAnsi="Calibri Light"/>
                <w:b w:val="0"/>
              </w:rPr>
              <w:t xml:space="preserve"> </w:t>
            </w:r>
            <w:r w:rsidR="006F6E2C">
              <w:rPr>
                <w:rFonts w:ascii="Calibri Light" w:hAnsi="Calibri Light"/>
                <w:b w:val="0"/>
              </w:rPr>
              <w:t>se contabiliza desde</w:t>
            </w:r>
            <w:r w:rsidR="0047594F" w:rsidRPr="0047594F">
              <w:rPr>
                <w:rFonts w:ascii="Calibri Light" w:hAnsi="Calibri Light"/>
                <w:b w:val="0"/>
              </w:rPr>
              <w:t xml:space="preserve"> el primer acto dirigido en contra </w:t>
            </w:r>
            <w:r w:rsidR="006F6E2C">
              <w:rPr>
                <w:rFonts w:ascii="Calibri Light" w:hAnsi="Calibri Light"/>
                <w:b w:val="0"/>
              </w:rPr>
              <w:t>del</w:t>
            </w:r>
            <w:r w:rsidR="0047594F" w:rsidRPr="0047594F">
              <w:rPr>
                <w:rFonts w:ascii="Calibri Light" w:hAnsi="Calibri Light"/>
                <w:b w:val="0"/>
              </w:rPr>
              <w:t xml:space="preserve"> </w:t>
            </w:r>
            <w:r w:rsidR="00FA5EED">
              <w:rPr>
                <w:rFonts w:ascii="Calibri Light" w:hAnsi="Calibri Light"/>
                <w:b w:val="0"/>
              </w:rPr>
              <w:t>presunto</w:t>
            </w:r>
            <w:r w:rsidR="00FA5EED" w:rsidRPr="0047594F">
              <w:rPr>
                <w:rFonts w:ascii="Calibri Light" w:hAnsi="Calibri Light"/>
                <w:b w:val="0"/>
              </w:rPr>
              <w:t xml:space="preserve"> </w:t>
            </w:r>
            <w:r w:rsidR="0047594F" w:rsidRPr="0047594F">
              <w:rPr>
                <w:rFonts w:ascii="Calibri Light" w:hAnsi="Calibri Light"/>
                <w:b w:val="0"/>
              </w:rPr>
              <w:t>responsable de cierto delito hasta que se dicta sentencia definitiva.</w:t>
            </w:r>
            <w:r w:rsidR="00091BBC">
              <w:rPr>
                <w:rFonts w:ascii="Calibri Light" w:hAnsi="Calibri Light"/>
                <w:b w:val="0"/>
              </w:rPr>
              <w:t xml:space="preserve"> </w:t>
            </w:r>
            <w:r w:rsidR="0047594F" w:rsidRPr="0047594F">
              <w:rPr>
                <w:rFonts w:ascii="Calibri Light" w:hAnsi="Calibri Light"/>
                <w:b w:val="0"/>
              </w:rPr>
              <w:t xml:space="preserve">Para examinar si el plazo en el proceso penal fue razonable, </w:t>
            </w:r>
            <w:r w:rsidR="007E4C0E">
              <w:rPr>
                <w:rFonts w:ascii="Calibri Light" w:hAnsi="Calibri Light"/>
                <w:b w:val="0"/>
              </w:rPr>
              <w:t>se</w:t>
            </w:r>
            <w:r w:rsidR="0047594F" w:rsidRPr="0047594F">
              <w:rPr>
                <w:rFonts w:ascii="Calibri Light" w:hAnsi="Calibri Light"/>
                <w:b w:val="0"/>
              </w:rPr>
              <w:t xml:space="preserve"> </w:t>
            </w:r>
            <w:r w:rsidR="007E4C0E">
              <w:rPr>
                <w:rFonts w:ascii="Calibri Light" w:hAnsi="Calibri Light"/>
                <w:b w:val="0"/>
              </w:rPr>
              <w:t>indicó</w:t>
            </w:r>
            <w:r w:rsidR="0047594F" w:rsidRPr="0047594F">
              <w:rPr>
                <w:rFonts w:ascii="Calibri Light" w:hAnsi="Calibri Light"/>
                <w:b w:val="0"/>
              </w:rPr>
              <w:t xml:space="preserve"> que debe de </w:t>
            </w:r>
            <w:r w:rsidR="00091BBC">
              <w:rPr>
                <w:rFonts w:ascii="Calibri Light" w:hAnsi="Calibri Light"/>
                <w:b w:val="0"/>
              </w:rPr>
              <w:t>analizarse</w:t>
            </w:r>
            <w:r w:rsidR="0047594F" w:rsidRPr="0047594F">
              <w:rPr>
                <w:rFonts w:ascii="Calibri Light" w:hAnsi="Calibri Light"/>
                <w:b w:val="0"/>
              </w:rPr>
              <w:t xml:space="preserve"> caso por caso atendiendo a sus circunstancias particulares y, según los términos del artículo 8.1 de la CADH, </w:t>
            </w:r>
            <w:r w:rsidR="00FA5EED">
              <w:rPr>
                <w:rFonts w:ascii="Calibri Light" w:hAnsi="Calibri Light"/>
                <w:b w:val="0"/>
              </w:rPr>
              <w:t>considerar</w:t>
            </w:r>
            <w:r w:rsidR="0047594F" w:rsidRPr="0047594F">
              <w:rPr>
                <w:rFonts w:ascii="Calibri Light" w:hAnsi="Calibri Light"/>
                <w:b w:val="0"/>
              </w:rPr>
              <w:t xml:space="preserve"> cuatro elementos: </w:t>
            </w:r>
            <w:r w:rsidR="00091BBC">
              <w:rPr>
                <w:rFonts w:ascii="Calibri Light" w:hAnsi="Calibri Light"/>
                <w:b w:val="0"/>
              </w:rPr>
              <w:t>i</w:t>
            </w:r>
            <w:r w:rsidR="0047594F" w:rsidRPr="0047594F">
              <w:rPr>
                <w:rFonts w:ascii="Calibri Light" w:hAnsi="Calibri Light"/>
                <w:b w:val="0"/>
              </w:rPr>
              <w:t xml:space="preserve">) la complejidad del asunto, </w:t>
            </w:r>
            <w:r w:rsidR="00091BBC">
              <w:rPr>
                <w:rFonts w:ascii="Calibri Light" w:hAnsi="Calibri Light"/>
                <w:b w:val="0"/>
              </w:rPr>
              <w:t>ii</w:t>
            </w:r>
            <w:r w:rsidR="0047594F" w:rsidRPr="0047594F">
              <w:rPr>
                <w:rFonts w:ascii="Calibri Light" w:hAnsi="Calibri Light"/>
                <w:b w:val="0"/>
              </w:rPr>
              <w:t>) la actividad procesal del interesado</w:t>
            </w:r>
            <w:r w:rsidR="00091BBC">
              <w:rPr>
                <w:rFonts w:ascii="Calibri Light" w:hAnsi="Calibri Light"/>
                <w:b w:val="0"/>
              </w:rPr>
              <w:t>,</w:t>
            </w:r>
            <w:r w:rsidR="0047594F" w:rsidRPr="0047594F">
              <w:rPr>
                <w:rFonts w:ascii="Calibri Light" w:hAnsi="Calibri Light"/>
                <w:b w:val="0"/>
              </w:rPr>
              <w:t xml:space="preserve"> </w:t>
            </w:r>
            <w:r w:rsidR="00091BBC">
              <w:rPr>
                <w:rFonts w:ascii="Calibri Light" w:hAnsi="Calibri Light"/>
                <w:b w:val="0"/>
              </w:rPr>
              <w:t>iii</w:t>
            </w:r>
            <w:r w:rsidR="0047594F" w:rsidRPr="0047594F">
              <w:rPr>
                <w:rFonts w:ascii="Calibri Light" w:hAnsi="Calibri Light"/>
                <w:b w:val="0"/>
              </w:rPr>
              <w:t>) la conducta de las autoridades judiciales</w:t>
            </w:r>
            <w:r w:rsidR="00091BBC">
              <w:rPr>
                <w:rFonts w:ascii="Calibri Light" w:hAnsi="Calibri Light"/>
                <w:b w:val="0"/>
              </w:rPr>
              <w:t>,</w:t>
            </w:r>
            <w:r w:rsidR="0047594F" w:rsidRPr="0047594F">
              <w:rPr>
                <w:rFonts w:ascii="Calibri Light" w:hAnsi="Calibri Light"/>
                <w:b w:val="0"/>
              </w:rPr>
              <w:t xml:space="preserve"> y </w:t>
            </w:r>
            <w:r w:rsidR="00091BBC">
              <w:rPr>
                <w:rFonts w:ascii="Calibri Light" w:hAnsi="Calibri Light"/>
                <w:b w:val="0"/>
              </w:rPr>
              <w:t>iv</w:t>
            </w:r>
            <w:r w:rsidR="0047594F" w:rsidRPr="0047594F">
              <w:rPr>
                <w:rFonts w:ascii="Calibri Light" w:hAnsi="Calibri Light"/>
                <w:b w:val="0"/>
              </w:rPr>
              <w:t xml:space="preserve">) los efectos </w:t>
            </w:r>
            <w:r w:rsidR="00FA5EED">
              <w:rPr>
                <w:rFonts w:ascii="Calibri Light" w:hAnsi="Calibri Light"/>
                <w:b w:val="0"/>
              </w:rPr>
              <w:t>de la demora</w:t>
            </w:r>
            <w:r w:rsidR="0047594F" w:rsidRPr="0047594F">
              <w:rPr>
                <w:rFonts w:ascii="Calibri Light" w:hAnsi="Calibri Light"/>
                <w:b w:val="0"/>
              </w:rPr>
              <w:t xml:space="preserve"> sobre la situación jurídica de la víctima.</w:t>
            </w:r>
          </w:p>
          <w:p w14:paraId="75FBFCB4" w14:textId="77777777" w:rsidR="0047594F" w:rsidRPr="0047594F" w:rsidRDefault="0047594F" w:rsidP="00290959">
            <w:pPr>
              <w:jc w:val="both"/>
              <w:rPr>
                <w:rFonts w:ascii="Calibri Light" w:hAnsi="Calibri Light"/>
                <w:b w:val="0"/>
              </w:rPr>
            </w:pPr>
          </w:p>
          <w:p w14:paraId="1D64E06C" w14:textId="3F573436" w:rsidR="00D32764" w:rsidRDefault="002427ED" w:rsidP="006601D0">
            <w:pPr>
              <w:jc w:val="both"/>
              <w:rPr>
                <w:rFonts w:ascii="Calibri Light" w:hAnsi="Calibri Light"/>
                <w:b w:val="0"/>
              </w:rPr>
            </w:pPr>
            <w:r>
              <w:rPr>
                <w:rFonts w:ascii="Calibri Light" w:hAnsi="Calibri Light"/>
                <w:b w:val="0"/>
              </w:rPr>
              <w:t>L</w:t>
            </w:r>
            <w:r w:rsidR="0047594F" w:rsidRPr="0047594F">
              <w:rPr>
                <w:rFonts w:ascii="Calibri Light" w:hAnsi="Calibri Light"/>
                <w:b w:val="0"/>
              </w:rPr>
              <w:t xml:space="preserve">a CIDH observó que </w:t>
            </w:r>
            <w:r w:rsidR="009A2F2E">
              <w:rPr>
                <w:rFonts w:ascii="Calibri Light" w:hAnsi="Calibri Light"/>
                <w:b w:val="0"/>
              </w:rPr>
              <w:t>los tres</w:t>
            </w:r>
            <w:r w:rsidR="0047594F" w:rsidRPr="0047594F">
              <w:rPr>
                <w:rFonts w:ascii="Calibri Light" w:hAnsi="Calibri Light"/>
                <w:b w:val="0"/>
              </w:rPr>
              <w:t xml:space="preserve"> </w:t>
            </w:r>
            <w:r>
              <w:rPr>
                <w:rFonts w:ascii="Calibri Light" w:hAnsi="Calibri Light"/>
                <w:b w:val="0"/>
              </w:rPr>
              <w:t xml:space="preserve">procesos penales en contra del señor Montesinos </w:t>
            </w:r>
            <w:r w:rsidR="0047594F" w:rsidRPr="0047594F">
              <w:rPr>
                <w:rFonts w:ascii="Calibri Light" w:hAnsi="Calibri Light"/>
                <w:b w:val="0"/>
              </w:rPr>
              <w:t xml:space="preserve">tuvieron una duración de </w:t>
            </w:r>
            <w:r w:rsidR="00211B88">
              <w:rPr>
                <w:rFonts w:ascii="Calibri Light" w:hAnsi="Calibri Light"/>
                <w:b w:val="0"/>
              </w:rPr>
              <w:t xml:space="preserve">al menos </w:t>
            </w:r>
            <w:r w:rsidR="0047594F" w:rsidRPr="0047594F">
              <w:rPr>
                <w:rFonts w:ascii="Calibri Light" w:hAnsi="Calibri Light"/>
                <w:b w:val="0"/>
              </w:rPr>
              <w:t xml:space="preserve">seis años. </w:t>
            </w:r>
            <w:r w:rsidR="007633D7">
              <w:rPr>
                <w:rFonts w:ascii="Calibri Light" w:hAnsi="Calibri Light"/>
                <w:b w:val="0"/>
              </w:rPr>
              <w:t xml:space="preserve">En cuanto al análisis de los cuatro elementos, la CIDH estableció que no se </w:t>
            </w:r>
            <w:r w:rsidR="006601D0">
              <w:rPr>
                <w:rFonts w:ascii="Calibri Light" w:hAnsi="Calibri Light"/>
                <w:b w:val="0"/>
              </w:rPr>
              <w:t>demostró</w:t>
            </w:r>
            <w:r w:rsidR="007633D7">
              <w:rPr>
                <w:rFonts w:ascii="Calibri Light" w:hAnsi="Calibri Light"/>
                <w:b w:val="0"/>
              </w:rPr>
              <w:t xml:space="preserve"> </w:t>
            </w:r>
            <w:r w:rsidR="00FA3FF8">
              <w:rPr>
                <w:rFonts w:ascii="Calibri Light" w:hAnsi="Calibri Light"/>
                <w:b w:val="0"/>
              </w:rPr>
              <w:t>que estas investigaciones</w:t>
            </w:r>
            <w:r w:rsidR="007633D7" w:rsidRPr="0047594F">
              <w:rPr>
                <w:rFonts w:ascii="Calibri Light" w:hAnsi="Calibri Light"/>
                <w:b w:val="0"/>
              </w:rPr>
              <w:t xml:space="preserve"> </w:t>
            </w:r>
            <w:r w:rsidR="0047594F" w:rsidRPr="0047594F">
              <w:rPr>
                <w:rFonts w:ascii="Calibri Light" w:hAnsi="Calibri Light"/>
                <w:b w:val="0"/>
              </w:rPr>
              <w:t xml:space="preserve">tuvieran especial complejidad respecto de las acusaciones. </w:t>
            </w:r>
            <w:r w:rsidR="00FA3FF8">
              <w:rPr>
                <w:rFonts w:ascii="Calibri Light" w:hAnsi="Calibri Light"/>
                <w:b w:val="0"/>
              </w:rPr>
              <w:t>Asimismo,</w:t>
            </w:r>
            <w:r w:rsidR="0047594F" w:rsidRPr="0047594F">
              <w:rPr>
                <w:rFonts w:ascii="Calibri Light" w:hAnsi="Calibri Light"/>
                <w:b w:val="0"/>
              </w:rPr>
              <w:t xml:space="preserve"> </w:t>
            </w:r>
            <w:r w:rsidR="007633D7">
              <w:rPr>
                <w:rFonts w:ascii="Calibri Light" w:hAnsi="Calibri Light"/>
                <w:b w:val="0"/>
              </w:rPr>
              <w:t>señaló</w:t>
            </w:r>
            <w:r w:rsidR="007633D7" w:rsidRPr="0047594F">
              <w:rPr>
                <w:rFonts w:ascii="Calibri Light" w:hAnsi="Calibri Light"/>
                <w:b w:val="0"/>
              </w:rPr>
              <w:t xml:space="preserve"> </w:t>
            </w:r>
            <w:r w:rsidR="0047594F" w:rsidRPr="0047594F">
              <w:rPr>
                <w:rFonts w:ascii="Calibri Light" w:hAnsi="Calibri Light"/>
                <w:b w:val="0"/>
              </w:rPr>
              <w:t>que no exist</w:t>
            </w:r>
            <w:r w:rsidR="007633D7">
              <w:rPr>
                <w:rFonts w:ascii="Calibri Light" w:hAnsi="Calibri Light"/>
                <w:b w:val="0"/>
              </w:rPr>
              <w:t>ía</w:t>
            </w:r>
            <w:r w:rsidR="0047594F" w:rsidRPr="0047594F">
              <w:rPr>
                <w:rFonts w:ascii="Calibri Light" w:hAnsi="Calibri Light"/>
                <w:b w:val="0"/>
              </w:rPr>
              <w:t xml:space="preserve"> en el expediente </w:t>
            </w:r>
            <w:r w:rsidR="001703AF" w:rsidRPr="0047594F">
              <w:rPr>
                <w:rFonts w:ascii="Calibri Light" w:hAnsi="Calibri Light"/>
                <w:b w:val="0"/>
              </w:rPr>
              <w:t xml:space="preserve">elemento alguno </w:t>
            </w:r>
            <w:r w:rsidR="0047594F" w:rsidRPr="0047594F">
              <w:rPr>
                <w:rFonts w:ascii="Calibri Light" w:hAnsi="Calibri Light"/>
                <w:b w:val="0"/>
              </w:rPr>
              <w:t xml:space="preserve">que indique que </w:t>
            </w:r>
            <w:r w:rsidR="006601D0">
              <w:rPr>
                <w:rFonts w:ascii="Calibri Light" w:hAnsi="Calibri Light"/>
                <w:b w:val="0"/>
              </w:rPr>
              <w:t xml:space="preserve">la víctima </w:t>
            </w:r>
            <w:r w:rsidR="0047594F" w:rsidRPr="0047594F">
              <w:rPr>
                <w:rFonts w:ascii="Calibri Light" w:hAnsi="Calibri Light"/>
                <w:b w:val="0"/>
              </w:rPr>
              <w:t xml:space="preserve">obstaculizó el proceso o tuvo responsabilidad alguna en la demora. </w:t>
            </w:r>
            <w:r w:rsidR="007E4C0E">
              <w:rPr>
                <w:rFonts w:ascii="Calibri Light" w:hAnsi="Calibri Light"/>
                <w:b w:val="0"/>
              </w:rPr>
              <w:t xml:space="preserve">En esta misma línea, </w:t>
            </w:r>
            <w:r w:rsidR="0047594F" w:rsidRPr="0047594F">
              <w:rPr>
                <w:rFonts w:ascii="Calibri Light" w:hAnsi="Calibri Light"/>
                <w:b w:val="0"/>
              </w:rPr>
              <w:t xml:space="preserve">señaló que el Estado </w:t>
            </w:r>
            <w:r w:rsidR="007E4C0E">
              <w:rPr>
                <w:rFonts w:ascii="Calibri Light" w:hAnsi="Calibri Light"/>
                <w:b w:val="0"/>
              </w:rPr>
              <w:t xml:space="preserve">no </w:t>
            </w:r>
            <w:r w:rsidR="00FA5EED">
              <w:rPr>
                <w:rFonts w:ascii="Calibri Light" w:hAnsi="Calibri Light"/>
                <w:b w:val="0"/>
              </w:rPr>
              <w:t>demostró</w:t>
            </w:r>
            <w:r w:rsidR="0047594F" w:rsidRPr="0047594F">
              <w:rPr>
                <w:rFonts w:ascii="Calibri Light" w:hAnsi="Calibri Light"/>
                <w:b w:val="0"/>
              </w:rPr>
              <w:t xml:space="preserve"> que las autoridades judiciales actuaron con la diligencia necesaria para que </w:t>
            </w:r>
            <w:r w:rsidR="006601D0">
              <w:rPr>
                <w:rFonts w:ascii="Calibri Light" w:hAnsi="Calibri Light"/>
                <w:b w:val="0"/>
              </w:rPr>
              <w:t>la víctima</w:t>
            </w:r>
            <w:r w:rsidR="0047594F" w:rsidRPr="0047594F">
              <w:rPr>
                <w:rFonts w:ascii="Calibri Light" w:hAnsi="Calibri Light"/>
                <w:b w:val="0"/>
              </w:rPr>
              <w:t xml:space="preserve"> contara con una decisión en un tiempo razonable. </w:t>
            </w:r>
            <w:r w:rsidR="00FA3FF8">
              <w:rPr>
                <w:rFonts w:ascii="Calibri Light" w:hAnsi="Calibri Light"/>
                <w:b w:val="0"/>
              </w:rPr>
              <w:t>Finalmente</w:t>
            </w:r>
            <w:r w:rsidR="0047594F" w:rsidRPr="0047594F">
              <w:rPr>
                <w:rFonts w:ascii="Calibri Light" w:hAnsi="Calibri Light"/>
                <w:b w:val="0"/>
              </w:rPr>
              <w:t>, la CIDH consideró que el efecto de la demora del proceso penal produjo la continuidad de la privación de libertad del señor Montesinos.</w:t>
            </w:r>
            <w:r w:rsidR="00091BBC">
              <w:rPr>
                <w:rFonts w:ascii="Calibri Light" w:hAnsi="Calibri Light"/>
                <w:b w:val="0"/>
              </w:rPr>
              <w:t xml:space="preserve"> </w:t>
            </w:r>
            <w:r w:rsidR="0047594F" w:rsidRPr="0047594F">
              <w:rPr>
                <w:rFonts w:ascii="Calibri Light" w:hAnsi="Calibri Light"/>
                <w:b w:val="0"/>
              </w:rPr>
              <w:t xml:space="preserve">En consecuencia, la CIDH </w:t>
            </w:r>
            <w:r w:rsidR="007633D7">
              <w:rPr>
                <w:rFonts w:ascii="Calibri Light" w:hAnsi="Calibri Light"/>
                <w:b w:val="0"/>
              </w:rPr>
              <w:t>declaró que</w:t>
            </w:r>
            <w:r w:rsidR="0047594F" w:rsidRPr="0047594F">
              <w:rPr>
                <w:rFonts w:ascii="Calibri Light" w:hAnsi="Calibri Light"/>
                <w:b w:val="0"/>
              </w:rPr>
              <w:t xml:space="preserve"> Estado ecuatoriano </w:t>
            </w:r>
            <w:r w:rsidR="00FA3FF8">
              <w:rPr>
                <w:rFonts w:ascii="Calibri Light" w:hAnsi="Calibri Light"/>
                <w:b w:val="0"/>
              </w:rPr>
              <w:t xml:space="preserve">violó </w:t>
            </w:r>
            <w:r w:rsidR="0047594F" w:rsidRPr="0047594F">
              <w:rPr>
                <w:rFonts w:ascii="Calibri Light" w:hAnsi="Calibri Light"/>
                <w:b w:val="0"/>
              </w:rPr>
              <w:t>el artículo 8.1</w:t>
            </w:r>
            <w:r w:rsidR="00091BBC">
              <w:rPr>
                <w:rFonts w:ascii="Calibri Light" w:hAnsi="Calibri Light"/>
                <w:b w:val="0"/>
              </w:rPr>
              <w:t>,</w:t>
            </w:r>
            <w:r w:rsidR="0047594F" w:rsidRPr="0047594F">
              <w:rPr>
                <w:rFonts w:ascii="Calibri Light" w:hAnsi="Calibri Light"/>
                <w:b w:val="0"/>
              </w:rPr>
              <w:t xml:space="preserve"> en relación con el artículo 1.1</w:t>
            </w:r>
            <w:r w:rsidR="007633D7">
              <w:rPr>
                <w:rFonts w:ascii="Calibri Light" w:hAnsi="Calibri Light"/>
                <w:b w:val="0"/>
              </w:rPr>
              <w:t>,</w:t>
            </w:r>
            <w:r w:rsidR="0047594F" w:rsidRPr="0047594F">
              <w:rPr>
                <w:rFonts w:ascii="Calibri Light" w:hAnsi="Calibri Light"/>
                <w:b w:val="0"/>
              </w:rPr>
              <w:t xml:space="preserve"> </w:t>
            </w:r>
            <w:r w:rsidR="001703AF">
              <w:rPr>
                <w:rFonts w:ascii="Calibri Light" w:hAnsi="Calibri Light"/>
                <w:b w:val="0"/>
              </w:rPr>
              <w:t>en perjuicio de</w:t>
            </w:r>
            <w:r w:rsidR="007633D7">
              <w:rPr>
                <w:rFonts w:ascii="Calibri Light" w:hAnsi="Calibri Light"/>
                <w:b w:val="0"/>
              </w:rPr>
              <w:t>l señor</w:t>
            </w:r>
            <w:r w:rsidR="001703AF">
              <w:rPr>
                <w:rFonts w:ascii="Calibri Light" w:hAnsi="Calibri Light"/>
                <w:b w:val="0"/>
              </w:rPr>
              <w:t xml:space="preserve"> </w:t>
            </w:r>
            <w:r w:rsidR="001703AF" w:rsidRPr="0047594F">
              <w:rPr>
                <w:rFonts w:ascii="Calibri Light" w:hAnsi="Calibri Light"/>
                <w:b w:val="0"/>
              </w:rPr>
              <w:t>Montesinos</w:t>
            </w:r>
            <w:r w:rsidR="001703AF">
              <w:rPr>
                <w:rFonts w:ascii="Calibri Light" w:hAnsi="Calibri Light"/>
                <w:b w:val="0"/>
              </w:rPr>
              <w:t>.</w:t>
            </w:r>
          </w:p>
          <w:p w14:paraId="5AA471B6" w14:textId="52091618" w:rsidR="005E3343" w:rsidRPr="0047594F" w:rsidRDefault="005E3343" w:rsidP="006601D0">
            <w:pPr>
              <w:jc w:val="both"/>
              <w:rPr>
                <w:rFonts w:ascii="Calibri Light" w:hAnsi="Calibri Light"/>
                <w:b w:val="0"/>
              </w:rPr>
            </w:pPr>
          </w:p>
        </w:tc>
      </w:tr>
      <w:tr w:rsidR="0047594F" w:rsidRPr="0047594F" w14:paraId="0FBFBB6F" w14:textId="77777777" w:rsidTr="006601D0">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8767" w:type="dxa"/>
            <w:gridSpan w:val="3"/>
          </w:tcPr>
          <w:p w14:paraId="5D05F4DD" w14:textId="77777777" w:rsidR="0047594F" w:rsidRDefault="0047594F" w:rsidP="006601D0">
            <w:pPr>
              <w:pStyle w:val="ListParagraph"/>
              <w:numPr>
                <w:ilvl w:val="0"/>
                <w:numId w:val="2"/>
              </w:numPr>
              <w:spacing w:before="240"/>
              <w:jc w:val="center"/>
              <w:rPr>
                <w:rFonts w:ascii="Calibri Light" w:hAnsi="Calibri Light"/>
              </w:rPr>
            </w:pPr>
            <w:r w:rsidRPr="0047594F">
              <w:rPr>
                <w:rFonts w:ascii="Calibri Light" w:hAnsi="Calibri Light"/>
              </w:rPr>
              <w:lastRenderedPageBreak/>
              <w:t>Recomendaciones de la CIDH al Estado</w:t>
            </w:r>
          </w:p>
          <w:p w14:paraId="510D8BF9" w14:textId="4D3EF5E0" w:rsidR="00601C9A" w:rsidRPr="006601D0" w:rsidRDefault="00601C9A" w:rsidP="00601C9A">
            <w:pPr>
              <w:pStyle w:val="ListParagraph"/>
              <w:spacing w:before="240"/>
              <w:rPr>
                <w:rFonts w:ascii="Calibri Light" w:hAnsi="Calibri Light"/>
              </w:rPr>
            </w:pPr>
          </w:p>
        </w:tc>
      </w:tr>
      <w:tr w:rsidR="0047594F" w:rsidRPr="0047594F" w14:paraId="3D91AF16" w14:textId="77777777" w:rsidTr="006601D0">
        <w:trPr>
          <w:trHeight w:val="395"/>
        </w:trPr>
        <w:tc>
          <w:tcPr>
            <w:cnfStyle w:val="001000000000" w:firstRow="0" w:lastRow="0" w:firstColumn="1" w:lastColumn="0" w:oddVBand="0" w:evenVBand="0" w:oddHBand="0" w:evenHBand="0" w:firstRowFirstColumn="0" w:firstRowLastColumn="0" w:lastRowFirstColumn="0" w:lastRowLastColumn="0"/>
            <w:tcW w:w="8767" w:type="dxa"/>
            <w:gridSpan w:val="3"/>
          </w:tcPr>
          <w:p w14:paraId="420246AE" w14:textId="77777777" w:rsidR="005E3343" w:rsidRDefault="005E3343" w:rsidP="005E3343">
            <w:pPr>
              <w:pStyle w:val="ListParagraph"/>
              <w:jc w:val="both"/>
              <w:rPr>
                <w:rFonts w:ascii="Calibri Light" w:hAnsi="Calibri Light"/>
                <w:b w:val="0"/>
              </w:rPr>
            </w:pPr>
          </w:p>
          <w:p w14:paraId="6580177D" w14:textId="2DE23451" w:rsidR="0047594F" w:rsidRDefault="0047594F" w:rsidP="006801C9">
            <w:pPr>
              <w:pStyle w:val="ListParagraph"/>
              <w:numPr>
                <w:ilvl w:val="0"/>
                <w:numId w:val="9"/>
              </w:numPr>
              <w:jc w:val="both"/>
              <w:rPr>
                <w:rFonts w:ascii="Calibri Light" w:hAnsi="Calibri Light"/>
                <w:b w:val="0"/>
              </w:rPr>
            </w:pPr>
            <w:r w:rsidRPr="0047594F">
              <w:rPr>
                <w:rFonts w:ascii="Calibri Light" w:hAnsi="Calibri Light"/>
                <w:b w:val="0"/>
              </w:rPr>
              <w:t>Reparar integralmente las violaciones de derechos humanos declaradas tanto en el aspecto material como inmaterial. El Estado deberá adoptar las medidas de compensación económica y satisfacción.</w:t>
            </w:r>
          </w:p>
          <w:p w14:paraId="120211DC" w14:textId="77777777" w:rsidR="00D32764" w:rsidRPr="0047594F" w:rsidRDefault="00D32764" w:rsidP="002C4052">
            <w:pPr>
              <w:pStyle w:val="ListParagraph"/>
              <w:jc w:val="both"/>
              <w:rPr>
                <w:rFonts w:ascii="Calibri Light" w:hAnsi="Calibri Light"/>
                <w:b w:val="0"/>
              </w:rPr>
            </w:pPr>
          </w:p>
          <w:p w14:paraId="3944D83A" w14:textId="7362BCA4" w:rsidR="0047594F" w:rsidRDefault="0047594F" w:rsidP="006801C9">
            <w:pPr>
              <w:pStyle w:val="ListParagraph"/>
              <w:numPr>
                <w:ilvl w:val="0"/>
                <w:numId w:val="9"/>
              </w:numPr>
              <w:jc w:val="both"/>
              <w:rPr>
                <w:rFonts w:ascii="Calibri Light" w:hAnsi="Calibri Light"/>
                <w:b w:val="0"/>
              </w:rPr>
            </w:pPr>
            <w:r w:rsidRPr="0047594F">
              <w:rPr>
                <w:rFonts w:ascii="Calibri Light" w:hAnsi="Calibri Light"/>
                <w:b w:val="0"/>
              </w:rPr>
              <w:t xml:space="preserve">Disponer las medidas de atención en salud física y mental necesarias para la rehabilitación </w:t>
            </w:r>
            <w:r w:rsidRPr="0047594F">
              <w:rPr>
                <w:rFonts w:ascii="Calibri Light" w:hAnsi="Calibri Light"/>
                <w:b w:val="0"/>
              </w:rPr>
              <w:lastRenderedPageBreak/>
              <w:t>de</w:t>
            </w:r>
            <w:r w:rsidR="00D32764">
              <w:rPr>
                <w:rFonts w:ascii="Calibri Light" w:hAnsi="Calibri Light"/>
                <w:b w:val="0"/>
              </w:rPr>
              <w:t xml:space="preserve">l señor </w:t>
            </w:r>
            <w:r w:rsidRPr="0047594F">
              <w:rPr>
                <w:rFonts w:ascii="Calibri Light" w:hAnsi="Calibri Light"/>
                <w:b w:val="0"/>
              </w:rPr>
              <w:t>Montesinos, de ser su voluntad y de manera concertada.</w:t>
            </w:r>
          </w:p>
          <w:p w14:paraId="7473E3A2" w14:textId="77777777" w:rsidR="00D32764" w:rsidRPr="002C4052" w:rsidRDefault="00D32764" w:rsidP="002C4052">
            <w:pPr>
              <w:jc w:val="both"/>
              <w:rPr>
                <w:rFonts w:ascii="Calibri Light" w:hAnsi="Calibri Light"/>
              </w:rPr>
            </w:pPr>
          </w:p>
          <w:p w14:paraId="6680C0C5" w14:textId="2E896454" w:rsidR="0047594F" w:rsidRDefault="0047594F" w:rsidP="006801C9">
            <w:pPr>
              <w:pStyle w:val="ListParagraph"/>
              <w:numPr>
                <w:ilvl w:val="0"/>
                <w:numId w:val="9"/>
              </w:numPr>
              <w:jc w:val="both"/>
              <w:rPr>
                <w:rFonts w:ascii="Calibri Light" w:hAnsi="Calibri Light"/>
                <w:b w:val="0"/>
              </w:rPr>
            </w:pPr>
            <w:r w:rsidRPr="0047594F">
              <w:rPr>
                <w:rFonts w:ascii="Calibri Light" w:hAnsi="Calibri Light"/>
                <w:b w:val="0"/>
              </w:rPr>
              <w:t>Iniciar de oficio la investigación penal de manera diligente, efectiva y dentro de un plazo razonable con el objeto de esclarecer los hechos de tratos crueles, inhumanos o degradantes, denunciados por el señor Montesinos a fin de identificar todas las posibles responsabilidades e imponer las sanciones que correspondan respecto de las violaciones de derechos humanos declaradas</w:t>
            </w:r>
            <w:r w:rsidR="00D40064">
              <w:rPr>
                <w:rFonts w:ascii="Calibri Light" w:hAnsi="Calibri Light"/>
                <w:b w:val="0"/>
              </w:rPr>
              <w:t xml:space="preserve">. </w:t>
            </w:r>
          </w:p>
          <w:p w14:paraId="6BFFB572" w14:textId="77777777" w:rsidR="00D32764" w:rsidRPr="002C4052" w:rsidRDefault="00D32764" w:rsidP="002C4052">
            <w:pPr>
              <w:jc w:val="both"/>
              <w:rPr>
                <w:rFonts w:ascii="Calibri Light" w:hAnsi="Calibri Light"/>
              </w:rPr>
            </w:pPr>
          </w:p>
          <w:p w14:paraId="6C5E6AEF" w14:textId="77777777" w:rsidR="00D32764" w:rsidRDefault="0047594F" w:rsidP="002C4052">
            <w:pPr>
              <w:pStyle w:val="ListParagraph"/>
              <w:numPr>
                <w:ilvl w:val="0"/>
                <w:numId w:val="9"/>
              </w:numPr>
              <w:jc w:val="both"/>
              <w:rPr>
                <w:rFonts w:ascii="Calibri Light" w:hAnsi="Calibri Light"/>
                <w:b w:val="0"/>
              </w:rPr>
            </w:pPr>
            <w:r w:rsidRPr="0047594F">
              <w:rPr>
                <w:rFonts w:ascii="Calibri Light" w:hAnsi="Calibri Light"/>
                <w:b w:val="0"/>
              </w:rPr>
              <w:t>Adoptar las medidas necesarias para evitar que en el futuro se produzcan hechos similares</w:t>
            </w:r>
            <w:r w:rsidR="009A2F2E">
              <w:rPr>
                <w:rFonts w:ascii="Calibri Light" w:hAnsi="Calibri Light"/>
                <w:b w:val="0"/>
              </w:rPr>
              <w:t xml:space="preserve">. </w:t>
            </w:r>
            <w:r w:rsidRPr="0047594F">
              <w:rPr>
                <w:rFonts w:ascii="Calibri Light" w:hAnsi="Calibri Light"/>
                <w:b w:val="0"/>
              </w:rPr>
              <w:t xml:space="preserve">Específicamente, desarrollar programas de formación para cuerpos de seguridad, jueces y fiscales, sobre la prohibición absoluta de actos de tortura y tratos crueles, inhumanos o degradantes, así como las obligaciones derivadas de la regla de la exclusión. </w:t>
            </w:r>
            <w:r w:rsidR="00D40064">
              <w:rPr>
                <w:rFonts w:ascii="Calibri Light" w:hAnsi="Calibri Light"/>
                <w:b w:val="0"/>
              </w:rPr>
              <w:t>A</w:t>
            </w:r>
            <w:r w:rsidRPr="0047594F">
              <w:rPr>
                <w:rFonts w:ascii="Calibri Light" w:hAnsi="Calibri Light"/>
                <w:b w:val="0"/>
              </w:rPr>
              <w:t xml:space="preserve">segurar que las autoridades </w:t>
            </w:r>
            <w:r w:rsidR="0083206B">
              <w:rPr>
                <w:rFonts w:ascii="Calibri Light" w:hAnsi="Calibri Light"/>
                <w:b w:val="0"/>
              </w:rPr>
              <w:t>e</w:t>
            </w:r>
            <w:r w:rsidRPr="0047594F">
              <w:rPr>
                <w:rFonts w:ascii="Calibri Light" w:hAnsi="Calibri Light"/>
                <w:b w:val="0"/>
              </w:rPr>
              <w:t>stén debidamente capacitadas en cuanto a su obligación de iniciar, de oficio, investigaciones penales frente a denuncia o razón fundada sobre posibles actos de tortura y tratos crueles, inhumanos o degradantes. Igualmente, fortalecer los mecanismos de rendición de cuentas y asegurar su debida aplicación a los funcionarios a cargo del tratamiento de las personas privadas de libertad.</w:t>
            </w:r>
          </w:p>
          <w:p w14:paraId="49863AFC" w14:textId="6A6B1BBD" w:rsidR="005E3343" w:rsidRPr="005E3343" w:rsidRDefault="005E3343" w:rsidP="005E3343">
            <w:pPr>
              <w:jc w:val="both"/>
              <w:rPr>
                <w:rFonts w:ascii="Calibri Light" w:hAnsi="Calibri Light"/>
              </w:rPr>
            </w:pPr>
          </w:p>
        </w:tc>
      </w:tr>
      <w:tr w:rsidR="0047594F" w:rsidRPr="0047594F" w14:paraId="0B7CC98E" w14:textId="77777777" w:rsidTr="006601D0">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8767" w:type="dxa"/>
            <w:gridSpan w:val="3"/>
          </w:tcPr>
          <w:p w14:paraId="488FA929" w14:textId="77777777" w:rsidR="00601C9A" w:rsidRDefault="00601C9A" w:rsidP="00601C9A">
            <w:pPr>
              <w:pStyle w:val="ListParagraph"/>
              <w:spacing w:after="200" w:line="276" w:lineRule="auto"/>
              <w:rPr>
                <w:rFonts w:ascii="Calibri Light" w:hAnsi="Calibri Light"/>
              </w:rPr>
            </w:pPr>
          </w:p>
          <w:p w14:paraId="3C93C1C0" w14:textId="68D13928" w:rsidR="0047594F" w:rsidRPr="006601D0" w:rsidRDefault="0047594F" w:rsidP="006601D0">
            <w:pPr>
              <w:pStyle w:val="ListParagraph"/>
              <w:numPr>
                <w:ilvl w:val="0"/>
                <w:numId w:val="2"/>
              </w:numPr>
              <w:spacing w:after="200" w:line="276" w:lineRule="auto"/>
              <w:jc w:val="center"/>
              <w:rPr>
                <w:rFonts w:ascii="Calibri Light" w:hAnsi="Calibri Light"/>
              </w:rPr>
            </w:pPr>
            <w:r w:rsidRPr="0047594F">
              <w:rPr>
                <w:rFonts w:ascii="Calibri Light" w:hAnsi="Calibri Light"/>
              </w:rPr>
              <w:t>Análisis de cumplimiento de las recomendaciones</w:t>
            </w:r>
          </w:p>
        </w:tc>
      </w:tr>
      <w:tr w:rsidR="0047594F" w:rsidRPr="0047594F" w14:paraId="41FA15A1" w14:textId="77777777" w:rsidTr="006601D0">
        <w:trPr>
          <w:trHeight w:val="395"/>
        </w:trPr>
        <w:tc>
          <w:tcPr>
            <w:cnfStyle w:val="001000000000" w:firstRow="0" w:lastRow="0" w:firstColumn="1" w:lastColumn="0" w:oddVBand="0" w:evenVBand="0" w:oddHBand="0" w:evenHBand="0" w:firstRowFirstColumn="0" w:firstRowLastColumn="0" w:lastRowFirstColumn="0" w:lastRowLastColumn="0"/>
            <w:tcW w:w="8767" w:type="dxa"/>
            <w:gridSpan w:val="3"/>
          </w:tcPr>
          <w:p w14:paraId="7904C960" w14:textId="77777777" w:rsidR="00D32764" w:rsidRDefault="00D32764" w:rsidP="00326727">
            <w:pPr>
              <w:pStyle w:val="ListParagraph"/>
              <w:ind w:left="0"/>
              <w:rPr>
                <w:rFonts w:ascii="Calibri Light" w:hAnsi="Calibri Light"/>
                <w:b w:val="0"/>
              </w:rPr>
            </w:pPr>
          </w:p>
          <w:p w14:paraId="08C779D9" w14:textId="77777777" w:rsidR="005E3343" w:rsidRDefault="005E3343" w:rsidP="005E3343">
            <w:pPr>
              <w:pStyle w:val="ListParagraph"/>
              <w:ind w:left="0"/>
              <w:jc w:val="center"/>
              <w:rPr>
                <w:rFonts w:ascii="Calibri Light" w:hAnsi="Calibri Light"/>
                <w:b w:val="0"/>
              </w:rPr>
            </w:pPr>
            <w:r>
              <w:rPr>
                <w:rFonts w:ascii="Calibri Light" w:hAnsi="Calibri Light"/>
                <w:b w:val="0"/>
              </w:rPr>
              <w:t>-</w:t>
            </w:r>
          </w:p>
          <w:p w14:paraId="1F3EA985" w14:textId="47AE678D" w:rsidR="005E3343" w:rsidRPr="0047594F" w:rsidRDefault="005E3343" w:rsidP="005E3343">
            <w:pPr>
              <w:pStyle w:val="ListParagraph"/>
              <w:ind w:left="0"/>
              <w:jc w:val="center"/>
              <w:rPr>
                <w:rFonts w:ascii="Calibri Light" w:hAnsi="Calibri Light"/>
                <w:b w:val="0"/>
              </w:rPr>
            </w:pPr>
          </w:p>
        </w:tc>
      </w:tr>
    </w:tbl>
    <w:p w14:paraId="13C99B47" w14:textId="77777777" w:rsidR="00455548" w:rsidRPr="0047594F" w:rsidRDefault="00455548" w:rsidP="00326727">
      <w:pPr>
        <w:rPr>
          <w:rFonts w:ascii="Calibri Light" w:hAnsi="Calibri Light"/>
        </w:rPr>
      </w:pPr>
    </w:p>
    <w:sectPr w:rsidR="00455548" w:rsidRPr="0047594F" w:rsidSect="0083206B">
      <w:footerReference w:type="default" r:id="rId14"/>
      <w:pgSz w:w="11907" w:h="16839" w:code="9"/>
      <w:pgMar w:top="1134"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7F7B8" w14:textId="77777777" w:rsidR="008D221B" w:rsidRDefault="008D221B" w:rsidP="00A65231">
      <w:pPr>
        <w:spacing w:after="0" w:line="240" w:lineRule="auto"/>
      </w:pPr>
      <w:r>
        <w:separator/>
      </w:r>
    </w:p>
  </w:endnote>
  <w:endnote w:type="continuationSeparator" w:id="0">
    <w:p w14:paraId="57DC0CCE" w14:textId="77777777" w:rsidR="008D221B" w:rsidRDefault="008D221B" w:rsidP="00A65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8509077"/>
      <w:docPartObj>
        <w:docPartGallery w:val="Page Numbers (Bottom of Page)"/>
        <w:docPartUnique/>
      </w:docPartObj>
    </w:sdtPr>
    <w:sdtEndPr/>
    <w:sdtContent>
      <w:p w14:paraId="23A746CC" w14:textId="77777777" w:rsidR="007633D7" w:rsidRDefault="007633D7">
        <w:pPr>
          <w:pStyle w:val="Footer"/>
          <w:jc w:val="right"/>
        </w:pPr>
        <w:r>
          <w:fldChar w:fldCharType="begin"/>
        </w:r>
        <w:r>
          <w:instrText>PAGE   \* MERGEFORMAT</w:instrText>
        </w:r>
        <w:r>
          <w:fldChar w:fldCharType="separate"/>
        </w:r>
        <w:r w:rsidR="00B62526" w:rsidRPr="00B62526">
          <w:rPr>
            <w:noProof/>
            <w:lang w:val="es-ES"/>
          </w:rPr>
          <w:t>7</w:t>
        </w:r>
        <w:r>
          <w:fldChar w:fldCharType="end"/>
        </w:r>
      </w:p>
    </w:sdtContent>
  </w:sdt>
  <w:p w14:paraId="6353BB13" w14:textId="77777777" w:rsidR="007633D7" w:rsidRDefault="00763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179FD" w14:textId="77777777" w:rsidR="008D221B" w:rsidRDefault="008D221B" w:rsidP="00A65231">
      <w:pPr>
        <w:spacing w:after="0" w:line="240" w:lineRule="auto"/>
      </w:pPr>
      <w:r>
        <w:separator/>
      </w:r>
    </w:p>
  </w:footnote>
  <w:footnote w:type="continuationSeparator" w:id="0">
    <w:p w14:paraId="78CCAC76" w14:textId="77777777" w:rsidR="008D221B" w:rsidRDefault="008D221B" w:rsidP="00A652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A5EBA"/>
    <w:multiLevelType w:val="hybridMultilevel"/>
    <w:tmpl w:val="0980E250"/>
    <w:lvl w:ilvl="0" w:tplc="A26C74A4">
      <w:start w:val="1"/>
      <w:numFmt w:val="decimal"/>
      <w:lvlText w:val="%1."/>
      <w:lvlJc w:val="left"/>
      <w:pPr>
        <w:ind w:left="360" w:hanging="360"/>
      </w:pPr>
      <w:rPr>
        <w:rFonts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13C355BB"/>
    <w:multiLevelType w:val="hybridMultilevel"/>
    <w:tmpl w:val="1D92E9A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25636EEF"/>
    <w:multiLevelType w:val="hybridMultilevel"/>
    <w:tmpl w:val="B8E24616"/>
    <w:lvl w:ilvl="0" w:tplc="9488AB94">
      <w:numFmt w:val="bullet"/>
      <w:lvlText w:val="-"/>
      <w:lvlJc w:val="left"/>
      <w:pPr>
        <w:ind w:left="720" w:hanging="360"/>
      </w:pPr>
      <w:rPr>
        <w:rFonts w:ascii="Calibri Light" w:eastAsia="Calibri" w:hAnsi="Calibri Light"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29D1000E"/>
    <w:multiLevelType w:val="hybridMultilevel"/>
    <w:tmpl w:val="BE9018B8"/>
    <w:lvl w:ilvl="0" w:tplc="C9B023F4">
      <w:start w:val="1"/>
      <w:numFmt w:val="lowerRoman"/>
      <w:lvlText w:val="%1."/>
      <w:lvlJc w:val="left"/>
      <w:pPr>
        <w:ind w:left="720" w:hanging="72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 w15:restartNumberingAfterBreak="0">
    <w:nsid w:val="34957F4D"/>
    <w:multiLevelType w:val="hybridMultilevel"/>
    <w:tmpl w:val="8F0C62E4"/>
    <w:lvl w:ilvl="0" w:tplc="6B2E5B6A">
      <w:start w:val="1"/>
      <w:numFmt w:val="low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3D81334F"/>
    <w:multiLevelType w:val="hybridMultilevel"/>
    <w:tmpl w:val="66322A9C"/>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3D936CBF"/>
    <w:multiLevelType w:val="hybridMultilevel"/>
    <w:tmpl w:val="EF761CBE"/>
    <w:lvl w:ilvl="0" w:tplc="CCE85BE6">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05A010C"/>
    <w:multiLevelType w:val="hybridMultilevel"/>
    <w:tmpl w:val="8D1013B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15:restartNumberingAfterBreak="0">
    <w:nsid w:val="45046FB2"/>
    <w:multiLevelType w:val="hybridMultilevel"/>
    <w:tmpl w:val="7BB2EC6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15:restartNumberingAfterBreak="0">
    <w:nsid w:val="511A22F4"/>
    <w:multiLevelType w:val="hybridMultilevel"/>
    <w:tmpl w:val="C1A0C3EA"/>
    <w:lvl w:ilvl="0" w:tplc="080A0013">
      <w:start w:val="1"/>
      <w:numFmt w:val="upperRoman"/>
      <w:lvlText w:val="%1."/>
      <w:lvlJc w:val="right"/>
      <w:pPr>
        <w:ind w:left="720" w:hanging="180"/>
      </w:pPr>
    </w:lvl>
    <w:lvl w:ilvl="1" w:tplc="080A0011">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1BF0003"/>
    <w:multiLevelType w:val="hybridMultilevel"/>
    <w:tmpl w:val="2ECCC950"/>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7B8D2306"/>
    <w:multiLevelType w:val="hybridMultilevel"/>
    <w:tmpl w:val="8E82BCD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 w15:restartNumberingAfterBreak="0">
    <w:nsid w:val="7F2F10A2"/>
    <w:multiLevelType w:val="hybridMultilevel"/>
    <w:tmpl w:val="9AEE4646"/>
    <w:lvl w:ilvl="0" w:tplc="FAB4664A">
      <w:start w:val="1"/>
      <w:numFmt w:val="decimal"/>
      <w:lvlText w:val="%1."/>
      <w:lvlJc w:val="left"/>
      <w:pPr>
        <w:ind w:left="720" w:hanging="360"/>
      </w:pPr>
      <w:rPr>
        <w:rFonts w:ascii="Calibri" w:hAnsi="Calibri"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9"/>
  </w:num>
  <w:num w:numId="2">
    <w:abstractNumId w:val="5"/>
  </w:num>
  <w:num w:numId="3">
    <w:abstractNumId w:val="0"/>
  </w:num>
  <w:num w:numId="4">
    <w:abstractNumId w:val="7"/>
  </w:num>
  <w:num w:numId="5">
    <w:abstractNumId w:val="8"/>
  </w:num>
  <w:num w:numId="6">
    <w:abstractNumId w:val="10"/>
  </w:num>
  <w:num w:numId="7">
    <w:abstractNumId w:val="1"/>
  </w:num>
  <w:num w:numId="8">
    <w:abstractNumId w:val="12"/>
  </w:num>
  <w:num w:numId="9">
    <w:abstractNumId w:val="11"/>
  </w:num>
  <w:num w:numId="10">
    <w:abstractNumId w:val="4"/>
  </w:num>
  <w:num w:numId="11">
    <w:abstractNumId w:val="6"/>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1359"/>
    <w:rsid w:val="00000C6A"/>
    <w:rsid w:val="00014E7D"/>
    <w:rsid w:val="00016A53"/>
    <w:rsid w:val="000456ED"/>
    <w:rsid w:val="000602C5"/>
    <w:rsid w:val="0006528E"/>
    <w:rsid w:val="00091BBC"/>
    <w:rsid w:val="000C2ED1"/>
    <w:rsid w:val="000C5A72"/>
    <w:rsid w:val="000C6A47"/>
    <w:rsid w:val="000D3CF2"/>
    <w:rsid w:val="000E306C"/>
    <w:rsid w:val="000F2C70"/>
    <w:rsid w:val="000F61F1"/>
    <w:rsid w:val="001170FB"/>
    <w:rsid w:val="001542F0"/>
    <w:rsid w:val="001703AF"/>
    <w:rsid w:val="001737F4"/>
    <w:rsid w:val="001A14F7"/>
    <w:rsid w:val="001C28EC"/>
    <w:rsid w:val="001C609D"/>
    <w:rsid w:val="001C7E66"/>
    <w:rsid w:val="001D0653"/>
    <w:rsid w:val="001D1D01"/>
    <w:rsid w:val="001D39CF"/>
    <w:rsid w:val="001D65D1"/>
    <w:rsid w:val="001F2FEB"/>
    <w:rsid w:val="00211B88"/>
    <w:rsid w:val="00212F62"/>
    <w:rsid w:val="00213757"/>
    <w:rsid w:val="00217A77"/>
    <w:rsid w:val="00220B75"/>
    <w:rsid w:val="002347BB"/>
    <w:rsid w:val="0023695D"/>
    <w:rsid w:val="00241851"/>
    <w:rsid w:val="002427ED"/>
    <w:rsid w:val="0025623D"/>
    <w:rsid w:val="00275407"/>
    <w:rsid w:val="00290959"/>
    <w:rsid w:val="0029671B"/>
    <w:rsid w:val="002B6E85"/>
    <w:rsid w:val="002B7A34"/>
    <w:rsid w:val="002C4052"/>
    <w:rsid w:val="002D05FC"/>
    <w:rsid w:val="002F06F1"/>
    <w:rsid w:val="00307E40"/>
    <w:rsid w:val="00317EE5"/>
    <w:rsid w:val="0032117C"/>
    <w:rsid w:val="00326727"/>
    <w:rsid w:val="00340398"/>
    <w:rsid w:val="003528D2"/>
    <w:rsid w:val="00360234"/>
    <w:rsid w:val="003606FC"/>
    <w:rsid w:val="00364351"/>
    <w:rsid w:val="00371CC4"/>
    <w:rsid w:val="0037297D"/>
    <w:rsid w:val="00372B89"/>
    <w:rsid w:val="00387AA5"/>
    <w:rsid w:val="00390DEA"/>
    <w:rsid w:val="003A27C9"/>
    <w:rsid w:val="003A2DEB"/>
    <w:rsid w:val="003A4E96"/>
    <w:rsid w:val="003D1E26"/>
    <w:rsid w:val="003E6AB8"/>
    <w:rsid w:val="003E783A"/>
    <w:rsid w:val="00411A74"/>
    <w:rsid w:val="0041788B"/>
    <w:rsid w:val="00421D6C"/>
    <w:rsid w:val="004230D1"/>
    <w:rsid w:val="004235D8"/>
    <w:rsid w:val="00451809"/>
    <w:rsid w:val="004520B9"/>
    <w:rsid w:val="00452AA6"/>
    <w:rsid w:val="004533E5"/>
    <w:rsid w:val="00455548"/>
    <w:rsid w:val="00464CAC"/>
    <w:rsid w:val="0047594F"/>
    <w:rsid w:val="004858A8"/>
    <w:rsid w:val="00486028"/>
    <w:rsid w:val="004861D8"/>
    <w:rsid w:val="00491387"/>
    <w:rsid w:val="004B0A5C"/>
    <w:rsid w:val="004B1311"/>
    <w:rsid w:val="004E678F"/>
    <w:rsid w:val="004F061A"/>
    <w:rsid w:val="00500BC6"/>
    <w:rsid w:val="005173CF"/>
    <w:rsid w:val="0052301B"/>
    <w:rsid w:val="00532986"/>
    <w:rsid w:val="00540483"/>
    <w:rsid w:val="005562D2"/>
    <w:rsid w:val="00557C90"/>
    <w:rsid w:val="00561359"/>
    <w:rsid w:val="0057031B"/>
    <w:rsid w:val="00587839"/>
    <w:rsid w:val="005B25F5"/>
    <w:rsid w:val="005B2B03"/>
    <w:rsid w:val="005B2C53"/>
    <w:rsid w:val="005C3229"/>
    <w:rsid w:val="005D4FDF"/>
    <w:rsid w:val="005E2CEA"/>
    <w:rsid w:val="005E3343"/>
    <w:rsid w:val="00601C9A"/>
    <w:rsid w:val="00604473"/>
    <w:rsid w:val="00617EF0"/>
    <w:rsid w:val="006407DD"/>
    <w:rsid w:val="00644440"/>
    <w:rsid w:val="0065434C"/>
    <w:rsid w:val="006564F1"/>
    <w:rsid w:val="006601D0"/>
    <w:rsid w:val="00676230"/>
    <w:rsid w:val="006801C9"/>
    <w:rsid w:val="00685F04"/>
    <w:rsid w:val="006C2E9D"/>
    <w:rsid w:val="006D488A"/>
    <w:rsid w:val="006D5104"/>
    <w:rsid w:val="006F056D"/>
    <w:rsid w:val="006F1381"/>
    <w:rsid w:val="006F5961"/>
    <w:rsid w:val="006F6E2C"/>
    <w:rsid w:val="00713133"/>
    <w:rsid w:val="00714E42"/>
    <w:rsid w:val="00720B26"/>
    <w:rsid w:val="00747E22"/>
    <w:rsid w:val="007633D7"/>
    <w:rsid w:val="0079477F"/>
    <w:rsid w:val="00795A78"/>
    <w:rsid w:val="00795C6A"/>
    <w:rsid w:val="007A39A2"/>
    <w:rsid w:val="007A6C56"/>
    <w:rsid w:val="007A7F34"/>
    <w:rsid w:val="007B7ED8"/>
    <w:rsid w:val="007E22A0"/>
    <w:rsid w:val="007E382B"/>
    <w:rsid w:val="007E4C0E"/>
    <w:rsid w:val="007F0D54"/>
    <w:rsid w:val="007F24A7"/>
    <w:rsid w:val="007F5D01"/>
    <w:rsid w:val="0080022E"/>
    <w:rsid w:val="008036E7"/>
    <w:rsid w:val="008147A8"/>
    <w:rsid w:val="0081487B"/>
    <w:rsid w:val="00830056"/>
    <w:rsid w:val="00831427"/>
    <w:rsid w:val="0083206B"/>
    <w:rsid w:val="00834916"/>
    <w:rsid w:val="00841B0E"/>
    <w:rsid w:val="00852246"/>
    <w:rsid w:val="00866A4D"/>
    <w:rsid w:val="00883C8F"/>
    <w:rsid w:val="008A1747"/>
    <w:rsid w:val="008A17A9"/>
    <w:rsid w:val="008B1F4C"/>
    <w:rsid w:val="008B691E"/>
    <w:rsid w:val="008D221B"/>
    <w:rsid w:val="008E0287"/>
    <w:rsid w:val="008F00E9"/>
    <w:rsid w:val="008F5071"/>
    <w:rsid w:val="008F5690"/>
    <w:rsid w:val="00903263"/>
    <w:rsid w:val="0090367F"/>
    <w:rsid w:val="00931244"/>
    <w:rsid w:val="00933B71"/>
    <w:rsid w:val="009463A5"/>
    <w:rsid w:val="00951676"/>
    <w:rsid w:val="00954E20"/>
    <w:rsid w:val="009954E2"/>
    <w:rsid w:val="009A2F2E"/>
    <w:rsid w:val="009B453C"/>
    <w:rsid w:val="009D7FB9"/>
    <w:rsid w:val="009E25C2"/>
    <w:rsid w:val="009F136A"/>
    <w:rsid w:val="00A07AE8"/>
    <w:rsid w:val="00A133CC"/>
    <w:rsid w:val="00A271BF"/>
    <w:rsid w:val="00A27D5F"/>
    <w:rsid w:val="00A4435A"/>
    <w:rsid w:val="00A54846"/>
    <w:rsid w:val="00A65231"/>
    <w:rsid w:val="00A7527C"/>
    <w:rsid w:val="00A8142B"/>
    <w:rsid w:val="00A86958"/>
    <w:rsid w:val="00A86BE7"/>
    <w:rsid w:val="00A91B24"/>
    <w:rsid w:val="00AB4E17"/>
    <w:rsid w:val="00AC6F31"/>
    <w:rsid w:val="00AC70D8"/>
    <w:rsid w:val="00AC70EA"/>
    <w:rsid w:val="00AD3A48"/>
    <w:rsid w:val="00B07E72"/>
    <w:rsid w:val="00B1595B"/>
    <w:rsid w:val="00B20A71"/>
    <w:rsid w:val="00B246BF"/>
    <w:rsid w:val="00B44B48"/>
    <w:rsid w:val="00B53307"/>
    <w:rsid w:val="00B53C47"/>
    <w:rsid w:val="00B604CD"/>
    <w:rsid w:val="00B62526"/>
    <w:rsid w:val="00B66E7C"/>
    <w:rsid w:val="00B718B6"/>
    <w:rsid w:val="00B71B8C"/>
    <w:rsid w:val="00B7616B"/>
    <w:rsid w:val="00B771B5"/>
    <w:rsid w:val="00B93CB9"/>
    <w:rsid w:val="00BB61C6"/>
    <w:rsid w:val="00BC08E4"/>
    <w:rsid w:val="00BD48E5"/>
    <w:rsid w:val="00BE6FA1"/>
    <w:rsid w:val="00C31DFF"/>
    <w:rsid w:val="00C47F61"/>
    <w:rsid w:val="00C63B25"/>
    <w:rsid w:val="00C664CD"/>
    <w:rsid w:val="00C7023F"/>
    <w:rsid w:val="00C92CEB"/>
    <w:rsid w:val="00C96FA5"/>
    <w:rsid w:val="00CA4F4D"/>
    <w:rsid w:val="00CA7E9E"/>
    <w:rsid w:val="00CC6A31"/>
    <w:rsid w:val="00CD2ADD"/>
    <w:rsid w:val="00D0696E"/>
    <w:rsid w:val="00D32764"/>
    <w:rsid w:val="00D37074"/>
    <w:rsid w:val="00D373AC"/>
    <w:rsid w:val="00D40064"/>
    <w:rsid w:val="00D66C06"/>
    <w:rsid w:val="00D928AF"/>
    <w:rsid w:val="00D93F67"/>
    <w:rsid w:val="00DD3C7C"/>
    <w:rsid w:val="00DD4B53"/>
    <w:rsid w:val="00DD67AD"/>
    <w:rsid w:val="00DF2AFB"/>
    <w:rsid w:val="00DF4556"/>
    <w:rsid w:val="00E07E97"/>
    <w:rsid w:val="00E16A1C"/>
    <w:rsid w:val="00E3411F"/>
    <w:rsid w:val="00E3576E"/>
    <w:rsid w:val="00E35FF7"/>
    <w:rsid w:val="00E441CE"/>
    <w:rsid w:val="00E536E0"/>
    <w:rsid w:val="00E5611E"/>
    <w:rsid w:val="00E84E09"/>
    <w:rsid w:val="00E913FF"/>
    <w:rsid w:val="00E95B0B"/>
    <w:rsid w:val="00E960E7"/>
    <w:rsid w:val="00E97EE1"/>
    <w:rsid w:val="00EA6DB3"/>
    <w:rsid w:val="00EB4087"/>
    <w:rsid w:val="00ED3717"/>
    <w:rsid w:val="00EE1F07"/>
    <w:rsid w:val="00EE49C4"/>
    <w:rsid w:val="00F06184"/>
    <w:rsid w:val="00F1404A"/>
    <w:rsid w:val="00F14EAA"/>
    <w:rsid w:val="00F2599C"/>
    <w:rsid w:val="00F26CAD"/>
    <w:rsid w:val="00F277D9"/>
    <w:rsid w:val="00F35633"/>
    <w:rsid w:val="00F464EC"/>
    <w:rsid w:val="00F53444"/>
    <w:rsid w:val="00F55CD0"/>
    <w:rsid w:val="00F57A91"/>
    <w:rsid w:val="00F6123E"/>
    <w:rsid w:val="00F725A5"/>
    <w:rsid w:val="00F75B52"/>
    <w:rsid w:val="00F77F1D"/>
    <w:rsid w:val="00F83405"/>
    <w:rsid w:val="00F978DF"/>
    <w:rsid w:val="00FA2E08"/>
    <w:rsid w:val="00FA3FF8"/>
    <w:rsid w:val="00FA5EED"/>
    <w:rsid w:val="00FB0336"/>
    <w:rsid w:val="00FB0F60"/>
    <w:rsid w:val="00FB1D17"/>
    <w:rsid w:val="00FC1E26"/>
    <w:rsid w:val="00FC391E"/>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7F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359"/>
    <w:rPr>
      <w:rFonts w:ascii="Calibri" w:eastAsia="Calibri" w:hAnsi="Calibri" w:cs="Times New Roman"/>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359"/>
    <w:pPr>
      <w:tabs>
        <w:tab w:val="center" w:pos="4419"/>
        <w:tab w:val="right" w:pos="8838"/>
      </w:tabs>
      <w:spacing w:after="0" w:line="240" w:lineRule="auto"/>
    </w:pPr>
  </w:style>
  <w:style w:type="character" w:customStyle="1" w:styleId="HeaderChar">
    <w:name w:val="Header Char"/>
    <w:basedOn w:val="DefaultParagraphFont"/>
    <w:link w:val="Header"/>
    <w:uiPriority w:val="99"/>
    <w:rsid w:val="00561359"/>
    <w:rPr>
      <w:rFonts w:ascii="Calibri" w:eastAsia="Calibri" w:hAnsi="Calibri" w:cs="Times New Roman"/>
      <w:lang w:val="es-MX"/>
    </w:rPr>
  </w:style>
  <w:style w:type="table" w:styleId="TableGrid">
    <w:name w:val="Table Grid"/>
    <w:basedOn w:val="TableNormal"/>
    <w:uiPriority w:val="59"/>
    <w:rsid w:val="00517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5173C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5">
    <w:name w:val="Medium Shading 1 Accent 5"/>
    <w:basedOn w:val="TableNormal"/>
    <w:uiPriority w:val="63"/>
    <w:rsid w:val="005173C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5173C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Grid1-Accent3">
    <w:name w:val="Medium Grid 1 Accent 3"/>
    <w:basedOn w:val="TableNormal"/>
    <w:uiPriority w:val="67"/>
    <w:rsid w:val="005173C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1">
    <w:name w:val="Medium Grid 1 Accent 1"/>
    <w:basedOn w:val="TableNormal"/>
    <w:uiPriority w:val="67"/>
    <w:rsid w:val="005173C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ListParagraph">
    <w:name w:val="List Paragraph"/>
    <w:basedOn w:val="Normal"/>
    <w:uiPriority w:val="34"/>
    <w:qFormat/>
    <w:rsid w:val="007A6C56"/>
    <w:pPr>
      <w:ind w:left="720"/>
      <w:contextualSpacing/>
    </w:pPr>
  </w:style>
  <w:style w:type="paragraph" w:styleId="Footer">
    <w:name w:val="footer"/>
    <w:basedOn w:val="Normal"/>
    <w:link w:val="FooterChar"/>
    <w:uiPriority w:val="99"/>
    <w:unhideWhenUsed/>
    <w:rsid w:val="00A65231"/>
    <w:pPr>
      <w:tabs>
        <w:tab w:val="center" w:pos="4419"/>
        <w:tab w:val="right" w:pos="8838"/>
      </w:tabs>
      <w:spacing w:after="0" w:line="240" w:lineRule="auto"/>
    </w:pPr>
  </w:style>
  <w:style w:type="character" w:customStyle="1" w:styleId="FooterChar">
    <w:name w:val="Footer Char"/>
    <w:basedOn w:val="DefaultParagraphFont"/>
    <w:link w:val="Footer"/>
    <w:uiPriority w:val="99"/>
    <w:rsid w:val="00A65231"/>
    <w:rPr>
      <w:rFonts w:ascii="Calibri" w:eastAsia="Calibri" w:hAnsi="Calibri" w:cs="Times New Roman"/>
      <w:lang w:val="es-MX"/>
    </w:rPr>
  </w:style>
  <w:style w:type="paragraph" w:styleId="BalloonText">
    <w:name w:val="Balloon Text"/>
    <w:basedOn w:val="Normal"/>
    <w:link w:val="BalloonTextChar"/>
    <w:uiPriority w:val="99"/>
    <w:semiHidden/>
    <w:unhideWhenUsed/>
    <w:rsid w:val="00954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E20"/>
    <w:rPr>
      <w:rFonts w:ascii="Tahoma" w:eastAsia="Calibri" w:hAnsi="Tahoma" w:cs="Tahoma"/>
      <w:sz w:val="16"/>
      <w:szCs w:val="16"/>
      <w:lang w:val="es-MX"/>
    </w:rPr>
  </w:style>
  <w:style w:type="table" w:customStyle="1" w:styleId="Tabladelista2-nfasis11">
    <w:name w:val="Tabla de lista 2 - Énfasis 11"/>
    <w:basedOn w:val="TableNormal"/>
    <w:uiPriority w:val="47"/>
    <w:rsid w:val="007B7ED8"/>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F06184"/>
    <w:rPr>
      <w:sz w:val="18"/>
      <w:szCs w:val="18"/>
    </w:rPr>
  </w:style>
  <w:style w:type="paragraph" w:styleId="CommentText">
    <w:name w:val="annotation text"/>
    <w:basedOn w:val="Normal"/>
    <w:link w:val="CommentTextChar"/>
    <w:uiPriority w:val="99"/>
    <w:semiHidden/>
    <w:unhideWhenUsed/>
    <w:rsid w:val="00F06184"/>
    <w:pPr>
      <w:spacing w:line="240" w:lineRule="auto"/>
    </w:pPr>
    <w:rPr>
      <w:sz w:val="24"/>
      <w:szCs w:val="24"/>
    </w:rPr>
  </w:style>
  <w:style w:type="character" w:customStyle="1" w:styleId="CommentTextChar">
    <w:name w:val="Comment Text Char"/>
    <w:basedOn w:val="DefaultParagraphFont"/>
    <w:link w:val="CommentText"/>
    <w:uiPriority w:val="99"/>
    <w:semiHidden/>
    <w:rsid w:val="00F06184"/>
    <w:rPr>
      <w:rFonts w:ascii="Calibri" w:eastAsia="Calibri" w:hAnsi="Calibri" w:cs="Times New Roman"/>
      <w:sz w:val="24"/>
      <w:szCs w:val="24"/>
      <w:lang w:val="es-MX"/>
    </w:rPr>
  </w:style>
  <w:style w:type="paragraph" w:styleId="CommentSubject">
    <w:name w:val="annotation subject"/>
    <w:basedOn w:val="CommentText"/>
    <w:next w:val="CommentText"/>
    <w:link w:val="CommentSubjectChar"/>
    <w:uiPriority w:val="99"/>
    <w:semiHidden/>
    <w:unhideWhenUsed/>
    <w:rsid w:val="00F06184"/>
    <w:rPr>
      <w:b/>
      <w:bCs/>
      <w:sz w:val="20"/>
      <w:szCs w:val="20"/>
    </w:rPr>
  </w:style>
  <w:style w:type="character" w:customStyle="1" w:styleId="CommentSubjectChar">
    <w:name w:val="Comment Subject Char"/>
    <w:basedOn w:val="CommentTextChar"/>
    <w:link w:val="CommentSubject"/>
    <w:uiPriority w:val="99"/>
    <w:semiHidden/>
    <w:rsid w:val="00F06184"/>
    <w:rPr>
      <w:rFonts w:ascii="Calibri" w:eastAsia="Calibri" w:hAnsi="Calibri" w:cs="Times New Roman"/>
      <w:b/>
      <w:bCs/>
      <w:sz w:val="20"/>
      <w:szCs w:val="20"/>
      <w:lang w:val="es-MX"/>
    </w:rPr>
  </w:style>
  <w:style w:type="paragraph" w:customStyle="1" w:styleId="cuerpotablaizq">
    <w:name w:val="cuerpo_tabla_izq"/>
    <w:basedOn w:val="Normal"/>
    <w:rsid w:val="00455548"/>
    <w:pPr>
      <w:spacing w:before="100" w:beforeAutospacing="1" w:after="100" w:afterAutospacing="1" w:line="240" w:lineRule="auto"/>
    </w:pPr>
    <w:rPr>
      <w:rFonts w:ascii="Times New Roman" w:eastAsia="Times New Roman" w:hAnsi="Times New Roman"/>
      <w:sz w:val="24"/>
      <w:szCs w:val="24"/>
      <w:lang w:val="es-PE" w:eastAsia="es-PE"/>
    </w:rPr>
  </w:style>
  <w:style w:type="paragraph" w:customStyle="1" w:styleId="cuerpotablacentro">
    <w:name w:val="cuerpo_tabla_centro"/>
    <w:basedOn w:val="Normal"/>
    <w:rsid w:val="00455548"/>
    <w:pPr>
      <w:spacing w:before="100" w:beforeAutospacing="1" w:after="100" w:afterAutospacing="1" w:line="240" w:lineRule="auto"/>
    </w:pPr>
    <w:rPr>
      <w:rFonts w:ascii="Times New Roman" w:eastAsia="Times New Roman" w:hAnsi="Times New Roman"/>
      <w:sz w:val="24"/>
      <w:szCs w:val="24"/>
      <w:lang w:val="es-PE" w:eastAsia="es-PE"/>
    </w:rPr>
  </w:style>
  <w:style w:type="character" w:styleId="Hyperlink">
    <w:name w:val="Hyperlink"/>
    <w:basedOn w:val="DefaultParagraphFont"/>
    <w:uiPriority w:val="99"/>
    <w:unhideWhenUsed/>
    <w:rsid w:val="005562D2"/>
    <w:rPr>
      <w:color w:val="0000FF" w:themeColor="hyperlink"/>
      <w:u w:val="single"/>
    </w:rPr>
  </w:style>
  <w:style w:type="character" w:styleId="FollowedHyperlink">
    <w:name w:val="FollowedHyperlink"/>
    <w:basedOn w:val="DefaultParagraphFont"/>
    <w:uiPriority w:val="99"/>
    <w:semiHidden/>
    <w:unhideWhenUsed/>
    <w:rsid w:val="00D93F67"/>
    <w:rPr>
      <w:color w:val="800080" w:themeColor="followedHyperlink"/>
      <w:u w:val="single"/>
    </w:rPr>
  </w:style>
  <w:style w:type="paragraph" w:styleId="Revision">
    <w:name w:val="Revision"/>
    <w:hidden/>
    <w:uiPriority w:val="99"/>
    <w:semiHidden/>
    <w:rsid w:val="00D32764"/>
    <w:pPr>
      <w:spacing w:after="0" w:line="240" w:lineRule="auto"/>
    </w:pPr>
    <w:rPr>
      <w:rFonts w:ascii="Calibri" w:eastAsia="Calibri" w:hAnsi="Calibri" w:cs="Times New Roman"/>
      <w:lang w:val="es-MX"/>
    </w:rPr>
  </w:style>
  <w:style w:type="character" w:styleId="UnresolvedMention">
    <w:name w:val="Unresolved Mention"/>
    <w:basedOn w:val="DefaultParagraphFont"/>
    <w:uiPriority w:val="99"/>
    <w:semiHidden/>
    <w:unhideWhenUsed/>
    <w:rsid w:val="00A814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235108">
      <w:bodyDiv w:val="1"/>
      <w:marLeft w:val="0"/>
      <w:marRight w:val="0"/>
      <w:marTop w:val="0"/>
      <w:marBottom w:val="0"/>
      <w:divBdr>
        <w:top w:val="none" w:sz="0" w:space="0" w:color="auto"/>
        <w:left w:val="none" w:sz="0" w:space="0" w:color="auto"/>
        <w:bottom w:val="none" w:sz="0" w:space="0" w:color="auto"/>
        <w:right w:val="none" w:sz="0" w:space="0" w:color="auto"/>
      </w:divBdr>
    </w:div>
    <w:div w:id="178272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orteidh.or.cr/docs/casos/articulos/seriec_398_esp.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as.org/es/cidh/decisiones/corte/2018/11678FondoE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dpp.graduateinstitute.ch/files/live/sites/dpp/files/shared/images/IDEHPUCP%20%20color.jpg"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5D0BD-3E20-470A-AABD-8D5BB7E62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3357</Words>
  <Characters>19140</Characters>
  <Application>Microsoft Office Word</Application>
  <DocSecurity>0</DocSecurity>
  <Lines>159</Lines>
  <Paragraphs>44</Paragraphs>
  <ScaleCrop>false</ScaleCrop>
  <Company/>
  <LinksUpToDate>false</LinksUpToDate>
  <CharactersWithSpaces>22453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2021-02-11T09:49:00Z</dcterms:created>
  <dcterms:modified xsi:type="dcterms:W3CDTF">2021-02-11T09:49:00Z</dcterms:modified>
</cp:coreProperties>
</file>