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88D" w:rsidRDefault="006E188D" w:rsidP="006E188D">
      <w:pPr>
        <w:tabs>
          <w:tab w:val="left" w:pos="810"/>
        </w:tabs>
        <w:suppressAutoHyphens/>
        <w:spacing w:after="0" w:line="240" w:lineRule="auto"/>
        <w:rPr>
          <w:rFonts w:asciiTheme="minorHAnsi" w:hAnsiTheme="minorHAnsi" w:cs="Arial"/>
          <w:lang w:val="es-CO"/>
        </w:rPr>
      </w:pPr>
    </w:p>
    <w:p w:rsidR="008B498D" w:rsidRPr="008B498D" w:rsidRDefault="008B498D" w:rsidP="006E188D">
      <w:pPr>
        <w:tabs>
          <w:tab w:val="left" w:pos="810"/>
        </w:tabs>
        <w:suppressAutoHyphens/>
        <w:spacing w:after="0" w:line="240" w:lineRule="auto"/>
        <w:rPr>
          <w:rFonts w:asciiTheme="minorHAnsi" w:hAnsiTheme="minorHAnsi" w:cs="Arial"/>
          <w:lang w:val="es-CO"/>
        </w:rPr>
      </w:pPr>
    </w:p>
    <w:p w:rsidR="006E188D" w:rsidRPr="008B498D" w:rsidRDefault="006F6BF7" w:rsidP="006E188D">
      <w:pPr>
        <w:tabs>
          <w:tab w:val="left" w:pos="810"/>
        </w:tabs>
        <w:suppressAutoHyphens/>
        <w:spacing w:after="0" w:line="240" w:lineRule="auto"/>
        <w:jc w:val="right"/>
        <w:rPr>
          <w:rFonts w:asciiTheme="minorHAnsi" w:hAnsiTheme="minorHAnsi" w:cs="Arial"/>
          <w:b/>
          <w:lang w:val="es-PE"/>
        </w:rPr>
      </w:pPr>
      <w:r w:rsidRPr="008B498D">
        <w:rPr>
          <w:rFonts w:asciiTheme="minorHAnsi" w:hAnsiTheme="minorHAnsi" w:cs="Arial"/>
          <w:lang w:val="es-PE"/>
        </w:rPr>
        <w:t>22</w:t>
      </w:r>
      <w:r w:rsidR="006E188D" w:rsidRPr="008B498D">
        <w:rPr>
          <w:rFonts w:asciiTheme="minorHAnsi" w:hAnsiTheme="minorHAnsi" w:cs="Arial"/>
          <w:lang w:val="es-PE"/>
        </w:rPr>
        <w:t xml:space="preserve"> de </w:t>
      </w:r>
      <w:r w:rsidR="000F0764" w:rsidRPr="008B498D">
        <w:rPr>
          <w:rFonts w:asciiTheme="minorHAnsi" w:hAnsiTheme="minorHAnsi" w:cs="Arial"/>
          <w:lang w:val="es-PE"/>
        </w:rPr>
        <w:t>septiembre</w:t>
      </w:r>
      <w:r w:rsidR="006E188D" w:rsidRPr="008B498D">
        <w:rPr>
          <w:rFonts w:asciiTheme="minorHAnsi" w:hAnsiTheme="minorHAnsi" w:cs="Arial"/>
          <w:lang w:val="es-PE"/>
        </w:rPr>
        <w:t xml:space="preserve"> de 2017</w:t>
      </w:r>
    </w:p>
    <w:p w:rsidR="006E188D" w:rsidRPr="008B498D" w:rsidRDefault="006E188D" w:rsidP="006E188D">
      <w:pPr>
        <w:widowControl w:val="0"/>
        <w:tabs>
          <w:tab w:val="left" w:pos="720"/>
        </w:tabs>
        <w:autoSpaceDE w:val="0"/>
        <w:autoSpaceDN w:val="0"/>
        <w:adjustRightInd w:val="0"/>
        <w:spacing w:after="0" w:line="240" w:lineRule="auto"/>
        <w:jc w:val="both"/>
        <w:rPr>
          <w:rFonts w:asciiTheme="minorHAnsi" w:hAnsiTheme="minorHAnsi" w:cs="Arial"/>
          <w:b/>
          <w:lang w:val="es-PE"/>
        </w:rPr>
      </w:pPr>
      <w:r w:rsidRPr="008B498D">
        <w:rPr>
          <w:rFonts w:asciiTheme="minorHAnsi" w:hAnsiTheme="minorHAnsi" w:cs="Arial"/>
          <w:b/>
          <w:lang w:val="es-PE"/>
        </w:rPr>
        <w:t>REF.:</w:t>
      </w:r>
      <w:bookmarkStart w:id="0" w:name="Peticion_n"/>
      <w:bookmarkEnd w:id="0"/>
      <w:r w:rsidRPr="008B498D">
        <w:rPr>
          <w:rFonts w:asciiTheme="minorHAnsi" w:hAnsiTheme="minorHAnsi" w:cs="Arial"/>
          <w:b/>
          <w:lang w:val="es-PE"/>
        </w:rPr>
        <w:tab/>
        <w:t xml:space="preserve">Caso Nº </w:t>
      </w:r>
      <w:r w:rsidRPr="008B498D">
        <w:rPr>
          <w:rFonts w:asciiTheme="minorHAnsi" w:hAnsiTheme="minorHAnsi"/>
          <w:b/>
          <w:lang w:val="es-PE"/>
        </w:rPr>
        <w:t>12.</w:t>
      </w:r>
      <w:r w:rsidR="00D45CFD" w:rsidRPr="008B498D">
        <w:rPr>
          <w:rFonts w:asciiTheme="minorHAnsi" w:hAnsiTheme="minorHAnsi"/>
          <w:b/>
          <w:lang w:val="es-PE"/>
        </w:rPr>
        <w:t>056</w:t>
      </w:r>
    </w:p>
    <w:p w:rsidR="006E188D" w:rsidRPr="008B498D" w:rsidRDefault="00D45CFD" w:rsidP="006E188D">
      <w:pPr>
        <w:widowControl w:val="0"/>
        <w:tabs>
          <w:tab w:val="left" w:pos="810"/>
        </w:tabs>
        <w:autoSpaceDE w:val="0"/>
        <w:autoSpaceDN w:val="0"/>
        <w:adjustRightInd w:val="0"/>
        <w:spacing w:after="0" w:line="240" w:lineRule="auto"/>
        <w:ind w:firstLine="720"/>
        <w:jc w:val="both"/>
        <w:rPr>
          <w:rFonts w:asciiTheme="minorHAnsi" w:hAnsiTheme="minorHAnsi" w:cs="Arial"/>
          <w:b/>
          <w:lang w:val="es-PE"/>
        </w:rPr>
      </w:pPr>
      <w:r w:rsidRPr="008B498D">
        <w:rPr>
          <w:rFonts w:asciiTheme="minorHAnsi" w:hAnsiTheme="minorHAnsi"/>
          <w:b/>
          <w:lang w:val="es-PE"/>
        </w:rPr>
        <w:t>Gabriel Oscar Jenkins</w:t>
      </w:r>
    </w:p>
    <w:p w:rsidR="006E188D" w:rsidRPr="008B498D" w:rsidRDefault="00D45CFD" w:rsidP="006E188D">
      <w:pPr>
        <w:tabs>
          <w:tab w:val="left" w:pos="720"/>
          <w:tab w:val="left" w:pos="810"/>
          <w:tab w:val="center" w:pos="6480"/>
        </w:tabs>
        <w:spacing w:after="0" w:line="240" w:lineRule="auto"/>
        <w:ind w:left="720"/>
        <w:jc w:val="both"/>
        <w:rPr>
          <w:rFonts w:asciiTheme="minorHAnsi" w:hAnsiTheme="minorHAnsi" w:cs="Arial"/>
          <w:b/>
          <w:lang w:val="es-ES_tradnl"/>
        </w:rPr>
      </w:pPr>
      <w:r w:rsidRPr="008B498D">
        <w:rPr>
          <w:rFonts w:asciiTheme="minorHAnsi" w:hAnsiTheme="minorHAnsi" w:cs="Arial"/>
          <w:b/>
          <w:lang w:val="es-CR"/>
        </w:rPr>
        <w:t>Argentina</w:t>
      </w:r>
      <w:r w:rsidR="006E188D" w:rsidRPr="008B498D">
        <w:rPr>
          <w:rFonts w:asciiTheme="minorHAnsi" w:hAnsiTheme="minorHAnsi" w:cs="Arial"/>
          <w:b/>
          <w:lang w:val="es-ES_tradnl"/>
        </w:rPr>
        <w:t xml:space="preserve"> </w:t>
      </w:r>
    </w:p>
    <w:p w:rsidR="008B498D" w:rsidRPr="008B498D" w:rsidRDefault="008B498D" w:rsidP="006E188D">
      <w:pPr>
        <w:tabs>
          <w:tab w:val="left" w:pos="720"/>
          <w:tab w:val="left" w:pos="810"/>
          <w:tab w:val="center" w:pos="6480"/>
        </w:tabs>
        <w:spacing w:after="0" w:line="240" w:lineRule="auto"/>
        <w:jc w:val="both"/>
        <w:rPr>
          <w:rFonts w:asciiTheme="minorHAnsi" w:hAnsiTheme="minorHAnsi" w:cs="Arial"/>
          <w:lang w:val="es-PE"/>
        </w:rPr>
      </w:pPr>
    </w:p>
    <w:p w:rsidR="006E188D" w:rsidRPr="008B498D" w:rsidRDefault="006E188D" w:rsidP="006E188D">
      <w:pPr>
        <w:tabs>
          <w:tab w:val="left" w:pos="720"/>
          <w:tab w:val="left" w:pos="810"/>
          <w:tab w:val="center" w:pos="6480"/>
        </w:tabs>
        <w:spacing w:after="0" w:line="240" w:lineRule="auto"/>
        <w:jc w:val="both"/>
        <w:rPr>
          <w:rFonts w:asciiTheme="minorHAnsi" w:hAnsiTheme="minorHAnsi" w:cs="Arial"/>
          <w:lang w:val="es-PE"/>
        </w:rPr>
      </w:pPr>
      <w:r w:rsidRPr="008B498D">
        <w:rPr>
          <w:rFonts w:asciiTheme="minorHAnsi" w:hAnsiTheme="minorHAnsi" w:cs="Arial"/>
          <w:lang w:val="es-PE"/>
        </w:rPr>
        <w:t>Señor Secretario:</w:t>
      </w:r>
    </w:p>
    <w:p w:rsidR="006E188D" w:rsidRPr="008B498D" w:rsidRDefault="006E188D" w:rsidP="006E188D">
      <w:pPr>
        <w:widowControl w:val="0"/>
        <w:tabs>
          <w:tab w:val="left" w:pos="810"/>
        </w:tabs>
        <w:autoSpaceDE w:val="0"/>
        <w:autoSpaceDN w:val="0"/>
        <w:adjustRightInd w:val="0"/>
        <w:spacing w:after="0" w:line="240" w:lineRule="auto"/>
        <w:jc w:val="both"/>
        <w:rPr>
          <w:rFonts w:asciiTheme="minorHAnsi" w:hAnsiTheme="minorHAnsi"/>
          <w:lang w:val="es-CO"/>
        </w:rPr>
      </w:pPr>
    </w:p>
    <w:p w:rsidR="006E188D" w:rsidRPr="008B498D" w:rsidRDefault="006E188D" w:rsidP="00E03E1B">
      <w:pPr>
        <w:widowControl w:val="0"/>
        <w:tabs>
          <w:tab w:val="left" w:pos="810"/>
          <w:tab w:val="left" w:pos="4230"/>
        </w:tabs>
        <w:autoSpaceDE w:val="0"/>
        <w:autoSpaceDN w:val="0"/>
        <w:adjustRightInd w:val="0"/>
        <w:spacing w:after="0" w:line="240" w:lineRule="auto"/>
        <w:ind w:firstLine="720"/>
        <w:jc w:val="both"/>
        <w:rPr>
          <w:rFonts w:asciiTheme="minorHAnsi" w:hAnsiTheme="minorHAnsi" w:cs="Arial"/>
          <w:lang w:val="es-CO"/>
        </w:rPr>
      </w:pPr>
      <w:r w:rsidRPr="008B498D">
        <w:rPr>
          <w:rFonts w:asciiTheme="minorHAnsi" w:hAnsiTheme="minorHAnsi"/>
          <w:lang w:val="es-CO"/>
        </w:rPr>
        <w:t>Tengo el agrado de dirigirme a usted, en nombre de la Comisión Interamericana de Derechos Humanos, con el objeto</w:t>
      </w:r>
      <w:r w:rsidRPr="008B498D">
        <w:rPr>
          <w:rFonts w:asciiTheme="minorHAnsi" w:hAnsiTheme="minorHAnsi" w:cs="Arial"/>
          <w:lang w:val="es-CO"/>
        </w:rPr>
        <w:t xml:space="preserve"> de presentar ante la Honorable Corte Int</w:t>
      </w:r>
      <w:r w:rsidR="008B498D">
        <w:rPr>
          <w:rFonts w:asciiTheme="minorHAnsi" w:hAnsiTheme="minorHAnsi" w:cs="Arial"/>
          <w:lang w:val="es-CO"/>
        </w:rPr>
        <w:t>eramericana de Derechos Humanos el C</w:t>
      </w:r>
      <w:r w:rsidRPr="008B498D">
        <w:rPr>
          <w:rFonts w:asciiTheme="minorHAnsi" w:hAnsiTheme="minorHAnsi" w:cs="Arial"/>
          <w:lang w:val="es-CO"/>
        </w:rPr>
        <w:t xml:space="preserve">aso </w:t>
      </w:r>
      <w:r w:rsidR="008B498D">
        <w:rPr>
          <w:rFonts w:asciiTheme="minorHAnsi" w:hAnsiTheme="minorHAnsi" w:cs="Arial"/>
          <w:lang w:val="es-CO"/>
        </w:rPr>
        <w:t xml:space="preserve">Nº </w:t>
      </w:r>
      <w:r w:rsidRPr="008B498D">
        <w:rPr>
          <w:rFonts w:asciiTheme="minorHAnsi" w:hAnsiTheme="minorHAnsi" w:cs="Arial"/>
          <w:lang w:val="es-CO"/>
        </w:rPr>
        <w:t>12.</w:t>
      </w:r>
      <w:r w:rsidR="00B959E2" w:rsidRPr="008B498D">
        <w:rPr>
          <w:rFonts w:asciiTheme="minorHAnsi" w:hAnsiTheme="minorHAnsi" w:cs="Arial"/>
          <w:lang w:val="es-CO"/>
        </w:rPr>
        <w:t>056</w:t>
      </w:r>
      <w:r w:rsidRPr="008B498D">
        <w:rPr>
          <w:rFonts w:asciiTheme="minorHAnsi" w:hAnsiTheme="minorHAnsi" w:cs="Arial"/>
          <w:lang w:val="es-CO"/>
        </w:rPr>
        <w:t xml:space="preserve"> – </w:t>
      </w:r>
      <w:r w:rsidR="00B959E2" w:rsidRPr="008B498D">
        <w:rPr>
          <w:rFonts w:asciiTheme="minorHAnsi" w:hAnsiTheme="minorHAnsi" w:cs="Arial"/>
          <w:lang w:val="es-CO"/>
        </w:rPr>
        <w:t xml:space="preserve">Gabriel Oscar Jenkins </w:t>
      </w:r>
      <w:r w:rsidRPr="008B498D">
        <w:rPr>
          <w:rFonts w:asciiTheme="minorHAnsi" w:hAnsiTheme="minorHAnsi" w:cs="Arial"/>
          <w:lang w:val="es-CO"/>
        </w:rPr>
        <w:t xml:space="preserve">respecto de la República de </w:t>
      </w:r>
      <w:r w:rsidR="00B959E2" w:rsidRPr="008B498D">
        <w:rPr>
          <w:rFonts w:asciiTheme="minorHAnsi" w:hAnsiTheme="minorHAnsi" w:cs="Arial"/>
          <w:lang w:val="es-CO"/>
        </w:rPr>
        <w:t>Argentina</w:t>
      </w:r>
      <w:r w:rsidRPr="008B498D">
        <w:rPr>
          <w:rFonts w:asciiTheme="minorHAnsi" w:hAnsiTheme="minorHAnsi" w:cs="Arial"/>
          <w:lang w:val="es-CO"/>
        </w:rPr>
        <w:t xml:space="preserve"> (en adelante “el Estado”, “el Estado </w:t>
      </w:r>
      <w:r w:rsidR="00574517" w:rsidRPr="008B498D">
        <w:rPr>
          <w:rFonts w:asciiTheme="minorHAnsi" w:hAnsiTheme="minorHAnsi" w:cs="Arial"/>
          <w:lang w:val="es-CO"/>
        </w:rPr>
        <w:t>argentino</w:t>
      </w:r>
      <w:r w:rsidRPr="008B498D">
        <w:rPr>
          <w:rFonts w:asciiTheme="minorHAnsi" w:hAnsiTheme="minorHAnsi" w:cs="Arial"/>
          <w:lang w:val="es-CO"/>
        </w:rPr>
        <w:t>” o “</w:t>
      </w:r>
      <w:r w:rsidR="00574517" w:rsidRPr="008B498D">
        <w:rPr>
          <w:rFonts w:asciiTheme="minorHAnsi" w:hAnsiTheme="minorHAnsi" w:cs="Arial"/>
          <w:lang w:val="es-CO"/>
        </w:rPr>
        <w:t>Argentina</w:t>
      </w:r>
      <w:r w:rsidRPr="008B498D">
        <w:rPr>
          <w:rFonts w:asciiTheme="minorHAnsi" w:hAnsiTheme="minorHAnsi" w:cs="Arial"/>
          <w:lang w:val="es-CO"/>
        </w:rPr>
        <w:t xml:space="preserve">”), relacionado con </w:t>
      </w:r>
      <w:r w:rsidR="00AF7929" w:rsidRPr="008B498D">
        <w:rPr>
          <w:rFonts w:asciiTheme="minorHAnsi" w:hAnsiTheme="minorHAnsi"/>
          <w:lang w:val="es-ES"/>
        </w:rPr>
        <w:t xml:space="preserve">la privación arbitraria de libertad de Gabriel Oscar Jenkins desde el </w:t>
      </w:r>
      <w:r w:rsidR="00AF7929" w:rsidRPr="008B498D">
        <w:rPr>
          <w:rFonts w:asciiTheme="minorHAnsi" w:eastAsia="Times New Roman" w:hAnsiTheme="minorHAnsi"/>
          <w:lang w:val="es-AR"/>
        </w:rPr>
        <w:t>8 de junio de 1994 hasta el 13 de noviembre de 1997, en el marco de la causa conocida como “Padilla Echeverry y otros” seguida por el Tribunal</w:t>
      </w:r>
      <w:r w:rsidR="008B498D">
        <w:rPr>
          <w:rFonts w:asciiTheme="minorHAnsi" w:eastAsia="Times New Roman" w:hAnsiTheme="minorHAnsi"/>
          <w:lang w:val="es-AR"/>
        </w:rPr>
        <w:t xml:space="preserve"> Oral en lo Criminal Federal Nº</w:t>
      </w:r>
      <w:r w:rsidR="00AF7929" w:rsidRPr="008B498D">
        <w:rPr>
          <w:rFonts w:asciiTheme="minorHAnsi" w:eastAsia="Times New Roman" w:hAnsiTheme="minorHAnsi"/>
          <w:lang w:val="es-AR"/>
        </w:rPr>
        <w:t xml:space="preserve"> 6 por los delitos de tráfico ilícito de estupefacientes y asociación ilícita, de los cuales fue finalmente absuelto. </w:t>
      </w:r>
      <w:r w:rsidR="008B498D">
        <w:rPr>
          <w:rFonts w:asciiTheme="minorHAnsi" w:eastAsia="Times New Roman" w:hAnsiTheme="minorHAnsi"/>
          <w:lang w:val="es-AR"/>
        </w:rPr>
        <w:t xml:space="preserve"> </w:t>
      </w:r>
      <w:r w:rsidR="00AF7929" w:rsidRPr="008B498D">
        <w:rPr>
          <w:rFonts w:asciiTheme="minorHAnsi" w:hAnsiTheme="minorHAnsi"/>
          <w:lang w:val="es-ES"/>
        </w:rPr>
        <w:t xml:space="preserve">La Comisión determinó que la arbitrariedad de la detención preventiva se evidenció en el hecho de que la misma operaba de manera automática y que, en el caso del señor Jenkins, se basó en indicios de responsabilidad y no persiguió fin procesal alguno motivado de manera individualizada en las decisiones respectivas. </w:t>
      </w:r>
      <w:r w:rsidR="008B498D">
        <w:rPr>
          <w:rFonts w:asciiTheme="minorHAnsi" w:hAnsiTheme="minorHAnsi"/>
          <w:lang w:val="es-ES"/>
        </w:rPr>
        <w:t xml:space="preserve"> </w:t>
      </w:r>
      <w:r w:rsidR="00AF7929" w:rsidRPr="008B498D">
        <w:rPr>
          <w:rFonts w:asciiTheme="minorHAnsi" w:hAnsiTheme="minorHAnsi"/>
          <w:lang w:val="es-ES"/>
        </w:rPr>
        <w:t xml:space="preserve">Asimismo, la Comisión estableció que durante el tiempo en que el señor Jenkins estuvo privado de libertad, no se realizó ninguna revisión de su detención preventiva y la necesidad de mantenerla. </w:t>
      </w:r>
      <w:r w:rsidR="008B498D">
        <w:rPr>
          <w:rFonts w:asciiTheme="minorHAnsi" w:hAnsiTheme="minorHAnsi"/>
          <w:lang w:val="es-ES"/>
        </w:rPr>
        <w:t xml:space="preserve"> </w:t>
      </w:r>
      <w:r w:rsidR="00AF7929" w:rsidRPr="008B498D">
        <w:rPr>
          <w:rFonts w:asciiTheme="minorHAnsi" w:hAnsiTheme="minorHAnsi"/>
          <w:lang w:val="es-ES"/>
        </w:rPr>
        <w:t xml:space="preserve">Esta falta de revisión se dio como consecuencia de que, como se dijo, la detención preventiva operaba de manera automática y existía una prohibición legal de excarcelación en el artículo 10 de la Ley 24.390 para el delito por el cual era procesado. </w:t>
      </w:r>
      <w:r w:rsidR="008B498D">
        <w:rPr>
          <w:rFonts w:asciiTheme="minorHAnsi" w:hAnsiTheme="minorHAnsi"/>
          <w:lang w:val="es-ES"/>
        </w:rPr>
        <w:t xml:space="preserve"> </w:t>
      </w:r>
      <w:r w:rsidR="00AF7929" w:rsidRPr="008B498D">
        <w:rPr>
          <w:rFonts w:asciiTheme="minorHAnsi" w:hAnsiTheme="minorHAnsi"/>
          <w:lang w:val="es-ES"/>
        </w:rPr>
        <w:t xml:space="preserve">En consecuencia, la CIDH determinó que la </w:t>
      </w:r>
      <w:r w:rsidR="00AF7929" w:rsidRPr="008B498D">
        <w:rPr>
          <w:rFonts w:asciiTheme="minorHAnsi" w:eastAsia="Times New Roman" w:hAnsiTheme="minorHAnsi"/>
          <w:lang w:val="es-AR"/>
        </w:rPr>
        <w:t xml:space="preserve">duración de tres años y cinco meses de la detención preventiva fue excesiva y constituyó una anticipación de la pena. </w:t>
      </w:r>
      <w:r w:rsidR="008B498D">
        <w:rPr>
          <w:rFonts w:asciiTheme="minorHAnsi" w:eastAsia="Times New Roman" w:hAnsiTheme="minorHAnsi"/>
          <w:lang w:val="es-AR"/>
        </w:rPr>
        <w:t xml:space="preserve"> </w:t>
      </w:r>
      <w:r w:rsidR="00AF7929" w:rsidRPr="008B498D">
        <w:rPr>
          <w:rFonts w:asciiTheme="minorHAnsi" w:eastAsia="Times New Roman" w:hAnsiTheme="minorHAnsi"/>
          <w:lang w:val="es-AR"/>
        </w:rPr>
        <w:t xml:space="preserve">La Comisión agregó que </w:t>
      </w:r>
      <w:r w:rsidR="00AF7929" w:rsidRPr="008B498D">
        <w:rPr>
          <w:rFonts w:asciiTheme="minorHAnsi" w:hAnsiTheme="minorHAnsi"/>
          <w:lang w:val="es-VE"/>
        </w:rPr>
        <w:t xml:space="preserve">los recursos judiciales interpuestos no posibilitaron una revisión sin demora y efectiva tanto de la motivación como de la duración de la detención preventiva. </w:t>
      </w:r>
      <w:r w:rsidR="008B498D">
        <w:rPr>
          <w:rFonts w:asciiTheme="minorHAnsi" w:hAnsiTheme="minorHAnsi"/>
          <w:lang w:val="es-VE"/>
        </w:rPr>
        <w:t xml:space="preserve"> La CIDH</w:t>
      </w:r>
      <w:r w:rsidR="00AF7929" w:rsidRPr="008B498D">
        <w:rPr>
          <w:rFonts w:asciiTheme="minorHAnsi" w:hAnsiTheme="minorHAnsi"/>
          <w:lang w:val="es-VE"/>
        </w:rPr>
        <w:t xml:space="preserve"> también determinó que </w:t>
      </w:r>
      <w:r w:rsidR="00AF7929" w:rsidRPr="008B498D">
        <w:rPr>
          <w:rFonts w:asciiTheme="minorHAnsi" w:hAnsiTheme="minorHAnsi"/>
          <w:color w:val="000000"/>
          <w:lang w:val="es-VE"/>
        </w:rPr>
        <w:t xml:space="preserve">la diferencia de trato contemplada en el artículo 10 de la Ley 24.390 y su aplicación al presente caso, resultó incompatible con el derecho a la igualdad </w:t>
      </w:r>
      <w:r w:rsidR="008B498D">
        <w:rPr>
          <w:rFonts w:asciiTheme="minorHAnsi" w:hAnsiTheme="minorHAnsi"/>
          <w:color w:val="000000"/>
          <w:lang w:val="es-VE"/>
        </w:rPr>
        <w:t>ante la ley. Finalmente, la Comisión</w:t>
      </w:r>
      <w:r w:rsidR="00AF7929" w:rsidRPr="008B498D">
        <w:rPr>
          <w:rFonts w:asciiTheme="minorHAnsi" w:hAnsiTheme="minorHAnsi"/>
          <w:color w:val="000000"/>
          <w:lang w:val="es-VE"/>
        </w:rPr>
        <w:t xml:space="preserve"> concluyó que la acción civil de daños y perjuicios interpuesta por el señor Jenkins, tuvo una duración irrazonable.</w:t>
      </w:r>
    </w:p>
    <w:p w:rsidR="006E188D" w:rsidRPr="008B498D" w:rsidRDefault="006E188D" w:rsidP="006E188D">
      <w:pPr>
        <w:pStyle w:val="NormalWeb"/>
        <w:ind w:firstLine="720"/>
        <w:jc w:val="both"/>
        <w:rPr>
          <w:rFonts w:asciiTheme="minorHAnsi" w:hAnsiTheme="minorHAnsi"/>
          <w:sz w:val="22"/>
          <w:szCs w:val="22"/>
          <w:lang w:val="es-PE"/>
        </w:rPr>
      </w:pPr>
      <w:r w:rsidRPr="008B498D">
        <w:rPr>
          <w:rFonts w:asciiTheme="minorHAnsi" w:hAnsiTheme="minorHAnsi"/>
          <w:sz w:val="22"/>
          <w:szCs w:val="22"/>
          <w:lang w:val="es-PE"/>
        </w:rPr>
        <w:t xml:space="preserve">El Estado </w:t>
      </w:r>
      <w:r w:rsidR="00761BE8" w:rsidRPr="008B498D">
        <w:rPr>
          <w:rFonts w:asciiTheme="minorHAnsi" w:hAnsiTheme="minorHAnsi"/>
          <w:sz w:val="22"/>
          <w:szCs w:val="22"/>
          <w:lang w:val="es-PE"/>
        </w:rPr>
        <w:t>argentino</w:t>
      </w:r>
      <w:r w:rsidRPr="008B498D">
        <w:rPr>
          <w:rFonts w:asciiTheme="minorHAnsi" w:hAnsiTheme="minorHAnsi"/>
          <w:sz w:val="22"/>
          <w:szCs w:val="22"/>
          <w:lang w:val="es-PE"/>
        </w:rPr>
        <w:t xml:space="preserve"> ratificó la Convención Americana sobre Derechos Humanos y aceptó la competencia contenciosa de la Corte Interamericana el </w:t>
      </w:r>
      <w:r w:rsidR="00C91B21" w:rsidRPr="008B498D">
        <w:rPr>
          <w:rFonts w:asciiTheme="minorHAnsi" w:hAnsiTheme="minorHAnsi"/>
          <w:sz w:val="22"/>
          <w:szCs w:val="22"/>
          <w:lang w:val="es-PE"/>
        </w:rPr>
        <w:t>5</w:t>
      </w:r>
      <w:r w:rsidRPr="008B498D">
        <w:rPr>
          <w:rFonts w:asciiTheme="minorHAnsi" w:hAnsiTheme="minorHAnsi"/>
          <w:sz w:val="22"/>
          <w:szCs w:val="22"/>
          <w:lang w:val="es-PE"/>
        </w:rPr>
        <w:t xml:space="preserve"> de </w:t>
      </w:r>
      <w:r w:rsidR="00C91B21" w:rsidRPr="008B498D">
        <w:rPr>
          <w:rFonts w:asciiTheme="minorHAnsi" w:hAnsiTheme="minorHAnsi"/>
          <w:sz w:val="22"/>
          <w:szCs w:val="22"/>
          <w:lang w:val="es-PE"/>
        </w:rPr>
        <w:t>septiembre</w:t>
      </w:r>
      <w:r w:rsidRPr="008B498D">
        <w:rPr>
          <w:rFonts w:asciiTheme="minorHAnsi" w:hAnsiTheme="minorHAnsi"/>
          <w:sz w:val="22"/>
          <w:szCs w:val="22"/>
          <w:lang w:val="es-PE"/>
        </w:rPr>
        <w:t xml:space="preserve"> de </w:t>
      </w:r>
      <w:r w:rsidR="00C91B21" w:rsidRPr="008B498D">
        <w:rPr>
          <w:rFonts w:asciiTheme="minorHAnsi" w:hAnsiTheme="minorHAnsi"/>
          <w:sz w:val="22"/>
          <w:szCs w:val="22"/>
          <w:lang w:val="es-PE"/>
        </w:rPr>
        <w:t>1984</w:t>
      </w:r>
      <w:r w:rsidRPr="008B498D">
        <w:rPr>
          <w:rFonts w:asciiTheme="minorHAnsi" w:hAnsiTheme="minorHAnsi"/>
          <w:sz w:val="22"/>
          <w:szCs w:val="22"/>
          <w:lang w:val="es-PE"/>
        </w:rPr>
        <w:t xml:space="preserve">. </w:t>
      </w:r>
    </w:p>
    <w:p w:rsidR="006E188D" w:rsidRPr="008B498D" w:rsidRDefault="008B498D" w:rsidP="006E188D">
      <w:pPr>
        <w:tabs>
          <w:tab w:val="left" w:pos="810"/>
        </w:tabs>
        <w:spacing w:after="0" w:line="240" w:lineRule="auto"/>
        <w:ind w:firstLine="720"/>
        <w:jc w:val="both"/>
        <w:rPr>
          <w:rFonts w:asciiTheme="minorHAnsi" w:hAnsiTheme="minorHAnsi" w:cs="Arial"/>
          <w:lang w:val="es-CO"/>
        </w:rPr>
      </w:pPr>
      <w:r>
        <w:rPr>
          <w:rFonts w:asciiTheme="minorHAnsi" w:hAnsiTheme="minorHAnsi"/>
          <w:lang w:val="es-CO"/>
        </w:rPr>
        <w:t>La CIDH</w:t>
      </w:r>
      <w:r w:rsidR="006E188D" w:rsidRPr="008B498D">
        <w:rPr>
          <w:rFonts w:asciiTheme="minorHAnsi" w:hAnsiTheme="minorHAnsi"/>
          <w:lang w:val="es-CO"/>
        </w:rPr>
        <w:t xml:space="preserve"> ha designado al Comisionado </w:t>
      </w:r>
      <w:r w:rsidR="005418A7" w:rsidRPr="008B498D">
        <w:rPr>
          <w:rFonts w:asciiTheme="minorHAnsi" w:hAnsiTheme="minorHAnsi"/>
          <w:lang w:val="es-CO"/>
        </w:rPr>
        <w:t xml:space="preserve">Francisco Eguiguren </w:t>
      </w:r>
      <w:r w:rsidR="006E188D" w:rsidRPr="008B498D">
        <w:rPr>
          <w:rFonts w:asciiTheme="minorHAnsi" w:hAnsiTheme="minorHAnsi"/>
          <w:lang w:val="es-CO"/>
        </w:rPr>
        <w:t>y al Secretario Ejecutivo Paulo Abr</w:t>
      </w:r>
      <w:r w:rsidR="006E188D" w:rsidRPr="008B498D">
        <w:rPr>
          <w:rFonts w:asciiTheme="minorHAnsi" w:hAnsiTheme="minorHAnsi"/>
          <w:lang w:val="es-PE"/>
        </w:rPr>
        <w:t xml:space="preserve">ão, </w:t>
      </w:r>
      <w:r w:rsidR="006E188D" w:rsidRPr="008B498D">
        <w:rPr>
          <w:rFonts w:asciiTheme="minorHAnsi" w:hAnsiTheme="minorHAnsi"/>
          <w:lang w:val="es-CO"/>
        </w:rPr>
        <w:t xml:space="preserve">como sus delegados. Asimismo, Elizabeth Abi-Mershed, Secretaria Ejecutiva Adjunta, y Silvia Serrano Guzmán y </w:t>
      </w:r>
      <w:r w:rsidR="005418A7" w:rsidRPr="008B498D">
        <w:rPr>
          <w:rFonts w:asciiTheme="minorHAnsi" w:hAnsiTheme="minorHAnsi"/>
          <w:lang w:val="es-CO"/>
        </w:rPr>
        <w:t>Christian González Chacón</w:t>
      </w:r>
      <w:r w:rsidR="006E188D" w:rsidRPr="008B498D">
        <w:rPr>
          <w:rFonts w:asciiTheme="minorHAnsi" w:hAnsiTheme="minorHAnsi"/>
          <w:lang w:val="es-CO"/>
        </w:rPr>
        <w:t xml:space="preserve">, </w:t>
      </w:r>
      <w:r w:rsidR="006E188D" w:rsidRPr="008B498D">
        <w:rPr>
          <w:rFonts w:asciiTheme="minorHAnsi" w:hAnsiTheme="minorHAnsi"/>
          <w:lang w:val="es-ES"/>
        </w:rPr>
        <w:t xml:space="preserve">abogada y abogado de la Secretaría Ejecutiva, </w:t>
      </w:r>
      <w:r w:rsidR="006E188D" w:rsidRPr="008B498D">
        <w:rPr>
          <w:rFonts w:asciiTheme="minorHAnsi" w:hAnsiTheme="minorHAnsi"/>
          <w:lang w:val="es-CO"/>
        </w:rPr>
        <w:t>actuarán como asesoras y asesor legales.</w:t>
      </w:r>
    </w:p>
    <w:p w:rsidR="006E188D" w:rsidRDefault="006E188D" w:rsidP="006E188D">
      <w:pPr>
        <w:widowControl w:val="0"/>
        <w:tabs>
          <w:tab w:val="left" w:pos="810"/>
        </w:tabs>
        <w:autoSpaceDE w:val="0"/>
        <w:autoSpaceDN w:val="0"/>
        <w:adjustRightInd w:val="0"/>
        <w:spacing w:after="0" w:line="240" w:lineRule="auto"/>
        <w:jc w:val="both"/>
        <w:rPr>
          <w:rFonts w:asciiTheme="minorHAnsi" w:hAnsiTheme="minorHAnsi" w:cs="Arial"/>
          <w:lang w:val="es-ES"/>
        </w:rPr>
      </w:pPr>
    </w:p>
    <w:p w:rsidR="008D6C66" w:rsidRPr="008B498D" w:rsidRDefault="008D6C66" w:rsidP="006E188D">
      <w:pPr>
        <w:widowControl w:val="0"/>
        <w:tabs>
          <w:tab w:val="left" w:pos="810"/>
        </w:tabs>
        <w:autoSpaceDE w:val="0"/>
        <w:autoSpaceDN w:val="0"/>
        <w:adjustRightInd w:val="0"/>
        <w:spacing w:after="0" w:line="240" w:lineRule="auto"/>
        <w:jc w:val="both"/>
        <w:rPr>
          <w:rFonts w:asciiTheme="minorHAnsi" w:hAnsiTheme="minorHAnsi" w:cs="Arial"/>
          <w:lang w:val="es-ES"/>
        </w:rPr>
      </w:pPr>
    </w:p>
    <w:p w:rsidR="006E188D" w:rsidRPr="008B498D" w:rsidRDefault="006E188D" w:rsidP="006E188D">
      <w:pPr>
        <w:widowControl w:val="0"/>
        <w:tabs>
          <w:tab w:val="left" w:pos="810"/>
        </w:tabs>
        <w:autoSpaceDE w:val="0"/>
        <w:autoSpaceDN w:val="0"/>
        <w:adjustRightInd w:val="0"/>
        <w:spacing w:after="0" w:line="240" w:lineRule="auto"/>
        <w:jc w:val="both"/>
        <w:rPr>
          <w:rFonts w:asciiTheme="minorHAnsi" w:hAnsiTheme="minorHAnsi" w:cs="Arial"/>
          <w:snapToGrid w:val="0"/>
          <w:lang w:val="es-CO"/>
        </w:rPr>
      </w:pPr>
      <w:r w:rsidRPr="008B498D">
        <w:rPr>
          <w:rFonts w:asciiTheme="minorHAnsi" w:hAnsiTheme="minorHAnsi" w:cs="Arial"/>
          <w:snapToGrid w:val="0"/>
          <w:lang w:val="es-ES_tradnl"/>
        </w:rPr>
        <w:t>Señor</w:t>
      </w:r>
    </w:p>
    <w:p w:rsidR="006E188D" w:rsidRPr="008B498D" w:rsidRDefault="006E188D" w:rsidP="006E188D">
      <w:pPr>
        <w:widowControl w:val="0"/>
        <w:tabs>
          <w:tab w:val="left" w:pos="810"/>
        </w:tabs>
        <w:autoSpaceDE w:val="0"/>
        <w:autoSpaceDN w:val="0"/>
        <w:adjustRightInd w:val="0"/>
        <w:spacing w:after="0" w:line="240" w:lineRule="auto"/>
        <w:jc w:val="both"/>
        <w:rPr>
          <w:rFonts w:asciiTheme="minorHAnsi" w:hAnsiTheme="minorHAnsi" w:cs="Arial"/>
          <w:snapToGrid w:val="0"/>
          <w:lang w:val="es-CO"/>
        </w:rPr>
      </w:pPr>
      <w:r w:rsidRPr="008B498D">
        <w:rPr>
          <w:rFonts w:asciiTheme="minorHAnsi" w:hAnsiTheme="minorHAnsi" w:cs="Arial"/>
          <w:snapToGrid w:val="0"/>
          <w:lang w:val="es-CO"/>
        </w:rPr>
        <w:t xml:space="preserve">Pablo </w:t>
      </w:r>
      <w:r w:rsidRPr="008B498D">
        <w:rPr>
          <w:rFonts w:asciiTheme="minorHAnsi" w:hAnsiTheme="minorHAnsi"/>
          <w:lang w:val="es-ES"/>
        </w:rPr>
        <w:t>Saavedra</w:t>
      </w:r>
      <w:r w:rsidRPr="008B498D">
        <w:rPr>
          <w:rFonts w:asciiTheme="minorHAnsi" w:hAnsiTheme="minorHAnsi" w:cs="Arial"/>
          <w:snapToGrid w:val="0"/>
          <w:lang w:val="es-CO"/>
        </w:rPr>
        <w:t xml:space="preserve"> Alessandri, Secretario</w:t>
      </w:r>
    </w:p>
    <w:p w:rsidR="006E188D" w:rsidRPr="008B498D" w:rsidRDefault="006E188D" w:rsidP="006E188D">
      <w:pPr>
        <w:widowControl w:val="0"/>
        <w:tabs>
          <w:tab w:val="left" w:pos="810"/>
        </w:tabs>
        <w:autoSpaceDE w:val="0"/>
        <w:autoSpaceDN w:val="0"/>
        <w:adjustRightInd w:val="0"/>
        <w:spacing w:after="0" w:line="240" w:lineRule="auto"/>
        <w:jc w:val="both"/>
        <w:rPr>
          <w:rFonts w:asciiTheme="minorHAnsi" w:hAnsiTheme="minorHAnsi" w:cs="Arial"/>
          <w:snapToGrid w:val="0"/>
          <w:lang w:val="es-ES_tradnl"/>
        </w:rPr>
      </w:pPr>
      <w:r w:rsidRPr="008B498D">
        <w:rPr>
          <w:rFonts w:asciiTheme="minorHAnsi" w:hAnsiTheme="minorHAnsi" w:cs="Arial"/>
          <w:snapToGrid w:val="0"/>
          <w:lang w:val="es-ES_tradnl"/>
        </w:rPr>
        <w:t>Corte Interamericana de Derechos Humanos</w:t>
      </w:r>
    </w:p>
    <w:p w:rsidR="006E188D" w:rsidRPr="008B498D" w:rsidRDefault="006E188D" w:rsidP="006E188D">
      <w:pPr>
        <w:widowControl w:val="0"/>
        <w:tabs>
          <w:tab w:val="left" w:pos="810"/>
        </w:tabs>
        <w:autoSpaceDE w:val="0"/>
        <w:autoSpaceDN w:val="0"/>
        <w:adjustRightInd w:val="0"/>
        <w:spacing w:after="0" w:line="240" w:lineRule="auto"/>
        <w:jc w:val="both"/>
        <w:rPr>
          <w:rFonts w:asciiTheme="minorHAnsi" w:hAnsiTheme="minorHAnsi" w:cs="Arial"/>
          <w:snapToGrid w:val="0"/>
          <w:lang w:val="es-ES_tradnl"/>
        </w:rPr>
      </w:pPr>
      <w:r w:rsidRPr="008B498D">
        <w:rPr>
          <w:rFonts w:asciiTheme="minorHAnsi" w:hAnsiTheme="minorHAnsi" w:cs="Arial"/>
          <w:snapToGrid w:val="0"/>
          <w:lang w:val="es-ES_tradnl"/>
        </w:rPr>
        <w:t>Apartado 6906-1000</w:t>
      </w:r>
      <w:proofErr w:type="gramStart"/>
      <w:r w:rsidRPr="008B498D">
        <w:rPr>
          <w:rFonts w:asciiTheme="minorHAnsi" w:hAnsiTheme="minorHAnsi" w:cs="Arial"/>
          <w:snapToGrid w:val="0"/>
          <w:lang w:val="es-ES_tradnl"/>
        </w:rPr>
        <w:t>,San</w:t>
      </w:r>
      <w:proofErr w:type="gramEnd"/>
      <w:r w:rsidRPr="008B498D">
        <w:rPr>
          <w:rFonts w:asciiTheme="minorHAnsi" w:hAnsiTheme="minorHAnsi" w:cs="Arial"/>
          <w:snapToGrid w:val="0"/>
          <w:lang w:val="es-ES_tradnl"/>
        </w:rPr>
        <w:t xml:space="preserve"> José, Costa Rica</w:t>
      </w:r>
    </w:p>
    <w:p w:rsidR="006E188D" w:rsidRPr="008B498D" w:rsidRDefault="006E188D" w:rsidP="006E188D">
      <w:pPr>
        <w:widowControl w:val="0"/>
        <w:tabs>
          <w:tab w:val="left" w:pos="810"/>
        </w:tabs>
        <w:autoSpaceDE w:val="0"/>
        <w:autoSpaceDN w:val="0"/>
        <w:adjustRightInd w:val="0"/>
        <w:spacing w:after="0" w:line="240" w:lineRule="auto"/>
        <w:jc w:val="both"/>
        <w:rPr>
          <w:rFonts w:asciiTheme="minorHAnsi" w:hAnsiTheme="minorHAnsi" w:cs="Arial"/>
          <w:lang w:val="es-ES"/>
        </w:rPr>
      </w:pPr>
    </w:p>
    <w:p w:rsidR="009512EB" w:rsidRDefault="009512EB" w:rsidP="006E188D">
      <w:pPr>
        <w:widowControl w:val="0"/>
        <w:tabs>
          <w:tab w:val="left" w:pos="810"/>
        </w:tabs>
        <w:autoSpaceDE w:val="0"/>
        <w:autoSpaceDN w:val="0"/>
        <w:adjustRightInd w:val="0"/>
        <w:spacing w:after="0" w:line="240" w:lineRule="auto"/>
        <w:jc w:val="both"/>
        <w:rPr>
          <w:rFonts w:asciiTheme="minorHAnsi" w:hAnsiTheme="minorHAnsi" w:cs="Arial"/>
          <w:lang w:val="es-ES"/>
        </w:rPr>
      </w:pPr>
    </w:p>
    <w:p w:rsidR="008D6C66" w:rsidRPr="008B498D" w:rsidRDefault="008D6C66" w:rsidP="006E188D">
      <w:pPr>
        <w:widowControl w:val="0"/>
        <w:tabs>
          <w:tab w:val="left" w:pos="810"/>
        </w:tabs>
        <w:autoSpaceDE w:val="0"/>
        <w:autoSpaceDN w:val="0"/>
        <w:adjustRightInd w:val="0"/>
        <w:spacing w:after="0" w:line="240" w:lineRule="auto"/>
        <w:jc w:val="both"/>
        <w:rPr>
          <w:rFonts w:asciiTheme="minorHAnsi" w:hAnsiTheme="minorHAnsi" w:cs="Arial"/>
          <w:lang w:val="es-ES"/>
        </w:rPr>
      </w:pPr>
    </w:p>
    <w:p w:rsidR="006E188D" w:rsidRPr="008B498D" w:rsidRDefault="006E188D" w:rsidP="006E188D">
      <w:pPr>
        <w:tabs>
          <w:tab w:val="left" w:pos="810"/>
        </w:tabs>
        <w:spacing w:after="0" w:line="240" w:lineRule="auto"/>
        <w:ind w:firstLine="720"/>
        <w:jc w:val="both"/>
        <w:rPr>
          <w:rFonts w:asciiTheme="minorHAnsi" w:hAnsiTheme="minorHAnsi"/>
          <w:lang w:val="es-AR"/>
        </w:rPr>
      </w:pPr>
      <w:r w:rsidRPr="008B498D">
        <w:rPr>
          <w:rFonts w:asciiTheme="minorHAnsi" w:hAnsiTheme="minorHAnsi" w:cs="Arial"/>
          <w:lang w:val="es-CO"/>
        </w:rPr>
        <w:t xml:space="preserve">De conformidad con el artículo 35 del Reglamento de la Corte Interamericana, la Comisión adjunta </w:t>
      </w:r>
      <w:r w:rsidRPr="008B498D">
        <w:rPr>
          <w:rFonts w:asciiTheme="minorHAnsi" w:hAnsiTheme="minorHAnsi"/>
          <w:lang w:val="es-CO"/>
        </w:rPr>
        <w:t xml:space="preserve">copia del </w:t>
      </w:r>
      <w:r w:rsidR="008B498D">
        <w:rPr>
          <w:rFonts w:asciiTheme="minorHAnsi" w:hAnsiTheme="minorHAnsi"/>
          <w:lang w:val="es-CO"/>
        </w:rPr>
        <w:t>I</w:t>
      </w:r>
      <w:r w:rsidRPr="008B498D">
        <w:rPr>
          <w:rFonts w:asciiTheme="minorHAnsi" w:hAnsiTheme="minorHAnsi"/>
          <w:lang w:val="es-CO"/>
        </w:rPr>
        <w:t xml:space="preserve">nforme de </w:t>
      </w:r>
      <w:r w:rsidR="008B498D">
        <w:rPr>
          <w:rFonts w:asciiTheme="minorHAnsi" w:hAnsiTheme="minorHAnsi"/>
          <w:lang w:val="es-CO"/>
        </w:rPr>
        <w:t>F</w:t>
      </w:r>
      <w:r w:rsidRPr="008B498D">
        <w:rPr>
          <w:rFonts w:asciiTheme="minorHAnsi" w:hAnsiTheme="minorHAnsi"/>
          <w:lang w:val="es-CO"/>
        </w:rPr>
        <w:t xml:space="preserve">ondo </w:t>
      </w:r>
      <w:r w:rsidR="008B498D">
        <w:rPr>
          <w:rFonts w:asciiTheme="minorHAnsi" w:hAnsiTheme="minorHAnsi"/>
          <w:lang w:val="es-CO"/>
        </w:rPr>
        <w:t xml:space="preserve">Nº </w:t>
      </w:r>
      <w:r w:rsidR="004D2B77" w:rsidRPr="008B498D">
        <w:rPr>
          <w:rFonts w:asciiTheme="minorHAnsi" w:hAnsiTheme="minorHAnsi"/>
          <w:lang w:val="es-CO"/>
        </w:rPr>
        <w:t>53</w:t>
      </w:r>
      <w:r w:rsidRPr="008B498D">
        <w:rPr>
          <w:rFonts w:asciiTheme="minorHAnsi" w:hAnsiTheme="minorHAnsi"/>
          <w:lang w:val="es-CO"/>
        </w:rPr>
        <w:t>/</w:t>
      </w:r>
      <w:r w:rsidR="004D2B77" w:rsidRPr="008B498D">
        <w:rPr>
          <w:rFonts w:asciiTheme="minorHAnsi" w:hAnsiTheme="minorHAnsi"/>
          <w:lang w:val="es-CO"/>
        </w:rPr>
        <w:t>16</w:t>
      </w:r>
      <w:r w:rsidRPr="008B498D">
        <w:rPr>
          <w:rFonts w:asciiTheme="minorHAnsi" w:hAnsiTheme="minorHAnsi"/>
          <w:lang w:val="es-CO"/>
        </w:rPr>
        <w:t xml:space="preserve"> elaborado en observancia del artículo 50 de la Convención, así como copia de la totalidad del expediente ante la Comisión Interamericana (Apéndice I) y los anexos utilizados en la elaboración del </w:t>
      </w:r>
      <w:r w:rsidR="00AA382B">
        <w:rPr>
          <w:rFonts w:asciiTheme="minorHAnsi" w:hAnsiTheme="minorHAnsi"/>
          <w:lang w:val="es-CO"/>
        </w:rPr>
        <w:t>I</w:t>
      </w:r>
      <w:r w:rsidRPr="008B498D">
        <w:rPr>
          <w:rFonts w:asciiTheme="minorHAnsi" w:hAnsiTheme="minorHAnsi"/>
          <w:lang w:val="es-CO"/>
        </w:rPr>
        <w:t xml:space="preserve">nforme </w:t>
      </w:r>
      <w:r w:rsidR="00AA382B">
        <w:rPr>
          <w:rFonts w:asciiTheme="minorHAnsi" w:hAnsiTheme="minorHAnsi"/>
          <w:lang w:val="es-CO"/>
        </w:rPr>
        <w:t xml:space="preserve">Nº </w:t>
      </w:r>
      <w:r w:rsidR="004D2B77" w:rsidRPr="008B498D">
        <w:rPr>
          <w:rFonts w:asciiTheme="minorHAnsi" w:hAnsiTheme="minorHAnsi"/>
          <w:lang w:val="es-CO"/>
        </w:rPr>
        <w:t>53</w:t>
      </w:r>
      <w:r w:rsidRPr="008B498D">
        <w:rPr>
          <w:rFonts w:asciiTheme="minorHAnsi" w:hAnsiTheme="minorHAnsi"/>
          <w:lang w:val="es-CO"/>
        </w:rPr>
        <w:t>/</w:t>
      </w:r>
      <w:r w:rsidR="004D2B77" w:rsidRPr="008B498D">
        <w:rPr>
          <w:rFonts w:asciiTheme="minorHAnsi" w:hAnsiTheme="minorHAnsi"/>
          <w:lang w:val="es-CO"/>
        </w:rPr>
        <w:t>16</w:t>
      </w:r>
      <w:r w:rsidRPr="008B498D">
        <w:rPr>
          <w:rFonts w:asciiTheme="minorHAnsi" w:hAnsiTheme="minorHAnsi"/>
          <w:lang w:val="es-CO"/>
        </w:rPr>
        <w:t xml:space="preserve"> (Anexos). </w:t>
      </w:r>
    </w:p>
    <w:p w:rsidR="006E188D" w:rsidRPr="008B498D" w:rsidRDefault="006E188D" w:rsidP="006E188D">
      <w:pPr>
        <w:widowControl w:val="0"/>
        <w:tabs>
          <w:tab w:val="left" w:pos="810"/>
        </w:tabs>
        <w:autoSpaceDE w:val="0"/>
        <w:autoSpaceDN w:val="0"/>
        <w:adjustRightInd w:val="0"/>
        <w:spacing w:after="0" w:line="240" w:lineRule="auto"/>
        <w:jc w:val="both"/>
        <w:rPr>
          <w:rFonts w:asciiTheme="minorHAnsi" w:hAnsiTheme="minorHAnsi" w:cs="Arial"/>
          <w:lang w:val="es-ES"/>
        </w:rPr>
      </w:pPr>
    </w:p>
    <w:p w:rsidR="006E188D" w:rsidRPr="008B498D" w:rsidRDefault="006E188D" w:rsidP="006E188D">
      <w:pPr>
        <w:tabs>
          <w:tab w:val="left" w:pos="810"/>
        </w:tabs>
        <w:spacing w:after="0" w:line="240" w:lineRule="auto"/>
        <w:jc w:val="both"/>
        <w:rPr>
          <w:rFonts w:asciiTheme="minorHAnsi" w:hAnsiTheme="minorHAnsi"/>
          <w:lang w:val="es-AR"/>
        </w:rPr>
      </w:pPr>
      <w:r w:rsidRPr="008B498D">
        <w:rPr>
          <w:rFonts w:asciiTheme="minorHAnsi" w:hAnsiTheme="minorHAnsi"/>
          <w:lang w:val="es-CO"/>
        </w:rPr>
        <w:tab/>
        <w:t xml:space="preserve">Dicho informe de fondo </w:t>
      </w:r>
      <w:r w:rsidRPr="008B498D">
        <w:rPr>
          <w:rFonts w:asciiTheme="minorHAnsi" w:hAnsiTheme="minorHAnsi"/>
          <w:lang w:val="es-AR"/>
        </w:rPr>
        <w:t xml:space="preserve">fue notificado al Estado el </w:t>
      </w:r>
      <w:r w:rsidR="00A50D49" w:rsidRPr="008B498D">
        <w:rPr>
          <w:rFonts w:asciiTheme="minorHAnsi" w:hAnsiTheme="minorHAnsi"/>
          <w:lang w:val="es-AR"/>
        </w:rPr>
        <w:t>22 de diciembre de 2016</w:t>
      </w:r>
      <w:r w:rsidRPr="008B498D">
        <w:rPr>
          <w:rFonts w:asciiTheme="minorHAnsi" w:hAnsiTheme="minorHAnsi"/>
          <w:lang w:val="es-AR"/>
        </w:rPr>
        <w:t>, otorgándole dos meses para informar sobre el cumplimiento de l</w:t>
      </w:r>
      <w:r w:rsidR="008A376E" w:rsidRPr="008B498D">
        <w:rPr>
          <w:rFonts w:asciiTheme="minorHAnsi" w:hAnsiTheme="minorHAnsi"/>
          <w:lang w:val="es-AR"/>
        </w:rPr>
        <w:t xml:space="preserve">as recomendaciones. </w:t>
      </w:r>
      <w:r w:rsidR="00AA382B">
        <w:rPr>
          <w:rFonts w:asciiTheme="minorHAnsi" w:hAnsiTheme="minorHAnsi"/>
          <w:lang w:val="es-AR"/>
        </w:rPr>
        <w:t xml:space="preserve"> </w:t>
      </w:r>
      <w:r w:rsidR="008A376E" w:rsidRPr="008B498D">
        <w:rPr>
          <w:rFonts w:asciiTheme="minorHAnsi" w:hAnsiTheme="minorHAnsi"/>
          <w:lang w:val="es-AR"/>
        </w:rPr>
        <w:t xml:space="preserve">El Estado argentino solicitó </w:t>
      </w:r>
      <w:r w:rsidR="001B524F" w:rsidRPr="008B498D">
        <w:rPr>
          <w:rFonts w:asciiTheme="minorHAnsi" w:hAnsiTheme="minorHAnsi"/>
          <w:lang w:val="es-AR"/>
        </w:rPr>
        <w:t xml:space="preserve">dos </w:t>
      </w:r>
      <w:r w:rsidR="008A376E" w:rsidRPr="008B498D">
        <w:rPr>
          <w:rFonts w:asciiTheme="minorHAnsi" w:hAnsiTheme="minorHAnsi"/>
          <w:lang w:val="es-AR"/>
        </w:rPr>
        <w:t>prórroga</w:t>
      </w:r>
      <w:r w:rsidR="001B524F" w:rsidRPr="008B498D">
        <w:rPr>
          <w:rFonts w:asciiTheme="minorHAnsi" w:hAnsiTheme="minorHAnsi"/>
          <w:lang w:val="es-AR"/>
        </w:rPr>
        <w:t>s</w:t>
      </w:r>
      <w:r w:rsidR="008A376E" w:rsidRPr="008B498D">
        <w:rPr>
          <w:rFonts w:asciiTheme="minorHAnsi" w:hAnsiTheme="minorHAnsi"/>
          <w:lang w:val="es-AR"/>
        </w:rPr>
        <w:t>, la</w:t>
      </w:r>
      <w:r w:rsidR="00FC08D1" w:rsidRPr="008B498D">
        <w:rPr>
          <w:rFonts w:asciiTheme="minorHAnsi" w:hAnsiTheme="minorHAnsi"/>
          <w:lang w:val="es-AR"/>
        </w:rPr>
        <w:t>s</w:t>
      </w:r>
      <w:r w:rsidR="008A376E" w:rsidRPr="008B498D">
        <w:rPr>
          <w:rFonts w:asciiTheme="minorHAnsi" w:hAnsiTheme="minorHAnsi"/>
          <w:lang w:val="es-AR"/>
        </w:rPr>
        <w:t xml:space="preserve"> cual</w:t>
      </w:r>
      <w:r w:rsidR="00FC08D1" w:rsidRPr="008B498D">
        <w:rPr>
          <w:rFonts w:asciiTheme="minorHAnsi" w:hAnsiTheme="minorHAnsi"/>
          <w:lang w:val="es-AR"/>
        </w:rPr>
        <w:t>es</w:t>
      </w:r>
      <w:r w:rsidR="008A376E" w:rsidRPr="008B498D">
        <w:rPr>
          <w:rFonts w:asciiTheme="minorHAnsi" w:hAnsiTheme="minorHAnsi"/>
          <w:lang w:val="es-AR"/>
        </w:rPr>
        <w:t xml:space="preserve"> fue</w:t>
      </w:r>
      <w:r w:rsidR="00FC08D1" w:rsidRPr="008B498D">
        <w:rPr>
          <w:rFonts w:asciiTheme="minorHAnsi" w:hAnsiTheme="minorHAnsi"/>
          <w:lang w:val="es-AR"/>
        </w:rPr>
        <w:t>ron</w:t>
      </w:r>
      <w:r w:rsidR="008A376E" w:rsidRPr="008B498D">
        <w:rPr>
          <w:rFonts w:asciiTheme="minorHAnsi" w:hAnsiTheme="minorHAnsi"/>
          <w:lang w:val="es-AR"/>
        </w:rPr>
        <w:t xml:space="preserve"> concedida</w:t>
      </w:r>
      <w:r w:rsidR="00FC08D1" w:rsidRPr="008B498D">
        <w:rPr>
          <w:rFonts w:asciiTheme="minorHAnsi" w:hAnsiTheme="minorHAnsi"/>
          <w:lang w:val="es-AR"/>
        </w:rPr>
        <w:t>s</w:t>
      </w:r>
      <w:r w:rsidR="008A376E" w:rsidRPr="008B498D">
        <w:rPr>
          <w:rFonts w:asciiTheme="minorHAnsi" w:hAnsiTheme="minorHAnsi"/>
          <w:lang w:val="es-AR"/>
        </w:rPr>
        <w:t xml:space="preserve"> por la Comisión. </w:t>
      </w:r>
      <w:r w:rsidR="00AA382B">
        <w:rPr>
          <w:rFonts w:asciiTheme="minorHAnsi" w:hAnsiTheme="minorHAnsi"/>
          <w:lang w:val="es-AR"/>
        </w:rPr>
        <w:t xml:space="preserve"> </w:t>
      </w:r>
      <w:r w:rsidR="008A376E" w:rsidRPr="008B498D">
        <w:rPr>
          <w:rFonts w:asciiTheme="minorHAnsi" w:hAnsiTheme="minorHAnsi"/>
          <w:lang w:val="es-AR"/>
        </w:rPr>
        <w:t xml:space="preserve">Durante dicho lapso y en atención a la manifestación efectuada por el Estado sobre su voluntad de dar cumplimiento a las recomendaciones del informe de fondo, la Comisión acompañó una reunión de trabajo entre las partes. </w:t>
      </w:r>
      <w:r w:rsidR="00AA382B">
        <w:rPr>
          <w:rFonts w:asciiTheme="minorHAnsi" w:hAnsiTheme="minorHAnsi"/>
          <w:lang w:val="es-AR"/>
        </w:rPr>
        <w:t xml:space="preserve"> </w:t>
      </w:r>
      <w:r w:rsidR="008A376E" w:rsidRPr="008B498D">
        <w:rPr>
          <w:rFonts w:asciiTheme="minorHAnsi" w:hAnsiTheme="minorHAnsi"/>
          <w:lang w:val="es-AR"/>
        </w:rPr>
        <w:t xml:space="preserve">Sin embargo, en dicha reunión no se llegó a un acuerdo sobre el cumplimiento de las recomendaciones. </w:t>
      </w:r>
      <w:r w:rsidR="00AA382B">
        <w:rPr>
          <w:rFonts w:asciiTheme="minorHAnsi" w:hAnsiTheme="minorHAnsi"/>
          <w:lang w:val="es-AR"/>
        </w:rPr>
        <w:t xml:space="preserve"> </w:t>
      </w:r>
      <w:r w:rsidR="008A376E" w:rsidRPr="008B498D">
        <w:rPr>
          <w:rFonts w:asciiTheme="minorHAnsi" w:hAnsiTheme="minorHAnsi"/>
          <w:lang w:val="es-AR"/>
        </w:rPr>
        <w:t>Con posterioridad a dicha reunión, e</w:t>
      </w:r>
      <w:r w:rsidRPr="008B498D">
        <w:rPr>
          <w:rFonts w:asciiTheme="minorHAnsi" w:hAnsiTheme="minorHAnsi"/>
          <w:lang w:val="es-AR"/>
        </w:rPr>
        <w:t>l Estado se abstuvo de</w:t>
      </w:r>
      <w:r w:rsidR="00FC08D1" w:rsidRPr="008B498D">
        <w:rPr>
          <w:rFonts w:asciiTheme="minorHAnsi" w:hAnsiTheme="minorHAnsi"/>
          <w:lang w:val="es-AR"/>
        </w:rPr>
        <w:t xml:space="preserve"> aportar información o propuesta concreta sobre avances en las reparaciones a favor de la víctima. </w:t>
      </w:r>
      <w:r w:rsidR="00AA382B">
        <w:rPr>
          <w:rFonts w:asciiTheme="minorHAnsi" w:hAnsiTheme="minorHAnsi"/>
          <w:lang w:val="es-AR"/>
        </w:rPr>
        <w:t xml:space="preserve"> </w:t>
      </w:r>
      <w:r w:rsidR="00FC08D1" w:rsidRPr="008B498D">
        <w:rPr>
          <w:rFonts w:asciiTheme="minorHAnsi" w:hAnsiTheme="minorHAnsi"/>
          <w:lang w:val="es-AR"/>
        </w:rPr>
        <w:t xml:space="preserve">Además, el Estado no solicitó </w:t>
      </w:r>
      <w:r w:rsidRPr="008B498D">
        <w:rPr>
          <w:rFonts w:asciiTheme="minorHAnsi" w:hAnsiTheme="minorHAnsi"/>
          <w:lang w:val="es-AR"/>
        </w:rPr>
        <w:t xml:space="preserve">una nueva prórroga para la suspensión del plazo previsto en el artículo 51 de la Convención Americana, de conformidad con los artículos 45 y 46 del Reglamento de la Comisión. </w:t>
      </w:r>
    </w:p>
    <w:p w:rsidR="006E188D" w:rsidRPr="008B498D" w:rsidRDefault="006E188D" w:rsidP="006E188D">
      <w:pPr>
        <w:tabs>
          <w:tab w:val="left" w:pos="810"/>
        </w:tabs>
        <w:spacing w:after="0" w:line="240" w:lineRule="auto"/>
        <w:ind w:firstLine="720"/>
        <w:jc w:val="both"/>
        <w:rPr>
          <w:rFonts w:asciiTheme="minorHAnsi" w:hAnsiTheme="minorHAnsi"/>
          <w:lang w:val="es-AR"/>
        </w:rPr>
      </w:pPr>
    </w:p>
    <w:p w:rsidR="006E188D" w:rsidRPr="008B498D" w:rsidRDefault="006E188D" w:rsidP="006E188D">
      <w:pPr>
        <w:tabs>
          <w:tab w:val="left" w:pos="810"/>
        </w:tabs>
        <w:spacing w:after="0" w:line="240" w:lineRule="auto"/>
        <w:ind w:firstLine="720"/>
        <w:jc w:val="both"/>
        <w:rPr>
          <w:rFonts w:asciiTheme="minorHAnsi" w:hAnsiTheme="minorHAnsi"/>
          <w:lang w:val="es-AR"/>
        </w:rPr>
      </w:pPr>
      <w:r w:rsidRPr="008B498D">
        <w:rPr>
          <w:rFonts w:asciiTheme="minorHAnsi" w:hAnsiTheme="minorHAnsi"/>
          <w:lang w:val="es-AR"/>
        </w:rPr>
        <w:t>En virtud de lo anterior, l</w:t>
      </w:r>
      <w:r w:rsidRPr="008B498D">
        <w:rPr>
          <w:rFonts w:asciiTheme="minorHAnsi" w:hAnsiTheme="minorHAnsi"/>
          <w:lang w:val="es-CO"/>
        </w:rPr>
        <w:t xml:space="preserve">a Comisión Interamericana decidió someter a la jurisdicción de la Corte Interamericana la totalidad de los hechos y violaciones de derechos humanos descritos en el </w:t>
      </w:r>
      <w:r w:rsidR="00AA382B">
        <w:rPr>
          <w:rFonts w:asciiTheme="minorHAnsi" w:hAnsiTheme="minorHAnsi"/>
          <w:lang w:val="es-CO"/>
        </w:rPr>
        <w:t>Informe de F</w:t>
      </w:r>
      <w:r w:rsidRPr="008B498D">
        <w:rPr>
          <w:rFonts w:asciiTheme="minorHAnsi" w:hAnsiTheme="minorHAnsi"/>
          <w:lang w:val="es-CO"/>
        </w:rPr>
        <w:t xml:space="preserve">ondo </w:t>
      </w:r>
      <w:r w:rsidR="00AA382B">
        <w:rPr>
          <w:rFonts w:asciiTheme="minorHAnsi" w:hAnsiTheme="minorHAnsi"/>
          <w:lang w:val="es-CO"/>
        </w:rPr>
        <w:t xml:space="preserve">Nº </w:t>
      </w:r>
      <w:r w:rsidR="00FC08D1" w:rsidRPr="008B498D">
        <w:rPr>
          <w:rFonts w:asciiTheme="minorHAnsi" w:hAnsiTheme="minorHAnsi"/>
          <w:lang w:val="es-CO"/>
        </w:rPr>
        <w:t>53</w:t>
      </w:r>
      <w:r w:rsidRPr="008B498D">
        <w:rPr>
          <w:rFonts w:asciiTheme="minorHAnsi" w:hAnsiTheme="minorHAnsi"/>
          <w:lang w:val="es-CO"/>
        </w:rPr>
        <w:t>/</w:t>
      </w:r>
      <w:r w:rsidR="00FC08D1" w:rsidRPr="008B498D">
        <w:rPr>
          <w:rFonts w:asciiTheme="minorHAnsi" w:hAnsiTheme="minorHAnsi"/>
          <w:lang w:val="es-CO"/>
        </w:rPr>
        <w:t>16</w:t>
      </w:r>
      <w:r w:rsidRPr="008B498D">
        <w:rPr>
          <w:rFonts w:asciiTheme="minorHAnsi" w:hAnsiTheme="minorHAnsi"/>
          <w:lang w:val="es-CO"/>
        </w:rPr>
        <w:t>, ante la necesidad d</w:t>
      </w:r>
      <w:r w:rsidR="008A376E" w:rsidRPr="008B498D">
        <w:rPr>
          <w:rFonts w:asciiTheme="minorHAnsi" w:hAnsiTheme="minorHAnsi"/>
          <w:lang w:val="es-CO"/>
        </w:rPr>
        <w:t>e obtención de justicia para la víctima</w:t>
      </w:r>
      <w:r w:rsidRPr="008B498D">
        <w:rPr>
          <w:rFonts w:asciiTheme="minorHAnsi" w:hAnsiTheme="minorHAnsi"/>
          <w:lang w:val="es-CO"/>
        </w:rPr>
        <w:t xml:space="preserve"> en el caso particular. </w:t>
      </w:r>
    </w:p>
    <w:p w:rsidR="006E188D" w:rsidRPr="008B498D" w:rsidRDefault="006E188D" w:rsidP="006E188D">
      <w:pPr>
        <w:tabs>
          <w:tab w:val="left" w:pos="0"/>
          <w:tab w:val="left" w:pos="810"/>
        </w:tabs>
        <w:spacing w:after="0" w:line="240" w:lineRule="auto"/>
        <w:jc w:val="both"/>
        <w:rPr>
          <w:rFonts w:asciiTheme="minorHAnsi" w:hAnsiTheme="minorHAnsi"/>
          <w:lang w:val="es-CO"/>
        </w:rPr>
      </w:pPr>
    </w:p>
    <w:p w:rsidR="00D30643" w:rsidRPr="008B498D" w:rsidRDefault="006E188D" w:rsidP="00D30643">
      <w:pPr>
        <w:tabs>
          <w:tab w:val="left" w:pos="810"/>
        </w:tabs>
        <w:spacing w:after="0" w:line="240" w:lineRule="auto"/>
        <w:ind w:firstLine="720"/>
        <w:jc w:val="both"/>
        <w:rPr>
          <w:rFonts w:asciiTheme="minorHAnsi" w:eastAsia="Times New Roman" w:hAnsiTheme="minorHAnsi"/>
          <w:lang w:val="es-ES_tradnl"/>
        </w:rPr>
      </w:pPr>
      <w:r w:rsidRPr="008B498D">
        <w:rPr>
          <w:rFonts w:asciiTheme="minorHAnsi" w:hAnsiTheme="minorHAnsi"/>
          <w:lang w:val="es-CO"/>
        </w:rPr>
        <w:t xml:space="preserve">En ese sentido, la Comisión solicita a la Corte que concluya y declare </w:t>
      </w:r>
      <w:r w:rsidR="00D30643" w:rsidRPr="008B498D">
        <w:rPr>
          <w:rFonts w:asciiTheme="minorHAnsi" w:hAnsiTheme="minorHAnsi"/>
          <w:lang w:val="es-CO"/>
        </w:rPr>
        <w:t xml:space="preserve">que </w:t>
      </w:r>
      <w:r w:rsidRPr="008B498D">
        <w:rPr>
          <w:rFonts w:asciiTheme="minorHAnsi" w:hAnsiTheme="minorHAnsi"/>
          <w:lang w:val="es-CO"/>
        </w:rPr>
        <w:t>el</w:t>
      </w:r>
      <w:r w:rsidRPr="008B498D">
        <w:rPr>
          <w:rFonts w:asciiTheme="minorHAnsi" w:hAnsiTheme="minorHAnsi" w:cs="Arial"/>
          <w:lang w:val="es-CL"/>
        </w:rPr>
        <w:t xml:space="preserve"> Estado de </w:t>
      </w:r>
      <w:r w:rsidR="00D30643" w:rsidRPr="008B498D">
        <w:rPr>
          <w:rFonts w:asciiTheme="minorHAnsi" w:hAnsiTheme="minorHAnsi" w:cs="Arial"/>
          <w:lang w:val="es-CL"/>
        </w:rPr>
        <w:t>Argentina</w:t>
      </w:r>
      <w:r w:rsidR="00D30643" w:rsidRPr="008B498D">
        <w:rPr>
          <w:rFonts w:asciiTheme="minorHAnsi" w:eastAsia="Times New Roman" w:hAnsiTheme="minorHAnsi"/>
          <w:lang w:val="es-ES_tradnl"/>
        </w:rPr>
        <w:t xml:space="preserve"> es </w:t>
      </w:r>
      <w:r w:rsidR="00D30643" w:rsidRPr="008B498D">
        <w:rPr>
          <w:rFonts w:asciiTheme="minorHAnsi" w:hAnsiTheme="minorHAnsi" w:cs="Verdana"/>
          <w:lang w:val="es-VE"/>
        </w:rPr>
        <w:t>responsable por la violación de los derechos a la libertad personal y a las garantías judiciales, a la igualdad ante la ley y a la protección judicial consagrados en los artículos 7.1, 7.3, 7.5, 7.6, 8.1, 8.2, 24 y 25.1 de la Convención Americana, en relación con los artículos 1.1 y 2 del mismo instrumento, en perjuicio de Gabriel Oscar Jenkins, respecto de la detención preventiva a la que estuvo sujeto, el marco normativo aplicado, los recursos interpuestos para lograr su liberación y la demanda de daños y perjuicios, en los términos descritos a lo largo del informe</w:t>
      </w:r>
      <w:r w:rsidR="00A071F0" w:rsidRPr="008B498D">
        <w:rPr>
          <w:rFonts w:asciiTheme="minorHAnsi" w:hAnsiTheme="minorHAnsi" w:cs="Verdana"/>
          <w:lang w:val="es-VE"/>
        </w:rPr>
        <w:t xml:space="preserve"> de fondo</w:t>
      </w:r>
      <w:r w:rsidR="00D30643" w:rsidRPr="008B498D">
        <w:rPr>
          <w:rFonts w:asciiTheme="minorHAnsi" w:hAnsiTheme="minorHAnsi" w:cs="Verdana"/>
          <w:lang w:val="es-VE"/>
        </w:rPr>
        <w:t>.</w:t>
      </w:r>
    </w:p>
    <w:p w:rsidR="006E188D" w:rsidRPr="008B498D" w:rsidRDefault="006E188D" w:rsidP="006E188D">
      <w:pPr>
        <w:tabs>
          <w:tab w:val="left" w:pos="810"/>
        </w:tabs>
        <w:autoSpaceDE w:val="0"/>
        <w:autoSpaceDN w:val="0"/>
        <w:adjustRightInd w:val="0"/>
        <w:spacing w:after="0" w:line="240" w:lineRule="auto"/>
        <w:jc w:val="both"/>
        <w:rPr>
          <w:rFonts w:asciiTheme="minorHAnsi" w:hAnsiTheme="minorHAnsi"/>
          <w:lang w:val="es-CO"/>
        </w:rPr>
      </w:pPr>
    </w:p>
    <w:p w:rsidR="006E188D" w:rsidRPr="008B498D" w:rsidRDefault="006E188D" w:rsidP="006E188D">
      <w:pPr>
        <w:tabs>
          <w:tab w:val="left" w:pos="810"/>
        </w:tabs>
        <w:autoSpaceDE w:val="0"/>
        <w:autoSpaceDN w:val="0"/>
        <w:adjustRightInd w:val="0"/>
        <w:spacing w:after="0" w:line="240" w:lineRule="auto"/>
        <w:ind w:firstLine="720"/>
        <w:jc w:val="both"/>
        <w:rPr>
          <w:rFonts w:asciiTheme="minorHAnsi" w:hAnsiTheme="minorHAnsi"/>
          <w:lang w:val="es-CO"/>
        </w:rPr>
      </w:pPr>
      <w:r w:rsidRPr="008B498D">
        <w:rPr>
          <w:rFonts w:asciiTheme="minorHAnsi" w:hAnsiTheme="minorHAnsi"/>
          <w:lang w:val="es-CO"/>
        </w:rPr>
        <w:t>La Comisión solicita a la Corte Interamericana que establezca las siguientes medidas de reparación:</w:t>
      </w:r>
    </w:p>
    <w:p w:rsidR="006E188D" w:rsidRPr="008B498D" w:rsidRDefault="006E188D" w:rsidP="006E188D">
      <w:pPr>
        <w:tabs>
          <w:tab w:val="left" w:pos="720"/>
          <w:tab w:val="left" w:pos="810"/>
        </w:tabs>
        <w:autoSpaceDE w:val="0"/>
        <w:autoSpaceDN w:val="0"/>
        <w:adjustRightInd w:val="0"/>
        <w:spacing w:after="0" w:line="240" w:lineRule="auto"/>
        <w:ind w:right="720"/>
        <w:jc w:val="both"/>
        <w:rPr>
          <w:rFonts w:asciiTheme="minorHAnsi" w:hAnsiTheme="minorHAnsi"/>
          <w:lang w:val="es-CO"/>
        </w:rPr>
      </w:pPr>
    </w:p>
    <w:p w:rsidR="00243DB7" w:rsidRPr="008B498D" w:rsidRDefault="00243DB7" w:rsidP="00243DB7">
      <w:pPr>
        <w:numPr>
          <w:ilvl w:val="0"/>
          <w:numId w:val="3"/>
        </w:numPr>
        <w:spacing w:after="0" w:line="240" w:lineRule="auto"/>
        <w:jc w:val="both"/>
        <w:rPr>
          <w:rFonts w:asciiTheme="minorHAnsi" w:hAnsiTheme="minorHAnsi"/>
          <w:lang w:val="es-ES"/>
        </w:rPr>
      </w:pPr>
      <w:r w:rsidRPr="008B498D">
        <w:rPr>
          <w:rFonts w:asciiTheme="minorHAnsi" w:hAnsiTheme="minorHAnsi"/>
          <w:lang w:val="es-ES"/>
        </w:rPr>
        <w:t>Reparar integralmente a la víctima del presente caso</w:t>
      </w:r>
      <w:r w:rsidR="00AA382B">
        <w:rPr>
          <w:rFonts w:asciiTheme="minorHAnsi" w:hAnsiTheme="minorHAnsi"/>
          <w:lang w:val="es-ES"/>
        </w:rPr>
        <w:t>,</w:t>
      </w:r>
      <w:r w:rsidRPr="008B498D">
        <w:rPr>
          <w:rFonts w:asciiTheme="minorHAnsi" w:hAnsiTheme="minorHAnsi"/>
          <w:lang w:val="es-ES"/>
        </w:rPr>
        <w:t xml:space="preserve"> mediante medidas de compensación pecuniaria y de satisfacción que incluyan el daño material e inmaterial ocasionado a la víctima como consecuencia de las violaciones declaradas en el informe. </w:t>
      </w:r>
    </w:p>
    <w:p w:rsidR="00243DB7" w:rsidRPr="008B498D" w:rsidRDefault="00243DB7" w:rsidP="00243DB7">
      <w:pPr>
        <w:spacing w:after="0" w:line="240" w:lineRule="auto"/>
        <w:ind w:left="720"/>
        <w:jc w:val="both"/>
        <w:rPr>
          <w:rFonts w:asciiTheme="minorHAnsi" w:hAnsiTheme="minorHAnsi"/>
          <w:lang w:val="es-ES"/>
        </w:rPr>
      </w:pPr>
    </w:p>
    <w:p w:rsidR="00243DB7" w:rsidRPr="008B498D" w:rsidRDefault="00243DB7" w:rsidP="00243DB7">
      <w:pPr>
        <w:numPr>
          <w:ilvl w:val="0"/>
          <w:numId w:val="3"/>
        </w:numPr>
        <w:spacing w:after="0" w:line="240" w:lineRule="auto"/>
        <w:jc w:val="both"/>
        <w:rPr>
          <w:rFonts w:asciiTheme="minorHAnsi" w:eastAsia="Times New Roman" w:hAnsiTheme="minorHAnsi"/>
          <w:lang w:val="es-ES" w:eastAsia="es-ES"/>
        </w:rPr>
      </w:pPr>
      <w:r w:rsidRPr="008B498D">
        <w:rPr>
          <w:rFonts w:asciiTheme="minorHAnsi" w:hAnsiTheme="minorHAnsi" w:cs="Times-Roman"/>
          <w:lang w:val="es-ES" w:bidi="en-US"/>
        </w:rPr>
        <w:t xml:space="preserve">Brindar de forma gratuita, inmediata y por el tiempo que sea necesario, el tratamiento de salud física o mental a la víctima del presente caso siempre que así lo solicite y de manera concertada con él. </w:t>
      </w:r>
    </w:p>
    <w:p w:rsidR="00243DB7" w:rsidRPr="008B498D" w:rsidRDefault="00243DB7" w:rsidP="00243DB7">
      <w:pPr>
        <w:spacing w:after="0" w:line="240" w:lineRule="auto"/>
        <w:jc w:val="both"/>
        <w:rPr>
          <w:rFonts w:asciiTheme="minorHAnsi" w:eastAsia="Times New Roman" w:hAnsiTheme="minorHAnsi"/>
          <w:lang w:val="es-ES" w:eastAsia="es-ES"/>
        </w:rPr>
      </w:pPr>
    </w:p>
    <w:p w:rsidR="00243DB7" w:rsidRPr="008B498D" w:rsidRDefault="00243DB7" w:rsidP="00243DB7">
      <w:pPr>
        <w:numPr>
          <w:ilvl w:val="0"/>
          <w:numId w:val="3"/>
        </w:numPr>
        <w:spacing w:after="0" w:line="240" w:lineRule="auto"/>
        <w:jc w:val="both"/>
        <w:rPr>
          <w:rFonts w:asciiTheme="minorHAnsi" w:hAnsiTheme="minorHAnsi"/>
          <w:lang w:val="es-ES"/>
        </w:rPr>
      </w:pPr>
      <w:r w:rsidRPr="008B498D">
        <w:rPr>
          <w:rFonts w:asciiTheme="minorHAnsi" w:hAnsiTheme="minorHAnsi"/>
          <w:lang w:val="es-ES"/>
        </w:rPr>
        <w:t xml:space="preserve">Disponer las medidas necesarias para adecuar su legislación interna conforme a los estándares descritos en el informe en materia de detención preventiva. </w:t>
      </w:r>
      <w:r w:rsidR="00AA382B">
        <w:rPr>
          <w:rFonts w:asciiTheme="minorHAnsi" w:hAnsiTheme="minorHAnsi"/>
          <w:lang w:val="es-ES"/>
        </w:rPr>
        <w:t xml:space="preserve"> </w:t>
      </w:r>
      <w:r w:rsidRPr="008B498D">
        <w:rPr>
          <w:rFonts w:asciiTheme="minorHAnsi" w:hAnsiTheme="minorHAnsi"/>
          <w:lang w:val="es-ES"/>
        </w:rPr>
        <w:t>En particular, el Estado debe asegurar que: i) la detención preventiva se aplique de manera excepcional; ii) la detención preventiva se encuentre limitada por los principios de legalidad, presunción de inocencia, necesidad y proporcionalidad; y iii) no exista diferencia de trato con relación a los dos puntos anteriores con base en la naturaleza de</w:t>
      </w:r>
      <w:r w:rsidR="00874ADD" w:rsidRPr="008B498D">
        <w:rPr>
          <w:rFonts w:asciiTheme="minorHAnsi" w:hAnsiTheme="minorHAnsi"/>
          <w:lang w:val="es-ES"/>
        </w:rPr>
        <w:t>l delito.</w:t>
      </w:r>
      <w:r w:rsidRPr="008B498D">
        <w:rPr>
          <w:rFonts w:asciiTheme="minorHAnsi" w:hAnsiTheme="minorHAnsi"/>
          <w:lang w:val="es-ES"/>
        </w:rPr>
        <w:t xml:space="preserve"> En ese sentido, el Estado debe dejar sin efecto la prohibición de excarcelación contemplada en el actual artículo 11 de la Ley 24.390. </w:t>
      </w:r>
    </w:p>
    <w:p w:rsidR="006E188D" w:rsidRDefault="006E188D" w:rsidP="006E188D">
      <w:pPr>
        <w:tabs>
          <w:tab w:val="left" w:pos="720"/>
          <w:tab w:val="left" w:pos="810"/>
        </w:tabs>
        <w:autoSpaceDE w:val="0"/>
        <w:autoSpaceDN w:val="0"/>
        <w:adjustRightInd w:val="0"/>
        <w:spacing w:after="0" w:line="240" w:lineRule="auto"/>
        <w:ind w:right="720"/>
        <w:jc w:val="both"/>
        <w:rPr>
          <w:rFonts w:asciiTheme="minorHAnsi" w:hAnsiTheme="minorHAnsi"/>
          <w:lang w:val="es-CO"/>
        </w:rPr>
      </w:pPr>
    </w:p>
    <w:p w:rsidR="008D6C66" w:rsidRPr="008B498D" w:rsidRDefault="008D6C66" w:rsidP="006E188D">
      <w:pPr>
        <w:tabs>
          <w:tab w:val="left" w:pos="720"/>
          <w:tab w:val="left" w:pos="810"/>
        </w:tabs>
        <w:autoSpaceDE w:val="0"/>
        <w:autoSpaceDN w:val="0"/>
        <w:adjustRightInd w:val="0"/>
        <w:spacing w:after="0" w:line="240" w:lineRule="auto"/>
        <w:ind w:right="720"/>
        <w:jc w:val="both"/>
        <w:rPr>
          <w:rFonts w:asciiTheme="minorHAnsi" w:hAnsiTheme="minorHAnsi"/>
          <w:lang w:val="es-CO"/>
        </w:rPr>
      </w:pPr>
    </w:p>
    <w:p w:rsidR="00850271" w:rsidRPr="008B498D" w:rsidRDefault="006E188D" w:rsidP="00850271">
      <w:pPr>
        <w:spacing w:after="0" w:line="240" w:lineRule="auto"/>
        <w:ind w:firstLine="720"/>
        <w:jc w:val="both"/>
        <w:rPr>
          <w:rFonts w:asciiTheme="minorHAnsi" w:eastAsia="Times New Roman" w:hAnsiTheme="minorHAnsi" w:cs="Cambria"/>
          <w:lang w:val="es-CO"/>
        </w:rPr>
      </w:pPr>
      <w:r w:rsidRPr="008B498D">
        <w:rPr>
          <w:rFonts w:asciiTheme="minorHAnsi" w:hAnsiTheme="minorHAnsi" w:cs="Arial"/>
          <w:color w:val="000000"/>
          <w:lang w:val="es-CL"/>
        </w:rPr>
        <w:t xml:space="preserve">Además de la necesidad de obtención de justicia, la Comisión destaca que el presente caso involucra cuestiones de orden público interamericano. </w:t>
      </w:r>
      <w:r w:rsidR="00AA382B">
        <w:rPr>
          <w:rFonts w:asciiTheme="minorHAnsi" w:hAnsiTheme="minorHAnsi" w:cs="Arial"/>
          <w:color w:val="000000"/>
          <w:lang w:val="es-CL"/>
        </w:rPr>
        <w:t xml:space="preserve"> </w:t>
      </w:r>
      <w:r w:rsidR="00850271" w:rsidRPr="008B498D">
        <w:rPr>
          <w:rFonts w:asciiTheme="minorHAnsi" w:eastAsia="Times New Roman" w:hAnsiTheme="minorHAnsi" w:cs="Cambria"/>
          <w:lang w:val="es-CO"/>
        </w:rPr>
        <w:t>En particul</w:t>
      </w:r>
      <w:r w:rsidR="00AA382B">
        <w:rPr>
          <w:rFonts w:asciiTheme="minorHAnsi" w:eastAsia="Times New Roman" w:hAnsiTheme="minorHAnsi" w:cs="Cambria"/>
          <w:lang w:val="es-CO"/>
        </w:rPr>
        <w:t>ar, la CIDH</w:t>
      </w:r>
      <w:r w:rsidR="00850271" w:rsidRPr="008B498D">
        <w:rPr>
          <w:rFonts w:asciiTheme="minorHAnsi" w:eastAsia="Times New Roman" w:hAnsiTheme="minorHAnsi" w:cs="Cambria"/>
          <w:lang w:val="es-CO"/>
        </w:rPr>
        <w:t xml:space="preserve"> destaca que el presente caso le permitirá a la Honorable Corte profundizar su jurisprudencia sobre la figura de detención preventiva, en particular, respecto de la necesidad de que la misma obedezca exclusivamente a fines procesales, de la obligación de efectuar revisiones periódicas y de la obligación de proveer recursos judiciales efectivos frente a detenciones preventivas impuestas o mantenidas de manera arbitraria. Además, el caso permitirá un análisis de la convencionalidad de una norma que prohíbe, </w:t>
      </w:r>
      <w:r w:rsidR="00850271" w:rsidRPr="008B498D">
        <w:rPr>
          <w:rFonts w:asciiTheme="minorHAnsi" w:eastAsia="Times New Roman" w:hAnsiTheme="minorHAnsi" w:cs="Cambria"/>
          <w:i/>
          <w:lang w:val="es-CO"/>
        </w:rPr>
        <w:t>a priori</w:t>
      </w:r>
      <w:r w:rsidR="00850271" w:rsidRPr="008B498D">
        <w:rPr>
          <w:rFonts w:asciiTheme="minorHAnsi" w:eastAsia="Times New Roman" w:hAnsiTheme="minorHAnsi" w:cs="Cambria"/>
          <w:lang w:val="es-CO"/>
        </w:rPr>
        <w:t xml:space="preserve">, la excarcelación de personas procesadas por ciertos delitos, a la luz no sólo del derecho a la libertad personal, sino a la luz de principio de igualdad ante la ley. </w:t>
      </w:r>
    </w:p>
    <w:p w:rsidR="00850271" w:rsidRPr="008B498D" w:rsidRDefault="00850271" w:rsidP="00850271">
      <w:pPr>
        <w:spacing w:after="0" w:line="240" w:lineRule="auto"/>
        <w:jc w:val="both"/>
        <w:rPr>
          <w:rFonts w:asciiTheme="minorHAnsi" w:hAnsiTheme="minorHAnsi" w:cs="Arial"/>
          <w:lang w:val="es-CL"/>
        </w:rPr>
      </w:pPr>
    </w:p>
    <w:p w:rsidR="006E188D" w:rsidRPr="008B498D" w:rsidRDefault="006E188D" w:rsidP="006E188D">
      <w:pPr>
        <w:tabs>
          <w:tab w:val="left" w:pos="810"/>
        </w:tabs>
        <w:autoSpaceDE w:val="0"/>
        <w:autoSpaceDN w:val="0"/>
        <w:adjustRightInd w:val="0"/>
        <w:spacing w:after="0" w:line="240" w:lineRule="auto"/>
        <w:ind w:firstLine="720"/>
        <w:jc w:val="both"/>
        <w:rPr>
          <w:rFonts w:asciiTheme="minorHAnsi" w:hAnsiTheme="minorHAnsi" w:cs="Arial"/>
          <w:lang w:val="es-CL"/>
        </w:rPr>
      </w:pPr>
      <w:r w:rsidRPr="008B498D">
        <w:rPr>
          <w:rFonts w:asciiTheme="minorHAnsi" w:hAnsiTheme="minorHAnsi" w:cs="Arial"/>
          <w:lang w:val="es-CL"/>
        </w:rPr>
        <w:t>En virtud de que estas cuestiones afectan de manera relevante el orden público interamericano, de conformidad con el artículo 35.1 f) del Reglamento de la Corte Interamericana, la Comisión se permite ofrecer la siguiente declaración pericial:</w:t>
      </w:r>
    </w:p>
    <w:p w:rsidR="006E188D" w:rsidRPr="008B498D" w:rsidRDefault="006E188D" w:rsidP="006E188D">
      <w:pPr>
        <w:tabs>
          <w:tab w:val="left" w:pos="810"/>
        </w:tabs>
        <w:autoSpaceDE w:val="0"/>
        <w:autoSpaceDN w:val="0"/>
        <w:adjustRightInd w:val="0"/>
        <w:spacing w:after="0" w:line="240" w:lineRule="auto"/>
        <w:ind w:right="480"/>
        <w:jc w:val="both"/>
        <w:rPr>
          <w:rFonts w:asciiTheme="minorHAnsi" w:hAnsiTheme="minorHAnsi" w:cs="Arial"/>
          <w:lang w:val="es-CL"/>
        </w:rPr>
      </w:pPr>
    </w:p>
    <w:p w:rsidR="006E188D" w:rsidRPr="008B498D" w:rsidRDefault="006E188D" w:rsidP="006E188D">
      <w:pPr>
        <w:tabs>
          <w:tab w:val="left" w:pos="810"/>
          <w:tab w:val="left" w:pos="9356"/>
        </w:tabs>
        <w:spacing w:after="0" w:line="240" w:lineRule="auto"/>
        <w:ind w:right="4" w:firstLine="720"/>
        <w:jc w:val="both"/>
        <w:rPr>
          <w:rFonts w:asciiTheme="minorHAnsi" w:hAnsiTheme="minorHAnsi"/>
          <w:iCs/>
          <w:lang w:val="es-ES_tradnl"/>
        </w:rPr>
      </w:pPr>
      <w:r w:rsidRPr="008B498D">
        <w:rPr>
          <w:rFonts w:asciiTheme="minorHAnsi" w:hAnsiTheme="minorHAnsi" w:cs="Courier New"/>
          <w:b/>
          <w:lang w:val="es-ES_tradnl"/>
        </w:rPr>
        <w:t>Perito/a cuyo nombre será informado a la brevedad</w:t>
      </w:r>
      <w:r w:rsidRPr="008B498D">
        <w:rPr>
          <w:rFonts w:asciiTheme="minorHAnsi" w:hAnsiTheme="minorHAnsi"/>
          <w:iCs/>
          <w:lang w:val="es-ES_tradnl"/>
        </w:rPr>
        <w:t>, quien declarará sobre</w:t>
      </w:r>
      <w:r w:rsidR="00850271" w:rsidRPr="008B498D">
        <w:rPr>
          <w:rFonts w:asciiTheme="minorHAnsi" w:hAnsiTheme="minorHAnsi"/>
          <w:iCs/>
          <w:lang w:val="es-ES_tradnl"/>
        </w:rPr>
        <w:t xml:space="preserve"> </w:t>
      </w:r>
      <w:r w:rsidR="003223B2" w:rsidRPr="008B498D">
        <w:rPr>
          <w:rFonts w:asciiTheme="minorHAnsi" w:hAnsiTheme="minorHAnsi"/>
          <w:iCs/>
          <w:lang w:val="es-ES_tradnl"/>
        </w:rPr>
        <w:t xml:space="preserve">los estándares internacionales </w:t>
      </w:r>
      <w:r w:rsidR="00D367BC" w:rsidRPr="008B498D">
        <w:rPr>
          <w:rFonts w:asciiTheme="minorHAnsi" w:hAnsiTheme="minorHAnsi"/>
          <w:iCs/>
          <w:lang w:val="es-ES_tradnl"/>
        </w:rPr>
        <w:t>relevantes sobre la excepcionalidad y fines que puede perseguir una detención preventiva, así como sobre la manera en que debe realizarse la revisión periódica de la misma a fin de que pueda considerarse efectiva.</w:t>
      </w:r>
      <w:r w:rsidR="00AA382B">
        <w:rPr>
          <w:rFonts w:asciiTheme="minorHAnsi" w:hAnsiTheme="minorHAnsi"/>
          <w:iCs/>
          <w:lang w:val="es-ES_tradnl"/>
        </w:rPr>
        <w:t xml:space="preserve"> </w:t>
      </w:r>
      <w:r w:rsidR="00D367BC" w:rsidRPr="008B498D">
        <w:rPr>
          <w:rFonts w:asciiTheme="minorHAnsi" w:hAnsiTheme="minorHAnsi"/>
          <w:iCs/>
          <w:lang w:val="es-ES_tradnl"/>
        </w:rPr>
        <w:t xml:space="preserve"> Asimismo, el/la perito/a se pronunciará sobre la conformidad o no con dichos estándares de normas que, con base en la naturaleza del delito, excluyen de la posibilidad de excarcelación a las personas procesadas por dicho delito.</w:t>
      </w:r>
      <w:r w:rsidR="008D6C66">
        <w:rPr>
          <w:rFonts w:asciiTheme="minorHAnsi" w:hAnsiTheme="minorHAnsi"/>
          <w:iCs/>
          <w:lang w:val="es-ES_tradnl"/>
        </w:rPr>
        <w:t xml:space="preserve"> </w:t>
      </w:r>
      <w:r w:rsidR="00D367BC" w:rsidRPr="008B498D">
        <w:rPr>
          <w:rFonts w:asciiTheme="minorHAnsi" w:hAnsiTheme="minorHAnsi"/>
          <w:iCs/>
          <w:lang w:val="es-ES_tradnl"/>
        </w:rPr>
        <w:t xml:space="preserve"> El/la perito/a analizará las presunciones sobre la existencia de fines procesales que explícita o implícitamente se relacionan con este tipo de normas y la manera en que las mismas impiden una evaluación individualizada de la situación. </w:t>
      </w:r>
      <w:r w:rsidR="008D6C66">
        <w:rPr>
          <w:rFonts w:asciiTheme="minorHAnsi" w:hAnsiTheme="minorHAnsi"/>
          <w:iCs/>
          <w:lang w:val="es-ES_tradnl"/>
        </w:rPr>
        <w:t xml:space="preserve"> </w:t>
      </w:r>
      <w:r w:rsidR="00D367BC" w:rsidRPr="008B498D">
        <w:rPr>
          <w:rFonts w:asciiTheme="minorHAnsi" w:hAnsiTheme="minorHAnsi"/>
          <w:iCs/>
          <w:lang w:val="es-ES_tradnl"/>
        </w:rPr>
        <w:t>Finalmente, el/la perito/a se referirá a las características que debe tener un recurso para qu</w:t>
      </w:r>
      <w:r w:rsidR="00B71C92" w:rsidRPr="008B498D">
        <w:rPr>
          <w:rFonts w:asciiTheme="minorHAnsi" w:hAnsiTheme="minorHAnsi"/>
          <w:iCs/>
          <w:lang w:val="es-ES_tradnl"/>
        </w:rPr>
        <w:t xml:space="preserve">e sea considerado efectivo </w:t>
      </w:r>
      <w:r w:rsidR="00B92B86" w:rsidRPr="008B498D">
        <w:rPr>
          <w:rFonts w:asciiTheme="minorHAnsi" w:hAnsiTheme="minorHAnsi"/>
          <w:iCs/>
          <w:lang w:val="es-ES_tradnl"/>
        </w:rPr>
        <w:t xml:space="preserve">para la revisión judicial de la </w:t>
      </w:r>
      <w:r w:rsidR="00B71C92" w:rsidRPr="008B498D">
        <w:rPr>
          <w:rFonts w:asciiTheme="minorHAnsi" w:hAnsiTheme="minorHAnsi"/>
          <w:iCs/>
          <w:lang w:val="es-ES_tradnl"/>
        </w:rPr>
        <w:t>detención preventiva.</w:t>
      </w:r>
    </w:p>
    <w:p w:rsidR="006E188D" w:rsidRPr="008B498D" w:rsidRDefault="006E188D" w:rsidP="006E188D">
      <w:pPr>
        <w:tabs>
          <w:tab w:val="left" w:pos="810"/>
        </w:tabs>
        <w:spacing w:after="0" w:line="240" w:lineRule="auto"/>
        <w:jc w:val="both"/>
        <w:rPr>
          <w:rFonts w:asciiTheme="minorHAnsi" w:hAnsiTheme="minorHAnsi"/>
          <w:iCs/>
          <w:lang w:val="es-ES_tradnl"/>
        </w:rPr>
      </w:pPr>
    </w:p>
    <w:p w:rsidR="006E188D" w:rsidRPr="008B498D" w:rsidRDefault="006E188D" w:rsidP="006E188D">
      <w:pPr>
        <w:tabs>
          <w:tab w:val="left" w:pos="0"/>
          <w:tab w:val="left" w:pos="810"/>
        </w:tabs>
        <w:spacing w:after="0" w:line="240" w:lineRule="auto"/>
        <w:ind w:firstLine="720"/>
        <w:jc w:val="both"/>
        <w:rPr>
          <w:rFonts w:asciiTheme="minorHAnsi" w:hAnsiTheme="minorHAnsi"/>
          <w:lang w:val="es-CO"/>
        </w:rPr>
      </w:pPr>
      <w:r w:rsidRPr="008B498D">
        <w:rPr>
          <w:rFonts w:asciiTheme="minorHAnsi" w:hAnsiTheme="minorHAnsi"/>
          <w:lang w:val="es-AR"/>
        </w:rPr>
        <w:t xml:space="preserve">El CV del/la perito/a ofrecido/a </w:t>
      </w:r>
      <w:r w:rsidRPr="008B498D">
        <w:rPr>
          <w:rFonts w:asciiTheme="minorHAnsi" w:hAnsiTheme="minorHAnsi"/>
          <w:lang w:val="es-CO"/>
        </w:rPr>
        <w:t xml:space="preserve">será incluido en los anexos al </w:t>
      </w:r>
      <w:r w:rsidR="008D6C66">
        <w:rPr>
          <w:rFonts w:asciiTheme="minorHAnsi" w:hAnsiTheme="minorHAnsi"/>
          <w:lang w:val="es-CO"/>
        </w:rPr>
        <w:t>Informe de F</w:t>
      </w:r>
      <w:r w:rsidRPr="008B498D">
        <w:rPr>
          <w:rFonts w:asciiTheme="minorHAnsi" w:hAnsiTheme="minorHAnsi"/>
          <w:lang w:val="es-CO"/>
        </w:rPr>
        <w:t xml:space="preserve">ondo </w:t>
      </w:r>
      <w:r w:rsidR="008D6C66">
        <w:rPr>
          <w:rFonts w:asciiTheme="minorHAnsi" w:hAnsiTheme="minorHAnsi"/>
          <w:lang w:val="es-CO"/>
        </w:rPr>
        <w:t xml:space="preserve">Nº </w:t>
      </w:r>
      <w:r w:rsidR="00047315" w:rsidRPr="008B498D">
        <w:rPr>
          <w:rFonts w:asciiTheme="minorHAnsi" w:hAnsiTheme="minorHAnsi"/>
          <w:lang w:val="es-CO"/>
        </w:rPr>
        <w:t>53</w:t>
      </w:r>
      <w:r w:rsidRPr="008B498D">
        <w:rPr>
          <w:rFonts w:asciiTheme="minorHAnsi" w:hAnsiTheme="minorHAnsi"/>
          <w:lang w:val="es-CO"/>
        </w:rPr>
        <w:t>/</w:t>
      </w:r>
      <w:r w:rsidR="00047315" w:rsidRPr="008B498D">
        <w:rPr>
          <w:rFonts w:asciiTheme="minorHAnsi" w:hAnsiTheme="minorHAnsi"/>
          <w:lang w:val="es-CO"/>
        </w:rPr>
        <w:t>16</w:t>
      </w:r>
      <w:r w:rsidRPr="008B498D">
        <w:rPr>
          <w:rFonts w:asciiTheme="minorHAnsi" w:hAnsiTheme="minorHAnsi"/>
          <w:lang w:val="es-CO"/>
        </w:rPr>
        <w:t xml:space="preserve">. </w:t>
      </w:r>
    </w:p>
    <w:p w:rsidR="006E188D" w:rsidRPr="008B498D" w:rsidRDefault="006E188D" w:rsidP="006E188D">
      <w:pPr>
        <w:tabs>
          <w:tab w:val="left" w:pos="0"/>
          <w:tab w:val="left" w:pos="810"/>
        </w:tabs>
        <w:spacing w:after="0" w:line="240" w:lineRule="auto"/>
        <w:jc w:val="both"/>
        <w:rPr>
          <w:rFonts w:asciiTheme="minorHAnsi" w:hAnsiTheme="minorHAnsi"/>
          <w:lang w:val="es-CO"/>
        </w:rPr>
      </w:pPr>
    </w:p>
    <w:p w:rsidR="006E188D" w:rsidRPr="008B498D" w:rsidRDefault="006E188D" w:rsidP="006E188D">
      <w:pPr>
        <w:tabs>
          <w:tab w:val="left" w:pos="0"/>
          <w:tab w:val="left" w:pos="810"/>
        </w:tabs>
        <w:spacing w:after="0" w:line="240" w:lineRule="auto"/>
        <w:ind w:firstLine="720"/>
        <w:jc w:val="both"/>
        <w:rPr>
          <w:rFonts w:asciiTheme="minorHAnsi" w:hAnsiTheme="minorHAnsi"/>
          <w:lang w:val="es-CO"/>
        </w:rPr>
      </w:pPr>
      <w:r w:rsidRPr="008B498D">
        <w:rPr>
          <w:rFonts w:asciiTheme="minorHAnsi" w:hAnsiTheme="minorHAnsi"/>
          <w:lang w:val="es-ES_tradnl"/>
        </w:rPr>
        <w:t xml:space="preserve">La Comisión pone en conocimiento de la Corte la siguiente información sobre quienes actuaron como peticionarios a lo largo del trámite del caso: </w:t>
      </w:r>
    </w:p>
    <w:p w:rsidR="006E188D" w:rsidRPr="008B498D" w:rsidRDefault="006E188D" w:rsidP="006E188D">
      <w:pPr>
        <w:tabs>
          <w:tab w:val="left" w:pos="810"/>
        </w:tabs>
        <w:autoSpaceDE w:val="0"/>
        <w:autoSpaceDN w:val="0"/>
        <w:adjustRightInd w:val="0"/>
        <w:spacing w:after="0" w:line="240" w:lineRule="auto"/>
        <w:jc w:val="center"/>
        <w:rPr>
          <w:rFonts w:asciiTheme="minorHAnsi" w:hAnsiTheme="minorHAnsi"/>
          <w:lang w:val="es-ES"/>
        </w:rPr>
      </w:pPr>
    </w:p>
    <w:p w:rsidR="006E188D" w:rsidRDefault="008D6C66" w:rsidP="006E188D">
      <w:pPr>
        <w:tabs>
          <w:tab w:val="left" w:pos="810"/>
        </w:tabs>
        <w:autoSpaceDE w:val="0"/>
        <w:autoSpaceDN w:val="0"/>
        <w:adjustRightInd w:val="0"/>
        <w:spacing w:after="0" w:line="240" w:lineRule="auto"/>
        <w:jc w:val="center"/>
        <w:rPr>
          <w:rFonts w:asciiTheme="minorHAnsi" w:hAnsiTheme="minorHAnsi"/>
          <w:lang w:val="es-ES"/>
        </w:rPr>
      </w:pPr>
      <w:r>
        <w:rPr>
          <w:rFonts w:asciiTheme="minorHAnsi" w:hAnsiTheme="minorHAnsi"/>
          <w:lang w:val="es-ES"/>
        </w:rPr>
        <w:t>Gabriel Oscar Jenkins</w:t>
      </w:r>
    </w:p>
    <w:p w:rsidR="008D6C66" w:rsidRDefault="00E95FF8" w:rsidP="006E188D">
      <w:pPr>
        <w:tabs>
          <w:tab w:val="left" w:pos="810"/>
        </w:tabs>
        <w:autoSpaceDE w:val="0"/>
        <w:autoSpaceDN w:val="0"/>
        <w:adjustRightInd w:val="0"/>
        <w:spacing w:after="0" w:line="240" w:lineRule="auto"/>
        <w:jc w:val="center"/>
        <w:rPr>
          <w:rFonts w:asciiTheme="minorHAnsi" w:hAnsiTheme="minorHAnsi"/>
          <w:lang w:val="es-ES"/>
        </w:rPr>
      </w:pPr>
      <w:proofErr w:type="spellStart"/>
      <w:proofErr w:type="gramStart"/>
      <w:r w:rsidRPr="00E95FF8">
        <w:rPr>
          <w:rFonts w:asciiTheme="minorHAnsi" w:hAnsiTheme="minorHAnsi"/>
          <w:highlight w:val="black"/>
          <w:lang w:val="es-ES"/>
        </w:rPr>
        <w:t>xxxxxxxxxxxxxxxxxxxxxxxxxxx</w:t>
      </w:r>
      <w:proofErr w:type="spellEnd"/>
      <w:proofErr w:type="gramEnd"/>
    </w:p>
    <w:p w:rsidR="008D6C66" w:rsidRPr="008D6C66" w:rsidRDefault="008D6C66" w:rsidP="006E188D">
      <w:pPr>
        <w:tabs>
          <w:tab w:val="left" w:pos="810"/>
        </w:tabs>
        <w:autoSpaceDE w:val="0"/>
        <w:autoSpaceDN w:val="0"/>
        <w:adjustRightInd w:val="0"/>
        <w:spacing w:after="0" w:line="240" w:lineRule="auto"/>
        <w:jc w:val="center"/>
        <w:rPr>
          <w:rFonts w:asciiTheme="minorHAnsi" w:hAnsiTheme="minorHAnsi"/>
          <w:sz w:val="16"/>
          <w:szCs w:val="16"/>
          <w:lang w:val="es-ES"/>
        </w:rPr>
      </w:pPr>
    </w:p>
    <w:p w:rsidR="006E188D" w:rsidRPr="008B498D" w:rsidRDefault="006E188D" w:rsidP="006E188D">
      <w:pPr>
        <w:tabs>
          <w:tab w:val="left" w:pos="810"/>
        </w:tabs>
        <w:autoSpaceDE w:val="0"/>
        <w:autoSpaceDN w:val="0"/>
        <w:adjustRightInd w:val="0"/>
        <w:spacing w:after="0" w:line="240" w:lineRule="auto"/>
        <w:jc w:val="center"/>
        <w:rPr>
          <w:rFonts w:asciiTheme="minorHAnsi" w:hAnsiTheme="minorHAnsi"/>
          <w:lang w:val="es-PE"/>
        </w:rPr>
      </w:pPr>
    </w:p>
    <w:p w:rsidR="006E188D" w:rsidRPr="008B498D" w:rsidRDefault="006E188D" w:rsidP="006E188D">
      <w:pPr>
        <w:tabs>
          <w:tab w:val="left" w:pos="0"/>
          <w:tab w:val="left" w:pos="810"/>
        </w:tabs>
        <w:spacing w:after="0" w:line="240" w:lineRule="auto"/>
        <w:ind w:firstLine="720"/>
        <w:jc w:val="both"/>
        <w:rPr>
          <w:rFonts w:asciiTheme="minorHAnsi" w:hAnsiTheme="minorHAnsi" w:cs="Arial"/>
          <w:lang w:val="es-CO"/>
        </w:rPr>
      </w:pPr>
      <w:r w:rsidRPr="008B498D">
        <w:rPr>
          <w:rFonts w:asciiTheme="minorHAnsi" w:hAnsiTheme="minorHAnsi" w:cs="Arial"/>
          <w:lang w:val="es-CO"/>
        </w:rPr>
        <w:t>Aprovecho la oportunidad para saludar a usted muy atentamente,</w:t>
      </w:r>
    </w:p>
    <w:p w:rsidR="006E188D" w:rsidRPr="008B498D" w:rsidRDefault="006E188D" w:rsidP="006E188D">
      <w:pPr>
        <w:tabs>
          <w:tab w:val="left" w:pos="810"/>
        </w:tabs>
        <w:suppressAutoHyphens/>
        <w:spacing w:after="0" w:line="240" w:lineRule="auto"/>
        <w:rPr>
          <w:rFonts w:asciiTheme="minorHAnsi" w:hAnsiTheme="minorHAnsi" w:cs="Arial"/>
          <w:snapToGrid w:val="0"/>
          <w:lang w:val="es-CO"/>
        </w:rPr>
      </w:pPr>
    </w:p>
    <w:p w:rsidR="006E188D" w:rsidRPr="008B498D" w:rsidRDefault="006E188D" w:rsidP="006E188D">
      <w:pPr>
        <w:tabs>
          <w:tab w:val="left" w:pos="810"/>
        </w:tabs>
        <w:suppressAutoHyphens/>
        <w:spacing w:after="0" w:line="240" w:lineRule="auto"/>
        <w:rPr>
          <w:rFonts w:asciiTheme="minorHAnsi" w:hAnsiTheme="minorHAnsi" w:cs="Arial"/>
          <w:snapToGrid w:val="0"/>
          <w:lang w:val="es-CO"/>
        </w:rPr>
      </w:pPr>
    </w:p>
    <w:p w:rsidR="006E188D" w:rsidRPr="008B498D" w:rsidRDefault="006E188D" w:rsidP="006E188D">
      <w:pPr>
        <w:tabs>
          <w:tab w:val="left" w:pos="810"/>
        </w:tabs>
        <w:suppressAutoHyphens/>
        <w:spacing w:after="0" w:line="240" w:lineRule="auto"/>
        <w:rPr>
          <w:rFonts w:asciiTheme="minorHAnsi" w:hAnsiTheme="minorHAnsi" w:cs="Arial"/>
          <w:snapToGrid w:val="0"/>
          <w:lang w:val="es-CO"/>
        </w:rPr>
      </w:pPr>
    </w:p>
    <w:p w:rsidR="006E188D" w:rsidRPr="008B498D" w:rsidRDefault="006E188D" w:rsidP="006E188D">
      <w:pPr>
        <w:tabs>
          <w:tab w:val="left" w:pos="810"/>
        </w:tabs>
        <w:suppressAutoHyphens/>
        <w:spacing w:after="0" w:line="240" w:lineRule="auto"/>
        <w:rPr>
          <w:rFonts w:asciiTheme="minorHAnsi" w:hAnsiTheme="minorHAnsi" w:cs="Arial"/>
          <w:snapToGrid w:val="0"/>
          <w:lang w:val="es-CO"/>
        </w:rPr>
      </w:pPr>
    </w:p>
    <w:p w:rsidR="006E188D" w:rsidRPr="00E95FF8" w:rsidRDefault="00E95FF8" w:rsidP="006E188D">
      <w:pPr>
        <w:tabs>
          <w:tab w:val="left" w:pos="810"/>
        </w:tabs>
        <w:suppressAutoHyphens/>
        <w:spacing w:after="0" w:line="240" w:lineRule="auto"/>
        <w:rPr>
          <w:rFonts w:asciiTheme="minorHAnsi" w:hAnsiTheme="minorHAnsi" w:cs="Arial"/>
          <w:snapToGrid w:val="0"/>
          <w:color w:val="808080" w:themeColor="background1" w:themeShade="80"/>
          <w:sz w:val="20"/>
          <w:lang w:val="es-CO"/>
        </w:rPr>
      </w:pPr>
      <w:r>
        <w:rPr>
          <w:rFonts w:asciiTheme="minorHAnsi" w:hAnsiTheme="minorHAnsi" w:cs="Arial"/>
          <w:snapToGrid w:val="0"/>
          <w:color w:val="808080" w:themeColor="background1" w:themeShade="80"/>
          <w:sz w:val="20"/>
          <w:lang w:val="es-CO"/>
        </w:rPr>
        <w:tab/>
      </w:r>
      <w:r>
        <w:rPr>
          <w:rFonts w:asciiTheme="minorHAnsi" w:hAnsiTheme="minorHAnsi" w:cs="Arial"/>
          <w:snapToGrid w:val="0"/>
          <w:color w:val="808080" w:themeColor="background1" w:themeShade="80"/>
          <w:sz w:val="20"/>
          <w:lang w:val="es-CO"/>
        </w:rPr>
        <w:tab/>
      </w:r>
      <w:r>
        <w:rPr>
          <w:rFonts w:asciiTheme="minorHAnsi" w:hAnsiTheme="minorHAnsi" w:cs="Arial"/>
          <w:snapToGrid w:val="0"/>
          <w:color w:val="808080" w:themeColor="background1" w:themeShade="80"/>
          <w:sz w:val="20"/>
          <w:lang w:val="es-CO"/>
        </w:rPr>
        <w:tab/>
      </w:r>
      <w:r>
        <w:rPr>
          <w:rFonts w:asciiTheme="minorHAnsi" w:hAnsiTheme="minorHAnsi" w:cs="Arial"/>
          <w:snapToGrid w:val="0"/>
          <w:color w:val="808080" w:themeColor="background1" w:themeShade="80"/>
          <w:sz w:val="20"/>
          <w:lang w:val="es-CO"/>
        </w:rPr>
        <w:tab/>
      </w:r>
      <w:r>
        <w:rPr>
          <w:rFonts w:asciiTheme="minorHAnsi" w:hAnsiTheme="minorHAnsi" w:cs="Arial"/>
          <w:snapToGrid w:val="0"/>
          <w:color w:val="808080" w:themeColor="background1" w:themeShade="80"/>
          <w:sz w:val="20"/>
          <w:lang w:val="es-CO"/>
        </w:rPr>
        <w:tab/>
      </w:r>
      <w:r>
        <w:rPr>
          <w:rFonts w:asciiTheme="minorHAnsi" w:hAnsiTheme="minorHAnsi" w:cs="Arial"/>
          <w:snapToGrid w:val="0"/>
          <w:color w:val="808080" w:themeColor="background1" w:themeShade="80"/>
          <w:sz w:val="20"/>
          <w:lang w:val="es-CO"/>
        </w:rPr>
        <w:tab/>
      </w:r>
      <w:r>
        <w:rPr>
          <w:rFonts w:asciiTheme="minorHAnsi" w:hAnsiTheme="minorHAnsi" w:cs="Arial"/>
          <w:snapToGrid w:val="0"/>
          <w:color w:val="808080" w:themeColor="background1" w:themeShade="80"/>
          <w:sz w:val="20"/>
          <w:lang w:val="es-CO"/>
        </w:rPr>
        <w:tab/>
        <w:t xml:space="preserve">    </w:t>
      </w:r>
      <w:bookmarkStart w:id="1" w:name="_GoBack"/>
      <w:bookmarkEnd w:id="1"/>
      <w:r w:rsidRPr="00E95FF8">
        <w:rPr>
          <w:rFonts w:asciiTheme="minorHAnsi" w:hAnsiTheme="minorHAnsi" w:cs="Arial"/>
          <w:snapToGrid w:val="0"/>
          <w:color w:val="808080" w:themeColor="background1" w:themeShade="80"/>
          <w:sz w:val="20"/>
          <w:lang w:val="es-CO"/>
        </w:rPr>
        <w:t>Firmado en el original</w:t>
      </w:r>
    </w:p>
    <w:p w:rsidR="006E188D" w:rsidRPr="008B498D" w:rsidRDefault="006E188D" w:rsidP="006E188D">
      <w:pPr>
        <w:tabs>
          <w:tab w:val="left" w:pos="810"/>
        </w:tabs>
        <w:suppressAutoHyphens/>
        <w:spacing w:after="0" w:line="240" w:lineRule="auto"/>
        <w:ind w:left="3600" w:firstLine="720"/>
        <w:rPr>
          <w:rFonts w:asciiTheme="minorHAnsi" w:hAnsiTheme="minorHAnsi" w:cs="Arial"/>
          <w:i/>
          <w:snapToGrid w:val="0"/>
          <w:color w:val="808080"/>
          <w:lang w:val="es-CO"/>
        </w:rPr>
      </w:pPr>
      <w:r w:rsidRPr="008B498D">
        <w:rPr>
          <w:rFonts w:asciiTheme="minorHAnsi" w:hAnsiTheme="minorHAnsi" w:cs="Arial"/>
          <w:snapToGrid w:val="0"/>
          <w:lang w:val="es-CO"/>
        </w:rPr>
        <w:tab/>
      </w:r>
      <w:r w:rsidR="00047315" w:rsidRPr="008B498D">
        <w:rPr>
          <w:rFonts w:asciiTheme="minorHAnsi" w:hAnsiTheme="minorHAnsi" w:cs="Arial"/>
          <w:snapToGrid w:val="0"/>
          <w:lang w:val="es-CO"/>
        </w:rPr>
        <w:t>Elizabeth Abi-Mershed</w:t>
      </w:r>
      <w:r w:rsidRPr="008B498D">
        <w:rPr>
          <w:rFonts w:asciiTheme="minorHAnsi" w:hAnsiTheme="minorHAnsi" w:cs="Arial"/>
          <w:snapToGrid w:val="0"/>
          <w:lang w:val="pt-PT"/>
        </w:rPr>
        <w:t xml:space="preserve"> </w:t>
      </w:r>
    </w:p>
    <w:p w:rsidR="006E188D" w:rsidRPr="008B498D" w:rsidRDefault="006E188D" w:rsidP="006E188D">
      <w:pPr>
        <w:tabs>
          <w:tab w:val="left" w:pos="810"/>
        </w:tabs>
        <w:suppressAutoHyphens/>
        <w:spacing w:after="0" w:line="240" w:lineRule="auto"/>
        <w:rPr>
          <w:rFonts w:asciiTheme="minorHAnsi" w:hAnsiTheme="minorHAnsi"/>
          <w:lang w:val="es-CO"/>
        </w:rPr>
      </w:pPr>
      <w:r w:rsidRPr="008B498D">
        <w:rPr>
          <w:rFonts w:asciiTheme="minorHAnsi" w:hAnsiTheme="minorHAnsi" w:cs="Arial"/>
          <w:snapToGrid w:val="0"/>
          <w:lang w:val="es-CO"/>
        </w:rPr>
        <w:t xml:space="preserve"> </w:t>
      </w:r>
      <w:r w:rsidRPr="008B498D">
        <w:rPr>
          <w:rFonts w:asciiTheme="minorHAnsi" w:hAnsiTheme="minorHAnsi" w:cs="Arial"/>
          <w:snapToGrid w:val="0"/>
          <w:lang w:val="es-CO"/>
        </w:rPr>
        <w:tab/>
      </w:r>
      <w:r w:rsidRPr="008B498D">
        <w:rPr>
          <w:rFonts w:asciiTheme="minorHAnsi" w:hAnsiTheme="minorHAnsi" w:cs="Arial"/>
          <w:snapToGrid w:val="0"/>
          <w:lang w:val="es-CO"/>
        </w:rPr>
        <w:tab/>
      </w:r>
      <w:r w:rsidRPr="008B498D">
        <w:rPr>
          <w:rFonts w:asciiTheme="minorHAnsi" w:hAnsiTheme="minorHAnsi" w:cs="Arial"/>
          <w:snapToGrid w:val="0"/>
          <w:lang w:val="es-CO"/>
        </w:rPr>
        <w:tab/>
      </w:r>
      <w:r w:rsidRPr="008B498D">
        <w:rPr>
          <w:rFonts w:asciiTheme="minorHAnsi" w:hAnsiTheme="minorHAnsi" w:cs="Arial"/>
          <w:snapToGrid w:val="0"/>
          <w:lang w:val="es-CO"/>
        </w:rPr>
        <w:tab/>
      </w:r>
      <w:r w:rsidRPr="008B498D">
        <w:rPr>
          <w:rFonts w:asciiTheme="minorHAnsi" w:hAnsiTheme="minorHAnsi" w:cs="Arial"/>
          <w:snapToGrid w:val="0"/>
          <w:lang w:val="es-CO"/>
        </w:rPr>
        <w:tab/>
        <w:t xml:space="preserve">        </w:t>
      </w:r>
      <w:r w:rsidRPr="008B498D">
        <w:rPr>
          <w:rFonts w:asciiTheme="minorHAnsi" w:hAnsiTheme="minorHAnsi" w:cs="Arial"/>
          <w:snapToGrid w:val="0"/>
          <w:lang w:val="es-CO"/>
        </w:rPr>
        <w:tab/>
        <w:t xml:space="preserve">        </w:t>
      </w:r>
      <w:r w:rsidR="00047315" w:rsidRPr="008B498D">
        <w:rPr>
          <w:rFonts w:asciiTheme="minorHAnsi" w:hAnsiTheme="minorHAnsi" w:cs="Arial"/>
          <w:snapToGrid w:val="0"/>
          <w:lang w:val="es-CO"/>
        </w:rPr>
        <w:t xml:space="preserve"> </w:t>
      </w:r>
      <w:r w:rsidRPr="008B498D">
        <w:rPr>
          <w:rFonts w:asciiTheme="minorHAnsi" w:hAnsiTheme="minorHAnsi" w:cs="Arial"/>
          <w:snapToGrid w:val="0"/>
          <w:lang w:val="es-CO"/>
        </w:rPr>
        <w:t>Secretari</w:t>
      </w:r>
      <w:r w:rsidR="00047315" w:rsidRPr="008B498D">
        <w:rPr>
          <w:rFonts w:asciiTheme="minorHAnsi" w:hAnsiTheme="minorHAnsi" w:cs="Arial"/>
          <w:snapToGrid w:val="0"/>
          <w:lang w:val="es-CO"/>
        </w:rPr>
        <w:t>a</w:t>
      </w:r>
      <w:r w:rsidRPr="008B498D">
        <w:rPr>
          <w:rFonts w:asciiTheme="minorHAnsi" w:hAnsiTheme="minorHAnsi" w:cs="Arial"/>
          <w:snapToGrid w:val="0"/>
          <w:lang w:val="es-CO"/>
        </w:rPr>
        <w:t xml:space="preserve"> Ejecutiv</w:t>
      </w:r>
      <w:r w:rsidR="00047315" w:rsidRPr="008B498D">
        <w:rPr>
          <w:rFonts w:asciiTheme="minorHAnsi" w:hAnsiTheme="minorHAnsi" w:cs="Arial"/>
          <w:snapToGrid w:val="0"/>
          <w:lang w:val="es-CO"/>
        </w:rPr>
        <w:t>a Adjunta</w:t>
      </w:r>
      <w:r w:rsidRPr="008B498D">
        <w:rPr>
          <w:rFonts w:asciiTheme="minorHAnsi" w:hAnsiTheme="minorHAnsi" w:cs="Arial"/>
          <w:snapToGrid w:val="0"/>
          <w:lang w:val="es-CO"/>
        </w:rPr>
        <w:t xml:space="preserve"> </w:t>
      </w:r>
    </w:p>
    <w:p w:rsidR="006E188D" w:rsidRPr="008B498D" w:rsidRDefault="006E188D" w:rsidP="006E188D">
      <w:pPr>
        <w:tabs>
          <w:tab w:val="left" w:pos="810"/>
        </w:tabs>
        <w:suppressAutoHyphens/>
        <w:spacing w:after="0" w:line="240" w:lineRule="auto"/>
        <w:jc w:val="both"/>
        <w:rPr>
          <w:rFonts w:asciiTheme="minorHAnsi" w:hAnsiTheme="minorHAnsi"/>
          <w:lang w:val="es-CO"/>
        </w:rPr>
      </w:pPr>
    </w:p>
    <w:p w:rsidR="006E188D" w:rsidRPr="008B498D" w:rsidRDefault="006E188D" w:rsidP="006E188D">
      <w:pPr>
        <w:tabs>
          <w:tab w:val="left" w:pos="810"/>
        </w:tabs>
        <w:suppressAutoHyphens/>
        <w:spacing w:after="0" w:line="240" w:lineRule="auto"/>
        <w:jc w:val="both"/>
        <w:rPr>
          <w:rFonts w:asciiTheme="minorHAnsi" w:hAnsiTheme="minorHAnsi"/>
          <w:lang w:val="es-CO"/>
        </w:rPr>
      </w:pPr>
    </w:p>
    <w:p w:rsidR="00916F31" w:rsidRPr="00E95FF8" w:rsidRDefault="001C0CD9">
      <w:pPr>
        <w:rPr>
          <w:rFonts w:asciiTheme="minorHAnsi" w:hAnsiTheme="minorHAnsi"/>
          <w:lang w:val="es-UY"/>
        </w:rPr>
      </w:pPr>
    </w:p>
    <w:sectPr w:rsidR="00916F31" w:rsidRPr="00E95FF8" w:rsidSect="00C0279B">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CD9" w:rsidRDefault="001C0CD9">
      <w:pPr>
        <w:spacing w:after="0" w:line="240" w:lineRule="auto"/>
      </w:pPr>
      <w:r>
        <w:separator/>
      </w:r>
    </w:p>
  </w:endnote>
  <w:endnote w:type="continuationSeparator" w:id="0">
    <w:p w:rsidR="001C0CD9" w:rsidRDefault="001C0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Roman">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79B" w:rsidRPr="00A72869" w:rsidRDefault="006E188D">
    <w:pPr>
      <w:pStyle w:val="Footer"/>
      <w:jc w:val="center"/>
      <w:rPr>
        <w:color w:val="7F7F7F"/>
        <w:sz w:val="16"/>
      </w:rPr>
    </w:pPr>
    <w:r w:rsidRPr="00A72869">
      <w:rPr>
        <w:color w:val="7F7F7F"/>
        <w:sz w:val="16"/>
      </w:rPr>
      <w:fldChar w:fldCharType="begin"/>
    </w:r>
    <w:r w:rsidRPr="00A72869">
      <w:rPr>
        <w:color w:val="7F7F7F"/>
        <w:sz w:val="16"/>
      </w:rPr>
      <w:instrText xml:space="preserve"> PAGE   \* MERGEFORMAT </w:instrText>
    </w:r>
    <w:r w:rsidRPr="00A72869">
      <w:rPr>
        <w:color w:val="7F7F7F"/>
        <w:sz w:val="16"/>
      </w:rPr>
      <w:fldChar w:fldCharType="separate"/>
    </w:r>
    <w:r w:rsidR="00E95FF8">
      <w:rPr>
        <w:noProof/>
        <w:color w:val="7F7F7F"/>
        <w:sz w:val="16"/>
      </w:rPr>
      <w:t>3</w:t>
    </w:r>
    <w:r w:rsidRPr="00A72869">
      <w:rPr>
        <w:noProof/>
        <w:color w:val="7F7F7F"/>
        <w:sz w:val="16"/>
      </w:rPr>
      <w:fldChar w:fldCharType="end"/>
    </w:r>
  </w:p>
  <w:p w:rsidR="00C0279B" w:rsidRDefault="001C0C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79B" w:rsidRDefault="001C0CD9" w:rsidP="00C0279B">
    <w:pPr>
      <w:pStyle w:val="Footer"/>
      <w:spacing w:line="360" w:lineRule="auto"/>
    </w:pPr>
    <w:r>
      <w:pict w14:anchorId="2804C9A2">
        <v:rect id="_x0000_i1027" style="width:0;height:1.5pt" o:hralign="center" o:hrstd="t" o:hr="t" fillcolor="#a0a0a0" stroked="f"/>
      </w:pict>
    </w:r>
  </w:p>
  <w:p w:rsidR="00C0279B" w:rsidRDefault="006E188D" w:rsidP="00C0279B">
    <w:pPr>
      <w:pStyle w:val="Footer"/>
      <w:jc w:val="center"/>
    </w:pPr>
    <w:r w:rsidRPr="008A5CB5">
      <w:rPr>
        <w:noProof/>
        <w:lang w:val="es-UY" w:eastAsia="es-UY"/>
      </w:rPr>
      <w:drawing>
        <wp:inline distT="0" distB="0" distL="0" distR="0" wp14:anchorId="5AB816DA" wp14:editId="6351A294">
          <wp:extent cx="5118100" cy="317500"/>
          <wp:effectExtent l="0" t="0" r="12700" b="12700"/>
          <wp:docPr id="1" name="Picture 1" descr="C:\Users\mfontana\Documents\Eva Fontana\GRAFICA CIDH\cartas\logos\foote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mfontana\Documents\Eva Fontana\GRAFICA CIDH\cartas\logos\foote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8100" cy="3175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CD9" w:rsidRDefault="001C0CD9">
      <w:pPr>
        <w:spacing w:after="0" w:line="240" w:lineRule="auto"/>
      </w:pPr>
      <w:r>
        <w:separator/>
      </w:r>
    </w:p>
  </w:footnote>
  <w:footnote w:type="continuationSeparator" w:id="0">
    <w:p w:rsidR="001C0CD9" w:rsidRDefault="001C0C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79B" w:rsidRPr="0058688A" w:rsidRDefault="006E188D" w:rsidP="00C0279B">
    <w:pPr>
      <w:pStyle w:val="Header"/>
      <w:jc w:val="center"/>
      <w:rPr>
        <w:lang w:val="es-ES_tradnl"/>
      </w:rPr>
    </w:pPr>
    <w:r>
      <w:rPr>
        <w:noProof/>
        <w:lang w:val="es-UY" w:eastAsia="es-UY"/>
      </w:rPr>
      <w:drawing>
        <wp:inline distT="0" distB="0" distL="0" distR="0" wp14:anchorId="2AAF8B96" wp14:editId="2B8AC300">
          <wp:extent cx="2286000" cy="120650"/>
          <wp:effectExtent l="0" t="0" r="0" b="6350"/>
          <wp:docPr id="4" name="Picture 4" descr="cidh-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h-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20650"/>
                  </a:xfrm>
                  <a:prstGeom prst="rect">
                    <a:avLst/>
                  </a:prstGeom>
                  <a:noFill/>
                  <a:ln>
                    <a:noFill/>
                  </a:ln>
                </pic:spPr>
              </pic:pic>
            </a:graphicData>
          </a:graphic>
        </wp:inline>
      </w:drawing>
    </w:r>
  </w:p>
  <w:p w:rsidR="00C0279B" w:rsidRDefault="001C0CD9">
    <w:pPr>
      <w:pStyle w:val="Header"/>
    </w:pPr>
    <w:r>
      <w:pict w14:anchorId="056791BF">
        <v:rect id="_x0000_i1025" style="width:0;height:1.5pt" o:hralign="center" o:hrstd="t" o:hr="t" fillcolor="#a0a0a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79B" w:rsidRDefault="006E188D" w:rsidP="00C0279B">
    <w:pPr>
      <w:pStyle w:val="Header"/>
    </w:pPr>
    <w:r w:rsidRPr="008A5CB5">
      <w:rPr>
        <w:noProof/>
        <w:lang w:val="es-UY" w:eastAsia="es-UY"/>
      </w:rPr>
      <w:drawing>
        <wp:inline distT="0" distB="0" distL="0" distR="0" wp14:anchorId="714F0F72" wp14:editId="01107810">
          <wp:extent cx="2349500" cy="457200"/>
          <wp:effectExtent l="0" t="0" r="12700" b="0"/>
          <wp:docPr id="3" name="Picture 3"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9500" cy="457200"/>
                  </a:xfrm>
                  <a:prstGeom prst="rect">
                    <a:avLst/>
                  </a:prstGeom>
                  <a:noFill/>
                  <a:ln>
                    <a:noFill/>
                  </a:ln>
                </pic:spPr>
              </pic:pic>
            </a:graphicData>
          </a:graphic>
        </wp:inline>
      </w:drawing>
    </w:r>
    <w:r>
      <w:tab/>
    </w:r>
    <w:r>
      <w:tab/>
    </w:r>
    <w:r w:rsidRPr="008A5CB5">
      <w:rPr>
        <w:noProof/>
        <w:lang w:val="es-UY" w:eastAsia="es-UY"/>
      </w:rPr>
      <w:drawing>
        <wp:inline distT="0" distB="0" distL="0" distR="0" wp14:anchorId="6FDAA3CC" wp14:editId="31CACCD6">
          <wp:extent cx="1644650" cy="476250"/>
          <wp:effectExtent l="0" t="0" r="6350" b="6350"/>
          <wp:docPr id="2" name="Picture 2"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4650" cy="476250"/>
                  </a:xfrm>
                  <a:prstGeom prst="rect">
                    <a:avLst/>
                  </a:prstGeom>
                  <a:noFill/>
                  <a:ln>
                    <a:noFill/>
                  </a:ln>
                </pic:spPr>
              </pic:pic>
            </a:graphicData>
          </a:graphic>
        </wp:inline>
      </w:drawing>
    </w:r>
  </w:p>
  <w:p w:rsidR="00C0279B" w:rsidRDefault="001C0CD9" w:rsidP="00C0279B">
    <w:pPr>
      <w:pStyle w:val="Header"/>
    </w:pPr>
    <w:r>
      <w:pict w14:anchorId="4C20F932">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13EE8"/>
    <w:multiLevelType w:val="hybridMultilevel"/>
    <w:tmpl w:val="78BC45F8"/>
    <w:lvl w:ilvl="0" w:tplc="81B8EB9C">
      <w:start w:val="1"/>
      <w:numFmt w:val="upperLetter"/>
      <w:lvlText w:val="%1."/>
      <w:lvlJc w:val="left"/>
      <w:pPr>
        <w:tabs>
          <w:tab w:val="num" w:pos="1440"/>
        </w:tabs>
        <w:ind w:left="1440" w:hanging="720"/>
      </w:pPr>
      <w:rPr>
        <w:rFonts w:hint="default"/>
      </w:rPr>
    </w:lvl>
    <w:lvl w:ilvl="1" w:tplc="D92C12E8">
      <w:start w:val="1"/>
      <w:numFmt w:val="decimal"/>
      <w:lvlText w:val="%2."/>
      <w:lvlJc w:val="left"/>
      <w:pPr>
        <w:tabs>
          <w:tab w:val="num" w:pos="1860"/>
        </w:tabs>
        <w:ind w:left="1860" w:hanging="420"/>
      </w:pPr>
      <w:rPr>
        <w:rFonts w:hint="default"/>
      </w:rPr>
    </w:lvl>
    <w:lvl w:ilvl="2" w:tplc="99CCD1F2">
      <w:start w:val="2"/>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66A101BB"/>
    <w:multiLevelType w:val="hybridMultilevel"/>
    <w:tmpl w:val="455C2F06"/>
    <w:lvl w:ilvl="0" w:tplc="CB3E82CC">
      <w:start w:val="1"/>
      <w:numFmt w:val="upperRoman"/>
      <w:lvlText w:val="%1."/>
      <w:lvlJc w:val="left"/>
      <w:pPr>
        <w:tabs>
          <w:tab w:val="num" w:pos="1440"/>
        </w:tabs>
        <w:ind w:left="1440" w:hanging="720"/>
      </w:pPr>
      <w:rPr>
        <w:rFonts w:cs="Times New Roman" w:hint="default"/>
        <w:b/>
      </w:rPr>
    </w:lvl>
    <w:lvl w:ilvl="1" w:tplc="47D87E38">
      <w:start w:val="1"/>
      <w:numFmt w:val="decimal"/>
      <w:lvlText w:val="%2."/>
      <w:lvlJc w:val="left"/>
      <w:pPr>
        <w:tabs>
          <w:tab w:val="num" w:pos="1800"/>
        </w:tabs>
        <w:ind w:left="1800" w:hanging="360"/>
      </w:pPr>
      <w:rPr>
        <w:rFonts w:cs="Times New Roman" w:hint="default"/>
        <w:b/>
        <w:color w:val="auto"/>
      </w:rPr>
    </w:lvl>
    <w:lvl w:ilvl="2" w:tplc="881EAA16">
      <w:start w:val="1"/>
      <w:numFmt w:val="lowerLetter"/>
      <w:lvlText w:val="%3)"/>
      <w:lvlJc w:val="left"/>
      <w:pPr>
        <w:tabs>
          <w:tab w:val="num" w:pos="2700"/>
        </w:tabs>
        <w:ind w:left="2700" w:hanging="360"/>
      </w:pPr>
      <w:rPr>
        <w:rFonts w:cs="Times New Roman" w:hint="default"/>
      </w:rPr>
    </w:lvl>
    <w:lvl w:ilvl="3" w:tplc="B87E3F4A">
      <w:start w:val="2"/>
      <w:numFmt w:val="upperLetter"/>
      <w:lvlText w:val="%4."/>
      <w:lvlJc w:val="left"/>
      <w:pPr>
        <w:tabs>
          <w:tab w:val="num" w:pos="3240"/>
        </w:tabs>
        <w:ind w:left="3240" w:hanging="360"/>
      </w:pPr>
      <w:rPr>
        <w:rFonts w:cs="Times New Roman" w:hint="default"/>
      </w:rPr>
    </w:lvl>
    <w:lvl w:ilvl="4" w:tplc="817A8DEA">
      <w:start w:val="5"/>
      <w:numFmt w:val="bullet"/>
      <w:lvlText w:val="-"/>
      <w:lvlJc w:val="left"/>
      <w:pPr>
        <w:ind w:left="3960" w:hanging="360"/>
      </w:pPr>
      <w:rPr>
        <w:rFonts w:ascii="Cambria" w:eastAsia="Arial Unicode MS" w:hAnsi="Cambria" w:cs="Times New Roman" w:hint="default"/>
      </w:rPr>
    </w:lvl>
    <w:lvl w:ilvl="5" w:tplc="4E58E810">
      <w:start w:val="2"/>
      <w:numFmt w:val="lowerLetter"/>
      <w:lvlText w:val="%6."/>
      <w:lvlJc w:val="left"/>
      <w:pPr>
        <w:ind w:left="4860" w:hanging="360"/>
      </w:pPr>
      <w:rPr>
        <w:rFonts w:hint="default"/>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66BE5E6A"/>
    <w:multiLevelType w:val="hybridMultilevel"/>
    <w:tmpl w:val="99A4964C"/>
    <w:lvl w:ilvl="0" w:tplc="B95E0210">
      <w:start w:val="1"/>
      <w:numFmt w:val="decimal"/>
      <w:lvlText w:val="%1."/>
      <w:lvlJc w:val="left"/>
      <w:pPr>
        <w:tabs>
          <w:tab w:val="num" w:pos="72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88D"/>
    <w:rsid w:val="00046BBF"/>
    <w:rsid w:val="00047315"/>
    <w:rsid w:val="0005001D"/>
    <w:rsid w:val="000F0764"/>
    <w:rsid w:val="001B524F"/>
    <w:rsid w:val="001C0CD9"/>
    <w:rsid w:val="00243DB7"/>
    <w:rsid w:val="003223B2"/>
    <w:rsid w:val="004431DF"/>
    <w:rsid w:val="0047135E"/>
    <w:rsid w:val="004C3F95"/>
    <w:rsid w:val="004D2B77"/>
    <w:rsid w:val="005418A7"/>
    <w:rsid w:val="00574517"/>
    <w:rsid w:val="006301CB"/>
    <w:rsid w:val="00681672"/>
    <w:rsid w:val="006E188D"/>
    <w:rsid w:val="006E2EC7"/>
    <w:rsid w:val="006F6BF7"/>
    <w:rsid w:val="00761BE8"/>
    <w:rsid w:val="00850271"/>
    <w:rsid w:val="00874ADD"/>
    <w:rsid w:val="008A376E"/>
    <w:rsid w:val="008B498D"/>
    <w:rsid w:val="008D6C66"/>
    <w:rsid w:val="0090392A"/>
    <w:rsid w:val="009512EB"/>
    <w:rsid w:val="00A071F0"/>
    <w:rsid w:val="00A27C5C"/>
    <w:rsid w:val="00A50D49"/>
    <w:rsid w:val="00AA382B"/>
    <w:rsid w:val="00AB58B3"/>
    <w:rsid w:val="00AF7929"/>
    <w:rsid w:val="00B467A0"/>
    <w:rsid w:val="00B71C92"/>
    <w:rsid w:val="00B92B86"/>
    <w:rsid w:val="00B959E2"/>
    <w:rsid w:val="00B96763"/>
    <w:rsid w:val="00C91B21"/>
    <w:rsid w:val="00D06747"/>
    <w:rsid w:val="00D30643"/>
    <w:rsid w:val="00D367BC"/>
    <w:rsid w:val="00D45CFD"/>
    <w:rsid w:val="00E03E1B"/>
    <w:rsid w:val="00E440E5"/>
    <w:rsid w:val="00E95FF8"/>
    <w:rsid w:val="00F35431"/>
    <w:rsid w:val="00FC0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88D"/>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188D"/>
    <w:pPr>
      <w:tabs>
        <w:tab w:val="center" w:pos="4680"/>
        <w:tab w:val="right" w:pos="9360"/>
      </w:tabs>
      <w:spacing w:after="0" w:line="240" w:lineRule="auto"/>
    </w:pPr>
    <w:rPr>
      <w:rFonts w:eastAsia="MS Mincho"/>
    </w:rPr>
  </w:style>
  <w:style w:type="character" w:customStyle="1" w:styleId="HeaderChar">
    <w:name w:val="Header Char"/>
    <w:basedOn w:val="DefaultParagraphFont"/>
    <w:link w:val="Header"/>
    <w:rsid w:val="006E188D"/>
    <w:rPr>
      <w:rFonts w:ascii="Calibri" w:eastAsia="MS Mincho" w:hAnsi="Calibri" w:cs="Times New Roman"/>
      <w:sz w:val="22"/>
      <w:szCs w:val="22"/>
    </w:rPr>
  </w:style>
  <w:style w:type="paragraph" w:styleId="Footer">
    <w:name w:val="footer"/>
    <w:basedOn w:val="Normal"/>
    <w:link w:val="FooterChar"/>
    <w:unhideWhenUsed/>
    <w:rsid w:val="006E188D"/>
    <w:pPr>
      <w:tabs>
        <w:tab w:val="center" w:pos="4680"/>
        <w:tab w:val="right" w:pos="9360"/>
      </w:tabs>
      <w:spacing w:after="0" w:line="240" w:lineRule="auto"/>
    </w:pPr>
    <w:rPr>
      <w:rFonts w:eastAsia="MS Mincho"/>
    </w:rPr>
  </w:style>
  <w:style w:type="character" w:customStyle="1" w:styleId="FooterChar">
    <w:name w:val="Footer Char"/>
    <w:basedOn w:val="DefaultParagraphFont"/>
    <w:link w:val="Footer"/>
    <w:rsid w:val="006E188D"/>
    <w:rPr>
      <w:rFonts w:ascii="Calibri" w:eastAsia="MS Mincho" w:hAnsi="Calibri" w:cs="Times New Roman"/>
      <w:sz w:val="22"/>
      <w:szCs w:val="22"/>
    </w:rPr>
  </w:style>
  <w:style w:type="paragraph" w:styleId="NormalWeb">
    <w:name w:val="Normal (Web)"/>
    <w:basedOn w:val="Normal"/>
    <w:uiPriority w:val="99"/>
    <w:semiHidden/>
    <w:unhideWhenUsed/>
    <w:rsid w:val="006E188D"/>
    <w:pPr>
      <w:spacing w:before="100" w:beforeAutospacing="1" w:after="100" w:afterAutospacing="1" w:line="240" w:lineRule="auto"/>
    </w:pPr>
    <w:rPr>
      <w:rFonts w:ascii="Times New Roman" w:eastAsiaTheme="minorHAnsi" w:hAnsi="Times New Roman"/>
      <w:sz w:val="24"/>
      <w:szCs w:val="24"/>
    </w:rPr>
  </w:style>
  <w:style w:type="paragraph" w:styleId="BodyText3">
    <w:name w:val="Body Text 3"/>
    <w:basedOn w:val="Normal"/>
    <w:link w:val="BodyText3Char"/>
    <w:rsid w:val="006E188D"/>
    <w:pPr>
      <w:spacing w:after="120" w:line="240" w:lineRule="auto"/>
    </w:pPr>
    <w:rPr>
      <w:rFonts w:ascii="Times New Roman" w:eastAsia="MS Mincho" w:hAnsi="Times New Roman"/>
      <w:sz w:val="16"/>
      <w:szCs w:val="16"/>
    </w:rPr>
  </w:style>
  <w:style w:type="character" w:customStyle="1" w:styleId="BodyText3Char">
    <w:name w:val="Body Text 3 Char"/>
    <w:basedOn w:val="DefaultParagraphFont"/>
    <w:link w:val="BodyText3"/>
    <w:rsid w:val="006E188D"/>
    <w:rPr>
      <w:rFonts w:ascii="Times New Roman" w:eastAsia="MS Mincho" w:hAnsi="Times New Roman" w:cs="Times New Roman"/>
      <w:sz w:val="16"/>
      <w:szCs w:val="16"/>
    </w:rPr>
  </w:style>
  <w:style w:type="paragraph" w:styleId="ListParagraph">
    <w:name w:val="List Paragraph"/>
    <w:aliases w:val="Párrafo de lista1,List Paragraph1,Colorful List - Accent 11,List Paragraph11"/>
    <w:link w:val="ListParagraphChar"/>
    <w:uiPriority w:val="99"/>
    <w:qFormat/>
    <w:rsid w:val="00D30643"/>
    <w:pPr>
      <w:pBdr>
        <w:top w:val="nil"/>
        <w:left w:val="nil"/>
        <w:bottom w:val="nil"/>
        <w:right w:val="nil"/>
        <w:between w:val="nil"/>
        <w:bar w:val="nil"/>
      </w:pBdr>
      <w:ind w:left="720"/>
    </w:pPr>
    <w:rPr>
      <w:rFonts w:ascii="Cambria" w:eastAsia="Cambria" w:hAnsi="Cambria" w:cs="Cambria"/>
      <w:color w:val="000000"/>
      <w:u w:color="000000"/>
      <w:bdr w:val="nil"/>
      <w:lang w:eastAsia="es-ES"/>
    </w:rPr>
  </w:style>
  <w:style w:type="character" w:customStyle="1" w:styleId="ListParagraphChar">
    <w:name w:val="List Paragraph Char"/>
    <w:aliases w:val="Párrafo de lista1 Char,List Paragraph1 Char,Colorful List - Accent 11 Char,List Paragraph11 Char"/>
    <w:link w:val="ListParagraph"/>
    <w:uiPriority w:val="99"/>
    <w:locked/>
    <w:rsid w:val="00D30643"/>
    <w:rPr>
      <w:rFonts w:ascii="Cambria" w:eastAsia="Cambria" w:hAnsi="Cambria" w:cs="Cambria"/>
      <w:color w:val="000000"/>
      <w:u w:color="000000"/>
      <w:bdr w:val="nil"/>
      <w:lang w:eastAsia="es-ES"/>
    </w:rPr>
  </w:style>
  <w:style w:type="paragraph" w:styleId="BalloonText">
    <w:name w:val="Balloon Text"/>
    <w:basedOn w:val="Normal"/>
    <w:link w:val="BalloonTextChar"/>
    <w:uiPriority w:val="99"/>
    <w:semiHidden/>
    <w:unhideWhenUsed/>
    <w:rsid w:val="000F07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764"/>
    <w:rPr>
      <w:rFonts w:ascii="Tahoma" w:eastAsia="Calibri" w:hAnsi="Tahoma" w:cs="Tahoma"/>
      <w:sz w:val="16"/>
      <w:szCs w:val="16"/>
    </w:rPr>
  </w:style>
  <w:style w:type="character" w:styleId="Hyperlink">
    <w:name w:val="Hyperlink"/>
    <w:basedOn w:val="DefaultParagraphFont"/>
    <w:uiPriority w:val="99"/>
    <w:unhideWhenUsed/>
    <w:rsid w:val="008D6C6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88D"/>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188D"/>
    <w:pPr>
      <w:tabs>
        <w:tab w:val="center" w:pos="4680"/>
        <w:tab w:val="right" w:pos="9360"/>
      </w:tabs>
      <w:spacing w:after="0" w:line="240" w:lineRule="auto"/>
    </w:pPr>
    <w:rPr>
      <w:rFonts w:eastAsia="MS Mincho"/>
    </w:rPr>
  </w:style>
  <w:style w:type="character" w:customStyle="1" w:styleId="HeaderChar">
    <w:name w:val="Header Char"/>
    <w:basedOn w:val="DefaultParagraphFont"/>
    <w:link w:val="Header"/>
    <w:rsid w:val="006E188D"/>
    <w:rPr>
      <w:rFonts w:ascii="Calibri" w:eastAsia="MS Mincho" w:hAnsi="Calibri" w:cs="Times New Roman"/>
      <w:sz w:val="22"/>
      <w:szCs w:val="22"/>
    </w:rPr>
  </w:style>
  <w:style w:type="paragraph" w:styleId="Footer">
    <w:name w:val="footer"/>
    <w:basedOn w:val="Normal"/>
    <w:link w:val="FooterChar"/>
    <w:unhideWhenUsed/>
    <w:rsid w:val="006E188D"/>
    <w:pPr>
      <w:tabs>
        <w:tab w:val="center" w:pos="4680"/>
        <w:tab w:val="right" w:pos="9360"/>
      </w:tabs>
      <w:spacing w:after="0" w:line="240" w:lineRule="auto"/>
    </w:pPr>
    <w:rPr>
      <w:rFonts w:eastAsia="MS Mincho"/>
    </w:rPr>
  </w:style>
  <w:style w:type="character" w:customStyle="1" w:styleId="FooterChar">
    <w:name w:val="Footer Char"/>
    <w:basedOn w:val="DefaultParagraphFont"/>
    <w:link w:val="Footer"/>
    <w:rsid w:val="006E188D"/>
    <w:rPr>
      <w:rFonts w:ascii="Calibri" w:eastAsia="MS Mincho" w:hAnsi="Calibri" w:cs="Times New Roman"/>
      <w:sz w:val="22"/>
      <w:szCs w:val="22"/>
    </w:rPr>
  </w:style>
  <w:style w:type="paragraph" w:styleId="NormalWeb">
    <w:name w:val="Normal (Web)"/>
    <w:basedOn w:val="Normal"/>
    <w:uiPriority w:val="99"/>
    <w:semiHidden/>
    <w:unhideWhenUsed/>
    <w:rsid w:val="006E188D"/>
    <w:pPr>
      <w:spacing w:before="100" w:beforeAutospacing="1" w:after="100" w:afterAutospacing="1" w:line="240" w:lineRule="auto"/>
    </w:pPr>
    <w:rPr>
      <w:rFonts w:ascii="Times New Roman" w:eastAsiaTheme="minorHAnsi" w:hAnsi="Times New Roman"/>
      <w:sz w:val="24"/>
      <w:szCs w:val="24"/>
    </w:rPr>
  </w:style>
  <w:style w:type="paragraph" w:styleId="BodyText3">
    <w:name w:val="Body Text 3"/>
    <w:basedOn w:val="Normal"/>
    <w:link w:val="BodyText3Char"/>
    <w:rsid w:val="006E188D"/>
    <w:pPr>
      <w:spacing w:after="120" w:line="240" w:lineRule="auto"/>
    </w:pPr>
    <w:rPr>
      <w:rFonts w:ascii="Times New Roman" w:eastAsia="MS Mincho" w:hAnsi="Times New Roman"/>
      <w:sz w:val="16"/>
      <w:szCs w:val="16"/>
    </w:rPr>
  </w:style>
  <w:style w:type="character" w:customStyle="1" w:styleId="BodyText3Char">
    <w:name w:val="Body Text 3 Char"/>
    <w:basedOn w:val="DefaultParagraphFont"/>
    <w:link w:val="BodyText3"/>
    <w:rsid w:val="006E188D"/>
    <w:rPr>
      <w:rFonts w:ascii="Times New Roman" w:eastAsia="MS Mincho" w:hAnsi="Times New Roman" w:cs="Times New Roman"/>
      <w:sz w:val="16"/>
      <w:szCs w:val="16"/>
    </w:rPr>
  </w:style>
  <w:style w:type="paragraph" w:styleId="ListParagraph">
    <w:name w:val="List Paragraph"/>
    <w:aliases w:val="Párrafo de lista1,List Paragraph1,Colorful List - Accent 11,List Paragraph11"/>
    <w:link w:val="ListParagraphChar"/>
    <w:uiPriority w:val="99"/>
    <w:qFormat/>
    <w:rsid w:val="00D30643"/>
    <w:pPr>
      <w:pBdr>
        <w:top w:val="nil"/>
        <w:left w:val="nil"/>
        <w:bottom w:val="nil"/>
        <w:right w:val="nil"/>
        <w:between w:val="nil"/>
        <w:bar w:val="nil"/>
      </w:pBdr>
      <w:ind w:left="720"/>
    </w:pPr>
    <w:rPr>
      <w:rFonts w:ascii="Cambria" w:eastAsia="Cambria" w:hAnsi="Cambria" w:cs="Cambria"/>
      <w:color w:val="000000"/>
      <w:u w:color="000000"/>
      <w:bdr w:val="nil"/>
      <w:lang w:eastAsia="es-ES"/>
    </w:rPr>
  </w:style>
  <w:style w:type="character" w:customStyle="1" w:styleId="ListParagraphChar">
    <w:name w:val="List Paragraph Char"/>
    <w:aliases w:val="Párrafo de lista1 Char,List Paragraph1 Char,Colorful List - Accent 11 Char,List Paragraph11 Char"/>
    <w:link w:val="ListParagraph"/>
    <w:uiPriority w:val="99"/>
    <w:locked/>
    <w:rsid w:val="00D30643"/>
    <w:rPr>
      <w:rFonts w:ascii="Cambria" w:eastAsia="Cambria" w:hAnsi="Cambria" w:cs="Cambria"/>
      <w:color w:val="000000"/>
      <w:u w:color="000000"/>
      <w:bdr w:val="nil"/>
      <w:lang w:eastAsia="es-ES"/>
    </w:rPr>
  </w:style>
  <w:style w:type="paragraph" w:styleId="BalloonText">
    <w:name w:val="Balloon Text"/>
    <w:basedOn w:val="Normal"/>
    <w:link w:val="BalloonTextChar"/>
    <w:uiPriority w:val="99"/>
    <w:semiHidden/>
    <w:unhideWhenUsed/>
    <w:rsid w:val="000F07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764"/>
    <w:rPr>
      <w:rFonts w:ascii="Tahoma" w:eastAsia="Calibri" w:hAnsi="Tahoma" w:cs="Tahoma"/>
      <w:sz w:val="16"/>
      <w:szCs w:val="16"/>
    </w:rPr>
  </w:style>
  <w:style w:type="character" w:styleId="Hyperlink">
    <w:name w:val="Hyperlink"/>
    <w:basedOn w:val="DefaultParagraphFont"/>
    <w:uiPriority w:val="99"/>
    <w:unhideWhenUsed/>
    <w:rsid w:val="008D6C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1369</Words>
  <Characters>7532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Serrano</dc:creator>
  <cp:lastModifiedBy>Fontana, Maria Eva</cp:lastModifiedBy>
  <cp:revision>4</cp:revision>
  <cp:lastPrinted>2017-09-22T15:22:00Z</cp:lastPrinted>
  <dcterms:created xsi:type="dcterms:W3CDTF">2017-09-22T15:23:00Z</dcterms:created>
  <dcterms:modified xsi:type="dcterms:W3CDTF">2018-03-09T17:13:00Z</dcterms:modified>
</cp:coreProperties>
</file>