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DB32" w14:textId="77777777" w:rsidR="00040C3A" w:rsidRPr="007D650A" w:rsidRDefault="009622E9" w:rsidP="007D650A">
      <w:pPr>
        <w:jc w:val="both"/>
        <w:rPr>
          <w:rFonts w:asciiTheme="majorHAnsi" w:hAnsiTheme="majorHAnsi" w:cs="Univers"/>
          <w:b/>
          <w:bCs/>
          <w:sz w:val="22"/>
          <w:szCs w:val="22"/>
          <w:lang w:val="es-ES"/>
        </w:rPr>
      </w:pPr>
      <w:r w:rsidRPr="0007059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B8B6271" wp14:editId="0D4C8044">
                <wp:simplePos x="0" y="0"/>
                <wp:positionH relativeFrom="column">
                  <wp:posOffset>1345592</wp:posOffset>
                </wp:positionH>
                <wp:positionV relativeFrom="paragraph">
                  <wp:posOffset>-702586</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BB4F1" w14:textId="77777777" w:rsidR="00AF7404" w:rsidRDefault="00AF7404" w:rsidP="00AE5488">
                            <w:r>
                              <w:tab/>
                            </w:r>
                          </w:p>
                          <w:p w14:paraId="688963EE" w14:textId="77777777" w:rsidR="00AF7404" w:rsidRDefault="00AF7404" w:rsidP="00AE5488"/>
                          <w:p w14:paraId="79CB8E41" w14:textId="77777777" w:rsidR="00AF7404" w:rsidRDefault="00AF7404" w:rsidP="00AE5488"/>
                          <w:p w14:paraId="111D49EE" w14:textId="77777777" w:rsidR="00AF7404" w:rsidRDefault="00AF7404" w:rsidP="00AE5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B6271" id="_x0000_t202" coordsize="21600,21600" o:spt="202" path="m,l,21600r21600,l21600,xe">
                <v:stroke joinstyle="miter"/>
                <v:path gradientshapeok="t" o:connecttype="rect"/>
              </v:shapetype>
              <v:shape id="Text Box 11" o:spid="_x0000_s1026" type="#_x0000_t202" style="position:absolute;left:0;text-align:left;margin-left:105.95pt;margin-top:-55.3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" filled="f" stroked="f" strokeweight=".5pt">
                <v:textbox>
                  <w:txbxContent>
                    <w:p w14:paraId="37EBB4F1" w14:textId="77777777" w:rsidR="00AF7404" w:rsidRDefault="00AF7404" w:rsidP="00AE5488">
                      <w:r>
                        <w:tab/>
                      </w:r>
                    </w:p>
                    <w:p w14:paraId="688963EE" w14:textId="77777777" w:rsidR="00AF7404" w:rsidRDefault="00AF7404" w:rsidP="00AE5488"/>
                    <w:p w14:paraId="79CB8E41" w14:textId="77777777" w:rsidR="00AF7404" w:rsidRDefault="00AF7404" w:rsidP="00AE5488"/>
                    <w:p w14:paraId="111D49EE" w14:textId="77777777" w:rsidR="00AF7404" w:rsidRDefault="00AF7404" w:rsidP="00AE5488"/>
                  </w:txbxContent>
                </v:textbox>
              </v:shape>
            </w:pict>
          </mc:Fallback>
        </mc:AlternateContent>
      </w:r>
      <w:r w:rsidR="001C7F2A" w:rsidRPr="0007059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AE163CE" wp14:editId="43BEAB08">
                <wp:simplePos x="0" y="0"/>
                <wp:positionH relativeFrom="column">
                  <wp:posOffset>-278296</wp:posOffset>
                </wp:positionH>
                <wp:positionV relativeFrom="paragraph">
                  <wp:posOffset>-190831</wp:posOffset>
                </wp:positionV>
                <wp:extent cx="1609725" cy="8467973"/>
                <wp:effectExtent l="0" t="0" r="9525" b="9525"/>
                <wp:wrapNone/>
                <wp:docPr id="1" name="Rectangle 1"/>
                <wp:cNvGraphicFramePr/>
                <a:graphic xmlns:a="http://schemas.openxmlformats.org/drawingml/2006/main">
                  <a:graphicData uri="http://schemas.microsoft.com/office/word/2010/wordprocessingShape">
                    <wps:wsp>
                      <wps:cNvSpPr/>
                      <wps:spPr>
                        <a:xfrm>
                          <a:off x="0" y="0"/>
                          <a:ext cx="1609725" cy="8467973"/>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81C9" id="Rectangle 1" o:spid="_x0000_s1026" style="position:absolute;margin-left:-21.9pt;margin-top:-15.05pt;width:126.75pt;height:666.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" fillcolor="#4a7194" stroked="f" strokeweight="2pt"/>
            </w:pict>
          </mc:Fallback>
        </mc:AlternateContent>
      </w:r>
      <w:r w:rsidR="009A7B46">
        <w:rPr>
          <w:noProof/>
        </w:rPr>
        <w:t xml:space="preserve">                                      </w:t>
      </w:r>
      <w:r w:rsidR="001C7F2A">
        <w:rPr>
          <w:noProof/>
        </w:rPr>
        <w:drawing>
          <wp:inline distT="0" distB="0" distL="0" distR="0" wp14:anchorId="04B4198B" wp14:editId="0C448F7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666" cy="509676"/>
                    </a:xfrm>
                    <a:prstGeom prst="rect">
                      <a:avLst/>
                    </a:prstGeom>
                    <a:noFill/>
                    <a:ln>
                      <a:noFill/>
                    </a:ln>
                  </pic:spPr>
                </pic:pic>
              </a:graphicData>
            </a:graphic>
          </wp:inline>
        </w:drawing>
      </w:r>
    </w:p>
    <w:p w14:paraId="50E31A07" w14:textId="77777777" w:rsidR="005128E4" w:rsidRPr="00070598" w:rsidRDefault="001C7F2A" w:rsidP="00040C3A">
      <w:pPr>
        <w:tabs>
          <w:tab w:val="center" w:pos="5400"/>
        </w:tabs>
        <w:suppressAutoHyphens/>
        <w:rPr>
          <w:rFonts w:asciiTheme="majorHAnsi" w:hAnsiTheme="majorHAnsi"/>
          <w:sz w:val="22"/>
          <w:szCs w:val="22"/>
          <w:lang w:val="es-ES"/>
        </w:rPr>
      </w:pPr>
      <w:r>
        <w:rPr>
          <w:noProof/>
        </w:rPr>
        <w:t xml:space="preserve"> </w:t>
      </w:r>
    </w:p>
    <w:p w14:paraId="336A6AF7" w14:textId="77777777" w:rsidR="005128E4" w:rsidRPr="00070598" w:rsidRDefault="005128E4" w:rsidP="00040C3A">
      <w:pPr>
        <w:tabs>
          <w:tab w:val="center" w:pos="5400"/>
        </w:tabs>
        <w:suppressAutoHyphens/>
        <w:rPr>
          <w:rFonts w:asciiTheme="majorHAnsi" w:hAnsiTheme="majorHAnsi"/>
          <w:sz w:val="22"/>
          <w:szCs w:val="22"/>
          <w:lang w:val="es-ES"/>
        </w:rPr>
      </w:pPr>
    </w:p>
    <w:p w14:paraId="14965934" w14:textId="77777777" w:rsidR="005128E4" w:rsidRPr="00070598" w:rsidRDefault="002603C5" w:rsidP="00040C3A">
      <w:pPr>
        <w:tabs>
          <w:tab w:val="center" w:pos="5400"/>
        </w:tabs>
        <w:suppressAutoHyphens/>
        <w:rPr>
          <w:rFonts w:asciiTheme="majorHAnsi" w:hAnsiTheme="majorHAnsi"/>
          <w:sz w:val="22"/>
          <w:szCs w:val="22"/>
          <w:lang w:val="es-ES"/>
        </w:rPr>
      </w:pPr>
      <w:r>
        <w:rPr>
          <w:noProof/>
        </w:rPr>
        <w:t xml:space="preserve"> </w:t>
      </w:r>
    </w:p>
    <w:p w14:paraId="66E8E0B4" w14:textId="77777777" w:rsidR="00040C3A" w:rsidRPr="00070598" w:rsidRDefault="00040C3A" w:rsidP="005128E4">
      <w:pPr>
        <w:tabs>
          <w:tab w:val="center" w:pos="5400"/>
        </w:tabs>
        <w:suppressAutoHyphens/>
        <w:jc w:val="center"/>
        <w:rPr>
          <w:rFonts w:asciiTheme="majorHAnsi" w:hAnsiTheme="majorHAnsi"/>
          <w:sz w:val="22"/>
          <w:szCs w:val="22"/>
          <w:lang w:val="es-ES"/>
        </w:rPr>
      </w:pPr>
    </w:p>
    <w:p w14:paraId="0F0137CE" w14:textId="77777777" w:rsidR="00040C3A" w:rsidRPr="00070598" w:rsidRDefault="00040C3A" w:rsidP="005128E4">
      <w:pPr>
        <w:tabs>
          <w:tab w:val="center" w:pos="5400"/>
        </w:tabs>
        <w:suppressAutoHyphens/>
        <w:jc w:val="center"/>
        <w:rPr>
          <w:rFonts w:asciiTheme="majorHAnsi" w:hAnsiTheme="majorHAnsi"/>
          <w:sz w:val="22"/>
          <w:szCs w:val="22"/>
          <w:lang w:val="es-ES"/>
        </w:rPr>
      </w:pPr>
    </w:p>
    <w:p w14:paraId="3CC68838" w14:textId="77777777" w:rsidR="005B52B0" w:rsidRPr="00070598" w:rsidRDefault="005B52B0" w:rsidP="005128E4">
      <w:pPr>
        <w:tabs>
          <w:tab w:val="center" w:pos="5400"/>
        </w:tabs>
        <w:suppressAutoHyphens/>
        <w:jc w:val="center"/>
        <w:rPr>
          <w:rFonts w:asciiTheme="majorHAnsi" w:hAnsiTheme="majorHAnsi"/>
          <w:sz w:val="22"/>
          <w:szCs w:val="22"/>
          <w:lang w:val="es-ES"/>
        </w:rPr>
      </w:pPr>
    </w:p>
    <w:p w14:paraId="27649088" w14:textId="77777777" w:rsidR="005B52B0" w:rsidRPr="00070598" w:rsidRDefault="005B52B0" w:rsidP="005128E4">
      <w:pPr>
        <w:tabs>
          <w:tab w:val="center" w:pos="5400"/>
        </w:tabs>
        <w:suppressAutoHyphens/>
        <w:jc w:val="center"/>
        <w:rPr>
          <w:rFonts w:asciiTheme="majorHAnsi" w:hAnsiTheme="majorHAnsi"/>
          <w:sz w:val="22"/>
          <w:szCs w:val="22"/>
          <w:lang w:val="es-ES"/>
        </w:rPr>
      </w:pPr>
    </w:p>
    <w:p w14:paraId="5809701F" w14:textId="77777777" w:rsidR="005B52B0" w:rsidRPr="00070598" w:rsidRDefault="005B52B0" w:rsidP="005128E4">
      <w:pPr>
        <w:tabs>
          <w:tab w:val="center" w:pos="5400"/>
        </w:tabs>
        <w:suppressAutoHyphens/>
        <w:jc w:val="center"/>
        <w:rPr>
          <w:rFonts w:asciiTheme="majorHAnsi" w:hAnsiTheme="majorHAnsi"/>
          <w:sz w:val="22"/>
          <w:szCs w:val="22"/>
          <w:lang w:val="es-ES"/>
        </w:rPr>
      </w:pPr>
    </w:p>
    <w:p w14:paraId="7D1F305F"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308FA7EB"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1229C282" w14:textId="77777777" w:rsidR="00040C3A" w:rsidRPr="00070598" w:rsidRDefault="00093230" w:rsidP="00040C3A">
      <w:pPr>
        <w:tabs>
          <w:tab w:val="center" w:pos="5400"/>
        </w:tabs>
        <w:suppressAutoHyphens/>
        <w:jc w:val="center"/>
        <w:rPr>
          <w:rFonts w:asciiTheme="majorHAnsi" w:hAnsiTheme="majorHAnsi"/>
          <w:sz w:val="22"/>
          <w:szCs w:val="22"/>
          <w:lang w:val="es-ES"/>
        </w:rPr>
      </w:pPr>
      <w:r w:rsidRPr="0007059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D416568" wp14:editId="10DC2D10">
                <wp:simplePos x="0" y="0"/>
                <wp:positionH relativeFrom="column">
                  <wp:posOffset>-345057</wp:posOffset>
                </wp:positionH>
                <wp:positionV relativeFrom="paragraph">
                  <wp:posOffset>168491</wp:posOffset>
                </wp:positionV>
                <wp:extent cx="161314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1314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FEF47" w14:textId="77777777" w:rsidR="00AF7404" w:rsidRPr="004C5074" w:rsidRDefault="005E6B01" w:rsidP="007A5817">
                            <w:pPr>
                              <w:spacing w:line="276" w:lineRule="auto"/>
                              <w:jc w:val="right"/>
                              <w:rPr>
                                <w:rFonts w:asciiTheme="minorHAnsi" w:hAnsiTheme="minorHAnsi"/>
                                <w:color w:val="FFFFFF" w:themeColor="background1"/>
                                <w:sz w:val="22"/>
                                <w:lang w:val="pt-BR"/>
                              </w:rPr>
                            </w:pPr>
                            <w:r w:rsidRPr="004C5074">
                              <w:rPr>
                                <w:rFonts w:asciiTheme="minorHAnsi" w:hAnsiTheme="minorHAnsi"/>
                                <w:color w:val="FFFFFF" w:themeColor="background1"/>
                                <w:sz w:val="22"/>
                                <w:lang w:val="pt-BR"/>
                              </w:rPr>
                              <w:t>OEA/Ser.L/V/II</w:t>
                            </w:r>
                            <w:r w:rsidR="00AF7404" w:rsidRPr="004C5074">
                              <w:rPr>
                                <w:rFonts w:asciiTheme="minorHAnsi" w:hAnsiTheme="minorHAnsi"/>
                                <w:color w:val="FFFFFF" w:themeColor="background1"/>
                                <w:sz w:val="22"/>
                                <w:lang w:val="pt-BR"/>
                              </w:rPr>
                              <w:t>.172</w:t>
                            </w:r>
                          </w:p>
                          <w:p w14:paraId="316B35CF" w14:textId="77777777" w:rsidR="00AF7404" w:rsidRPr="004C5074" w:rsidRDefault="00AF7404" w:rsidP="007A5817">
                            <w:pPr>
                              <w:spacing w:line="276" w:lineRule="auto"/>
                              <w:jc w:val="right"/>
                              <w:rPr>
                                <w:rFonts w:asciiTheme="minorHAnsi" w:hAnsiTheme="minorHAnsi"/>
                                <w:color w:val="FFFFFF" w:themeColor="background1"/>
                                <w:sz w:val="22"/>
                                <w:lang w:val="pt-BR"/>
                              </w:rPr>
                            </w:pPr>
                            <w:r w:rsidRPr="004C5074">
                              <w:rPr>
                                <w:rFonts w:asciiTheme="minorHAnsi" w:hAnsiTheme="minorHAnsi"/>
                                <w:color w:val="FFFFFF" w:themeColor="background1"/>
                                <w:sz w:val="22"/>
                                <w:lang w:val="pt-BR"/>
                              </w:rPr>
                              <w:t>Doc. 69</w:t>
                            </w:r>
                          </w:p>
                          <w:p w14:paraId="78FC16D2" w14:textId="77777777" w:rsidR="00AF7404" w:rsidRPr="005E6B01" w:rsidRDefault="00AF7404" w:rsidP="007A5817">
                            <w:pPr>
                              <w:spacing w:line="276" w:lineRule="auto"/>
                              <w:jc w:val="right"/>
                              <w:rPr>
                                <w:rFonts w:asciiTheme="minorHAnsi" w:hAnsiTheme="minorHAnsi"/>
                                <w:color w:val="FFFFFF" w:themeColor="background1"/>
                                <w:sz w:val="22"/>
                                <w:lang w:val="es-VE"/>
                              </w:rPr>
                            </w:pPr>
                            <w:r w:rsidRPr="005E6B01">
                              <w:rPr>
                                <w:rFonts w:asciiTheme="minorHAnsi" w:hAnsiTheme="minorHAnsi"/>
                                <w:color w:val="FFFFFF" w:themeColor="background1"/>
                                <w:sz w:val="22"/>
                                <w:lang w:val="es-VE"/>
                              </w:rPr>
                              <w:t>4 de mayo 2019</w:t>
                            </w:r>
                          </w:p>
                          <w:p w14:paraId="7A046135" w14:textId="77777777" w:rsidR="00AF7404" w:rsidRPr="007C756A" w:rsidRDefault="00AF7404"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16568" id="Text Box 8" o:spid="_x0000_s1027" type="#_x0000_t202" style="position:absolute;left:0;text-align:left;margin-left:-27.15pt;margin-top:13.25pt;width:127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" filled="f" stroked="f" strokeweight=".5pt">
                <v:textbox>
                  <w:txbxContent>
                    <w:p w14:paraId="2E5FEF47" w14:textId="77777777" w:rsidR="00AF7404" w:rsidRPr="004C5074" w:rsidRDefault="005E6B01" w:rsidP="007A5817">
                      <w:pPr>
                        <w:spacing w:line="276" w:lineRule="auto"/>
                        <w:jc w:val="right"/>
                        <w:rPr>
                          <w:rFonts w:asciiTheme="minorHAnsi" w:hAnsiTheme="minorHAnsi"/>
                          <w:color w:val="FFFFFF" w:themeColor="background1"/>
                          <w:sz w:val="22"/>
                          <w:lang w:val="pt-BR"/>
                        </w:rPr>
                      </w:pPr>
                      <w:r w:rsidRPr="004C5074">
                        <w:rPr>
                          <w:rFonts w:asciiTheme="minorHAnsi" w:hAnsiTheme="minorHAnsi"/>
                          <w:color w:val="FFFFFF" w:themeColor="background1"/>
                          <w:sz w:val="22"/>
                          <w:lang w:val="pt-BR"/>
                        </w:rPr>
                        <w:t>OEA/Ser.L/V/II</w:t>
                      </w:r>
                      <w:r w:rsidR="00AF7404" w:rsidRPr="004C5074">
                        <w:rPr>
                          <w:rFonts w:asciiTheme="minorHAnsi" w:hAnsiTheme="minorHAnsi"/>
                          <w:color w:val="FFFFFF" w:themeColor="background1"/>
                          <w:sz w:val="22"/>
                          <w:lang w:val="pt-BR"/>
                        </w:rPr>
                        <w:t>.172</w:t>
                      </w:r>
                    </w:p>
                    <w:p w14:paraId="316B35CF" w14:textId="77777777" w:rsidR="00AF7404" w:rsidRPr="004C5074" w:rsidRDefault="00AF7404" w:rsidP="007A5817">
                      <w:pPr>
                        <w:spacing w:line="276" w:lineRule="auto"/>
                        <w:jc w:val="right"/>
                        <w:rPr>
                          <w:rFonts w:asciiTheme="minorHAnsi" w:hAnsiTheme="minorHAnsi"/>
                          <w:color w:val="FFFFFF" w:themeColor="background1"/>
                          <w:sz w:val="22"/>
                          <w:lang w:val="pt-BR"/>
                        </w:rPr>
                      </w:pPr>
                      <w:r w:rsidRPr="004C5074">
                        <w:rPr>
                          <w:rFonts w:asciiTheme="minorHAnsi" w:hAnsiTheme="minorHAnsi"/>
                          <w:color w:val="FFFFFF" w:themeColor="background1"/>
                          <w:sz w:val="22"/>
                          <w:lang w:val="pt-BR"/>
                        </w:rPr>
                        <w:t>Doc. 69</w:t>
                      </w:r>
                    </w:p>
                    <w:p w14:paraId="78FC16D2" w14:textId="77777777" w:rsidR="00AF7404" w:rsidRPr="005E6B01" w:rsidRDefault="00AF7404" w:rsidP="007A5817">
                      <w:pPr>
                        <w:spacing w:line="276" w:lineRule="auto"/>
                        <w:jc w:val="right"/>
                        <w:rPr>
                          <w:rFonts w:asciiTheme="minorHAnsi" w:hAnsiTheme="minorHAnsi"/>
                          <w:color w:val="FFFFFF" w:themeColor="background1"/>
                          <w:sz w:val="22"/>
                          <w:lang w:val="es-VE"/>
                        </w:rPr>
                      </w:pPr>
                      <w:r w:rsidRPr="005E6B01">
                        <w:rPr>
                          <w:rFonts w:asciiTheme="minorHAnsi" w:hAnsiTheme="minorHAnsi"/>
                          <w:color w:val="FFFFFF" w:themeColor="background1"/>
                          <w:sz w:val="22"/>
                          <w:lang w:val="es-VE"/>
                        </w:rPr>
                        <w:t>4 de mayo 2019</w:t>
                      </w:r>
                    </w:p>
                    <w:p w14:paraId="7A046135" w14:textId="77777777" w:rsidR="00AF7404" w:rsidRPr="007C756A" w:rsidRDefault="00AF7404"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r w:rsidR="003D3BC2" w:rsidRPr="0007059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9B96FF7" wp14:editId="0A09369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802CC" w14:textId="77777777" w:rsidR="00AF7404" w:rsidRPr="00FC588E" w:rsidRDefault="00AF7404" w:rsidP="00997BC5">
                            <w:pPr>
                              <w:spacing w:line="276" w:lineRule="auto"/>
                              <w:rPr>
                                <w:rFonts w:asciiTheme="majorHAnsi" w:hAnsiTheme="majorHAnsi" w:cs="Arial"/>
                                <w:b/>
                                <w:bCs/>
                                <w:color w:val="0D0D0D" w:themeColor="text1" w:themeTint="F2"/>
                                <w:sz w:val="36"/>
                                <w:szCs w:val="22"/>
                                <w:lang w:val="es-CO"/>
                              </w:rPr>
                            </w:pPr>
                            <w:r>
                              <w:rPr>
                                <w:rFonts w:asciiTheme="majorHAnsi" w:hAnsiTheme="majorHAnsi" w:cs="Arial"/>
                                <w:b/>
                                <w:bCs/>
                                <w:color w:val="0D0D0D" w:themeColor="text1" w:themeTint="F2"/>
                                <w:sz w:val="36"/>
                                <w:szCs w:val="22"/>
                                <w:lang w:val="es-CO"/>
                              </w:rPr>
                              <w:t xml:space="preserve"> </w:t>
                            </w:r>
                            <w:r w:rsidRPr="00FC588E">
                              <w:rPr>
                                <w:rFonts w:asciiTheme="majorHAnsi" w:hAnsiTheme="majorHAnsi" w:cs="Arial"/>
                                <w:b/>
                                <w:bCs/>
                                <w:color w:val="0D0D0D" w:themeColor="text1" w:themeTint="F2"/>
                                <w:sz w:val="36"/>
                                <w:szCs w:val="22"/>
                                <w:lang w:val="es-CO"/>
                              </w:rPr>
                              <w:t xml:space="preserve">INFORME </w:t>
                            </w:r>
                            <w:r w:rsidRPr="00FC588E">
                              <w:rPr>
                                <w:rFonts w:asciiTheme="majorHAnsi" w:hAnsiTheme="majorHAnsi" w:cs="Arial"/>
                                <w:b/>
                                <w:bCs/>
                                <w:color w:val="0D0D0D" w:themeColor="text1" w:themeTint="F2"/>
                                <w:sz w:val="36"/>
                                <w:szCs w:val="40"/>
                                <w:lang w:val="es-CO"/>
                              </w:rPr>
                              <w:t>No.</w:t>
                            </w:r>
                            <w:r>
                              <w:rPr>
                                <w:rFonts w:asciiTheme="majorHAnsi" w:hAnsiTheme="majorHAnsi" w:cs="Arial"/>
                                <w:b/>
                                <w:bCs/>
                                <w:color w:val="0D0D0D" w:themeColor="text1" w:themeTint="F2"/>
                                <w:sz w:val="36"/>
                                <w:szCs w:val="22"/>
                                <w:lang w:val="es-CO"/>
                              </w:rPr>
                              <w:t xml:space="preserve"> 60/19</w:t>
                            </w:r>
                          </w:p>
                          <w:p w14:paraId="0C504C3E" w14:textId="77777777" w:rsidR="00AF7404" w:rsidRPr="00865322" w:rsidRDefault="00AF7404" w:rsidP="00997BC5">
                            <w:pPr>
                              <w:spacing w:line="276" w:lineRule="auto"/>
                              <w:rPr>
                                <w:rFonts w:asciiTheme="majorHAnsi" w:hAnsiTheme="majorHAnsi" w:cs="Arial"/>
                                <w:b/>
                                <w:color w:val="0D0D0D" w:themeColor="text1" w:themeTint="F2"/>
                                <w:sz w:val="36"/>
                                <w:szCs w:val="22"/>
                                <w:lang w:val="es-CO"/>
                              </w:rPr>
                            </w:pPr>
                            <w:r>
                              <w:rPr>
                                <w:rFonts w:asciiTheme="majorHAnsi" w:hAnsiTheme="majorHAnsi" w:cs="Arial"/>
                                <w:b/>
                                <w:color w:val="0D0D0D" w:themeColor="text1" w:themeTint="F2"/>
                                <w:sz w:val="36"/>
                                <w:szCs w:val="22"/>
                                <w:lang w:val="es-CO"/>
                              </w:rPr>
                              <w:t xml:space="preserve"> </w:t>
                            </w:r>
                            <w:r w:rsidRPr="00865322">
                              <w:rPr>
                                <w:rFonts w:asciiTheme="majorHAnsi" w:hAnsiTheme="majorHAnsi" w:cs="Arial"/>
                                <w:b/>
                                <w:color w:val="0D0D0D" w:themeColor="text1" w:themeTint="F2"/>
                                <w:sz w:val="36"/>
                                <w:szCs w:val="22"/>
                                <w:lang w:val="es-CO"/>
                              </w:rPr>
                              <w:t>CASO 12.744</w:t>
                            </w:r>
                          </w:p>
                          <w:p w14:paraId="7F898B03" w14:textId="77777777" w:rsidR="00AF7404" w:rsidRPr="0010736F" w:rsidRDefault="00AF7404"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 INFORME DE FONDO</w:t>
                            </w:r>
                            <w:r w:rsidRPr="0010736F">
                              <w:rPr>
                                <w:rFonts w:asciiTheme="majorHAnsi" w:hAnsiTheme="majorHAnsi" w:cs="Arial"/>
                                <w:color w:val="0D0D0D" w:themeColor="text1" w:themeTint="F2"/>
                                <w:szCs w:val="22"/>
                                <w:lang w:val="es-ES_tradnl"/>
                              </w:rPr>
                              <w:t xml:space="preserve"> </w:t>
                            </w:r>
                          </w:p>
                          <w:p w14:paraId="5AA6DD89" w14:textId="77777777" w:rsidR="00AF7404" w:rsidRPr="0010736F" w:rsidRDefault="00AF7404" w:rsidP="00997BC5">
                            <w:pPr>
                              <w:spacing w:line="276" w:lineRule="auto"/>
                              <w:rPr>
                                <w:rFonts w:asciiTheme="majorHAnsi" w:hAnsiTheme="majorHAnsi" w:cs="Arial"/>
                                <w:color w:val="0D0D0D" w:themeColor="text1" w:themeTint="F2"/>
                                <w:szCs w:val="22"/>
                                <w:lang w:val="es-ES_tradnl"/>
                              </w:rPr>
                            </w:pPr>
                            <w:bookmarkStart w:id="0" w:name="_ftnref1"/>
                          </w:p>
                          <w:p w14:paraId="4E8DBCE4" w14:textId="77777777" w:rsidR="00AF7404" w:rsidRDefault="00AF74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 FREDY MARCELO NUÑEZ NARANJO Y OTROS</w:t>
                            </w:r>
                          </w:p>
                          <w:bookmarkEnd w:id="0"/>
                          <w:p w14:paraId="2E9454CA" w14:textId="77777777" w:rsidR="00AF7404" w:rsidRPr="0010736F" w:rsidRDefault="00AF740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 ECUADOR</w:t>
                            </w:r>
                          </w:p>
                          <w:p w14:paraId="0B859AAF" w14:textId="77777777" w:rsidR="00AF7404" w:rsidRPr="00AE5488" w:rsidRDefault="00AF740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96FF7"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76B802CC" w14:textId="77777777" w:rsidR="00AF7404" w:rsidRPr="00FC588E" w:rsidRDefault="00AF7404" w:rsidP="00997BC5">
                      <w:pPr>
                        <w:spacing w:line="276" w:lineRule="auto"/>
                        <w:rPr>
                          <w:rFonts w:asciiTheme="majorHAnsi" w:hAnsiTheme="majorHAnsi" w:cs="Arial"/>
                          <w:b/>
                          <w:bCs/>
                          <w:color w:val="0D0D0D" w:themeColor="text1" w:themeTint="F2"/>
                          <w:sz w:val="36"/>
                          <w:szCs w:val="22"/>
                          <w:lang w:val="es-CO"/>
                        </w:rPr>
                      </w:pPr>
                      <w:r>
                        <w:rPr>
                          <w:rFonts w:asciiTheme="majorHAnsi" w:hAnsiTheme="majorHAnsi" w:cs="Arial"/>
                          <w:b/>
                          <w:bCs/>
                          <w:color w:val="0D0D0D" w:themeColor="text1" w:themeTint="F2"/>
                          <w:sz w:val="36"/>
                          <w:szCs w:val="22"/>
                          <w:lang w:val="es-CO"/>
                        </w:rPr>
                        <w:t xml:space="preserve"> </w:t>
                      </w:r>
                      <w:r w:rsidRPr="00FC588E">
                        <w:rPr>
                          <w:rFonts w:asciiTheme="majorHAnsi" w:hAnsiTheme="majorHAnsi" w:cs="Arial"/>
                          <w:b/>
                          <w:bCs/>
                          <w:color w:val="0D0D0D" w:themeColor="text1" w:themeTint="F2"/>
                          <w:sz w:val="36"/>
                          <w:szCs w:val="22"/>
                          <w:lang w:val="es-CO"/>
                        </w:rPr>
                        <w:t xml:space="preserve">INFORME </w:t>
                      </w:r>
                      <w:r w:rsidRPr="00FC588E">
                        <w:rPr>
                          <w:rFonts w:asciiTheme="majorHAnsi" w:hAnsiTheme="majorHAnsi" w:cs="Arial"/>
                          <w:b/>
                          <w:bCs/>
                          <w:color w:val="0D0D0D" w:themeColor="text1" w:themeTint="F2"/>
                          <w:sz w:val="36"/>
                          <w:szCs w:val="40"/>
                          <w:lang w:val="es-CO"/>
                        </w:rPr>
                        <w:t>No.</w:t>
                      </w:r>
                      <w:r>
                        <w:rPr>
                          <w:rFonts w:asciiTheme="majorHAnsi" w:hAnsiTheme="majorHAnsi" w:cs="Arial"/>
                          <w:b/>
                          <w:bCs/>
                          <w:color w:val="0D0D0D" w:themeColor="text1" w:themeTint="F2"/>
                          <w:sz w:val="36"/>
                          <w:szCs w:val="22"/>
                          <w:lang w:val="es-CO"/>
                        </w:rPr>
                        <w:t xml:space="preserve"> 60/19</w:t>
                      </w:r>
                    </w:p>
                    <w:p w14:paraId="0C504C3E" w14:textId="77777777" w:rsidR="00AF7404" w:rsidRPr="00865322" w:rsidRDefault="00AF7404" w:rsidP="00997BC5">
                      <w:pPr>
                        <w:spacing w:line="276" w:lineRule="auto"/>
                        <w:rPr>
                          <w:rFonts w:asciiTheme="majorHAnsi" w:hAnsiTheme="majorHAnsi" w:cs="Arial"/>
                          <w:b/>
                          <w:color w:val="0D0D0D" w:themeColor="text1" w:themeTint="F2"/>
                          <w:sz w:val="36"/>
                          <w:szCs w:val="22"/>
                          <w:lang w:val="es-CO"/>
                        </w:rPr>
                      </w:pPr>
                      <w:r>
                        <w:rPr>
                          <w:rFonts w:asciiTheme="majorHAnsi" w:hAnsiTheme="majorHAnsi" w:cs="Arial"/>
                          <w:b/>
                          <w:color w:val="0D0D0D" w:themeColor="text1" w:themeTint="F2"/>
                          <w:sz w:val="36"/>
                          <w:szCs w:val="22"/>
                          <w:lang w:val="es-CO"/>
                        </w:rPr>
                        <w:t xml:space="preserve"> </w:t>
                      </w:r>
                      <w:r w:rsidRPr="00865322">
                        <w:rPr>
                          <w:rFonts w:asciiTheme="majorHAnsi" w:hAnsiTheme="majorHAnsi" w:cs="Arial"/>
                          <w:b/>
                          <w:color w:val="0D0D0D" w:themeColor="text1" w:themeTint="F2"/>
                          <w:sz w:val="36"/>
                          <w:szCs w:val="22"/>
                          <w:lang w:val="es-CO"/>
                        </w:rPr>
                        <w:t>CASO 12.744</w:t>
                      </w:r>
                    </w:p>
                    <w:p w14:paraId="7F898B03" w14:textId="77777777" w:rsidR="00AF7404" w:rsidRPr="0010736F" w:rsidRDefault="00AF7404"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 INFORME DE FONDO</w:t>
                      </w:r>
                      <w:r w:rsidRPr="0010736F">
                        <w:rPr>
                          <w:rFonts w:asciiTheme="majorHAnsi" w:hAnsiTheme="majorHAnsi" w:cs="Arial"/>
                          <w:color w:val="0D0D0D" w:themeColor="text1" w:themeTint="F2"/>
                          <w:szCs w:val="22"/>
                          <w:lang w:val="es-ES_tradnl"/>
                        </w:rPr>
                        <w:t xml:space="preserve"> </w:t>
                      </w:r>
                    </w:p>
                    <w:p w14:paraId="5AA6DD89" w14:textId="77777777" w:rsidR="00AF7404" w:rsidRPr="0010736F" w:rsidRDefault="00AF7404" w:rsidP="00997BC5">
                      <w:pPr>
                        <w:spacing w:line="276" w:lineRule="auto"/>
                        <w:rPr>
                          <w:rFonts w:asciiTheme="majorHAnsi" w:hAnsiTheme="majorHAnsi" w:cs="Arial"/>
                          <w:color w:val="0D0D0D" w:themeColor="text1" w:themeTint="F2"/>
                          <w:szCs w:val="22"/>
                          <w:lang w:val="es-ES_tradnl"/>
                        </w:rPr>
                      </w:pPr>
                      <w:bookmarkStart w:id="1" w:name="_ftnref1"/>
                    </w:p>
                    <w:p w14:paraId="4E8DBCE4" w14:textId="77777777" w:rsidR="00AF7404" w:rsidRDefault="00AF74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 FREDY MARCELO NUÑEZ NARANJO Y OTROS</w:t>
                      </w:r>
                    </w:p>
                    <w:bookmarkEnd w:id="1"/>
                    <w:p w14:paraId="2E9454CA" w14:textId="77777777" w:rsidR="00AF7404" w:rsidRPr="0010736F" w:rsidRDefault="00AF740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 ECUADOR</w:t>
                      </w:r>
                    </w:p>
                    <w:p w14:paraId="0B859AAF" w14:textId="77777777" w:rsidR="00AF7404" w:rsidRPr="00AE5488" w:rsidRDefault="00AF7404" w:rsidP="007A5817">
                      <w:pPr>
                        <w:rPr>
                          <w:color w:val="0D0D0D" w:themeColor="text1" w:themeTint="F2"/>
                          <w:lang w:val="es-ES_tradnl"/>
                        </w:rPr>
                      </w:pPr>
                    </w:p>
                  </w:txbxContent>
                </v:textbox>
              </v:shape>
            </w:pict>
          </mc:Fallback>
        </mc:AlternateContent>
      </w:r>
    </w:p>
    <w:p w14:paraId="6717AA6C"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11F1F017"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099469B1" w14:textId="77777777" w:rsidR="00040C3A" w:rsidRPr="00070598" w:rsidRDefault="00040C3A" w:rsidP="00040C3A">
      <w:pPr>
        <w:tabs>
          <w:tab w:val="center" w:pos="5400"/>
        </w:tabs>
        <w:suppressAutoHyphens/>
        <w:jc w:val="center"/>
        <w:rPr>
          <w:rFonts w:asciiTheme="majorHAnsi" w:hAnsiTheme="majorHAnsi" w:cs="Arial"/>
          <w:sz w:val="22"/>
          <w:szCs w:val="22"/>
          <w:lang w:val="es-ES"/>
        </w:rPr>
      </w:pPr>
    </w:p>
    <w:p w14:paraId="1DA75BC8"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3878CF23"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0DAF567F"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1A960561"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08591968" w14:textId="77777777" w:rsidR="005128E4" w:rsidRPr="00070598" w:rsidRDefault="005128E4" w:rsidP="00040C3A">
      <w:pPr>
        <w:tabs>
          <w:tab w:val="center" w:pos="5400"/>
        </w:tabs>
        <w:suppressAutoHyphens/>
        <w:jc w:val="center"/>
        <w:rPr>
          <w:rFonts w:asciiTheme="majorHAnsi" w:hAnsiTheme="majorHAnsi"/>
          <w:sz w:val="22"/>
          <w:szCs w:val="22"/>
          <w:lang w:val="es-ES"/>
        </w:rPr>
      </w:pPr>
    </w:p>
    <w:p w14:paraId="5D3062FA"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2451F381" w14:textId="77777777" w:rsidR="005128E4" w:rsidRPr="00070598" w:rsidRDefault="005128E4" w:rsidP="00040C3A">
      <w:pPr>
        <w:tabs>
          <w:tab w:val="center" w:pos="5400"/>
        </w:tabs>
        <w:suppressAutoHyphens/>
        <w:jc w:val="center"/>
        <w:rPr>
          <w:rFonts w:asciiTheme="majorHAnsi" w:hAnsiTheme="majorHAnsi"/>
          <w:sz w:val="22"/>
          <w:szCs w:val="22"/>
          <w:lang w:val="es-ES"/>
        </w:rPr>
      </w:pPr>
    </w:p>
    <w:p w14:paraId="76F757CE" w14:textId="77777777" w:rsidR="005128E4" w:rsidRPr="00070598" w:rsidRDefault="005128E4" w:rsidP="00040C3A">
      <w:pPr>
        <w:tabs>
          <w:tab w:val="center" w:pos="5400"/>
        </w:tabs>
        <w:suppressAutoHyphens/>
        <w:jc w:val="center"/>
        <w:rPr>
          <w:rFonts w:asciiTheme="majorHAnsi" w:hAnsiTheme="majorHAnsi"/>
          <w:sz w:val="22"/>
          <w:szCs w:val="22"/>
          <w:lang w:val="es-ES"/>
        </w:rPr>
      </w:pPr>
    </w:p>
    <w:p w14:paraId="09F05FAB" w14:textId="77777777" w:rsidR="005128E4" w:rsidRPr="00070598" w:rsidRDefault="005128E4" w:rsidP="00040C3A">
      <w:pPr>
        <w:tabs>
          <w:tab w:val="center" w:pos="5400"/>
        </w:tabs>
        <w:suppressAutoHyphens/>
        <w:jc w:val="center"/>
        <w:rPr>
          <w:rFonts w:asciiTheme="majorHAnsi" w:hAnsiTheme="majorHAnsi"/>
          <w:sz w:val="22"/>
          <w:szCs w:val="22"/>
          <w:lang w:val="es-ES"/>
        </w:rPr>
      </w:pPr>
    </w:p>
    <w:p w14:paraId="6592D0E6"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4C650715" w14:textId="77777777" w:rsidR="00040C3A" w:rsidRPr="00070598" w:rsidRDefault="00040C3A" w:rsidP="00040C3A">
      <w:pPr>
        <w:tabs>
          <w:tab w:val="center" w:pos="5400"/>
        </w:tabs>
        <w:suppressAutoHyphens/>
        <w:jc w:val="center"/>
        <w:rPr>
          <w:rFonts w:asciiTheme="majorHAnsi" w:hAnsiTheme="majorHAnsi"/>
          <w:sz w:val="22"/>
          <w:szCs w:val="22"/>
          <w:lang w:val="es-ES"/>
        </w:rPr>
      </w:pPr>
    </w:p>
    <w:p w14:paraId="5ACD9050" w14:textId="77777777" w:rsidR="00A50FCF" w:rsidRPr="00070598" w:rsidRDefault="00A50FCF" w:rsidP="001C7F2A">
      <w:pPr>
        <w:tabs>
          <w:tab w:val="center" w:pos="5400"/>
        </w:tabs>
        <w:suppressAutoHyphens/>
        <w:rPr>
          <w:rFonts w:asciiTheme="majorHAnsi" w:hAnsiTheme="majorHAnsi"/>
          <w:sz w:val="18"/>
          <w:szCs w:val="22"/>
          <w:lang w:val="es-ES"/>
        </w:rPr>
      </w:pPr>
    </w:p>
    <w:p w14:paraId="1B26252E" w14:textId="77777777" w:rsidR="00A50FCF" w:rsidRPr="00070598" w:rsidRDefault="00A50FCF" w:rsidP="00040C3A">
      <w:pPr>
        <w:tabs>
          <w:tab w:val="center" w:pos="5400"/>
        </w:tabs>
        <w:suppressAutoHyphens/>
        <w:jc w:val="center"/>
        <w:rPr>
          <w:rFonts w:asciiTheme="majorHAnsi" w:hAnsiTheme="majorHAnsi"/>
          <w:sz w:val="18"/>
          <w:szCs w:val="22"/>
          <w:lang w:val="es-ES"/>
        </w:rPr>
      </w:pPr>
    </w:p>
    <w:p w14:paraId="216D2091" w14:textId="77777777" w:rsidR="00A50FCF" w:rsidRPr="00070598" w:rsidRDefault="00A50FCF" w:rsidP="00040C3A">
      <w:pPr>
        <w:tabs>
          <w:tab w:val="center" w:pos="5400"/>
        </w:tabs>
        <w:suppressAutoHyphens/>
        <w:jc w:val="center"/>
        <w:rPr>
          <w:rFonts w:asciiTheme="majorHAnsi" w:hAnsiTheme="majorHAnsi"/>
          <w:sz w:val="18"/>
          <w:szCs w:val="22"/>
          <w:lang w:val="es-ES"/>
        </w:rPr>
      </w:pPr>
    </w:p>
    <w:p w14:paraId="72871FC2" w14:textId="77777777" w:rsidR="00A50FCF" w:rsidRPr="00070598" w:rsidRDefault="00A50FCF" w:rsidP="00040C3A">
      <w:pPr>
        <w:tabs>
          <w:tab w:val="center" w:pos="5400"/>
        </w:tabs>
        <w:suppressAutoHyphens/>
        <w:jc w:val="center"/>
        <w:rPr>
          <w:rFonts w:asciiTheme="majorHAnsi" w:hAnsiTheme="majorHAnsi"/>
          <w:sz w:val="18"/>
          <w:szCs w:val="22"/>
          <w:lang w:val="es-ES"/>
        </w:rPr>
      </w:pPr>
    </w:p>
    <w:p w14:paraId="44DA4173" w14:textId="77777777" w:rsidR="00A50FCF" w:rsidRPr="00070598" w:rsidRDefault="00A50FCF" w:rsidP="00040C3A">
      <w:pPr>
        <w:tabs>
          <w:tab w:val="center" w:pos="5400"/>
        </w:tabs>
        <w:suppressAutoHyphens/>
        <w:jc w:val="center"/>
        <w:rPr>
          <w:rFonts w:asciiTheme="majorHAnsi" w:hAnsiTheme="majorHAnsi"/>
          <w:sz w:val="18"/>
          <w:szCs w:val="22"/>
          <w:lang w:val="es-ES"/>
        </w:rPr>
      </w:pPr>
    </w:p>
    <w:p w14:paraId="040DA8E1" w14:textId="77777777" w:rsidR="00A50FCF" w:rsidRPr="00070598" w:rsidRDefault="00A50FCF" w:rsidP="00040C3A">
      <w:pPr>
        <w:tabs>
          <w:tab w:val="center" w:pos="5400"/>
        </w:tabs>
        <w:suppressAutoHyphens/>
        <w:jc w:val="center"/>
        <w:rPr>
          <w:rFonts w:asciiTheme="majorHAnsi" w:hAnsiTheme="majorHAnsi"/>
          <w:sz w:val="18"/>
          <w:szCs w:val="22"/>
          <w:lang w:val="es-ES"/>
        </w:rPr>
      </w:pPr>
    </w:p>
    <w:p w14:paraId="1B1479E3" w14:textId="77777777" w:rsidR="00A50FCF" w:rsidRPr="00070598" w:rsidRDefault="00A50FCF" w:rsidP="00040C3A">
      <w:pPr>
        <w:tabs>
          <w:tab w:val="center" w:pos="5400"/>
        </w:tabs>
        <w:suppressAutoHyphens/>
        <w:jc w:val="center"/>
        <w:rPr>
          <w:rFonts w:asciiTheme="majorHAnsi" w:hAnsiTheme="majorHAnsi"/>
          <w:sz w:val="18"/>
          <w:szCs w:val="22"/>
          <w:lang w:val="es-ES"/>
        </w:rPr>
      </w:pPr>
    </w:p>
    <w:p w14:paraId="7B94AB24" w14:textId="77777777" w:rsidR="0090270B" w:rsidRPr="00070598" w:rsidRDefault="00651637" w:rsidP="005516A1">
      <w:pPr>
        <w:tabs>
          <w:tab w:val="center" w:pos="5400"/>
        </w:tabs>
        <w:suppressAutoHyphens/>
        <w:jc w:val="center"/>
        <w:rPr>
          <w:rFonts w:asciiTheme="majorHAnsi" w:hAnsiTheme="majorHAnsi"/>
          <w:b/>
          <w:sz w:val="20"/>
          <w:lang w:val="es-ES"/>
        </w:rPr>
      </w:pPr>
      <w:r w:rsidRPr="0007059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E7F185E" wp14:editId="0CD690C3">
                <wp:simplePos x="0" y="0"/>
                <wp:positionH relativeFrom="column">
                  <wp:posOffset>1359906</wp:posOffset>
                </wp:positionH>
                <wp:positionV relativeFrom="paragraph">
                  <wp:posOffset>672226</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EA217" w14:textId="77777777" w:rsidR="00AF7404" w:rsidRPr="00890650" w:rsidRDefault="00AF740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093230">
                              <w:rPr>
                                <w:rFonts w:asciiTheme="majorHAnsi" w:hAnsiTheme="majorHAnsi"/>
                                <w:color w:val="0D0D0D" w:themeColor="text1" w:themeTint="F2"/>
                                <w:sz w:val="18"/>
                                <w:szCs w:val="20"/>
                                <w:lang w:val="es-ES"/>
                              </w:rPr>
                              <w:t>Aprobado por</w:t>
                            </w:r>
                            <w:r>
                              <w:rPr>
                                <w:rFonts w:asciiTheme="majorHAnsi" w:hAnsiTheme="majorHAnsi"/>
                                <w:color w:val="0D0D0D" w:themeColor="text1" w:themeTint="F2"/>
                                <w:sz w:val="18"/>
                                <w:szCs w:val="20"/>
                                <w:lang w:val="es-ES"/>
                              </w:rPr>
                              <w:t xml:space="preserve"> la Comisión en su sesión No. 2150 celebrada el 4 de mayo</w:t>
                            </w:r>
                            <w:r w:rsidRPr="00093230">
                              <w:rPr>
                                <w:rFonts w:asciiTheme="majorHAnsi" w:hAnsiTheme="majorHAnsi"/>
                                <w:color w:val="0D0D0D" w:themeColor="text1" w:themeTint="F2"/>
                                <w:sz w:val="18"/>
                                <w:szCs w:val="20"/>
                                <w:lang w:val="es-ES"/>
                              </w:rPr>
                              <w:t xml:space="preserve"> de 2019</w:t>
                            </w:r>
                            <w:r w:rsidRPr="0009323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172</w:t>
                            </w:r>
                            <w:r w:rsidRPr="00093230">
                              <w:rPr>
                                <w:rFonts w:asciiTheme="majorHAnsi" w:hAnsiTheme="majorHAnsi" w:cs="Univers"/>
                                <w:color w:val="0D0D0D" w:themeColor="text1" w:themeTint="F2"/>
                                <w:sz w:val="18"/>
                                <w:szCs w:val="20"/>
                                <w:lang w:val="es-ES_tradnl"/>
                              </w:rPr>
                              <w:t xml:space="preserve"> período extraordinario de sesiones</w:t>
                            </w:r>
                          </w:p>
                          <w:p w14:paraId="334D3C99" w14:textId="77777777" w:rsidR="00AF7404" w:rsidRPr="00890650" w:rsidRDefault="00AF7404" w:rsidP="00DD3D86">
                            <w:pPr>
                              <w:tabs>
                                <w:tab w:val="center" w:pos="5400"/>
                              </w:tabs>
                              <w:suppressAutoHyphens/>
                              <w:spacing w:before="60"/>
                              <w:rPr>
                                <w:rFonts w:asciiTheme="majorHAnsi" w:hAnsiTheme="majorHAnsi"/>
                                <w:color w:val="0D0D0D" w:themeColor="text1" w:themeTint="F2"/>
                                <w:sz w:val="18"/>
                                <w:szCs w:val="22"/>
                                <w:lang w:val="es-ES"/>
                              </w:rPr>
                            </w:pPr>
                          </w:p>
                          <w:p w14:paraId="351A972B" w14:textId="77777777" w:rsidR="00AF7404" w:rsidRPr="007A5817" w:rsidRDefault="00AF7404" w:rsidP="00247403">
                            <w:pPr>
                              <w:tabs>
                                <w:tab w:val="center" w:pos="5400"/>
                              </w:tabs>
                              <w:suppressAutoHyphens/>
                              <w:spacing w:before="60"/>
                              <w:rPr>
                                <w:rFonts w:asciiTheme="minorHAnsi" w:hAnsiTheme="minorHAnsi" w:cs="Univers"/>
                                <w:color w:val="0D0D0D" w:themeColor="text1" w:themeTint="F2"/>
                                <w:sz w:val="20"/>
                                <w:szCs w:val="20"/>
                                <w:lang w:val="es-ES"/>
                              </w:rPr>
                            </w:pPr>
                          </w:p>
                          <w:p w14:paraId="58262170" w14:textId="77777777" w:rsidR="00AF7404" w:rsidRPr="00167A34" w:rsidRDefault="00AF740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F185E" id="Text Box 7" o:spid="_x0000_s1029" type="#_x0000_t202" style="position:absolute;left:0;text-align:left;margin-left:107.1pt;margin-top:52.9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" filled="f" stroked="f" strokeweight=".5pt">
                <v:textbox>
                  <w:txbxContent>
                    <w:p w14:paraId="546EA217" w14:textId="77777777" w:rsidR="00AF7404" w:rsidRPr="00890650" w:rsidRDefault="00AF740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093230">
                        <w:rPr>
                          <w:rFonts w:asciiTheme="majorHAnsi" w:hAnsiTheme="majorHAnsi"/>
                          <w:color w:val="0D0D0D" w:themeColor="text1" w:themeTint="F2"/>
                          <w:sz w:val="18"/>
                          <w:szCs w:val="20"/>
                          <w:lang w:val="es-ES"/>
                        </w:rPr>
                        <w:t>Aprobado por</w:t>
                      </w:r>
                      <w:r>
                        <w:rPr>
                          <w:rFonts w:asciiTheme="majorHAnsi" w:hAnsiTheme="majorHAnsi"/>
                          <w:color w:val="0D0D0D" w:themeColor="text1" w:themeTint="F2"/>
                          <w:sz w:val="18"/>
                          <w:szCs w:val="20"/>
                          <w:lang w:val="es-ES"/>
                        </w:rPr>
                        <w:t xml:space="preserve"> la Comisión en su sesión No. 2150 celebrada el 4 de mayo</w:t>
                      </w:r>
                      <w:r w:rsidRPr="00093230">
                        <w:rPr>
                          <w:rFonts w:asciiTheme="majorHAnsi" w:hAnsiTheme="majorHAnsi"/>
                          <w:color w:val="0D0D0D" w:themeColor="text1" w:themeTint="F2"/>
                          <w:sz w:val="18"/>
                          <w:szCs w:val="20"/>
                          <w:lang w:val="es-ES"/>
                        </w:rPr>
                        <w:t xml:space="preserve"> de 2019</w:t>
                      </w:r>
                      <w:r w:rsidRPr="0009323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172</w:t>
                      </w:r>
                      <w:r w:rsidRPr="00093230">
                        <w:rPr>
                          <w:rFonts w:asciiTheme="majorHAnsi" w:hAnsiTheme="majorHAnsi" w:cs="Univers"/>
                          <w:color w:val="0D0D0D" w:themeColor="text1" w:themeTint="F2"/>
                          <w:sz w:val="18"/>
                          <w:szCs w:val="20"/>
                          <w:lang w:val="es-ES_tradnl"/>
                        </w:rPr>
                        <w:t xml:space="preserve"> período extraordinario de sesiones</w:t>
                      </w:r>
                    </w:p>
                    <w:p w14:paraId="334D3C99" w14:textId="77777777" w:rsidR="00AF7404" w:rsidRPr="00890650" w:rsidRDefault="00AF7404" w:rsidP="00DD3D86">
                      <w:pPr>
                        <w:tabs>
                          <w:tab w:val="center" w:pos="5400"/>
                        </w:tabs>
                        <w:suppressAutoHyphens/>
                        <w:spacing w:before="60"/>
                        <w:rPr>
                          <w:rFonts w:asciiTheme="majorHAnsi" w:hAnsiTheme="majorHAnsi"/>
                          <w:color w:val="0D0D0D" w:themeColor="text1" w:themeTint="F2"/>
                          <w:sz w:val="18"/>
                          <w:szCs w:val="22"/>
                          <w:lang w:val="es-ES"/>
                        </w:rPr>
                      </w:pPr>
                    </w:p>
                    <w:p w14:paraId="351A972B" w14:textId="77777777" w:rsidR="00AF7404" w:rsidRPr="007A5817" w:rsidRDefault="00AF7404" w:rsidP="00247403">
                      <w:pPr>
                        <w:tabs>
                          <w:tab w:val="center" w:pos="5400"/>
                        </w:tabs>
                        <w:suppressAutoHyphens/>
                        <w:spacing w:before="60"/>
                        <w:rPr>
                          <w:rFonts w:asciiTheme="minorHAnsi" w:hAnsiTheme="minorHAnsi" w:cs="Univers"/>
                          <w:color w:val="0D0D0D" w:themeColor="text1" w:themeTint="F2"/>
                          <w:sz w:val="20"/>
                          <w:szCs w:val="20"/>
                          <w:lang w:val="es-ES"/>
                        </w:rPr>
                      </w:pPr>
                    </w:p>
                    <w:p w14:paraId="58262170" w14:textId="77777777" w:rsidR="00AF7404" w:rsidRPr="00167A34" w:rsidRDefault="00AF740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r w:rsidRPr="0007059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E7C4EAD" wp14:editId="21E3016A">
                <wp:simplePos x="0" y="0"/>
                <wp:positionH relativeFrom="column">
                  <wp:posOffset>1358636</wp:posOffset>
                </wp:positionH>
                <wp:positionV relativeFrom="paragraph">
                  <wp:posOffset>1398881</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A26D9" w14:textId="77777777" w:rsidR="00AF7404" w:rsidRPr="007C756A" w:rsidRDefault="00AF7404" w:rsidP="00113F73">
                            <w:pPr>
                              <w:spacing w:line="276" w:lineRule="auto"/>
                              <w:rPr>
                                <w:rFonts w:asciiTheme="majorHAnsi" w:hAnsiTheme="majorHAnsi"/>
                                <w:color w:val="595959" w:themeColor="text1" w:themeTint="A6"/>
                                <w:sz w:val="18"/>
                                <w:szCs w:val="18"/>
                                <w:lang w:val="es-US"/>
                              </w:rPr>
                            </w:pPr>
                            <w:r w:rsidRPr="004C5074">
                              <w:rPr>
                                <w:rFonts w:asciiTheme="majorHAnsi" w:hAnsiTheme="majorHAnsi"/>
                                <w:b/>
                                <w:color w:val="595959" w:themeColor="text1" w:themeTint="A6"/>
                                <w:sz w:val="18"/>
                                <w:szCs w:val="18"/>
                                <w:lang w:val="pt-BR"/>
                              </w:rPr>
                              <w:t>Citar como:</w:t>
                            </w:r>
                            <w:r w:rsidRPr="004C5074">
                              <w:rPr>
                                <w:rFonts w:asciiTheme="majorHAnsi" w:hAnsiTheme="majorHAnsi"/>
                                <w:color w:val="595959" w:themeColor="text1" w:themeTint="A6"/>
                                <w:sz w:val="18"/>
                                <w:szCs w:val="18"/>
                                <w:lang w:val="pt-BR"/>
                              </w:rPr>
                              <w:t xml:space="preserve"> CIDH. Informe No. 60/19. </w:t>
                            </w:r>
                            <w:r>
                              <w:rPr>
                                <w:rFonts w:asciiTheme="majorHAnsi" w:hAnsiTheme="majorHAnsi"/>
                                <w:color w:val="595959" w:themeColor="text1" w:themeTint="A6"/>
                                <w:sz w:val="18"/>
                                <w:szCs w:val="18"/>
                                <w:lang w:val="es-ES_tradnl"/>
                              </w:rPr>
                              <w:t>Caso 12.744.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Fredy Marcelo Núñez y otros. Ecuador 4 </w:t>
                            </w:r>
                            <w:r w:rsidRPr="00651637">
                              <w:rPr>
                                <w:rFonts w:asciiTheme="majorHAnsi" w:hAnsiTheme="majorHAnsi"/>
                                <w:color w:val="595959" w:themeColor="text1" w:themeTint="A6"/>
                                <w:sz w:val="20"/>
                                <w:szCs w:val="18"/>
                                <w:lang w:val="es-ES_tradnl"/>
                              </w:rPr>
                              <w:t xml:space="preserve">de </w:t>
                            </w:r>
                            <w:r>
                              <w:rPr>
                                <w:rFonts w:asciiTheme="majorHAnsi" w:hAnsiTheme="majorHAnsi"/>
                                <w:color w:val="595959" w:themeColor="text1" w:themeTint="A6"/>
                                <w:sz w:val="20"/>
                                <w:szCs w:val="18"/>
                                <w:lang w:val="es-ES_tradnl"/>
                              </w:rPr>
                              <w:t>mayo</w:t>
                            </w:r>
                            <w:r w:rsidRPr="00651637">
                              <w:rPr>
                                <w:rFonts w:asciiTheme="majorHAnsi" w:hAnsiTheme="majorHAnsi"/>
                                <w:color w:val="595959" w:themeColor="text1" w:themeTint="A6"/>
                                <w:sz w:val="20"/>
                                <w:szCs w:val="18"/>
                                <w:lang w:val="es-ES_tradnl"/>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4EAD" id="Text Box 10" o:spid="_x0000_s1030" type="#_x0000_t202" style="position:absolute;left:0;text-align:left;margin-left:107pt;margin-top:110.1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" filled="f" stroked="f" strokeweight=".5pt">
                <v:textbox>
                  <w:txbxContent>
                    <w:p w14:paraId="59CA26D9" w14:textId="77777777" w:rsidR="00AF7404" w:rsidRPr="007C756A" w:rsidRDefault="00AF7404" w:rsidP="00113F73">
                      <w:pPr>
                        <w:spacing w:line="276" w:lineRule="auto"/>
                        <w:rPr>
                          <w:rFonts w:asciiTheme="majorHAnsi" w:hAnsiTheme="majorHAnsi"/>
                          <w:color w:val="595959" w:themeColor="text1" w:themeTint="A6"/>
                          <w:sz w:val="18"/>
                          <w:szCs w:val="18"/>
                          <w:lang w:val="es-US"/>
                        </w:rPr>
                      </w:pPr>
                      <w:r w:rsidRPr="004C5074">
                        <w:rPr>
                          <w:rFonts w:asciiTheme="majorHAnsi" w:hAnsiTheme="majorHAnsi"/>
                          <w:b/>
                          <w:color w:val="595959" w:themeColor="text1" w:themeTint="A6"/>
                          <w:sz w:val="18"/>
                          <w:szCs w:val="18"/>
                          <w:lang w:val="pt-BR"/>
                        </w:rPr>
                        <w:t>Citar como:</w:t>
                      </w:r>
                      <w:r w:rsidRPr="004C5074">
                        <w:rPr>
                          <w:rFonts w:asciiTheme="majorHAnsi" w:hAnsiTheme="majorHAnsi"/>
                          <w:color w:val="595959" w:themeColor="text1" w:themeTint="A6"/>
                          <w:sz w:val="18"/>
                          <w:szCs w:val="18"/>
                          <w:lang w:val="pt-BR"/>
                        </w:rPr>
                        <w:t xml:space="preserve"> CIDH. Informe No. 60/19. </w:t>
                      </w:r>
                      <w:r>
                        <w:rPr>
                          <w:rFonts w:asciiTheme="majorHAnsi" w:hAnsiTheme="majorHAnsi"/>
                          <w:color w:val="595959" w:themeColor="text1" w:themeTint="A6"/>
                          <w:sz w:val="18"/>
                          <w:szCs w:val="18"/>
                          <w:lang w:val="es-ES_tradnl"/>
                        </w:rPr>
                        <w:t>Caso 12.744.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Fredy Marcelo Núñez y otros. Ecuador 4 </w:t>
                      </w:r>
                      <w:r w:rsidRPr="00651637">
                        <w:rPr>
                          <w:rFonts w:asciiTheme="majorHAnsi" w:hAnsiTheme="majorHAnsi"/>
                          <w:color w:val="595959" w:themeColor="text1" w:themeTint="A6"/>
                          <w:sz w:val="20"/>
                          <w:szCs w:val="18"/>
                          <w:lang w:val="es-ES_tradnl"/>
                        </w:rPr>
                        <w:t xml:space="preserve">de </w:t>
                      </w:r>
                      <w:r>
                        <w:rPr>
                          <w:rFonts w:asciiTheme="majorHAnsi" w:hAnsiTheme="majorHAnsi"/>
                          <w:color w:val="595959" w:themeColor="text1" w:themeTint="A6"/>
                          <w:sz w:val="20"/>
                          <w:szCs w:val="18"/>
                          <w:lang w:val="es-ES_tradnl"/>
                        </w:rPr>
                        <w:t>mayo</w:t>
                      </w:r>
                      <w:r w:rsidRPr="00651637">
                        <w:rPr>
                          <w:rFonts w:asciiTheme="majorHAnsi" w:hAnsiTheme="majorHAnsi"/>
                          <w:color w:val="595959" w:themeColor="text1" w:themeTint="A6"/>
                          <w:sz w:val="20"/>
                          <w:szCs w:val="18"/>
                          <w:lang w:val="es-ES_tradnl"/>
                        </w:rPr>
                        <w:t xml:space="preserve"> de 2019.</w:t>
                      </w:r>
                    </w:p>
                  </w:txbxContent>
                </v:textbox>
              </v:shape>
            </w:pict>
          </mc:Fallback>
        </mc:AlternateContent>
      </w:r>
      <w:r w:rsidRPr="00D72DC6">
        <w:rPr>
          <w:noProof/>
          <w:color w:val="FFFFFF" w:themeColor="background1"/>
          <w14:textFill>
            <w14:noFill/>
          </w14:textFill>
        </w:rPr>
        <w:drawing>
          <wp:anchor distT="0" distB="0" distL="114300" distR="114300" simplePos="0" relativeHeight="251683840" behindDoc="0" locked="0" layoutInCell="1" allowOverlap="1" wp14:anchorId="1CBA0CB0" wp14:editId="288572DD">
            <wp:simplePos x="0" y="0"/>
            <wp:positionH relativeFrom="margin">
              <wp:posOffset>1491627</wp:posOffset>
            </wp:positionH>
            <wp:positionV relativeFrom="margin">
              <wp:posOffset>7885189</wp:posOffset>
            </wp:positionV>
            <wp:extent cx="1338942" cy="390525"/>
            <wp:effectExtent l="0" t="0" r="0" b="0"/>
            <wp:wrapSquare wrapText="bothSides"/>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8942" cy="390525"/>
                    </a:xfrm>
                    <a:prstGeom prst="rect">
                      <a:avLst/>
                    </a:prstGeom>
                    <a:noFill/>
                    <a:ln>
                      <a:noFill/>
                    </a:ln>
                  </pic:spPr>
                </pic:pic>
              </a:graphicData>
            </a:graphic>
          </wp:anchor>
        </w:drawing>
      </w:r>
      <w:r w:rsidR="00D306D1" w:rsidRPr="0007059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294413C" wp14:editId="2C97501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AD14F" w14:textId="77777777" w:rsidR="00AF7404" w:rsidRPr="004B7EB6" w:rsidRDefault="00AF740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413C"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4E9AD14F" w14:textId="77777777" w:rsidR="00AF7404" w:rsidRPr="004B7EB6" w:rsidRDefault="00AF740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1766E54" w14:textId="77777777" w:rsidR="0070697F" w:rsidRPr="00070598" w:rsidRDefault="0070697F" w:rsidP="00274565">
      <w:pPr>
        <w:tabs>
          <w:tab w:val="center" w:pos="5400"/>
        </w:tabs>
        <w:suppressAutoHyphens/>
        <w:rPr>
          <w:rFonts w:asciiTheme="majorHAnsi" w:hAnsiTheme="majorHAnsi"/>
          <w:b/>
          <w:sz w:val="20"/>
          <w:lang w:val="es-ES"/>
        </w:rPr>
        <w:sectPr w:rsidR="0070697F" w:rsidRPr="0007059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sdt>
      <w:sdtPr>
        <w:rPr>
          <w:b/>
          <w:bCs/>
        </w:rPr>
        <w:id w:val="-884490209"/>
        <w:docPartObj>
          <w:docPartGallery w:val="Table of Contents"/>
          <w:docPartUnique/>
        </w:docPartObj>
      </w:sdtPr>
      <w:sdtEndPr>
        <w:rPr>
          <w:b w:val="0"/>
          <w:bCs w:val="0"/>
          <w:noProof/>
        </w:rPr>
      </w:sdtEndPr>
      <w:sdtContent>
        <w:p w14:paraId="077355E0" w14:textId="77777777" w:rsidR="00651637" w:rsidRPr="00651637" w:rsidRDefault="00651637" w:rsidP="006E0C8D">
          <w:pPr>
            <w:tabs>
              <w:tab w:val="center" w:pos="5400"/>
            </w:tabs>
            <w:suppressAutoHyphens/>
            <w:jc w:val="center"/>
            <w:rPr>
              <w:rFonts w:ascii="Cambria" w:hAnsi="Cambria"/>
              <w:sz w:val="18"/>
              <w:szCs w:val="20"/>
              <w:lang w:val="es-ES"/>
            </w:rPr>
          </w:pPr>
        </w:p>
        <w:p w14:paraId="6EB21F2E" w14:textId="77777777" w:rsidR="002603C5" w:rsidRDefault="002603C5" w:rsidP="001C7F2A">
          <w:pPr>
            <w:jc w:val="center"/>
          </w:pPr>
        </w:p>
        <w:p w14:paraId="42631961" w14:textId="77777777" w:rsidR="002603C5" w:rsidRPr="006C2C10" w:rsidRDefault="002603C5" w:rsidP="006C2C10">
          <w:pPr>
            <w:tabs>
              <w:tab w:val="left" w:pos="720"/>
            </w:tabs>
            <w:rPr>
              <w:rFonts w:asciiTheme="majorHAnsi" w:hAnsiTheme="majorHAnsi"/>
              <w:sz w:val="20"/>
              <w:szCs w:val="20"/>
            </w:rPr>
          </w:pPr>
        </w:p>
        <w:p w14:paraId="6ED166D7" w14:textId="01B6FAAE" w:rsidR="006C2C10" w:rsidRPr="006C2C10" w:rsidRDefault="005B0911" w:rsidP="006C2C10">
          <w:pPr>
            <w:pStyle w:val="TOC1"/>
            <w:tabs>
              <w:tab w:val="left" w:pos="480"/>
              <w:tab w:val="left" w:pos="720"/>
              <w:tab w:val="right" w:leader="dot" w:pos="9350"/>
            </w:tabs>
            <w:rPr>
              <w:rFonts w:asciiTheme="majorHAnsi" w:eastAsiaTheme="minorEastAsia" w:hAnsiTheme="majorHAnsi" w:cstheme="minorBidi"/>
              <w:b w:val="0"/>
              <w:bCs w:val="0"/>
              <w:noProof/>
              <w:sz w:val="20"/>
              <w:szCs w:val="20"/>
              <w:bdr w:val="none" w:sz="0" w:space="0" w:color="auto"/>
            </w:rPr>
          </w:pPr>
          <w:r w:rsidRPr="006C2C10">
            <w:rPr>
              <w:rFonts w:asciiTheme="majorHAnsi" w:hAnsiTheme="majorHAnsi"/>
              <w:b w:val="0"/>
              <w:bCs w:val="0"/>
              <w:sz w:val="20"/>
              <w:szCs w:val="20"/>
            </w:rPr>
            <w:fldChar w:fldCharType="begin"/>
          </w:r>
          <w:r w:rsidRPr="006C2C10">
            <w:rPr>
              <w:rFonts w:asciiTheme="majorHAnsi" w:hAnsiTheme="majorHAnsi"/>
              <w:b w:val="0"/>
              <w:sz w:val="20"/>
              <w:szCs w:val="20"/>
              <w:lang w:val="es-VE"/>
            </w:rPr>
            <w:instrText xml:space="preserve"> TOC \o "1-3" \h \z \u </w:instrText>
          </w:r>
          <w:r w:rsidRPr="006C2C10">
            <w:rPr>
              <w:rFonts w:asciiTheme="majorHAnsi" w:hAnsiTheme="majorHAnsi"/>
              <w:b w:val="0"/>
              <w:bCs w:val="0"/>
              <w:sz w:val="20"/>
              <w:szCs w:val="20"/>
            </w:rPr>
            <w:fldChar w:fldCharType="separate"/>
          </w:r>
          <w:hyperlink w:anchor="_Toc5359020" w:history="1">
            <w:r w:rsidR="006C2C10" w:rsidRPr="006C2C10">
              <w:rPr>
                <w:rStyle w:val="Hyperlink"/>
                <w:rFonts w:asciiTheme="majorHAnsi" w:hAnsiTheme="majorHAnsi"/>
                <w:noProof/>
                <w:sz w:val="20"/>
                <w:szCs w:val="20"/>
                <w:lang w:val="es-ES"/>
              </w:rPr>
              <w:t>I.</w:t>
            </w:r>
            <w:r w:rsidR="006C2C10" w:rsidRPr="006C2C10">
              <w:rPr>
                <w:rFonts w:asciiTheme="majorHAnsi" w:eastAsiaTheme="minorEastAsia" w:hAnsiTheme="majorHAnsi" w:cstheme="minorBidi"/>
                <w:bCs w:val="0"/>
                <w:noProof/>
                <w:sz w:val="20"/>
                <w:szCs w:val="20"/>
                <w:bdr w:val="none" w:sz="0" w:space="0" w:color="auto"/>
              </w:rPr>
              <w:tab/>
            </w:r>
            <w:r w:rsidR="006C2C10" w:rsidRPr="006C2C10">
              <w:rPr>
                <w:rStyle w:val="Hyperlink"/>
                <w:rFonts w:asciiTheme="majorHAnsi" w:hAnsiTheme="majorHAnsi"/>
                <w:noProof/>
                <w:sz w:val="20"/>
                <w:szCs w:val="20"/>
                <w:lang w:val="es-ES"/>
              </w:rPr>
              <w:t>INTRODUCCIÓN</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_Toc5359020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sidR="000A28D7">
              <w:rPr>
                <w:rFonts w:asciiTheme="majorHAnsi" w:hAnsiTheme="majorHAnsi"/>
                <w:b w:val="0"/>
                <w:noProof/>
                <w:webHidden/>
                <w:sz w:val="20"/>
                <w:szCs w:val="20"/>
              </w:rPr>
              <w:t>2</w:t>
            </w:r>
            <w:r w:rsidR="006C2C10" w:rsidRPr="006C2C10">
              <w:rPr>
                <w:rFonts w:asciiTheme="majorHAnsi" w:hAnsiTheme="majorHAnsi"/>
                <w:b w:val="0"/>
                <w:noProof/>
                <w:webHidden/>
                <w:sz w:val="20"/>
                <w:szCs w:val="20"/>
              </w:rPr>
              <w:fldChar w:fldCharType="end"/>
            </w:r>
          </w:hyperlink>
        </w:p>
        <w:p w14:paraId="726346AE" w14:textId="0E4B583E" w:rsidR="006C2C10" w:rsidRPr="006C2C10" w:rsidRDefault="000A28D7" w:rsidP="006C2C10">
          <w:pPr>
            <w:pStyle w:val="TOC1"/>
            <w:tabs>
              <w:tab w:val="left" w:pos="480"/>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1" w:history="1">
            <w:r w:rsidR="006C2C10" w:rsidRPr="006C2C10">
              <w:rPr>
                <w:rStyle w:val="Hyperlink"/>
                <w:rFonts w:asciiTheme="majorHAnsi" w:hAnsiTheme="majorHAnsi"/>
                <w:noProof/>
                <w:sz w:val="20"/>
                <w:szCs w:val="20"/>
                <w:lang w:val="es-ES"/>
              </w:rPr>
              <w:t>II.</w:t>
            </w:r>
            <w:r w:rsidR="006C2C10" w:rsidRPr="006C2C10">
              <w:rPr>
                <w:rFonts w:asciiTheme="majorHAnsi" w:eastAsiaTheme="minorEastAsia" w:hAnsiTheme="majorHAnsi" w:cstheme="minorBidi"/>
                <w:bCs w:val="0"/>
                <w:noProof/>
                <w:sz w:val="20"/>
                <w:szCs w:val="20"/>
                <w:bdr w:val="none" w:sz="0" w:space="0" w:color="auto"/>
              </w:rPr>
              <w:tab/>
            </w:r>
            <w:r w:rsidR="006C2C10" w:rsidRPr="006C2C10">
              <w:rPr>
                <w:rStyle w:val="Hyperlink"/>
                <w:rFonts w:asciiTheme="majorHAnsi" w:hAnsiTheme="majorHAnsi"/>
                <w:noProof/>
                <w:sz w:val="20"/>
                <w:szCs w:val="20"/>
                <w:lang w:val="es-ES"/>
              </w:rPr>
              <w:t>ALEGATOS DE LAS PARTES</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_Toc5359021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2</w:t>
            </w:r>
            <w:r w:rsidR="006C2C10" w:rsidRPr="006C2C10">
              <w:rPr>
                <w:rFonts w:asciiTheme="majorHAnsi" w:hAnsiTheme="majorHAnsi"/>
                <w:b w:val="0"/>
                <w:noProof/>
                <w:webHidden/>
                <w:sz w:val="20"/>
                <w:szCs w:val="20"/>
              </w:rPr>
              <w:fldChar w:fldCharType="end"/>
            </w:r>
          </w:hyperlink>
        </w:p>
        <w:p w14:paraId="659B75B9" w14:textId="399B901E"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2" w:history="1">
            <w:r w:rsidR="006C2C10" w:rsidRPr="006C2C10">
              <w:rPr>
                <w:rStyle w:val="Hyperlink"/>
                <w:rFonts w:asciiTheme="majorHAnsi" w:hAnsiTheme="majorHAnsi"/>
                <w:b w:val="0"/>
                <w:noProof/>
                <w:sz w:val="20"/>
                <w:szCs w:val="20"/>
                <w:lang w:val="es-ES"/>
              </w:rPr>
              <w:t>A.</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b w:val="0"/>
                <w:noProof/>
                <w:sz w:val="20"/>
                <w:szCs w:val="20"/>
                <w:lang w:val="es-ES"/>
              </w:rPr>
              <w:t>Parte peticionaria</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_Toc5359022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2</w:t>
            </w:r>
            <w:r w:rsidR="006C2C10" w:rsidRPr="006C2C10">
              <w:rPr>
                <w:rFonts w:asciiTheme="majorHAnsi" w:hAnsiTheme="majorHAnsi"/>
                <w:b w:val="0"/>
                <w:noProof/>
                <w:webHidden/>
                <w:sz w:val="20"/>
                <w:szCs w:val="20"/>
              </w:rPr>
              <w:fldChar w:fldCharType="end"/>
            </w:r>
          </w:hyperlink>
        </w:p>
        <w:p w14:paraId="1800256F" w14:textId="06B83AD2"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3" w:history="1">
            <w:r w:rsidR="006C2C10" w:rsidRPr="006C2C10">
              <w:rPr>
                <w:rStyle w:val="Hyperlink"/>
                <w:rFonts w:asciiTheme="majorHAnsi" w:hAnsiTheme="majorHAnsi"/>
                <w:b w:val="0"/>
                <w:noProof/>
                <w:sz w:val="20"/>
                <w:szCs w:val="20"/>
                <w:lang w:val="es-ES"/>
              </w:rPr>
              <w:t>B.</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b w:val="0"/>
                <w:noProof/>
                <w:sz w:val="20"/>
                <w:szCs w:val="20"/>
                <w:lang w:val="es-ES"/>
              </w:rPr>
              <w:t>Estado</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_Toc5359023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3</w:t>
            </w:r>
            <w:r w:rsidR="006C2C10" w:rsidRPr="006C2C10">
              <w:rPr>
                <w:rFonts w:asciiTheme="majorHAnsi" w:hAnsiTheme="majorHAnsi"/>
                <w:b w:val="0"/>
                <w:noProof/>
                <w:webHidden/>
                <w:sz w:val="20"/>
                <w:szCs w:val="20"/>
              </w:rPr>
              <w:fldChar w:fldCharType="end"/>
            </w:r>
          </w:hyperlink>
        </w:p>
        <w:p w14:paraId="58A8C407" w14:textId="182C1896" w:rsidR="006C2C10" w:rsidRPr="006C2C10" w:rsidRDefault="000A28D7" w:rsidP="006C2C10">
          <w:pPr>
            <w:pStyle w:val="TOC1"/>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4" w:history="1">
            <w:r w:rsidR="006C2C10" w:rsidRPr="006C2C10">
              <w:rPr>
                <w:rStyle w:val="Hyperlink"/>
                <w:rFonts w:asciiTheme="majorHAnsi" w:hAnsiTheme="majorHAnsi"/>
                <w:noProof/>
                <w:sz w:val="20"/>
                <w:szCs w:val="20"/>
                <w:lang w:val="es-ES"/>
              </w:rPr>
              <w:t>III.</w:t>
            </w:r>
            <w:r w:rsidR="006C2C10" w:rsidRPr="006C2C10">
              <w:rPr>
                <w:rFonts w:asciiTheme="majorHAnsi" w:eastAsiaTheme="minorEastAsia" w:hAnsiTheme="majorHAnsi" w:cstheme="minorBidi"/>
                <w:bCs w:val="0"/>
                <w:noProof/>
                <w:sz w:val="20"/>
                <w:szCs w:val="20"/>
                <w:bdr w:val="none" w:sz="0" w:space="0" w:color="auto"/>
              </w:rPr>
              <w:tab/>
            </w:r>
            <w:r w:rsidR="006C2C10" w:rsidRPr="006C2C10">
              <w:rPr>
                <w:rStyle w:val="Hyperlink"/>
                <w:rFonts w:asciiTheme="majorHAnsi" w:hAnsiTheme="majorHAnsi"/>
                <w:noProof/>
                <w:sz w:val="20"/>
                <w:szCs w:val="20"/>
                <w:lang w:val="es-ES"/>
              </w:rPr>
              <w:t>DETERMINACIONES DE HECHO</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_Toc5359024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4</w:t>
            </w:r>
            <w:r w:rsidR="006C2C10" w:rsidRPr="006C2C10">
              <w:rPr>
                <w:rFonts w:asciiTheme="majorHAnsi" w:hAnsiTheme="majorHAnsi"/>
                <w:b w:val="0"/>
                <w:noProof/>
                <w:webHidden/>
                <w:sz w:val="20"/>
                <w:szCs w:val="20"/>
              </w:rPr>
              <w:fldChar w:fldCharType="end"/>
            </w:r>
          </w:hyperlink>
        </w:p>
        <w:p w14:paraId="5D751CEE" w14:textId="1F7FB275"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5" w:history="1">
            <w:r w:rsidR="006C2C10" w:rsidRPr="006C2C10">
              <w:rPr>
                <w:rStyle w:val="Hyperlink"/>
                <w:rFonts w:asciiTheme="majorHAnsi" w:hAnsiTheme="majorHAnsi"/>
                <w:b w:val="0"/>
                <w:noProof/>
                <w:sz w:val="20"/>
                <w:szCs w:val="20"/>
                <w:lang w:val="es-ES"/>
              </w:rPr>
              <w:t>A.</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b w:val="0"/>
                <w:noProof/>
                <w:sz w:val="20"/>
                <w:szCs w:val="20"/>
                <w:lang w:val="es-ES"/>
              </w:rPr>
              <w:t>Antecedentes sobre las Juntas de Defensa del Campesinado</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_Toc5359025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4</w:t>
            </w:r>
            <w:r w:rsidR="006C2C10" w:rsidRPr="006C2C10">
              <w:rPr>
                <w:rFonts w:asciiTheme="majorHAnsi" w:hAnsiTheme="majorHAnsi"/>
                <w:b w:val="0"/>
                <w:noProof/>
                <w:webHidden/>
                <w:sz w:val="20"/>
                <w:szCs w:val="20"/>
              </w:rPr>
              <w:fldChar w:fldCharType="end"/>
            </w:r>
          </w:hyperlink>
        </w:p>
        <w:p w14:paraId="70E3AEE0" w14:textId="45BE7043"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6" w:history="1">
            <w:r w:rsidR="006C2C10" w:rsidRPr="006C2C10">
              <w:rPr>
                <w:rStyle w:val="Hyperlink"/>
                <w:rFonts w:asciiTheme="majorHAnsi" w:hAnsiTheme="majorHAnsi"/>
                <w:b w:val="0"/>
                <w:noProof/>
                <w:sz w:val="20"/>
                <w:szCs w:val="20"/>
                <w:lang w:val="es-ES"/>
              </w:rPr>
              <w:t>B.</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b w:val="0"/>
                <w:noProof/>
                <w:sz w:val="20"/>
                <w:szCs w:val="20"/>
                <w:lang w:val="es-ES"/>
              </w:rPr>
              <w:t>Sobre la presunta víctima y sus familiares</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_Toc5359026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5</w:t>
            </w:r>
            <w:r w:rsidR="006C2C10" w:rsidRPr="006C2C10">
              <w:rPr>
                <w:rFonts w:asciiTheme="majorHAnsi" w:hAnsiTheme="majorHAnsi"/>
                <w:b w:val="0"/>
                <w:noProof/>
                <w:webHidden/>
                <w:sz w:val="20"/>
                <w:szCs w:val="20"/>
              </w:rPr>
              <w:fldChar w:fldCharType="end"/>
            </w:r>
          </w:hyperlink>
        </w:p>
        <w:p w14:paraId="69B8AE19" w14:textId="46132796"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7" w:history="1">
            <w:r w:rsidR="006C2C10" w:rsidRPr="006C2C10">
              <w:rPr>
                <w:rStyle w:val="Hyperlink"/>
                <w:rFonts w:asciiTheme="majorHAnsi" w:hAnsiTheme="majorHAnsi"/>
                <w:b w:val="0"/>
                <w:noProof/>
                <w:sz w:val="20"/>
                <w:szCs w:val="20"/>
                <w:lang w:val="es-ES"/>
              </w:rPr>
              <w:t>C.</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b w:val="0"/>
                <w:noProof/>
                <w:sz w:val="20"/>
                <w:szCs w:val="20"/>
                <w:lang w:val="es-ES"/>
              </w:rPr>
              <w:t>Hechos del caso</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_Toc5359027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5</w:t>
            </w:r>
            <w:r w:rsidR="006C2C10" w:rsidRPr="006C2C10">
              <w:rPr>
                <w:rFonts w:asciiTheme="majorHAnsi" w:hAnsiTheme="majorHAnsi"/>
                <w:b w:val="0"/>
                <w:noProof/>
                <w:webHidden/>
                <w:sz w:val="20"/>
                <w:szCs w:val="20"/>
              </w:rPr>
              <w:fldChar w:fldCharType="end"/>
            </w:r>
          </w:hyperlink>
        </w:p>
        <w:p w14:paraId="6CFBF67B" w14:textId="752DA937"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8" w:history="1">
            <w:r w:rsidR="006C2C10" w:rsidRPr="006C2C10">
              <w:rPr>
                <w:rStyle w:val="Hyperlink"/>
                <w:rFonts w:asciiTheme="majorHAnsi" w:hAnsiTheme="majorHAnsi"/>
                <w:b w:val="0"/>
                <w:noProof/>
                <w:sz w:val="20"/>
                <w:szCs w:val="20"/>
                <w:lang w:val="es-ES"/>
              </w:rPr>
              <w:t>D.</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b w:val="0"/>
                <w:noProof/>
                <w:sz w:val="20"/>
                <w:szCs w:val="20"/>
                <w:lang w:val="es-ES"/>
              </w:rPr>
              <w:t>Proceso penal</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_Toc5359028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6</w:t>
            </w:r>
            <w:r w:rsidR="006C2C10" w:rsidRPr="006C2C10">
              <w:rPr>
                <w:rFonts w:asciiTheme="majorHAnsi" w:hAnsiTheme="majorHAnsi"/>
                <w:b w:val="0"/>
                <w:noProof/>
                <w:webHidden/>
                <w:sz w:val="20"/>
                <w:szCs w:val="20"/>
              </w:rPr>
              <w:fldChar w:fldCharType="end"/>
            </w:r>
          </w:hyperlink>
        </w:p>
        <w:p w14:paraId="192BC120" w14:textId="6495CB4D" w:rsidR="006C2C10" w:rsidRPr="006C2C10" w:rsidRDefault="000A28D7" w:rsidP="006C2C10">
          <w:pPr>
            <w:pStyle w:val="TOC1"/>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29" w:history="1">
            <w:r w:rsidR="006C2C10" w:rsidRPr="006C2C10">
              <w:rPr>
                <w:rStyle w:val="Hyperlink"/>
                <w:rFonts w:asciiTheme="majorHAnsi" w:hAnsiTheme="majorHAnsi"/>
                <w:noProof/>
                <w:sz w:val="20"/>
                <w:szCs w:val="20"/>
                <w:lang w:val="es-ES"/>
              </w:rPr>
              <w:t>IV.</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noProof/>
                <w:sz w:val="20"/>
                <w:szCs w:val="20"/>
                <w:lang w:val="es-ES"/>
              </w:rPr>
              <w:t>ANÁLISIS DE DERECHO</w:t>
            </w:r>
            <w:r w:rsidR="006C2C10" w:rsidRPr="006C2C10">
              <w:rPr>
                <w:rFonts w:asciiTheme="majorHAnsi" w:hAnsiTheme="majorHAnsi"/>
                <w:noProof/>
                <w:webHidden/>
                <w:sz w:val="20"/>
                <w:szCs w:val="20"/>
              </w:rPr>
              <w:tab/>
            </w:r>
            <w:r w:rsidR="006C2C10" w:rsidRPr="006C2C10">
              <w:rPr>
                <w:rFonts w:asciiTheme="majorHAnsi" w:hAnsiTheme="majorHAnsi"/>
                <w:noProof/>
                <w:webHidden/>
                <w:sz w:val="20"/>
                <w:szCs w:val="20"/>
              </w:rPr>
              <w:fldChar w:fldCharType="begin"/>
            </w:r>
            <w:r w:rsidR="006C2C10" w:rsidRPr="006C2C10">
              <w:rPr>
                <w:rFonts w:asciiTheme="majorHAnsi" w:hAnsiTheme="majorHAnsi"/>
                <w:noProof/>
                <w:webHidden/>
                <w:sz w:val="20"/>
                <w:szCs w:val="20"/>
              </w:rPr>
              <w:instrText xml:space="preserve"> PAGEREF _Toc5359029 \h </w:instrText>
            </w:r>
            <w:r w:rsidR="006C2C10" w:rsidRPr="006C2C10">
              <w:rPr>
                <w:rFonts w:asciiTheme="majorHAnsi" w:hAnsiTheme="majorHAnsi"/>
                <w:noProof/>
                <w:webHidden/>
                <w:sz w:val="20"/>
                <w:szCs w:val="20"/>
              </w:rPr>
            </w:r>
            <w:r w:rsidR="006C2C10" w:rsidRPr="006C2C10">
              <w:rPr>
                <w:rFonts w:asciiTheme="majorHAnsi" w:hAnsiTheme="majorHAnsi"/>
                <w:noProof/>
                <w:webHidden/>
                <w:sz w:val="20"/>
                <w:szCs w:val="20"/>
              </w:rPr>
              <w:fldChar w:fldCharType="separate"/>
            </w:r>
            <w:r>
              <w:rPr>
                <w:rFonts w:asciiTheme="majorHAnsi" w:hAnsiTheme="majorHAnsi"/>
                <w:noProof/>
                <w:webHidden/>
                <w:sz w:val="20"/>
                <w:szCs w:val="20"/>
              </w:rPr>
              <w:t>10</w:t>
            </w:r>
            <w:r w:rsidR="006C2C10" w:rsidRPr="006C2C10">
              <w:rPr>
                <w:rFonts w:asciiTheme="majorHAnsi" w:hAnsiTheme="majorHAnsi"/>
                <w:noProof/>
                <w:webHidden/>
                <w:sz w:val="20"/>
                <w:szCs w:val="20"/>
              </w:rPr>
              <w:fldChar w:fldCharType="end"/>
            </w:r>
          </w:hyperlink>
        </w:p>
        <w:p w14:paraId="3E9CA697" w14:textId="1BCA2279"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30" w:history="1">
            <w:r w:rsidR="006C2C10" w:rsidRPr="006C2C10">
              <w:rPr>
                <w:rStyle w:val="Hyperlink"/>
                <w:rFonts w:asciiTheme="majorHAnsi" w:hAnsiTheme="majorHAnsi"/>
                <w:b w:val="0"/>
                <w:noProof/>
                <w:sz w:val="20"/>
                <w:szCs w:val="20"/>
                <w:lang w:val="es-VE"/>
              </w:rPr>
              <w:t>A.</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b w:val="0"/>
                <w:noProof/>
                <w:sz w:val="20"/>
                <w:szCs w:val="20"/>
                <w:lang w:val="es-VE"/>
              </w:rPr>
              <w:t>Derechos al reconocimiento de la personalidad jurídica, a la libertad personal, a la integridad personal, a la vida, a las garantías judiciales y a la protección judicial (Artículos 3, 7, 5, y 4, de la Convención Americana) en relación con la obligación de respetar y garantizar los derechos (artículo 1.1 del mismo instrumento); y artículo I a)  de la CIDFP</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_Toc5359030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10</w:t>
            </w:r>
            <w:r w:rsidR="006C2C10" w:rsidRPr="006C2C10">
              <w:rPr>
                <w:rFonts w:asciiTheme="majorHAnsi" w:hAnsiTheme="majorHAnsi"/>
                <w:b w:val="0"/>
                <w:noProof/>
                <w:webHidden/>
                <w:sz w:val="20"/>
                <w:szCs w:val="20"/>
              </w:rPr>
              <w:fldChar w:fldCharType="end"/>
            </w:r>
          </w:hyperlink>
        </w:p>
        <w:p w14:paraId="1AAFD104" w14:textId="74A93C63"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31" w:history="1">
            <w:r w:rsidR="006C2C10" w:rsidRPr="006C2C10">
              <w:rPr>
                <w:rStyle w:val="Hyperlink"/>
                <w:rFonts w:asciiTheme="majorHAnsi" w:hAnsiTheme="majorHAnsi"/>
                <w:b w:val="0"/>
                <w:noProof/>
                <w:sz w:val="20"/>
                <w:szCs w:val="20"/>
                <w:lang w:val="es-VE"/>
              </w:rPr>
              <w:t>B.</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b w:val="0"/>
                <w:noProof/>
                <w:sz w:val="20"/>
                <w:szCs w:val="20"/>
                <w:lang w:val="es-VE"/>
              </w:rPr>
              <w:t>Derecho a las garantías y la protección judicial (artículos 8.1 y 25.1 de la Convención Americana sobre Derechos Humanos) en relación con la obligación de respetar los derechos humanos y el deber de adoptar disposiciones de derecho interno (artículos 1.1 y 2 del mencionado instrumento) y los artículos I.b y III de la CIDFP</w:t>
            </w:r>
            <w:r w:rsidR="006C2C10" w:rsidRPr="006C2C10">
              <w:rPr>
                <w:rFonts w:asciiTheme="majorHAnsi" w:hAnsiTheme="majorHAnsi"/>
                <w:b w:val="0"/>
                <w:noProof/>
                <w:webHidden/>
                <w:sz w:val="20"/>
                <w:szCs w:val="20"/>
              </w:rPr>
              <w:tab/>
            </w:r>
            <w:r w:rsidR="006C2C10" w:rsidRPr="006C2C10">
              <w:rPr>
                <w:rFonts w:asciiTheme="majorHAnsi" w:hAnsiTheme="majorHAnsi"/>
                <w:b w:val="0"/>
                <w:noProof/>
                <w:webHidden/>
                <w:sz w:val="20"/>
                <w:szCs w:val="20"/>
              </w:rPr>
              <w:fldChar w:fldCharType="begin"/>
            </w:r>
            <w:r w:rsidR="006C2C10" w:rsidRPr="006C2C10">
              <w:rPr>
                <w:rFonts w:asciiTheme="majorHAnsi" w:hAnsiTheme="majorHAnsi"/>
                <w:b w:val="0"/>
                <w:noProof/>
                <w:webHidden/>
                <w:sz w:val="20"/>
                <w:szCs w:val="20"/>
              </w:rPr>
              <w:instrText xml:space="preserve"> PAGEREF _Toc5359031 \h </w:instrText>
            </w:r>
            <w:r w:rsidR="006C2C10" w:rsidRPr="006C2C10">
              <w:rPr>
                <w:rFonts w:asciiTheme="majorHAnsi" w:hAnsiTheme="majorHAnsi"/>
                <w:b w:val="0"/>
                <w:noProof/>
                <w:webHidden/>
                <w:sz w:val="20"/>
                <w:szCs w:val="20"/>
              </w:rPr>
            </w:r>
            <w:r w:rsidR="006C2C10" w:rsidRPr="006C2C10">
              <w:rPr>
                <w:rFonts w:asciiTheme="majorHAnsi" w:hAnsiTheme="majorHAnsi"/>
                <w:b w:val="0"/>
                <w:noProof/>
                <w:webHidden/>
                <w:sz w:val="20"/>
                <w:szCs w:val="20"/>
              </w:rPr>
              <w:fldChar w:fldCharType="separate"/>
            </w:r>
            <w:r>
              <w:rPr>
                <w:rFonts w:asciiTheme="majorHAnsi" w:hAnsiTheme="majorHAnsi"/>
                <w:b w:val="0"/>
                <w:noProof/>
                <w:webHidden/>
                <w:sz w:val="20"/>
                <w:szCs w:val="20"/>
              </w:rPr>
              <w:t>13</w:t>
            </w:r>
            <w:r w:rsidR="006C2C10" w:rsidRPr="006C2C10">
              <w:rPr>
                <w:rFonts w:asciiTheme="majorHAnsi" w:hAnsiTheme="majorHAnsi"/>
                <w:b w:val="0"/>
                <w:noProof/>
                <w:webHidden/>
                <w:sz w:val="20"/>
                <w:szCs w:val="20"/>
              </w:rPr>
              <w:fldChar w:fldCharType="end"/>
            </w:r>
          </w:hyperlink>
        </w:p>
        <w:p w14:paraId="65F237FB" w14:textId="65289178" w:rsidR="006C2C10" w:rsidRPr="006C2C10" w:rsidRDefault="000A28D7" w:rsidP="006C2C10">
          <w:pPr>
            <w:pStyle w:val="TOC3"/>
            <w:tabs>
              <w:tab w:val="left" w:pos="720"/>
              <w:tab w:val="left" w:pos="960"/>
              <w:tab w:val="right" w:leader="dot" w:pos="9350"/>
            </w:tabs>
            <w:rPr>
              <w:rFonts w:asciiTheme="majorHAnsi" w:eastAsiaTheme="minorEastAsia" w:hAnsiTheme="majorHAnsi" w:cstheme="minorBidi"/>
              <w:noProof/>
              <w:sz w:val="20"/>
              <w:szCs w:val="20"/>
              <w:bdr w:val="none" w:sz="0" w:space="0" w:color="auto"/>
            </w:rPr>
          </w:pPr>
          <w:hyperlink w:anchor="_Toc5359032" w:history="1">
            <w:r w:rsidR="006C2C10" w:rsidRPr="006C2C10">
              <w:rPr>
                <w:rStyle w:val="Hyperlink"/>
                <w:rFonts w:asciiTheme="majorHAnsi" w:eastAsia="Calibri" w:hAnsiTheme="majorHAnsi"/>
                <w:noProof/>
                <w:sz w:val="20"/>
                <w:szCs w:val="20"/>
                <w:lang w:val="es-ES"/>
              </w:rPr>
              <w:t>1.</w:t>
            </w:r>
            <w:r w:rsidR="006C2C10" w:rsidRPr="006C2C10">
              <w:rPr>
                <w:rFonts w:asciiTheme="majorHAnsi" w:eastAsiaTheme="minorEastAsia" w:hAnsiTheme="majorHAnsi" w:cstheme="minorBidi"/>
                <w:noProof/>
                <w:sz w:val="20"/>
                <w:szCs w:val="20"/>
                <w:bdr w:val="none" w:sz="0" w:space="0" w:color="auto"/>
              </w:rPr>
              <w:tab/>
            </w:r>
            <w:r w:rsidR="006C2C10" w:rsidRPr="006C2C10">
              <w:rPr>
                <w:rStyle w:val="Hyperlink"/>
                <w:rFonts w:asciiTheme="majorHAnsi" w:eastAsia="Calibri" w:hAnsiTheme="majorHAnsi"/>
                <w:noProof/>
                <w:sz w:val="20"/>
                <w:szCs w:val="20"/>
                <w:lang w:val="es-ES"/>
              </w:rPr>
              <w:t>La diligencia en la investigación</w:t>
            </w:r>
            <w:r w:rsidR="006C2C10" w:rsidRPr="006C2C10">
              <w:rPr>
                <w:rFonts w:asciiTheme="majorHAnsi" w:hAnsiTheme="majorHAnsi"/>
                <w:noProof/>
                <w:webHidden/>
                <w:sz w:val="20"/>
                <w:szCs w:val="20"/>
              </w:rPr>
              <w:tab/>
            </w:r>
            <w:r w:rsidR="006C2C10" w:rsidRPr="006C2C10">
              <w:rPr>
                <w:rFonts w:asciiTheme="majorHAnsi" w:hAnsiTheme="majorHAnsi"/>
                <w:noProof/>
                <w:webHidden/>
                <w:sz w:val="20"/>
                <w:szCs w:val="20"/>
              </w:rPr>
              <w:fldChar w:fldCharType="begin"/>
            </w:r>
            <w:r w:rsidR="006C2C10" w:rsidRPr="006C2C10">
              <w:rPr>
                <w:rFonts w:asciiTheme="majorHAnsi" w:hAnsiTheme="majorHAnsi"/>
                <w:noProof/>
                <w:webHidden/>
                <w:sz w:val="20"/>
                <w:szCs w:val="20"/>
              </w:rPr>
              <w:instrText xml:space="preserve"> PAGEREF _Toc5359032 \h </w:instrText>
            </w:r>
            <w:r w:rsidR="006C2C10" w:rsidRPr="006C2C10">
              <w:rPr>
                <w:rFonts w:asciiTheme="majorHAnsi" w:hAnsiTheme="majorHAnsi"/>
                <w:noProof/>
                <w:webHidden/>
                <w:sz w:val="20"/>
                <w:szCs w:val="20"/>
              </w:rPr>
            </w:r>
            <w:r w:rsidR="006C2C10" w:rsidRPr="006C2C10">
              <w:rPr>
                <w:rFonts w:asciiTheme="majorHAnsi" w:hAnsiTheme="majorHAnsi"/>
                <w:noProof/>
                <w:webHidden/>
                <w:sz w:val="20"/>
                <w:szCs w:val="20"/>
              </w:rPr>
              <w:fldChar w:fldCharType="separate"/>
            </w:r>
            <w:r>
              <w:rPr>
                <w:rFonts w:asciiTheme="majorHAnsi" w:hAnsiTheme="majorHAnsi"/>
                <w:noProof/>
                <w:webHidden/>
                <w:sz w:val="20"/>
                <w:szCs w:val="20"/>
              </w:rPr>
              <w:t>15</w:t>
            </w:r>
            <w:r w:rsidR="006C2C10" w:rsidRPr="006C2C10">
              <w:rPr>
                <w:rFonts w:asciiTheme="majorHAnsi" w:hAnsiTheme="majorHAnsi"/>
                <w:noProof/>
                <w:webHidden/>
                <w:sz w:val="20"/>
                <w:szCs w:val="20"/>
              </w:rPr>
              <w:fldChar w:fldCharType="end"/>
            </w:r>
          </w:hyperlink>
        </w:p>
        <w:p w14:paraId="185A747F" w14:textId="197C3AFD" w:rsidR="006C2C10" w:rsidRPr="006C2C10" w:rsidRDefault="000A28D7" w:rsidP="006C2C10">
          <w:pPr>
            <w:pStyle w:val="TOC3"/>
            <w:tabs>
              <w:tab w:val="left" w:pos="720"/>
              <w:tab w:val="left" w:pos="960"/>
              <w:tab w:val="right" w:leader="dot" w:pos="9350"/>
            </w:tabs>
            <w:rPr>
              <w:rFonts w:asciiTheme="majorHAnsi" w:eastAsiaTheme="minorEastAsia" w:hAnsiTheme="majorHAnsi" w:cstheme="minorBidi"/>
              <w:noProof/>
              <w:sz w:val="20"/>
              <w:szCs w:val="20"/>
              <w:bdr w:val="none" w:sz="0" w:space="0" w:color="auto"/>
            </w:rPr>
          </w:pPr>
          <w:hyperlink w:anchor="_Toc5359033" w:history="1">
            <w:r w:rsidR="006C2C10" w:rsidRPr="006C2C10">
              <w:rPr>
                <w:rStyle w:val="Hyperlink"/>
                <w:rFonts w:asciiTheme="majorHAnsi" w:hAnsiTheme="majorHAnsi"/>
                <w:noProof/>
                <w:sz w:val="20"/>
                <w:szCs w:val="20"/>
                <w:lang w:val="es-ES"/>
              </w:rPr>
              <w:t>2.</w:t>
            </w:r>
            <w:r w:rsidR="006C2C10" w:rsidRPr="006C2C10">
              <w:rPr>
                <w:rFonts w:asciiTheme="majorHAnsi" w:eastAsiaTheme="minorEastAsia" w:hAnsiTheme="majorHAnsi" w:cstheme="minorBidi"/>
                <w:noProof/>
                <w:sz w:val="20"/>
                <w:szCs w:val="20"/>
                <w:bdr w:val="none" w:sz="0" w:space="0" w:color="auto"/>
              </w:rPr>
              <w:tab/>
            </w:r>
            <w:r w:rsidR="006C2C10" w:rsidRPr="006C2C10">
              <w:rPr>
                <w:rStyle w:val="Hyperlink"/>
                <w:rFonts w:asciiTheme="majorHAnsi" w:hAnsiTheme="majorHAnsi"/>
                <w:noProof/>
                <w:sz w:val="20"/>
                <w:szCs w:val="20"/>
                <w:lang w:val="es-ES"/>
              </w:rPr>
              <w:t>El plazo razonable</w:t>
            </w:r>
            <w:r w:rsidR="006C2C10" w:rsidRPr="006C2C10">
              <w:rPr>
                <w:rFonts w:asciiTheme="majorHAnsi" w:hAnsiTheme="majorHAnsi"/>
                <w:noProof/>
                <w:webHidden/>
                <w:sz w:val="20"/>
                <w:szCs w:val="20"/>
              </w:rPr>
              <w:tab/>
            </w:r>
            <w:r w:rsidR="006C2C10" w:rsidRPr="006C2C10">
              <w:rPr>
                <w:rFonts w:asciiTheme="majorHAnsi" w:hAnsiTheme="majorHAnsi"/>
                <w:noProof/>
                <w:webHidden/>
                <w:sz w:val="20"/>
                <w:szCs w:val="20"/>
              </w:rPr>
              <w:fldChar w:fldCharType="begin"/>
            </w:r>
            <w:r w:rsidR="006C2C10" w:rsidRPr="006C2C10">
              <w:rPr>
                <w:rFonts w:asciiTheme="majorHAnsi" w:hAnsiTheme="majorHAnsi"/>
                <w:noProof/>
                <w:webHidden/>
                <w:sz w:val="20"/>
                <w:szCs w:val="20"/>
              </w:rPr>
              <w:instrText xml:space="preserve"> PAGEREF _Toc5359033 \h </w:instrText>
            </w:r>
            <w:r w:rsidR="006C2C10" w:rsidRPr="006C2C10">
              <w:rPr>
                <w:rFonts w:asciiTheme="majorHAnsi" w:hAnsiTheme="majorHAnsi"/>
                <w:noProof/>
                <w:webHidden/>
                <w:sz w:val="20"/>
                <w:szCs w:val="20"/>
              </w:rPr>
            </w:r>
            <w:r w:rsidR="006C2C10" w:rsidRPr="006C2C10">
              <w:rPr>
                <w:rFonts w:asciiTheme="majorHAnsi" w:hAnsiTheme="majorHAnsi"/>
                <w:noProof/>
                <w:webHidden/>
                <w:sz w:val="20"/>
                <w:szCs w:val="20"/>
              </w:rPr>
              <w:fldChar w:fldCharType="separate"/>
            </w:r>
            <w:r>
              <w:rPr>
                <w:rFonts w:asciiTheme="majorHAnsi" w:hAnsiTheme="majorHAnsi"/>
                <w:noProof/>
                <w:webHidden/>
                <w:sz w:val="20"/>
                <w:szCs w:val="20"/>
              </w:rPr>
              <w:t>16</w:t>
            </w:r>
            <w:r w:rsidR="006C2C10" w:rsidRPr="006C2C10">
              <w:rPr>
                <w:rFonts w:asciiTheme="majorHAnsi" w:hAnsiTheme="majorHAnsi"/>
                <w:noProof/>
                <w:webHidden/>
                <w:sz w:val="20"/>
                <w:szCs w:val="20"/>
              </w:rPr>
              <w:fldChar w:fldCharType="end"/>
            </w:r>
          </w:hyperlink>
        </w:p>
        <w:p w14:paraId="6133FD95" w14:textId="004A8D94" w:rsidR="006C2C10" w:rsidRPr="006C2C10" w:rsidRDefault="000A28D7" w:rsidP="006C2C10">
          <w:pPr>
            <w:pStyle w:val="TOC2"/>
            <w:tabs>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34" w:history="1">
            <w:r w:rsidR="006C2C10" w:rsidRPr="006C2C10">
              <w:rPr>
                <w:rStyle w:val="Hyperlink"/>
                <w:rFonts w:asciiTheme="majorHAnsi" w:hAnsiTheme="majorHAnsi"/>
                <w:noProof/>
                <w:sz w:val="20"/>
                <w:szCs w:val="20"/>
                <w:lang w:val="es-VE"/>
              </w:rPr>
              <w:t>C.</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noProof/>
                <w:sz w:val="20"/>
                <w:szCs w:val="20"/>
                <w:lang w:val="es-VE"/>
              </w:rPr>
              <w:t>Derecho a la integridad personal de los familiares (artículo 5 en relación con el artículo 1.1 de la Convención Americana)</w:t>
            </w:r>
            <w:r w:rsidR="006C2C10" w:rsidRPr="006C2C10">
              <w:rPr>
                <w:rFonts w:asciiTheme="majorHAnsi" w:hAnsiTheme="majorHAnsi"/>
                <w:noProof/>
                <w:webHidden/>
                <w:sz w:val="20"/>
                <w:szCs w:val="20"/>
              </w:rPr>
              <w:tab/>
            </w:r>
            <w:r w:rsidR="006C2C10" w:rsidRPr="006C2C10">
              <w:rPr>
                <w:rFonts w:asciiTheme="majorHAnsi" w:hAnsiTheme="majorHAnsi"/>
                <w:noProof/>
                <w:webHidden/>
                <w:sz w:val="20"/>
                <w:szCs w:val="20"/>
              </w:rPr>
              <w:fldChar w:fldCharType="begin"/>
            </w:r>
            <w:r w:rsidR="006C2C10" w:rsidRPr="006C2C10">
              <w:rPr>
                <w:rFonts w:asciiTheme="majorHAnsi" w:hAnsiTheme="majorHAnsi"/>
                <w:noProof/>
                <w:webHidden/>
                <w:sz w:val="20"/>
                <w:szCs w:val="20"/>
              </w:rPr>
              <w:instrText xml:space="preserve"> PAGEREF _Toc5359034 \h </w:instrText>
            </w:r>
            <w:r w:rsidR="006C2C10" w:rsidRPr="006C2C10">
              <w:rPr>
                <w:rFonts w:asciiTheme="majorHAnsi" w:hAnsiTheme="majorHAnsi"/>
                <w:noProof/>
                <w:webHidden/>
                <w:sz w:val="20"/>
                <w:szCs w:val="20"/>
              </w:rPr>
            </w:r>
            <w:r w:rsidR="006C2C10" w:rsidRPr="006C2C10">
              <w:rPr>
                <w:rFonts w:asciiTheme="majorHAnsi" w:hAnsiTheme="majorHAnsi"/>
                <w:noProof/>
                <w:webHidden/>
                <w:sz w:val="20"/>
                <w:szCs w:val="20"/>
              </w:rPr>
              <w:fldChar w:fldCharType="separate"/>
            </w:r>
            <w:r>
              <w:rPr>
                <w:rFonts w:asciiTheme="majorHAnsi" w:hAnsiTheme="majorHAnsi"/>
                <w:noProof/>
                <w:webHidden/>
                <w:sz w:val="20"/>
                <w:szCs w:val="20"/>
              </w:rPr>
              <w:t>16</w:t>
            </w:r>
            <w:r w:rsidR="006C2C10" w:rsidRPr="006C2C10">
              <w:rPr>
                <w:rFonts w:asciiTheme="majorHAnsi" w:hAnsiTheme="majorHAnsi"/>
                <w:noProof/>
                <w:webHidden/>
                <w:sz w:val="20"/>
                <w:szCs w:val="20"/>
              </w:rPr>
              <w:fldChar w:fldCharType="end"/>
            </w:r>
          </w:hyperlink>
        </w:p>
        <w:p w14:paraId="229427FB" w14:textId="1C95A504" w:rsidR="006C2C10" w:rsidRPr="006C2C10" w:rsidRDefault="000A28D7" w:rsidP="006C2C10">
          <w:pPr>
            <w:pStyle w:val="TOC3"/>
            <w:tabs>
              <w:tab w:val="left" w:pos="720"/>
              <w:tab w:val="left" w:pos="960"/>
              <w:tab w:val="right" w:leader="dot" w:pos="9350"/>
            </w:tabs>
            <w:rPr>
              <w:rFonts w:asciiTheme="majorHAnsi" w:eastAsiaTheme="minorEastAsia" w:hAnsiTheme="majorHAnsi" w:cstheme="minorBidi"/>
              <w:noProof/>
              <w:sz w:val="20"/>
              <w:szCs w:val="20"/>
              <w:bdr w:val="none" w:sz="0" w:space="0" w:color="auto"/>
            </w:rPr>
          </w:pPr>
          <w:hyperlink w:anchor="_Toc5359035" w:history="1">
            <w:r w:rsidR="006C2C10" w:rsidRPr="006C2C10">
              <w:rPr>
                <w:rStyle w:val="Hyperlink"/>
                <w:rFonts w:asciiTheme="majorHAnsi" w:hAnsiTheme="majorHAnsi"/>
                <w:noProof/>
                <w:sz w:val="20"/>
                <w:szCs w:val="20"/>
                <w:lang w:val="es-CO"/>
              </w:rPr>
              <w:t>1.</w:t>
            </w:r>
            <w:r w:rsidR="006C2C10" w:rsidRPr="006C2C10">
              <w:rPr>
                <w:rFonts w:asciiTheme="majorHAnsi" w:eastAsiaTheme="minorEastAsia" w:hAnsiTheme="majorHAnsi" w:cstheme="minorBidi"/>
                <w:noProof/>
                <w:sz w:val="20"/>
                <w:szCs w:val="20"/>
                <w:bdr w:val="none" w:sz="0" w:space="0" w:color="auto"/>
              </w:rPr>
              <w:tab/>
            </w:r>
            <w:r w:rsidR="006C2C10" w:rsidRPr="006C2C10">
              <w:rPr>
                <w:rStyle w:val="Hyperlink"/>
                <w:rFonts w:asciiTheme="majorHAnsi" w:hAnsiTheme="majorHAnsi"/>
                <w:noProof/>
                <w:sz w:val="20"/>
                <w:szCs w:val="20"/>
                <w:lang w:val="es-CO"/>
              </w:rPr>
              <w:t>Derecho a la integridad personal como consecuencia de la desaparición forzada</w:t>
            </w:r>
            <w:r w:rsidR="006C2C10" w:rsidRPr="006C2C10">
              <w:rPr>
                <w:rFonts w:asciiTheme="majorHAnsi" w:hAnsiTheme="majorHAnsi"/>
                <w:noProof/>
                <w:webHidden/>
                <w:sz w:val="20"/>
                <w:szCs w:val="20"/>
              </w:rPr>
              <w:tab/>
            </w:r>
            <w:r w:rsidR="006C2C10" w:rsidRPr="006C2C10">
              <w:rPr>
                <w:rFonts w:asciiTheme="majorHAnsi" w:hAnsiTheme="majorHAnsi"/>
                <w:noProof/>
                <w:webHidden/>
                <w:sz w:val="20"/>
                <w:szCs w:val="20"/>
              </w:rPr>
              <w:fldChar w:fldCharType="begin"/>
            </w:r>
            <w:r w:rsidR="006C2C10" w:rsidRPr="006C2C10">
              <w:rPr>
                <w:rFonts w:asciiTheme="majorHAnsi" w:hAnsiTheme="majorHAnsi"/>
                <w:noProof/>
                <w:webHidden/>
                <w:sz w:val="20"/>
                <w:szCs w:val="20"/>
              </w:rPr>
              <w:instrText xml:space="preserve"> PAGEREF _Toc5359035 \h </w:instrText>
            </w:r>
            <w:r w:rsidR="006C2C10" w:rsidRPr="006C2C10">
              <w:rPr>
                <w:rFonts w:asciiTheme="majorHAnsi" w:hAnsiTheme="majorHAnsi"/>
                <w:noProof/>
                <w:webHidden/>
                <w:sz w:val="20"/>
                <w:szCs w:val="20"/>
              </w:rPr>
            </w:r>
            <w:r w:rsidR="006C2C10" w:rsidRPr="006C2C10">
              <w:rPr>
                <w:rFonts w:asciiTheme="majorHAnsi" w:hAnsiTheme="majorHAnsi"/>
                <w:noProof/>
                <w:webHidden/>
                <w:sz w:val="20"/>
                <w:szCs w:val="20"/>
              </w:rPr>
              <w:fldChar w:fldCharType="separate"/>
            </w:r>
            <w:r>
              <w:rPr>
                <w:rFonts w:asciiTheme="majorHAnsi" w:hAnsiTheme="majorHAnsi"/>
                <w:noProof/>
                <w:webHidden/>
                <w:sz w:val="20"/>
                <w:szCs w:val="20"/>
              </w:rPr>
              <w:t>16</w:t>
            </w:r>
            <w:r w:rsidR="006C2C10" w:rsidRPr="006C2C10">
              <w:rPr>
                <w:rFonts w:asciiTheme="majorHAnsi" w:hAnsiTheme="majorHAnsi"/>
                <w:noProof/>
                <w:webHidden/>
                <w:sz w:val="20"/>
                <w:szCs w:val="20"/>
              </w:rPr>
              <w:fldChar w:fldCharType="end"/>
            </w:r>
          </w:hyperlink>
        </w:p>
        <w:p w14:paraId="28CE7C69" w14:textId="73D85460" w:rsidR="006C2C10" w:rsidRPr="006C2C10" w:rsidRDefault="000A28D7" w:rsidP="006C2C10">
          <w:pPr>
            <w:pStyle w:val="TOC3"/>
            <w:tabs>
              <w:tab w:val="left" w:pos="720"/>
              <w:tab w:val="left" w:pos="960"/>
              <w:tab w:val="right" w:leader="dot" w:pos="9350"/>
            </w:tabs>
            <w:rPr>
              <w:rFonts w:asciiTheme="majorHAnsi" w:eastAsiaTheme="minorEastAsia" w:hAnsiTheme="majorHAnsi" w:cstheme="minorBidi"/>
              <w:noProof/>
              <w:sz w:val="20"/>
              <w:szCs w:val="20"/>
              <w:bdr w:val="none" w:sz="0" w:space="0" w:color="auto"/>
            </w:rPr>
          </w:pPr>
          <w:hyperlink w:anchor="_Toc5359036" w:history="1">
            <w:r w:rsidR="006C2C10" w:rsidRPr="006C2C10">
              <w:rPr>
                <w:rStyle w:val="Hyperlink"/>
                <w:rFonts w:asciiTheme="majorHAnsi" w:hAnsiTheme="majorHAnsi"/>
                <w:noProof/>
                <w:sz w:val="20"/>
                <w:szCs w:val="20"/>
                <w:lang w:val="es-CO"/>
              </w:rPr>
              <w:t>2.</w:t>
            </w:r>
            <w:r w:rsidR="006C2C10" w:rsidRPr="006C2C10">
              <w:rPr>
                <w:rFonts w:asciiTheme="majorHAnsi" w:eastAsiaTheme="minorEastAsia" w:hAnsiTheme="majorHAnsi" w:cstheme="minorBidi"/>
                <w:noProof/>
                <w:sz w:val="20"/>
                <w:szCs w:val="20"/>
                <w:bdr w:val="none" w:sz="0" w:space="0" w:color="auto"/>
              </w:rPr>
              <w:tab/>
            </w:r>
            <w:r w:rsidR="006C2C10" w:rsidRPr="006C2C10">
              <w:rPr>
                <w:rStyle w:val="Hyperlink"/>
                <w:rFonts w:asciiTheme="majorHAnsi" w:hAnsiTheme="majorHAnsi"/>
                <w:noProof/>
                <w:sz w:val="20"/>
                <w:szCs w:val="20"/>
                <w:lang w:val="es-CO"/>
              </w:rPr>
              <w:t xml:space="preserve">Respecto de los hechos en cuanto a Gregoria Naranjo y Marcia </w:t>
            </w:r>
            <w:r w:rsidR="006C2C10" w:rsidRPr="006C2C10">
              <w:rPr>
                <w:rStyle w:val="Hyperlink"/>
                <w:rFonts w:asciiTheme="majorHAnsi" w:hAnsiTheme="majorHAnsi"/>
                <w:noProof/>
                <w:sz w:val="20"/>
                <w:szCs w:val="20"/>
                <w:lang w:val="es-ES"/>
              </w:rPr>
              <w:t>Núñez</w:t>
            </w:r>
            <w:r w:rsidR="006C2C10" w:rsidRPr="006C2C10">
              <w:rPr>
                <w:rFonts w:asciiTheme="majorHAnsi" w:hAnsiTheme="majorHAnsi"/>
                <w:noProof/>
                <w:webHidden/>
                <w:sz w:val="20"/>
                <w:szCs w:val="20"/>
              </w:rPr>
              <w:tab/>
            </w:r>
            <w:r w:rsidR="006C2C10" w:rsidRPr="006C2C10">
              <w:rPr>
                <w:rFonts w:asciiTheme="majorHAnsi" w:hAnsiTheme="majorHAnsi"/>
                <w:noProof/>
                <w:webHidden/>
                <w:sz w:val="20"/>
                <w:szCs w:val="20"/>
              </w:rPr>
              <w:fldChar w:fldCharType="begin"/>
            </w:r>
            <w:r w:rsidR="006C2C10" w:rsidRPr="006C2C10">
              <w:rPr>
                <w:rFonts w:asciiTheme="majorHAnsi" w:hAnsiTheme="majorHAnsi"/>
                <w:noProof/>
                <w:webHidden/>
                <w:sz w:val="20"/>
                <w:szCs w:val="20"/>
              </w:rPr>
              <w:instrText xml:space="preserve"> PAGEREF _Toc5359036 \h </w:instrText>
            </w:r>
            <w:r w:rsidR="006C2C10" w:rsidRPr="006C2C10">
              <w:rPr>
                <w:rFonts w:asciiTheme="majorHAnsi" w:hAnsiTheme="majorHAnsi"/>
                <w:noProof/>
                <w:webHidden/>
                <w:sz w:val="20"/>
                <w:szCs w:val="20"/>
              </w:rPr>
            </w:r>
            <w:r w:rsidR="006C2C10" w:rsidRPr="006C2C10">
              <w:rPr>
                <w:rFonts w:asciiTheme="majorHAnsi" w:hAnsiTheme="majorHAnsi"/>
                <w:noProof/>
                <w:webHidden/>
                <w:sz w:val="20"/>
                <w:szCs w:val="20"/>
              </w:rPr>
              <w:fldChar w:fldCharType="separate"/>
            </w:r>
            <w:r>
              <w:rPr>
                <w:rFonts w:asciiTheme="majorHAnsi" w:hAnsiTheme="majorHAnsi"/>
                <w:noProof/>
                <w:webHidden/>
                <w:sz w:val="20"/>
                <w:szCs w:val="20"/>
              </w:rPr>
              <w:t>17</w:t>
            </w:r>
            <w:r w:rsidR="006C2C10" w:rsidRPr="006C2C10">
              <w:rPr>
                <w:rFonts w:asciiTheme="majorHAnsi" w:hAnsiTheme="majorHAnsi"/>
                <w:noProof/>
                <w:webHidden/>
                <w:sz w:val="20"/>
                <w:szCs w:val="20"/>
              </w:rPr>
              <w:fldChar w:fldCharType="end"/>
            </w:r>
          </w:hyperlink>
        </w:p>
        <w:p w14:paraId="148792C7" w14:textId="58A47DD7" w:rsidR="006C2C10" w:rsidRPr="006C2C10" w:rsidRDefault="000A28D7" w:rsidP="006C2C10">
          <w:pPr>
            <w:pStyle w:val="TOC1"/>
            <w:tabs>
              <w:tab w:val="left" w:pos="480"/>
              <w:tab w:val="left" w:pos="720"/>
              <w:tab w:val="right" w:leader="dot" w:pos="9350"/>
            </w:tabs>
            <w:rPr>
              <w:rFonts w:asciiTheme="majorHAnsi" w:eastAsiaTheme="minorEastAsia" w:hAnsiTheme="majorHAnsi" w:cstheme="minorBidi"/>
              <w:b w:val="0"/>
              <w:bCs w:val="0"/>
              <w:noProof/>
              <w:sz w:val="20"/>
              <w:szCs w:val="20"/>
              <w:bdr w:val="none" w:sz="0" w:space="0" w:color="auto"/>
            </w:rPr>
          </w:pPr>
          <w:hyperlink w:anchor="_Toc5359037" w:history="1">
            <w:r w:rsidR="006C2C10" w:rsidRPr="006C2C10">
              <w:rPr>
                <w:rStyle w:val="Hyperlink"/>
                <w:rFonts w:asciiTheme="majorHAnsi" w:hAnsiTheme="majorHAnsi"/>
                <w:noProof/>
                <w:sz w:val="20"/>
                <w:szCs w:val="20"/>
                <w:lang w:val="es-ES_tradnl"/>
              </w:rPr>
              <w:t>V.</w:t>
            </w:r>
            <w:r w:rsidR="006C2C10" w:rsidRPr="006C2C10">
              <w:rPr>
                <w:rFonts w:asciiTheme="majorHAnsi" w:eastAsiaTheme="minorEastAsia" w:hAnsiTheme="majorHAnsi" w:cstheme="minorBidi"/>
                <w:b w:val="0"/>
                <w:bCs w:val="0"/>
                <w:noProof/>
                <w:sz w:val="20"/>
                <w:szCs w:val="20"/>
                <w:bdr w:val="none" w:sz="0" w:space="0" w:color="auto"/>
              </w:rPr>
              <w:tab/>
            </w:r>
            <w:r w:rsidR="006C2C10" w:rsidRPr="006C2C10">
              <w:rPr>
                <w:rStyle w:val="Hyperlink"/>
                <w:rFonts w:asciiTheme="majorHAnsi" w:hAnsiTheme="majorHAnsi"/>
                <w:noProof/>
                <w:sz w:val="20"/>
                <w:szCs w:val="20"/>
                <w:lang w:val="es-ES"/>
              </w:rPr>
              <w:t>CONCLUSIONES</w:t>
            </w:r>
            <w:r w:rsidR="006C2C10" w:rsidRPr="006C2C10">
              <w:rPr>
                <w:rStyle w:val="Hyperlink"/>
                <w:rFonts w:asciiTheme="majorHAnsi" w:hAnsiTheme="majorHAnsi"/>
                <w:noProof/>
                <w:sz w:val="20"/>
                <w:szCs w:val="20"/>
                <w:lang w:val="es-ES_tradnl"/>
              </w:rPr>
              <w:t xml:space="preserve"> Y RECOMENDACIONES</w:t>
            </w:r>
            <w:r w:rsidR="006C2C10" w:rsidRPr="006C2C10">
              <w:rPr>
                <w:rFonts w:asciiTheme="majorHAnsi" w:hAnsiTheme="majorHAnsi"/>
                <w:noProof/>
                <w:webHidden/>
                <w:sz w:val="20"/>
                <w:szCs w:val="20"/>
              </w:rPr>
              <w:tab/>
            </w:r>
            <w:r w:rsidR="006C2C10" w:rsidRPr="006C2C10">
              <w:rPr>
                <w:rFonts w:asciiTheme="majorHAnsi" w:hAnsiTheme="majorHAnsi"/>
                <w:noProof/>
                <w:webHidden/>
                <w:sz w:val="20"/>
                <w:szCs w:val="20"/>
              </w:rPr>
              <w:fldChar w:fldCharType="begin"/>
            </w:r>
            <w:r w:rsidR="006C2C10" w:rsidRPr="006C2C10">
              <w:rPr>
                <w:rFonts w:asciiTheme="majorHAnsi" w:hAnsiTheme="majorHAnsi"/>
                <w:noProof/>
                <w:webHidden/>
                <w:sz w:val="20"/>
                <w:szCs w:val="20"/>
              </w:rPr>
              <w:instrText xml:space="preserve"> PAGEREF _Toc5359037 \h </w:instrText>
            </w:r>
            <w:r w:rsidR="006C2C10" w:rsidRPr="006C2C10">
              <w:rPr>
                <w:rFonts w:asciiTheme="majorHAnsi" w:hAnsiTheme="majorHAnsi"/>
                <w:noProof/>
                <w:webHidden/>
                <w:sz w:val="20"/>
                <w:szCs w:val="20"/>
              </w:rPr>
            </w:r>
            <w:r w:rsidR="006C2C10" w:rsidRPr="006C2C10">
              <w:rPr>
                <w:rFonts w:asciiTheme="majorHAnsi" w:hAnsiTheme="majorHAnsi"/>
                <w:noProof/>
                <w:webHidden/>
                <w:sz w:val="20"/>
                <w:szCs w:val="20"/>
              </w:rPr>
              <w:fldChar w:fldCharType="separate"/>
            </w:r>
            <w:r>
              <w:rPr>
                <w:rFonts w:asciiTheme="majorHAnsi" w:hAnsiTheme="majorHAnsi"/>
                <w:noProof/>
                <w:webHidden/>
                <w:sz w:val="20"/>
                <w:szCs w:val="20"/>
              </w:rPr>
              <w:t>18</w:t>
            </w:r>
            <w:r w:rsidR="006C2C10" w:rsidRPr="006C2C10">
              <w:rPr>
                <w:rFonts w:asciiTheme="majorHAnsi" w:hAnsiTheme="majorHAnsi"/>
                <w:noProof/>
                <w:webHidden/>
                <w:sz w:val="20"/>
                <w:szCs w:val="20"/>
              </w:rPr>
              <w:fldChar w:fldCharType="end"/>
            </w:r>
          </w:hyperlink>
        </w:p>
        <w:p w14:paraId="30168C79" w14:textId="77777777" w:rsidR="005B0911" w:rsidRDefault="005B0911" w:rsidP="006C2C10">
          <w:pPr>
            <w:tabs>
              <w:tab w:val="left" w:pos="720"/>
            </w:tabs>
          </w:pPr>
          <w:r w:rsidRPr="006C2C10">
            <w:rPr>
              <w:rFonts w:asciiTheme="majorHAnsi" w:hAnsiTheme="majorHAnsi"/>
              <w:bCs/>
              <w:noProof/>
              <w:sz w:val="20"/>
              <w:szCs w:val="20"/>
            </w:rPr>
            <w:fldChar w:fldCharType="end"/>
          </w:r>
        </w:p>
      </w:sdtContent>
    </w:sdt>
    <w:p w14:paraId="6C17CFED" w14:textId="77777777" w:rsidR="008D768D" w:rsidRPr="00070598" w:rsidRDefault="008D768D" w:rsidP="006125C3">
      <w:pPr>
        <w:tabs>
          <w:tab w:val="center" w:pos="5400"/>
        </w:tabs>
        <w:suppressAutoHyphens/>
        <w:spacing w:line="276" w:lineRule="auto"/>
        <w:rPr>
          <w:rFonts w:asciiTheme="majorHAnsi" w:hAnsiTheme="majorHAnsi"/>
          <w:sz w:val="20"/>
          <w:szCs w:val="20"/>
          <w:lang w:val="es-ES"/>
        </w:rPr>
      </w:pPr>
    </w:p>
    <w:p w14:paraId="6890AC5C" w14:textId="77777777" w:rsidR="00E909AA" w:rsidRPr="00070598" w:rsidRDefault="00E909AA" w:rsidP="00E909AA">
      <w:pPr>
        <w:suppressAutoHyphens/>
        <w:rPr>
          <w:rFonts w:asciiTheme="majorHAnsi" w:hAnsiTheme="majorHAnsi"/>
          <w:b/>
          <w:sz w:val="20"/>
          <w:szCs w:val="20"/>
          <w:lang w:val="es-ES"/>
        </w:rPr>
      </w:pPr>
    </w:p>
    <w:p w14:paraId="1131299B" w14:textId="77777777" w:rsidR="00E909AA" w:rsidRPr="00070598"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r w:rsidRPr="00070598">
        <w:rPr>
          <w:rFonts w:asciiTheme="majorHAnsi" w:hAnsiTheme="majorHAnsi"/>
          <w:b/>
          <w:sz w:val="20"/>
          <w:szCs w:val="20"/>
          <w:lang w:val="es-ES"/>
        </w:rPr>
        <w:fldChar w:fldCharType="begin"/>
      </w:r>
      <w:r w:rsidRPr="00070598">
        <w:rPr>
          <w:rFonts w:asciiTheme="majorHAnsi" w:hAnsiTheme="majorHAnsi"/>
          <w:b/>
          <w:sz w:val="20"/>
          <w:szCs w:val="20"/>
          <w:lang w:val="es-ES"/>
        </w:rPr>
        <w:instrText xml:space="preserve"> TOC \o "1-7" \h \z \u </w:instrText>
      </w:r>
      <w:r w:rsidRPr="00070598">
        <w:rPr>
          <w:rFonts w:asciiTheme="majorHAnsi" w:hAnsiTheme="majorHAnsi"/>
          <w:b/>
          <w:sz w:val="20"/>
          <w:szCs w:val="20"/>
          <w:lang w:val="es-ES"/>
        </w:rPr>
        <w:fldChar w:fldCharType="separate"/>
      </w:r>
    </w:p>
    <w:p w14:paraId="2615CD2B" w14:textId="77777777" w:rsidR="006125C3" w:rsidRPr="00070598"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2D6CA464" w14:textId="77777777" w:rsidR="008D768D" w:rsidRPr="00070598" w:rsidRDefault="006125C3" w:rsidP="006125C3">
      <w:pPr>
        <w:tabs>
          <w:tab w:val="center" w:pos="5400"/>
        </w:tabs>
        <w:suppressAutoHyphens/>
        <w:spacing w:line="276" w:lineRule="auto"/>
        <w:rPr>
          <w:rFonts w:asciiTheme="majorHAnsi" w:hAnsiTheme="majorHAnsi"/>
          <w:sz w:val="20"/>
          <w:szCs w:val="20"/>
          <w:lang w:val="es-ES"/>
        </w:rPr>
      </w:pPr>
      <w:r w:rsidRPr="00070598">
        <w:rPr>
          <w:rFonts w:asciiTheme="majorHAnsi" w:hAnsiTheme="majorHAnsi"/>
          <w:b/>
          <w:sz w:val="20"/>
          <w:szCs w:val="20"/>
          <w:lang w:val="es-ES"/>
        </w:rPr>
        <w:fldChar w:fldCharType="end"/>
      </w:r>
    </w:p>
    <w:p w14:paraId="3BEB6BE4" w14:textId="77777777" w:rsidR="00722C9F" w:rsidRPr="00070598" w:rsidRDefault="00722C9F">
      <w:pPr>
        <w:rPr>
          <w:rFonts w:asciiTheme="majorHAnsi" w:hAnsiTheme="majorHAnsi" w:cs="Calibri"/>
          <w:sz w:val="20"/>
          <w:szCs w:val="20"/>
          <w:lang w:val="es-ES"/>
        </w:rPr>
      </w:pPr>
      <w:r w:rsidRPr="00070598">
        <w:rPr>
          <w:rFonts w:asciiTheme="majorHAnsi" w:hAnsiTheme="majorHAnsi" w:cs="Calibri"/>
          <w:sz w:val="20"/>
          <w:szCs w:val="20"/>
          <w:lang w:val="es-ES"/>
        </w:rPr>
        <w:br w:type="page"/>
      </w:r>
    </w:p>
    <w:p w14:paraId="5196E251" w14:textId="77777777" w:rsidR="00FA4A9F" w:rsidRPr="00651637" w:rsidRDefault="006E0C8D" w:rsidP="004E08BA">
      <w:pPr>
        <w:tabs>
          <w:tab w:val="center" w:pos="5400"/>
        </w:tabs>
        <w:suppressAutoHyphens/>
        <w:jc w:val="center"/>
        <w:rPr>
          <w:rFonts w:ascii="Cambria" w:hAnsi="Cambria"/>
          <w:b/>
          <w:sz w:val="18"/>
          <w:szCs w:val="20"/>
          <w:lang w:val="es-ES"/>
        </w:rPr>
      </w:pPr>
      <w:r>
        <w:rPr>
          <w:rFonts w:ascii="Cambria" w:hAnsi="Cambria"/>
          <w:b/>
          <w:sz w:val="18"/>
          <w:szCs w:val="20"/>
          <w:lang w:val="es-ES"/>
        </w:rPr>
        <w:lastRenderedPageBreak/>
        <w:t>INFORME No. 60</w:t>
      </w:r>
      <w:r w:rsidR="00FA4A9F" w:rsidRPr="00651637">
        <w:rPr>
          <w:rFonts w:ascii="Cambria" w:hAnsi="Cambria"/>
          <w:b/>
          <w:sz w:val="18"/>
          <w:szCs w:val="20"/>
          <w:lang w:val="es-ES"/>
        </w:rPr>
        <w:t>/</w:t>
      </w:r>
      <w:r w:rsidR="005F3F52" w:rsidRPr="00651637">
        <w:rPr>
          <w:rFonts w:ascii="Cambria" w:hAnsi="Cambria"/>
          <w:b/>
          <w:sz w:val="18"/>
          <w:szCs w:val="20"/>
          <w:lang w:val="es-ES"/>
        </w:rPr>
        <w:t>19</w:t>
      </w:r>
    </w:p>
    <w:p w14:paraId="24752B1F" w14:textId="77777777" w:rsidR="00FA4A9F" w:rsidRPr="00651637" w:rsidRDefault="00FA4A9F" w:rsidP="004E08BA">
      <w:pPr>
        <w:tabs>
          <w:tab w:val="center" w:pos="5400"/>
        </w:tabs>
        <w:suppressAutoHyphens/>
        <w:jc w:val="center"/>
        <w:rPr>
          <w:rFonts w:ascii="Cambria" w:hAnsi="Cambria"/>
          <w:b/>
          <w:sz w:val="18"/>
          <w:szCs w:val="20"/>
          <w:lang w:val="es-ES"/>
        </w:rPr>
      </w:pPr>
      <w:r w:rsidRPr="00651637">
        <w:rPr>
          <w:rFonts w:ascii="Cambria" w:hAnsi="Cambria"/>
          <w:b/>
          <w:sz w:val="18"/>
          <w:szCs w:val="20"/>
          <w:lang w:val="es-ES"/>
        </w:rPr>
        <w:t>CASO 12.744</w:t>
      </w:r>
    </w:p>
    <w:p w14:paraId="3E041B1B" w14:textId="77777777" w:rsidR="00FA4A9F" w:rsidRPr="00651637" w:rsidRDefault="00FA4A9F" w:rsidP="004E08BA">
      <w:pPr>
        <w:tabs>
          <w:tab w:val="center" w:pos="5400"/>
        </w:tabs>
        <w:suppressAutoHyphens/>
        <w:jc w:val="center"/>
        <w:rPr>
          <w:rFonts w:ascii="Cambria" w:hAnsi="Cambria"/>
          <w:sz w:val="18"/>
          <w:szCs w:val="20"/>
          <w:lang w:val="es-ES"/>
        </w:rPr>
      </w:pPr>
      <w:r w:rsidRPr="00651637">
        <w:rPr>
          <w:rFonts w:ascii="Cambria" w:hAnsi="Cambria"/>
          <w:sz w:val="18"/>
          <w:szCs w:val="20"/>
          <w:lang w:val="es-ES"/>
        </w:rPr>
        <w:t>FONDO</w:t>
      </w:r>
    </w:p>
    <w:p w14:paraId="3E90A24A" w14:textId="77777777" w:rsidR="00FA4A9F" w:rsidRPr="00651637" w:rsidRDefault="00FA4A9F" w:rsidP="004E08BA">
      <w:pPr>
        <w:tabs>
          <w:tab w:val="center" w:pos="5400"/>
        </w:tabs>
        <w:suppressAutoHyphens/>
        <w:jc w:val="center"/>
        <w:rPr>
          <w:rFonts w:ascii="Cambria" w:hAnsi="Cambria"/>
          <w:sz w:val="18"/>
          <w:szCs w:val="20"/>
          <w:lang w:val="es-ES"/>
        </w:rPr>
      </w:pPr>
      <w:r w:rsidRPr="00651637">
        <w:rPr>
          <w:rFonts w:ascii="Cambria" w:hAnsi="Cambria"/>
          <w:sz w:val="18"/>
          <w:szCs w:val="20"/>
          <w:lang w:val="es-ES"/>
        </w:rPr>
        <w:t xml:space="preserve">FREDY MARCELO NUÑEZ </w:t>
      </w:r>
      <w:r w:rsidR="008C0671" w:rsidRPr="00651637">
        <w:rPr>
          <w:rFonts w:ascii="Cambria" w:hAnsi="Cambria"/>
          <w:sz w:val="18"/>
          <w:szCs w:val="20"/>
          <w:lang w:val="es-ES"/>
        </w:rPr>
        <w:t xml:space="preserve">NARANJO </w:t>
      </w:r>
      <w:r w:rsidRPr="00651637">
        <w:rPr>
          <w:rFonts w:ascii="Cambria" w:hAnsi="Cambria"/>
          <w:sz w:val="18"/>
          <w:szCs w:val="20"/>
          <w:lang w:val="es-ES"/>
        </w:rPr>
        <w:t>Y OTROS</w:t>
      </w:r>
    </w:p>
    <w:p w14:paraId="4DAED5A9" w14:textId="77777777" w:rsidR="00FA4A9F" w:rsidRPr="00651637" w:rsidRDefault="00FA4A9F" w:rsidP="004E08BA">
      <w:pPr>
        <w:tabs>
          <w:tab w:val="center" w:pos="5400"/>
        </w:tabs>
        <w:suppressAutoHyphens/>
        <w:jc w:val="center"/>
        <w:rPr>
          <w:rFonts w:ascii="Cambria" w:hAnsi="Cambria"/>
          <w:sz w:val="18"/>
          <w:szCs w:val="20"/>
          <w:lang w:val="es-ES"/>
        </w:rPr>
      </w:pPr>
      <w:r w:rsidRPr="00651637">
        <w:rPr>
          <w:rFonts w:ascii="Cambria" w:hAnsi="Cambria"/>
          <w:sz w:val="18"/>
          <w:szCs w:val="20"/>
          <w:lang w:val="es-ES"/>
        </w:rPr>
        <w:t>ECUADOR</w:t>
      </w:r>
    </w:p>
    <w:p w14:paraId="474799FF" w14:textId="77777777" w:rsidR="005937F1" w:rsidRPr="00651637" w:rsidRDefault="006E0C8D" w:rsidP="004E08BA">
      <w:pPr>
        <w:tabs>
          <w:tab w:val="center" w:pos="5400"/>
        </w:tabs>
        <w:suppressAutoHyphens/>
        <w:jc w:val="center"/>
        <w:rPr>
          <w:rFonts w:ascii="Cambria" w:hAnsi="Cambria"/>
          <w:sz w:val="18"/>
          <w:szCs w:val="20"/>
          <w:lang w:val="es-ES"/>
        </w:rPr>
      </w:pPr>
      <w:r>
        <w:rPr>
          <w:rFonts w:ascii="Cambria" w:hAnsi="Cambria"/>
          <w:sz w:val="18"/>
          <w:szCs w:val="20"/>
          <w:lang w:val="es-ES"/>
        </w:rPr>
        <w:t>4 DE MAYO 2019</w:t>
      </w:r>
    </w:p>
    <w:p w14:paraId="20EBB12B" w14:textId="77777777" w:rsidR="00D12193" w:rsidRPr="000A209E" w:rsidRDefault="00323B30" w:rsidP="002A35D9">
      <w:pPr>
        <w:pStyle w:val="Heading1"/>
        <w:numPr>
          <w:ilvl w:val="0"/>
          <w:numId w:val="55"/>
        </w:numPr>
        <w:ind w:left="0" w:firstLine="0"/>
        <w:jc w:val="both"/>
        <w:rPr>
          <w:rFonts w:ascii="Cambria" w:hAnsi="Cambria"/>
          <w:color w:val="000000" w:themeColor="text1"/>
          <w:sz w:val="20"/>
          <w:szCs w:val="20"/>
          <w:lang w:val="es-ES"/>
        </w:rPr>
      </w:pPr>
      <w:bookmarkStart w:id="2" w:name="_Toc5359020"/>
      <w:r w:rsidRPr="000A209E">
        <w:rPr>
          <w:rFonts w:ascii="Cambria" w:hAnsi="Cambria"/>
          <w:color w:val="000000" w:themeColor="text1"/>
          <w:sz w:val="20"/>
          <w:szCs w:val="20"/>
          <w:lang w:val="es-ES"/>
        </w:rPr>
        <w:t>INTRODUCCIÓN</w:t>
      </w:r>
      <w:bookmarkEnd w:id="2"/>
    </w:p>
    <w:p w14:paraId="0CF876D2" w14:textId="77777777" w:rsidR="005C4CA5" w:rsidRPr="000A209E" w:rsidRDefault="005C4CA5" w:rsidP="004E08BA">
      <w:pPr>
        <w:suppressAutoHyphens/>
        <w:ind w:left="360"/>
        <w:jc w:val="both"/>
        <w:rPr>
          <w:rFonts w:ascii="Cambria" w:hAnsi="Cambria"/>
          <w:b/>
          <w:color w:val="000000" w:themeColor="text1"/>
          <w:sz w:val="20"/>
          <w:szCs w:val="20"/>
          <w:lang w:val="es-ES"/>
        </w:rPr>
      </w:pPr>
    </w:p>
    <w:p w14:paraId="32F3129C" w14:textId="77777777" w:rsidR="002A35D9" w:rsidRDefault="005C4CA5"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VE"/>
        </w:rPr>
      </w:pPr>
      <w:r w:rsidRPr="002A35D9">
        <w:rPr>
          <w:rFonts w:ascii="Cambria" w:eastAsia="Calibri" w:hAnsi="Cambria"/>
          <w:sz w:val="20"/>
          <w:szCs w:val="20"/>
          <w:lang w:val="es-VE"/>
        </w:rPr>
        <w:t xml:space="preserve">El </w:t>
      </w:r>
      <w:r w:rsidR="00E93404" w:rsidRPr="002A35D9">
        <w:rPr>
          <w:rFonts w:ascii="Cambria" w:eastAsia="Calibri" w:hAnsi="Cambria"/>
          <w:sz w:val="20"/>
          <w:szCs w:val="20"/>
          <w:lang w:val="es-VE"/>
        </w:rPr>
        <w:t>1</w:t>
      </w:r>
      <w:r w:rsidRPr="002A35D9">
        <w:rPr>
          <w:rFonts w:ascii="Cambria" w:eastAsia="Calibri" w:hAnsi="Cambria"/>
          <w:sz w:val="20"/>
          <w:szCs w:val="20"/>
          <w:lang w:val="es-VE"/>
        </w:rPr>
        <w:t xml:space="preserve"> de </w:t>
      </w:r>
      <w:r w:rsidR="00722A51" w:rsidRPr="002A35D9">
        <w:rPr>
          <w:rFonts w:ascii="Cambria" w:eastAsia="Calibri" w:hAnsi="Cambria"/>
          <w:sz w:val="20"/>
          <w:szCs w:val="20"/>
          <w:lang w:val="es-VE"/>
        </w:rPr>
        <w:t>d</w:t>
      </w:r>
      <w:r w:rsidR="00E93404" w:rsidRPr="002A35D9">
        <w:rPr>
          <w:rFonts w:ascii="Cambria" w:eastAsia="Calibri" w:hAnsi="Cambria"/>
          <w:sz w:val="20"/>
          <w:szCs w:val="20"/>
          <w:lang w:val="es-VE"/>
        </w:rPr>
        <w:t>iciembre</w:t>
      </w:r>
      <w:r w:rsidR="00C629D3" w:rsidRPr="002A35D9">
        <w:rPr>
          <w:rFonts w:ascii="Cambria" w:eastAsia="Calibri" w:hAnsi="Cambria"/>
          <w:sz w:val="20"/>
          <w:szCs w:val="20"/>
          <w:lang w:val="es-VE"/>
        </w:rPr>
        <w:t xml:space="preserve"> </w:t>
      </w:r>
      <w:r w:rsidRPr="002A35D9">
        <w:rPr>
          <w:rFonts w:ascii="Cambria" w:eastAsia="Calibri" w:hAnsi="Cambria"/>
          <w:sz w:val="20"/>
          <w:szCs w:val="20"/>
          <w:lang w:val="es-VE"/>
        </w:rPr>
        <w:t xml:space="preserve">de </w:t>
      </w:r>
      <w:r w:rsidR="00E93404" w:rsidRPr="002A35D9">
        <w:rPr>
          <w:rFonts w:ascii="Cambria" w:eastAsia="Calibri" w:hAnsi="Cambria"/>
          <w:sz w:val="20"/>
          <w:szCs w:val="20"/>
          <w:lang w:val="es-VE"/>
        </w:rPr>
        <w:t xml:space="preserve">2003 </w:t>
      </w:r>
      <w:r w:rsidRPr="002A35D9">
        <w:rPr>
          <w:rFonts w:ascii="Cambria" w:eastAsia="Calibri" w:hAnsi="Cambria"/>
          <w:sz w:val="20"/>
          <w:szCs w:val="20"/>
          <w:lang w:val="es-VE"/>
        </w:rPr>
        <w:t xml:space="preserve">la Comisión Interamericana de Derechos Humanos (en adelante “la Comisión Interamericana”, “la Comisión” o “la CIDH”) recibió una petición presentada por </w:t>
      </w:r>
      <w:r w:rsidR="00E93404" w:rsidRPr="002A35D9">
        <w:rPr>
          <w:rFonts w:ascii="Cambria" w:eastAsia="Calibri" w:hAnsi="Cambria"/>
          <w:sz w:val="20"/>
          <w:szCs w:val="20"/>
          <w:lang w:val="es-VE"/>
        </w:rPr>
        <w:t xml:space="preserve">Sixto Rodríguez </w:t>
      </w:r>
      <w:r w:rsidR="00CA3BA8" w:rsidRPr="002A35D9">
        <w:rPr>
          <w:rFonts w:ascii="Cambria" w:eastAsia="Calibri" w:hAnsi="Cambria"/>
          <w:sz w:val="20"/>
          <w:szCs w:val="20"/>
          <w:lang w:val="es-VE"/>
        </w:rPr>
        <w:t>Núñez</w:t>
      </w:r>
      <w:r w:rsidR="00FE3B40" w:rsidRPr="002A35D9">
        <w:rPr>
          <w:rFonts w:ascii="Cambria" w:eastAsia="Calibri" w:hAnsi="Cambria"/>
          <w:sz w:val="20"/>
          <w:szCs w:val="20"/>
          <w:lang w:val="es-VE"/>
        </w:rPr>
        <w:t xml:space="preserve"> Naranjo, </w:t>
      </w:r>
      <w:r w:rsidR="00CA3BA8" w:rsidRPr="002A35D9">
        <w:rPr>
          <w:rFonts w:ascii="Cambria" w:eastAsia="Calibri" w:hAnsi="Cambria"/>
          <w:sz w:val="20"/>
          <w:szCs w:val="20"/>
          <w:lang w:val="es-VE"/>
        </w:rPr>
        <w:t>Napoleón</w:t>
      </w:r>
      <w:r w:rsidR="00E93404" w:rsidRPr="002A35D9">
        <w:rPr>
          <w:rFonts w:ascii="Cambria" w:eastAsia="Calibri" w:hAnsi="Cambria"/>
          <w:sz w:val="20"/>
          <w:szCs w:val="20"/>
          <w:lang w:val="es-VE"/>
        </w:rPr>
        <w:t xml:space="preserve"> Amores y </w:t>
      </w:r>
      <w:r w:rsidR="00CA3BA8" w:rsidRPr="002A35D9">
        <w:rPr>
          <w:rFonts w:ascii="Cambria" w:eastAsia="Calibri" w:hAnsi="Cambria"/>
          <w:sz w:val="20"/>
          <w:szCs w:val="20"/>
          <w:lang w:val="es-VE"/>
        </w:rPr>
        <w:t>José</w:t>
      </w:r>
      <w:r w:rsidR="00E93404" w:rsidRPr="002A35D9">
        <w:rPr>
          <w:rFonts w:ascii="Cambria" w:eastAsia="Calibri" w:hAnsi="Cambria"/>
          <w:sz w:val="20"/>
          <w:szCs w:val="20"/>
          <w:lang w:val="es-VE"/>
        </w:rPr>
        <w:t xml:space="preserve"> Santana</w:t>
      </w:r>
      <w:r w:rsidR="00030F5F" w:rsidRPr="002A35D9">
        <w:rPr>
          <w:rFonts w:ascii="Cambria" w:eastAsia="Calibri" w:hAnsi="Cambria"/>
          <w:sz w:val="20"/>
          <w:szCs w:val="20"/>
          <w:lang w:val="es-VE"/>
        </w:rPr>
        <w:t>,</w:t>
      </w:r>
      <w:r w:rsidRPr="002A35D9">
        <w:rPr>
          <w:rFonts w:ascii="Cambria" w:eastAsia="Calibri" w:hAnsi="Cambria"/>
          <w:sz w:val="20"/>
          <w:szCs w:val="20"/>
          <w:lang w:val="es-VE"/>
        </w:rPr>
        <w:t xml:space="preserve"> en la cual se alega la responsabilidad</w:t>
      </w:r>
      <w:r w:rsidR="00030F5F" w:rsidRPr="002A35D9">
        <w:rPr>
          <w:rFonts w:ascii="Cambria" w:eastAsia="Calibri" w:hAnsi="Cambria"/>
          <w:sz w:val="20"/>
          <w:szCs w:val="20"/>
          <w:lang w:val="es-VE"/>
        </w:rPr>
        <w:t xml:space="preserve"> internacional</w:t>
      </w:r>
      <w:r w:rsidRPr="002A35D9">
        <w:rPr>
          <w:rFonts w:ascii="Cambria" w:eastAsia="Calibri" w:hAnsi="Cambria"/>
          <w:sz w:val="20"/>
          <w:szCs w:val="20"/>
          <w:lang w:val="es-VE"/>
        </w:rPr>
        <w:t xml:space="preserve"> de</w:t>
      </w:r>
      <w:r w:rsidR="00A61602" w:rsidRPr="002A35D9">
        <w:rPr>
          <w:rFonts w:ascii="Cambria" w:eastAsia="Calibri" w:hAnsi="Cambria"/>
          <w:sz w:val="20"/>
          <w:szCs w:val="20"/>
          <w:lang w:val="es-VE"/>
        </w:rPr>
        <w:t xml:space="preserve"> la</w:t>
      </w:r>
      <w:r w:rsidRPr="002A35D9">
        <w:rPr>
          <w:rFonts w:ascii="Cambria" w:eastAsia="Calibri" w:hAnsi="Cambria"/>
          <w:sz w:val="20"/>
          <w:szCs w:val="20"/>
          <w:lang w:val="es-VE"/>
        </w:rPr>
        <w:t xml:space="preserve"> </w:t>
      </w:r>
      <w:r w:rsidR="00E93404" w:rsidRPr="002A35D9">
        <w:rPr>
          <w:rFonts w:ascii="Cambria" w:eastAsia="Calibri" w:hAnsi="Cambria"/>
          <w:sz w:val="20"/>
          <w:szCs w:val="20"/>
          <w:lang w:val="es-VE"/>
        </w:rPr>
        <w:t>Rep</w:t>
      </w:r>
      <w:r w:rsidR="00A61602" w:rsidRPr="002A35D9">
        <w:rPr>
          <w:rFonts w:ascii="Cambria" w:eastAsia="Calibri" w:hAnsi="Cambria"/>
          <w:sz w:val="20"/>
          <w:szCs w:val="20"/>
          <w:lang w:val="es-VE"/>
        </w:rPr>
        <w:t>ú</w:t>
      </w:r>
      <w:r w:rsidR="00E93404" w:rsidRPr="002A35D9">
        <w:rPr>
          <w:rFonts w:ascii="Cambria" w:eastAsia="Calibri" w:hAnsi="Cambria"/>
          <w:sz w:val="20"/>
          <w:szCs w:val="20"/>
          <w:lang w:val="es-VE"/>
        </w:rPr>
        <w:t>blica de</w:t>
      </w:r>
      <w:r w:rsidR="007444AF" w:rsidRPr="002A35D9">
        <w:rPr>
          <w:rFonts w:ascii="Cambria" w:eastAsia="Calibri" w:hAnsi="Cambria"/>
          <w:sz w:val="20"/>
          <w:szCs w:val="20"/>
          <w:lang w:val="es-VE"/>
        </w:rPr>
        <w:t>l</w:t>
      </w:r>
      <w:r w:rsidR="00E93404" w:rsidRPr="002A35D9">
        <w:rPr>
          <w:rFonts w:ascii="Cambria" w:eastAsia="Calibri" w:hAnsi="Cambria"/>
          <w:sz w:val="20"/>
          <w:szCs w:val="20"/>
          <w:lang w:val="es-VE"/>
        </w:rPr>
        <w:t xml:space="preserve"> Ecuador</w:t>
      </w:r>
      <w:r w:rsidRPr="002A35D9">
        <w:rPr>
          <w:rFonts w:ascii="Cambria" w:eastAsia="Calibri" w:hAnsi="Cambria"/>
          <w:sz w:val="20"/>
          <w:szCs w:val="20"/>
          <w:lang w:val="es-VE"/>
        </w:rPr>
        <w:t xml:space="preserve"> (en adelante “el Estado</w:t>
      </w:r>
      <w:r w:rsidR="007444AF" w:rsidRPr="002A35D9">
        <w:rPr>
          <w:rFonts w:ascii="Cambria" w:eastAsia="Calibri" w:hAnsi="Cambria"/>
          <w:sz w:val="20"/>
          <w:szCs w:val="20"/>
          <w:lang w:val="es-VE"/>
        </w:rPr>
        <w:t>”, “el Estado</w:t>
      </w:r>
      <w:r w:rsidRPr="002A35D9">
        <w:rPr>
          <w:rFonts w:ascii="Cambria" w:eastAsia="Calibri" w:hAnsi="Cambria"/>
          <w:sz w:val="20"/>
          <w:szCs w:val="20"/>
          <w:lang w:val="es-VE"/>
        </w:rPr>
        <w:t xml:space="preserve"> </w:t>
      </w:r>
      <w:r w:rsidR="00D01BDD" w:rsidRPr="002A35D9">
        <w:rPr>
          <w:rFonts w:ascii="Cambria" w:eastAsia="Calibri" w:hAnsi="Cambria"/>
          <w:sz w:val="20"/>
          <w:szCs w:val="20"/>
          <w:lang w:val="es-VE"/>
        </w:rPr>
        <w:t>e</w:t>
      </w:r>
      <w:r w:rsidR="00E93404" w:rsidRPr="002A35D9">
        <w:rPr>
          <w:rFonts w:ascii="Cambria" w:eastAsia="Calibri" w:hAnsi="Cambria"/>
          <w:sz w:val="20"/>
          <w:szCs w:val="20"/>
          <w:lang w:val="es-VE"/>
        </w:rPr>
        <w:t>cuatoriano</w:t>
      </w:r>
      <w:r w:rsidRPr="002A35D9">
        <w:rPr>
          <w:rFonts w:ascii="Cambria" w:eastAsia="Calibri" w:hAnsi="Cambria"/>
          <w:sz w:val="20"/>
          <w:szCs w:val="20"/>
          <w:lang w:val="es-VE"/>
        </w:rPr>
        <w:t>”, o “</w:t>
      </w:r>
      <w:r w:rsidR="00E93404" w:rsidRPr="002A35D9">
        <w:rPr>
          <w:rFonts w:ascii="Cambria" w:eastAsia="Calibri" w:hAnsi="Cambria"/>
          <w:sz w:val="20"/>
          <w:szCs w:val="20"/>
          <w:lang w:val="es-VE"/>
        </w:rPr>
        <w:t>Ecuador</w:t>
      </w:r>
      <w:r w:rsidRPr="002A35D9">
        <w:rPr>
          <w:rFonts w:ascii="Cambria" w:eastAsia="Calibri" w:hAnsi="Cambria"/>
          <w:sz w:val="20"/>
          <w:szCs w:val="20"/>
          <w:lang w:val="es-VE"/>
        </w:rPr>
        <w:t xml:space="preserve">”) en perjuicio de </w:t>
      </w:r>
      <w:r w:rsidR="00E93404" w:rsidRPr="002A35D9">
        <w:rPr>
          <w:rFonts w:ascii="Cambria" w:eastAsia="Calibri" w:hAnsi="Cambria"/>
          <w:sz w:val="20"/>
          <w:szCs w:val="20"/>
          <w:lang w:val="es-VE"/>
        </w:rPr>
        <w:t>Fredy Marcelo Núñez Naranjo</w:t>
      </w:r>
      <w:r w:rsidR="006D720A" w:rsidRPr="002A35D9">
        <w:rPr>
          <w:rFonts w:ascii="Cambria" w:eastAsia="Calibri" w:hAnsi="Cambria"/>
          <w:sz w:val="20"/>
          <w:szCs w:val="20"/>
          <w:lang w:val="es-VE"/>
        </w:rPr>
        <w:t xml:space="preserve"> por su </w:t>
      </w:r>
      <w:r w:rsidR="00030F5F" w:rsidRPr="002A35D9">
        <w:rPr>
          <w:rFonts w:ascii="Cambria" w:eastAsia="Calibri" w:hAnsi="Cambria"/>
          <w:sz w:val="20"/>
          <w:szCs w:val="20"/>
          <w:lang w:val="es-VE"/>
        </w:rPr>
        <w:t>alegada</w:t>
      </w:r>
      <w:r w:rsidR="006D720A" w:rsidRPr="002A35D9">
        <w:rPr>
          <w:rFonts w:ascii="Cambria" w:eastAsia="Calibri" w:hAnsi="Cambria"/>
          <w:sz w:val="20"/>
          <w:szCs w:val="20"/>
          <w:lang w:val="es-VE"/>
        </w:rPr>
        <w:t xml:space="preserve"> desaparición forzada. </w:t>
      </w:r>
    </w:p>
    <w:p w14:paraId="321DA69E" w14:textId="77777777" w:rsidR="002A35D9" w:rsidRDefault="002A35D9" w:rsidP="002A35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lang w:val="es-VE"/>
        </w:rPr>
      </w:pPr>
    </w:p>
    <w:p w14:paraId="368DBADD" w14:textId="77777777" w:rsidR="00CE7BD0" w:rsidRPr="002A35D9" w:rsidRDefault="009014A4"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VE"/>
        </w:rPr>
      </w:pPr>
      <w:r w:rsidRPr="002A35D9">
        <w:rPr>
          <w:rFonts w:asciiTheme="majorHAnsi" w:hAnsiTheme="majorHAnsi"/>
          <w:color w:val="000000" w:themeColor="text1"/>
          <w:sz w:val="20"/>
          <w:szCs w:val="20"/>
          <w:lang w:val="es-ES"/>
        </w:rPr>
        <w:t xml:space="preserve">La Comisión aprobó el informe de admisibilidad No. </w:t>
      </w:r>
      <w:r w:rsidR="00E17DD0" w:rsidRPr="002A35D9">
        <w:rPr>
          <w:rFonts w:asciiTheme="majorHAnsi" w:hAnsiTheme="majorHAnsi"/>
          <w:color w:val="000000" w:themeColor="text1"/>
          <w:sz w:val="20"/>
          <w:szCs w:val="20"/>
          <w:lang w:val="es-ES"/>
        </w:rPr>
        <w:t>02</w:t>
      </w:r>
      <w:r w:rsidRPr="002A35D9">
        <w:rPr>
          <w:rFonts w:asciiTheme="majorHAnsi" w:hAnsiTheme="majorHAnsi"/>
          <w:color w:val="000000" w:themeColor="text1"/>
          <w:sz w:val="20"/>
          <w:szCs w:val="20"/>
          <w:lang w:val="es-ES"/>
        </w:rPr>
        <w:t>/</w:t>
      </w:r>
      <w:r w:rsidR="00E17DD0" w:rsidRPr="002A35D9">
        <w:rPr>
          <w:rFonts w:asciiTheme="majorHAnsi" w:hAnsiTheme="majorHAnsi"/>
          <w:color w:val="000000" w:themeColor="text1"/>
          <w:sz w:val="20"/>
          <w:szCs w:val="20"/>
          <w:lang w:val="es-ES"/>
        </w:rPr>
        <w:t>10</w:t>
      </w:r>
      <w:r w:rsidRPr="002A35D9">
        <w:rPr>
          <w:rFonts w:asciiTheme="majorHAnsi" w:hAnsiTheme="majorHAnsi"/>
          <w:color w:val="000000" w:themeColor="text1"/>
          <w:sz w:val="20"/>
          <w:szCs w:val="20"/>
          <w:lang w:val="es-ES"/>
        </w:rPr>
        <w:t xml:space="preserve"> el</w:t>
      </w:r>
      <w:r w:rsidR="00E17DD0" w:rsidRPr="002A35D9">
        <w:rPr>
          <w:rFonts w:asciiTheme="majorHAnsi" w:hAnsiTheme="majorHAnsi"/>
          <w:color w:val="000000" w:themeColor="text1"/>
          <w:sz w:val="20"/>
          <w:szCs w:val="20"/>
          <w:lang w:val="es-ES"/>
        </w:rPr>
        <w:t xml:space="preserve"> 15</w:t>
      </w:r>
      <w:r w:rsidRPr="002A35D9">
        <w:rPr>
          <w:rFonts w:asciiTheme="majorHAnsi" w:hAnsiTheme="majorHAnsi"/>
          <w:color w:val="000000" w:themeColor="text1"/>
          <w:sz w:val="20"/>
          <w:szCs w:val="20"/>
          <w:lang w:val="es-ES"/>
        </w:rPr>
        <w:t xml:space="preserve"> de </w:t>
      </w:r>
      <w:r w:rsidR="00E17DD0" w:rsidRPr="002A35D9">
        <w:rPr>
          <w:rFonts w:asciiTheme="majorHAnsi" w:hAnsiTheme="majorHAnsi"/>
          <w:color w:val="000000" w:themeColor="text1"/>
          <w:sz w:val="20"/>
          <w:szCs w:val="20"/>
          <w:lang w:val="es-ES"/>
        </w:rPr>
        <w:t>marzo</w:t>
      </w:r>
      <w:r w:rsidRPr="002A35D9">
        <w:rPr>
          <w:rFonts w:asciiTheme="majorHAnsi" w:hAnsiTheme="majorHAnsi"/>
          <w:color w:val="000000" w:themeColor="text1"/>
          <w:sz w:val="20"/>
          <w:szCs w:val="20"/>
          <w:lang w:val="es-ES"/>
        </w:rPr>
        <w:t xml:space="preserve"> de </w:t>
      </w:r>
      <w:r w:rsidR="00E17DD0" w:rsidRPr="002A35D9">
        <w:rPr>
          <w:rFonts w:asciiTheme="majorHAnsi" w:hAnsiTheme="majorHAnsi"/>
          <w:color w:val="000000" w:themeColor="text1"/>
          <w:sz w:val="20"/>
          <w:szCs w:val="20"/>
          <w:lang w:val="es-ES"/>
        </w:rPr>
        <w:t>2010</w:t>
      </w:r>
      <w:r w:rsidR="00334386" w:rsidRPr="00030F5F">
        <w:rPr>
          <w:rStyle w:val="FootnoteReference"/>
          <w:rFonts w:asciiTheme="majorHAnsi" w:hAnsiTheme="majorHAnsi"/>
          <w:color w:val="000000" w:themeColor="text1"/>
          <w:sz w:val="20"/>
          <w:szCs w:val="20"/>
          <w:lang w:val="es-ES"/>
        </w:rPr>
        <w:footnoteReference w:id="2"/>
      </w:r>
      <w:r w:rsidR="00A61602" w:rsidRPr="002A35D9">
        <w:rPr>
          <w:rFonts w:asciiTheme="majorHAnsi" w:hAnsiTheme="majorHAnsi"/>
          <w:color w:val="000000" w:themeColor="text1"/>
          <w:sz w:val="20"/>
          <w:szCs w:val="20"/>
          <w:lang w:val="es-ES"/>
        </w:rPr>
        <w:t>.</w:t>
      </w:r>
      <w:r w:rsidR="00AF7988" w:rsidRPr="002A35D9">
        <w:rPr>
          <w:rFonts w:asciiTheme="majorHAnsi" w:hAnsiTheme="majorHAnsi"/>
          <w:color w:val="000000" w:themeColor="text1"/>
          <w:sz w:val="20"/>
          <w:szCs w:val="20"/>
          <w:lang w:val="es-ES"/>
        </w:rPr>
        <w:t xml:space="preserve"> </w:t>
      </w:r>
      <w:r w:rsidRPr="002A35D9">
        <w:rPr>
          <w:rFonts w:asciiTheme="majorHAnsi" w:hAnsiTheme="majorHAnsi"/>
          <w:color w:val="000000" w:themeColor="text1"/>
          <w:sz w:val="20"/>
          <w:szCs w:val="20"/>
          <w:lang w:val="es-ES"/>
        </w:rPr>
        <w:t xml:space="preserve">El </w:t>
      </w:r>
      <w:r w:rsidR="006A4853" w:rsidRPr="002A35D9">
        <w:rPr>
          <w:rFonts w:asciiTheme="majorHAnsi" w:hAnsiTheme="majorHAnsi"/>
          <w:color w:val="000000" w:themeColor="text1"/>
          <w:sz w:val="20"/>
          <w:szCs w:val="20"/>
          <w:lang w:val="es-ES"/>
        </w:rPr>
        <w:t>30</w:t>
      </w:r>
      <w:r w:rsidRPr="002A35D9">
        <w:rPr>
          <w:rFonts w:asciiTheme="majorHAnsi" w:hAnsiTheme="majorHAnsi"/>
          <w:color w:val="000000" w:themeColor="text1"/>
          <w:sz w:val="20"/>
          <w:szCs w:val="20"/>
          <w:lang w:val="es-ES"/>
        </w:rPr>
        <w:t xml:space="preserve"> de </w:t>
      </w:r>
      <w:r w:rsidR="00512CB7" w:rsidRPr="002A35D9">
        <w:rPr>
          <w:rFonts w:asciiTheme="majorHAnsi" w:hAnsiTheme="majorHAnsi"/>
          <w:color w:val="000000" w:themeColor="text1"/>
          <w:sz w:val="20"/>
          <w:szCs w:val="20"/>
          <w:lang w:val="es-ES"/>
        </w:rPr>
        <w:t>marzo</w:t>
      </w:r>
      <w:r w:rsidRPr="002A35D9">
        <w:rPr>
          <w:rFonts w:asciiTheme="majorHAnsi" w:hAnsiTheme="majorHAnsi"/>
          <w:color w:val="000000" w:themeColor="text1"/>
          <w:sz w:val="20"/>
          <w:szCs w:val="20"/>
          <w:lang w:val="es-ES"/>
        </w:rPr>
        <w:t xml:space="preserve"> de </w:t>
      </w:r>
      <w:r w:rsidR="00512CB7" w:rsidRPr="002A35D9">
        <w:rPr>
          <w:rFonts w:asciiTheme="majorHAnsi" w:hAnsiTheme="majorHAnsi"/>
          <w:color w:val="000000" w:themeColor="text1"/>
          <w:sz w:val="20"/>
          <w:szCs w:val="20"/>
          <w:lang w:val="es-ES"/>
        </w:rPr>
        <w:t>2010</w:t>
      </w:r>
      <w:r w:rsidRPr="002A35D9">
        <w:rPr>
          <w:rFonts w:asciiTheme="majorHAnsi" w:hAnsiTheme="majorHAnsi"/>
          <w:color w:val="000000" w:themeColor="text1"/>
          <w:sz w:val="20"/>
          <w:szCs w:val="20"/>
          <w:lang w:val="es-ES"/>
        </w:rPr>
        <w:t xml:space="preserve"> la Comisión notificó dicho informe a las partes y se puso a su disposición a fin de llegar a una solución amistos</w:t>
      </w:r>
      <w:r w:rsidR="006800D0" w:rsidRPr="002A35D9">
        <w:rPr>
          <w:rFonts w:asciiTheme="majorHAnsi" w:hAnsiTheme="majorHAnsi"/>
          <w:color w:val="000000" w:themeColor="text1"/>
          <w:sz w:val="20"/>
          <w:szCs w:val="20"/>
          <w:lang w:val="es-ES"/>
        </w:rPr>
        <w:t>a, sin que se dieran las condiciones para iniciar dicho procedimiento.</w:t>
      </w:r>
      <w:r w:rsidRPr="002A35D9">
        <w:rPr>
          <w:rFonts w:asciiTheme="majorHAnsi" w:hAnsiTheme="majorHAnsi"/>
          <w:color w:val="000000" w:themeColor="text1"/>
          <w:sz w:val="20"/>
          <w:szCs w:val="20"/>
          <w:lang w:val="es-ES"/>
        </w:rPr>
        <w:t xml:space="preserve"> Las partes contaron con los plazos reglamentarios para presentar sus observaciones adicionales sobre el fondo. Toda la información recibida fue debidamente trasladada entre las partes.</w:t>
      </w:r>
    </w:p>
    <w:p w14:paraId="7646845A" w14:textId="77777777" w:rsidR="00410F4B" w:rsidRPr="00030F5F" w:rsidRDefault="00410F4B" w:rsidP="00410F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sz w:val="20"/>
          <w:szCs w:val="20"/>
          <w:lang w:val="es-VE"/>
        </w:rPr>
      </w:pPr>
    </w:p>
    <w:p w14:paraId="0A506942" w14:textId="77777777" w:rsidR="00AB3F96" w:rsidRPr="000A209E" w:rsidRDefault="00C80161" w:rsidP="002A35D9">
      <w:pPr>
        <w:pStyle w:val="Heading1"/>
        <w:numPr>
          <w:ilvl w:val="0"/>
          <w:numId w:val="55"/>
        </w:numPr>
        <w:tabs>
          <w:tab w:val="left" w:pos="720"/>
        </w:tabs>
        <w:spacing w:before="0"/>
        <w:ind w:left="0" w:firstLine="0"/>
        <w:jc w:val="both"/>
        <w:rPr>
          <w:rFonts w:ascii="Cambria" w:hAnsi="Cambria"/>
          <w:color w:val="000000" w:themeColor="text1"/>
          <w:sz w:val="20"/>
          <w:szCs w:val="20"/>
          <w:lang w:val="es-ES"/>
        </w:rPr>
      </w:pPr>
      <w:bookmarkStart w:id="3" w:name="_Toc5359021"/>
      <w:r w:rsidRPr="000A209E">
        <w:rPr>
          <w:rFonts w:ascii="Cambria" w:hAnsi="Cambria"/>
          <w:color w:val="000000" w:themeColor="text1"/>
          <w:sz w:val="20"/>
          <w:szCs w:val="20"/>
          <w:lang w:val="es-ES"/>
        </w:rPr>
        <w:t>ALEGATOS</w:t>
      </w:r>
      <w:r w:rsidR="00323B30" w:rsidRPr="000A209E">
        <w:rPr>
          <w:rFonts w:ascii="Cambria" w:hAnsi="Cambria"/>
          <w:color w:val="000000" w:themeColor="text1"/>
          <w:sz w:val="20"/>
          <w:szCs w:val="20"/>
          <w:lang w:val="es-ES"/>
        </w:rPr>
        <w:t xml:space="preserve"> DE LAS PARTES</w:t>
      </w:r>
      <w:bookmarkEnd w:id="3"/>
    </w:p>
    <w:p w14:paraId="49E2C67E" w14:textId="77777777" w:rsidR="00B22E20" w:rsidRPr="000A209E" w:rsidRDefault="00B22E20" w:rsidP="004E08BA">
      <w:pPr>
        <w:jc w:val="both"/>
        <w:rPr>
          <w:rFonts w:ascii="Cambria" w:hAnsi="Cambria"/>
          <w:color w:val="000000" w:themeColor="text1"/>
          <w:sz w:val="20"/>
          <w:szCs w:val="20"/>
          <w:lang w:val="es-ES"/>
        </w:rPr>
      </w:pPr>
    </w:p>
    <w:p w14:paraId="1BE5AE7C" w14:textId="77777777" w:rsidR="00F625F5" w:rsidRPr="000A209E" w:rsidRDefault="00C60C22" w:rsidP="002A35D9">
      <w:pPr>
        <w:pStyle w:val="Heading2"/>
        <w:numPr>
          <w:ilvl w:val="0"/>
          <w:numId w:val="56"/>
        </w:numPr>
        <w:tabs>
          <w:tab w:val="left" w:pos="720"/>
        </w:tabs>
        <w:spacing w:before="0" w:after="0"/>
        <w:ind w:left="0" w:firstLine="0"/>
        <w:jc w:val="both"/>
        <w:rPr>
          <w:rFonts w:ascii="Cambria" w:hAnsi="Cambria"/>
          <w:i w:val="0"/>
          <w:color w:val="000000" w:themeColor="text1"/>
          <w:sz w:val="20"/>
          <w:szCs w:val="20"/>
          <w:lang w:val="es-ES"/>
        </w:rPr>
      </w:pPr>
      <w:bookmarkStart w:id="4" w:name="_Toc5359022"/>
      <w:r w:rsidRPr="000A209E">
        <w:rPr>
          <w:rFonts w:ascii="Cambria" w:hAnsi="Cambria"/>
          <w:i w:val="0"/>
          <w:color w:val="000000" w:themeColor="text1"/>
          <w:sz w:val="20"/>
          <w:szCs w:val="20"/>
          <w:lang w:val="es-ES"/>
        </w:rPr>
        <w:t xml:space="preserve">Parte </w:t>
      </w:r>
      <w:r w:rsidR="000C5D03">
        <w:rPr>
          <w:rFonts w:ascii="Cambria" w:hAnsi="Cambria"/>
          <w:i w:val="0"/>
          <w:color w:val="000000" w:themeColor="text1"/>
          <w:sz w:val="20"/>
          <w:szCs w:val="20"/>
          <w:lang w:val="es-ES"/>
        </w:rPr>
        <w:t>p</w:t>
      </w:r>
      <w:r w:rsidRPr="000A209E">
        <w:rPr>
          <w:rFonts w:ascii="Cambria" w:hAnsi="Cambria"/>
          <w:i w:val="0"/>
          <w:color w:val="000000" w:themeColor="text1"/>
          <w:sz w:val="20"/>
          <w:szCs w:val="20"/>
          <w:lang w:val="es-ES"/>
        </w:rPr>
        <w:t>eticionaria</w:t>
      </w:r>
      <w:bookmarkEnd w:id="4"/>
    </w:p>
    <w:p w14:paraId="5563954D" w14:textId="77777777" w:rsidR="00293783" w:rsidRPr="000A209E" w:rsidRDefault="00293783" w:rsidP="007A4895">
      <w:pPr>
        <w:rPr>
          <w:rFonts w:ascii="Cambria" w:hAnsi="Cambria"/>
          <w:sz w:val="20"/>
          <w:szCs w:val="20"/>
          <w:lang w:val="es-ES"/>
        </w:rPr>
      </w:pPr>
    </w:p>
    <w:p w14:paraId="68638509" w14:textId="77777777" w:rsidR="002A35D9" w:rsidRDefault="0001795B"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0A209E">
        <w:rPr>
          <w:rFonts w:ascii="Cambria" w:hAnsi="Cambria"/>
          <w:color w:val="000000" w:themeColor="text1"/>
          <w:sz w:val="20"/>
          <w:szCs w:val="20"/>
          <w:lang w:val="es-ES"/>
        </w:rPr>
        <w:t xml:space="preserve">La parte peticionaria indicó que el 15 de julio de 2001 Fredy Marcelo Núñez Naranjo se encontraba junto a su familia en el Salón </w:t>
      </w:r>
      <w:r w:rsidR="00C629D3">
        <w:rPr>
          <w:rFonts w:ascii="Cambria" w:hAnsi="Cambria"/>
          <w:color w:val="000000" w:themeColor="text1"/>
          <w:sz w:val="20"/>
          <w:szCs w:val="20"/>
          <w:lang w:val="es-ES"/>
        </w:rPr>
        <w:t>Billares</w:t>
      </w:r>
      <w:r w:rsidRPr="000A209E">
        <w:rPr>
          <w:rFonts w:ascii="Cambria" w:hAnsi="Cambria"/>
          <w:color w:val="000000" w:themeColor="text1"/>
          <w:sz w:val="20"/>
          <w:szCs w:val="20"/>
          <w:lang w:val="es-ES"/>
        </w:rPr>
        <w:t xml:space="preserve"> </w:t>
      </w:r>
      <w:r w:rsidR="00C629D3">
        <w:rPr>
          <w:rFonts w:ascii="Cambria" w:hAnsi="Cambria"/>
          <w:color w:val="000000" w:themeColor="text1"/>
          <w:sz w:val="20"/>
          <w:szCs w:val="20"/>
          <w:lang w:val="es-ES"/>
        </w:rPr>
        <w:t>“</w:t>
      </w:r>
      <w:r w:rsidRPr="000A209E">
        <w:rPr>
          <w:rFonts w:ascii="Cambria" w:hAnsi="Cambria"/>
          <w:color w:val="000000" w:themeColor="text1"/>
          <w:sz w:val="20"/>
          <w:szCs w:val="20"/>
          <w:lang w:val="es-ES"/>
        </w:rPr>
        <w:t>Latinos</w:t>
      </w:r>
      <w:r w:rsidR="00C629D3">
        <w:rPr>
          <w:rFonts w:ascii="Cambria" w:hAnsi="Cambria"/>
          <w:color w:val="000000" w:themeColor="text1"/>
          <w:sz w:val="20"/>
          <w:szCs w:val="20"/>
          <w:lang w:val="es-ES"/>
        </w:rPr>
        <w:t>”</w:t>
      </w:r>
      <w:r w:rsidRPr="000A209E">
        <w:rPr>
          <w:rFonts w:ascii="Cambria" w:hAnsi="Cambria"/>
          <w:color w:val="000000" w:themeColor="text1"/>
          <w:sz w:val="20"/>
          <w:szCs w:val="20"/>
          <w:lang w:val="es-ES"/>
        </w:rPr>
        <w:t xml:space="preserve"> propiedad de su </w:t>
      </w:r>
      <w:r w:rsidR="00444CE0" w:rsidRPr="000A209E">
        <w:rPr>
          <w:rFonts w:ascii="Cambria" w:hAnsi="Cambria"/>
          <w:color w:val="000000" w:themeColor="text1"/>
          <w:sz w:val="20"/>
          <w:szCs w:val="20"/>
          <w:lang w:val="es-ES"/>
        </w:rPr>
        <w:t>madre</w:t>
      </w:r>
      <w:r w:rsidRPr="000A209E">
        <w:rPr>
          <w:rFonts w:ascii="Cambria" w:hAnsi="Cambria"/>
          <w:color w:val="000000" w:themeColor="text1"/>
          <w:sz w:val="20"/>
          <w:szCs w:val="20"/>
          <w:lang w:val="es-ES"/>
        </w:rPr>
        <w:t>, ubicado en la</w:t>
      </w:r>
      <w:r w:rsidR="00CE75E6" w:rsidRPr="000A209E">
        <w:rPr>
          <w:rFonts w:ascii="Cambria" w:hAnsi="Cambria"/>
          <w:color w:val="000000" w:themeColor="text1"/>
          <w:sz w:val="20"/>
          <w:szCs w:val="20"/>
          <w:lang w:val="es-ES"/>
        </w:rPr>
        <w:t xml:space="preserve"> </w:t>
      </w:r>
      <w:r w:rsidRPr="000A209E">
        <w:rPr>
          <w:rFonts w:ascii="Cambria" w:hAnsi="Cambria"/>
          <w:color w:val="000000" w:themeColor="text1"/>
          <w:sz w:val="20"/>
          <w:szCs w:val="20"/>
          <w:lang w:val="es-ES"/>
        </w:rPr>
        <w:t>P</w:t>
      </w:r>
      <w:r w:rsidR="00A5199B" w:rsidRPr="000A209E">
        <w:rPr>
          <w:rFonts w:ascii="Cambria" w:hAnsi="Cambria"/>
          <w:color w:val="000000" w:themeColor="text1"/>
          <w:sz w:val="20"/>
          <w:szCs w:val="20"/>
          <w:lang w:val="es-ES"/>
        </w:rPr>
        <w:t>rovincia T</w:t>
      </w:r>
      <w:r w:rsidR="00005819" w:rsidRPr="000A209E">
        <w:rPr>
          <w:rFonts w:ascii="Cambria" w:hAnsi="Cambria"/>
          <w:color w:val="000000" w:themeColor="text1"/>
          <w:sz w:val="20"/>
          <w:szCs w:val="20"/>
          <w:lang w:val="es-ES"/>
        </w:rPr>
        <w:t>ungurahua</w:t>
      </w:r>
      <w:r w:rsidR="00A5199B" w:rsidRPr="000A209E">
        <w:rPr>
          <w:rFonts w:ascii="Cambria" w:hAnsi="Cambria"/>
          <w:color w:val="000000" w:themeColor="text1"/>
          <w:sz w:val="20"/>
          <w:szCs w:val="20"/>
          <w:lang w:val="es-ES"/>
        </w:rPr>
        <w:t>, Ecuador</w:t>
      </w:r>
      <w:r w:rsidR="001F374F" w:rsidRPr="000A209E">
        <w:rPr>
          <w:rFonts w:ascii="Cambria" w:hAnsi="Cambria"/>
          <w:color w:val="000000" w:themeColor="text1"/>
          <w:sz w:val="20"/>
          <w:szCs w:val="20"/>
          <w:lang w:val="es-ES"/>
        </w:rPr>
        <w:t>,</w:t>
      </w:r>
      <w:r w:rsidRPr="000A209E">
        <w:rPr>
          <w:rFonts w:ascii="Cambria" w:hAnsi="Cambria"/>
          <w:color w:val="000000" w:themeColor="text1"/>
          <w:sz w:val="20"/>
          <w:szCs w:val="20"/>
          <w:lang w:val="es-ES"/>
        </w:rPr>
        <w:t xml:space="preserve"> </w:t>
      </w:r>
      <w:r w:rsidR="00F67D39" w:rsidRPr="000A209E">
        <w:rPr>
          <w:rFonts w:ascii="Cambria" w:hAnsi="Cambria"/>
          <w:color w:val="000000" w:themeColor="text1"/>
          <w:sz w:val="20"/>
          <w:szCs w:val="20"/>
          <w:lang w:val="es-ES"/>
        </w:rPr>
        <w:t>cuando aproximadamente</w:t>
      </w:r>
      <w:r w:rsidR="00F02DE2" w:rsidRPr="000A209E">
        <w:rPr>
          <w:rFonts w:ascii="Cambria" w:hAnsi="Cambria"/>
          <w:color w:val="000000" w:themeColor="text1"/>
          <w:sz w:val="20"/>
          <w:szCs w:val="20"/>
          <w:lang w:val="es-ES"/>
        </w:rPr>
        <w:t xml:space="preserve"> a las </w:t>
      </w:r>
      <w:r w:rsidRPr="000A209E">
        <w:rPr>
          <w:rFonts w:ascii="Cambria" w:hAnsi="Cambria"/>
          <w:color w:val="000000" w:themeColor="text1"/>
          <w:sz w:val="20"/>
          <w:szCs w:val="20"/>
          <w:lang w:val="es-ES"/>
        </w:rPr>
        <w:t xml:space="preserve">cinco de la tarde </w:t>
      </w:r>
      <w:r w:rsidR="00F02DE2" w:rsidRPr="000A209E">
        <w:rPr>
          <w:rFonts w:ascii="Cambria" w:hAnsi="Cambria"/>
          <w:color w:val="000000" w:themeColor="text1"/>
          <w:sz w:val="20"/>
          <w:szCs w:val="20"/>
          <w:lang w:val="es-ES"/>
        </w:rPr>
        <w:t>ingresa</w:t>
      </w:r>
      <w:r w:rsidR="008022DB" w:rsidRPr="000A209E">
        <w:rPr>
          <w:rFonts w:ascii="Cambria" w:hAnsi="Cambria"/>
          <w:color w:val="000000" w:themeColor="text1"/>
          <w:sz w:val="20"/>
          <w:szCs w:val="20"/>
          <w:lang w:val="es-ES"/>
        </w:rPr>
        <w:t xml:space="preserve">ron </w:t>
      </w:r>
      <w:r w:rsidR="00977D92">
        <w:rPr>
          <w:rFonts w:ascii="Cambria" w:hAnsi="Cambria"/>
          <w:color w:val="000000" w:themeColor="text1"/>
          <w:sz w:val="20"/>
          <w:szCs w:val="20"/>
          <w:lang w:val="es-ES"/>
        </w:rPr>
        <w:t xml:space="preserve">al </w:t>
      </w:r>
      <w:r w:rsidRPr="000A209E">
        <w:rPr>
          <w:rFonts w:ascii="Cambria" w:hAnsi="Cambria"/>
          <w:color w:val="000000" w:themeColor="text1"/>
          <w:sz w:val="20"/>
          <w:szCs w:val="20"/>
          <w:lang w:val="es-ES"/>
        </w:rPr>
        <w:t>lugar varios sujetos</w:t>
      </w:r>
      <w:r w:rsidR="00F67D39" w:rsidRPr="000A209E">
        <w:rPr>
          <w:rFonts w:ascii="Cambria" w:hAnsi="Cambria"/>
          <w:color w:val="000000" w:themeColor="text1"/>
          <w:sz w:val="20"/>
          <w:szCs w:val="20"/>
          <w:lang w:val="es-ES"/>
        </w:rPr>
        <w:t xml:space="preserve"> en estado de embriaguez</w:t>
      </w:r>
      <w:r w:rsidR="008022DB" w:rsidRPr="000A209E">
        <w:rPr>
          <w:rFonts w:ascii="Cambria" w:hAnsi="Cambria"/>
          <w:color w:val="000000" w:themeColor="text1"/>
          <w:sz w:val="20"/>
          <w:szCs w:val="20"/>
          <w:lang w:val="es-ES"/>
        </w:rPr>
        <w:t>,</w:t>
      </w:r>
      <w:r w:rsidR="00A043F6" w:rsidRPr="000A209E">
        <w:rPr>
          <w:rFonts w:ascii="Cambria" w:hAnsi="Cambria"/>
          <w:color w:val="000000" w:themeColor="text1"/>
          <w:sz w:val="20"/>
          <w:szCs w:val="20"/>
          <w:lang w:val="es-ES"/>
        </w:rPr>
        <w:t xml:space="preserve"> </w:t>
      </w:r>
      <w:r w:rsidR="008022DB" w:rsidRPr="000A209E">
        <w:rPr>
          <w:rFonts w:ascii="Cambria" w:hAnsi="Cambria"/>
          <w:color w:val="000000" w:themeColor="text1"/>
          <w:sz w:val="20"/>
          <w:szCs w:val="20"/>
          <w:lang w:val="es-ES"/>
        </w:rPr>
        <w:t>entre ellos Octavio Morales, y</w:t>
      </w:r>
      <w:r w:rsidR="00F67D39" w:rsidRPr="000A209E">
        <w:rPr>
          <w:rFonts w:ascii="Cambria" w:hAnsi="Cambria"/>
          <w:color w:val="000000" w:themeColor="text1"/>
          <w:sz w:val="20"/>
          <w:szCs w:val="20"/>
          <w:lang w:val="es-ES"/>
        </w:rPr>
        <w:t xml:space="preserve"> ocasionaron daños </w:t>
      </w:r>
      <w:r w:rsidR="008022DB" w:rsidRPr="000A209E">
        <w:rPr>
          <w:rFonts w:ascii="Cambria" w:hAnsi="Cambria"/>
          <w:color w:val="000000" w:themeColor="text1"/>
          <w:sz w:val="20"/>
          <w:szCs w:val="20"/>
          <w:lang w:val="es-ES"/>
        </w:rPr>
        <w:t>materiales</w:t>
      </w:r>
      <w:r w:rsidR="00F67D39" w:rsidRPr="000A209E">
        <w:rPr>
          <w:rFonts w:ascii="Cambria" w:hAnsi="Cambria"/>
          <w:color w:val="000000" w:themeColor="text1"/>
          <w:sz w:val="20"/>
          <w:szCs w:val="20"/>
          <w:lang w:val="es-ES"/>
        </w:rPr>
        <w:t xml:space="preserve"> en la propiedad. Refirió </w:t>
      </w:r>
      <w:r w:rsidR="008022DB" w:rsidRPr="000A209E">
        <w:rPr>
          <w:rFonts w:ascii="Cambria" w:hAnsi="Cambria"/>
          <w:color w:val="000000" w:themeColor="text1"/>
          <w:sz w:val="20"/>
          <w:szCs w:val="20"/>
          <w:lang w:val="es-ES"/>
        </w:rPr>
        <w:t>que,</w:t>
      </w:r>
      <w:r w:rsidR="00F67D39" w:rsidRPr="000A209E">
        <w:rPr>
          <w:rFonts w:ascii="Cambria" w:hAnsi="Cambria"/>
          <w:color w:val="000000" w:themeColor="text1"/>
          <w:sz w:val="20"/>
          <w:szCs w:val="20"/>
          <w:lang w:val="es-ES"/>
        </w:rPr>
        <w:t xml:space="preserve"> frente a esto, la presunta víctima solicitó </w:t>
      </w:r>
      <w:r w:rsidR="00E54209">
        <w:rPr>
          <w:rFonts w:ascii="Cambria" w:hAnsi="Cambria"/>
          <w:color w:val="000000" w:themeColor="text1"/>
          <w:sz w:val="20"/>
          <w:szCs w:val="20"/>
          <w:lang w:val="es-ES"/>
        </w:rPr>
        <w:t xml:space="preserve">a dichas personas </w:t>
      </w:r>
      <w:r w:rsidR="00F67D39" w:rsidRPr="000A209E">
        <w:rPr>
          <w:rFonts w:ascii="Cambria" w:hAnsi="Cambria"/>
          <w:color w:val="000000" w:themeColor="text1"/>
          <w:sz w:val="20"/>
          <w:szCs w:val="20"/>
          <w:lang w:val="es-ES"/>
        </w:rPr>
        <w:t>la restitución de los daños ocasionados.</w:t>
      </w:r>
    </w:p>
    <w:p w14:paraId="4CF390D9" w14:textId="77777777" w:rsidR="002A35D9" w:rsidRDefault="002A35D9" w:rsidP="002A35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000000" w:themeColor="text1"/>
          <w:sz w:val="20"/>
          <w:szCs w:val="20"/>
          <w:lang w:val="es-ES"/>
        </w:rPr>
      </w:pPr>
    </w:p>
    <w:p w14:paraId="3708A1DC" w14:textId="77777777" w:rsidR="002A35D9" w:rsidRDefault="008022DB"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2A35D9">
        <w:rPr>
          <w:rFonts w:ascii="Cambria" w:hAnsi="Cambria"/>
          <w:color w:val="000000" w:themeColor="text1"/>
          <w:sz w:val="20"/>
          <w:szCs w:val="20"/>
          <w:lang w:val="es-ES"/>
        </w:rPr>
        <w:t>Argumentó</w:t>
      </w:r>
      <w:r w:rsidR="00F67D39" w:rsidRPr="002A35D9">
        <w:rPr>
          <w:rFonts w:ascii="Cambria" w:hAnsi="Cambria"/>
          <w:color w:val="000000" w:themeColor="text1"/>
          <w:sz w:val="20"/>
          <w:szCs w:val="20"/>
          <w:lang w:val="es-ES"/>
        </w:rPr>
        <w:t xml:space="preserve"> que dicho reclamo generó un conflicto que ameritó la presencia de la polic</w:t>
      </w:r>
      <w:r w:rsidR="008761E8" w:rsidRPr="002A35D9">
        <w:rPr>
          <w:rFonts w:ascii="Cambria" w:hAnsi="Cambria"/>
          <w:color w:val="000000" w:themeColor="text1"/>
          <w:sz w:val="20"/>
          <w:szCs w:val="20"/>
          <w:lang w:val="es-ES"/>
        </w:rPr>
        <w:t>ía y culminó con la detención</w:t>
      </w:r>
      <w:r w:rsidR="00F67D39" w:rsidRPr="002A35D9">
        <w:rPr>
          <w:rFonts w:ascii="Cambria" w:hAnsi="Cambria"/>
          <w:color w:val="000000" w:themeColor="text1"/>
          <w:sz w:val="20"/>
          <w:szCs w:val="20"/>
          <w:lang w:val="es-ES"/>
        </w:rPr>
        <w:t xml:space="preserve"> </w:t>
      </w:r>
      <w:r w:rsidR="008761E8" w:rsidRPr="002A35D9">
        <w:rPr>
          <w:rFonts w:ascii="Cambria" w:hAnsi="Cambria"/>
          <w:color w:val="000000" w:themeColor="text1"/>
          <w:sz w:val="20"/>
          <w:szCs w:val="20"/>
          <w:lang w:val="es-ES"/>
        </w:rPr>
        <w:t xml:space="preserve">de </w:t>
      </w:r>
      <w:r w:rsidR="00F67D39" w:rsidRPr="002A35D9">
        <w:rPr>
          <w:rFonts w:ascii="Cambria" w:hAnsi="Cambria"/>
          <w:color w:val="000000" w:themeColor="text1"/>
          <w:sz w:val="20"/>
          <w:szCs w:val="20"/>
          <w:lang w:val="es-ES"/>
        </w:rPr>
        <w:t xml:space="preserve">Fredy </w:t>
      </w:r>
      <w:r w:rsidR="008E3388" w:rsidRPr="002A35D9">
        <w:rPr>
          <w:rFonts w:ascii="Cambria" w:hAnsi="Cambria"/>
          <w:color w:val="000000" w:themeColor="text1"/>
          <w:sz w:val="20"/>
          <w:szCs w:val="20"/>
          <w:lang w:val="es-ES"/>
        </w:rPr>
        <w:t>Núñ</w:t>
      </w:r>
      <w:r w:rsidR="006B20BB" w:rsidRPr="002A35D9">
        <w:rPr>
          <w:rFonts w:ascii="Cambria" w:hAnsi="Cambria"/>
          <w:color w:val="000000" w:themeColor="text1"/>
          <w:sz w:val="20"/>
          <w:szCs w:val="20"/>
          <w:lang w:val="es-ES"/>
        </w:rPr>
        <w:t>ez</w:t>
      </w:r>
      <w:r w:rsidR="007467FB" w:rsidRPr="002A35D9">
        <w:rPr>
          <w:rFonts w:ascii="Cambria" w:hAnsi="Cambria"/>
          <w:color w:val="000000" w:themeColor="text1"/>
          <w:sz w:val="20"/>
          <w:szCs w:val="20"/>
          <w:lang w:val="es-ES"/>
        </w:rPr>
        <w:t xml:space="preserve"> </w:t>
      </w:r>
      <w:r w:rsidR="00D50DE6" w:rsidRPr="002A35D9">
        <w:rPr>
          <w:rFonts w:ascii="Cambria" w:hAnsi="Cambria"/>
          <w:color w:val="000000" w:themeColor="text1"/>
          <w:sz w:val="20"/>
          <w:szCs w:val="20"/>
          <w:lang w:val="es-ES"/>
        </w:rPr>
        <w:t>y</w:t>
      </w:r>
      <w:r w:rsidR="007467FB" w:rsidRPr="002A35D9">
        <w:rPr>
          <w:rFonts w:ascii="Cambria" w:hAnsi="Cambria"/>
          <w:color w:val="000000" w:themeColor="text1"/>
          <w:sz w:val="20"/>
          <w:szCs w:val="20"/>
          <w:lang w:val="es-ES"/>
        </w:rPr>
        <w:t xml:space="preserve"> Octavio Morales</w:t>
      </w:r>
      <w:r w:rsidRPr="002A35D9">
        <w:rPr>
          <w:rFonts w:ascii="Cambria" w:hAnsi="Cambria"/>
          <w:color w:val="000000" w:themeColor="text1"/>
          <w:sz w:val="20"/>
          <w:szCs w:val="20"/>
          <w:lang w:val="es-ES"/>
        </w:rPr>
        <w:t xml:space="preserve"> </w:t>
      </w:r>
      <w:r w:rsidR="006D720A" w:rsidRPr="002A35D9">
        <w:rPr>
          <w:rFonts w:ascii="Cambria" w:hAnsi="Cambria"/>
          <w:color w:val="000000" w:themeColor="text1"/>
          <w:sz w:val="20"/>
          <w:szCs w:val="20"/>
          <w:lang w:val="es-ES"/>
        </w:rPr>
        <w:t>en</w:t>
      </w:r>
      <w:r w:rsidR="00467916" w:rsidRPr="002A35D9">
        <w:rPr>
          <w:rFonts w:ascii="Cambria" w:hAnsi="Cambria"/>
          <w:color w:val="000000" w:themeColor="text1"/>
          <w:sz w:val="20"/>
          <w:szCs w:val="20"/>
          <w:lang w:val="es-ES"/>
        </w:rPr>
        <w:t xml:space="preserve"> los </w:t>
      </w:r>
      <w:r w:rsidR="00FF4E5F" w:rsidRPr="002A35D9">
        <w:rPr>
          <w:rFonts w:ascii="Cambria" w:hAnsi="Cambria"/>
          <w:color w:val="000000" w:themeColor="text1"/>
          <w:sz w:val="20"/>
          <w:szCs w:val="20"/>
          <w:lang w:val="es-ES"/>
        </w:rPr>
        <w:t>c</w:t>
      </w:r>
      <w:r w:rsidR="00467916" w:rsidRPr="002A35D9">
        <w:rPr>
          <w:rFonts w:ascii="Cambria" w:hAnsi="Cambria"/>
          <w:color w:val="000000" w:themeColor="text1"/>
          <w:sz w:val="20"/>
          <w:szCs w:val="20"/>
          <w:lang w:val="es-ES"/>
        </w:rPr>
        <w:t>alabozos del destacamento de policía del Cantón Quero</w:t>
      </w:r>
      <w:r w:rsidR="00444CE0" w:rsidRPr="002A35D9">
        <w:rPr>
          <w:rFonts w:ascii="Cambria" w:hAnsi="Cambria"/>
          <w:color w:val="000000" w:themeColor="text1"/>
          <w:sz w:val="20"/>
          <w:szCs w:val="20"/>
          <w:lang w:val="es-ES"/>
        </w:rPr>
        <w:t xml:space="preserve">. </w:t>
      </w:r>
      <w:r w:rsidR="00467916" w:rsidRPr="002A35D9">
        <w:rPr>
          <w:rFonts w:ascii="Cambria" w:hAnsi="Cambria"/>
          <w:color w:val="000000" w:themeColor="text1"/>
          <w:sz w:val="20"/>
          <w:szCs w:val="20"/>
          <w:lang w:val="es-ES"/>
        </w:rPr>
        <w:t xml:space="preserve">Refirió que </w:t>
      </w:r>
      <w:r w:rsidR="007467FB" w:rsidRPr="002A35D9">
        <w:rPr>
          <w:rFonts w:ascii="Cambria" w:hAnsi="Cambria"/>
          <w:color w:val="000000" w:themeColor="text1"/>
          <w:sz w:val="20"/>
          <w:szCs w:val="20"/>
          <w:lang w:val="es-ES"/>
        </w:rPr>
        <w:t>media hora después, aproximadamente 400</w:t>
      </w:r>
      <w:r w:rsidR="00444CE0" w:rsidRPr="002A35D9">
        <w:rPr>
          <w:rFonts w:ascii="Cambria" w:hAnsi="Cambria"/>
          <w:color w:val="000000" w:themeColor="text1"/>
          <w:sz w:val="20"/>
          <w:szCs w:val="20"/>
          <w:lang w:val="es-ES"/>
        </w:rPr>
        <w:t xml:space="preserve"> </w:t>
      </w:r>
      <w:r w:rsidR="00E54209" w:rsidRPr="002A35D9">
        <w:rPr>
          <w:rFonts w:ascii="Cambria" w:hAnsi="Cambria"/>
          <w:color w:val="000000" w:themeColor="text1"/>
          <w:sz w:val="20"/>
          <w:szCs w:val="20"/>
          <w:lang w:val="es-ES"/>
        </w:rPr>
        <w:t>personas</w:t>
      </w:r>
      <w:r w:rsidR="00794E1A" w:rsidRPr="002A35D9">
        <w:rPr>
          <w:rFonts w:ascii="Cambria" w:hAnsi="Cambria"/>
          <w:color w:val="000000" w:themeColor="text1"/>
          <w:sz w:val="20"/>
          <w:szCs w:val="20"/>
          <w:lang w:val="es-ES"/>
        </w:rPr>
        <w:t xml:space="preserve"> de la </w:t>
      </w:r>
      <w:r w:rsidR="00CD6689" w:rsidRPr="002A35D9">
        <w:rPr>
          <w:rFonts w:ascii="Cambria" w:hAnsi="Cambria"/>
          <w:color w:val="000000" w:themeColor="text1"/>
          <w:sz w:val="20"/>
          <w:szCs w:val="20"/>
          <w:lang w:val="es-ES"/>
        </w:rPr>
        <w:t>C</w:t>
      </w:r>
      <w:r w:rsidR="00794E1A" w:rsidRPr="002A35D9">
        <w:rPr>
          <w:rFonts w:ascii="Cambria" w:hAnsi="Cambria"/>
          <w:color w:val="000000" w:themeColor="text1"/>
          <w:sz w:val="20"/>
          <w:szCs w:val="20"/>
          <w:lang w:val="es-ES"/>
        </w:rPr>
        <w:t xml:space="preserve">omunidad </w:t>
      </w:r>
      <w:r w:rsidR="001C7F2A" w:rsidRPr="002A35D9">
        <w:rPr>
          <w:rFonts w:ascii="Cambria" w:hAnsi="Cambria"/>
          <w:color w:val="000000" w:themeColor="text1"/>
          <w:sz w:val="20"/>
          <w:szCs w:val="20"/>
          <w:lang w:val="es-ES"/>
        </w:rPr>
        <w:t>Puñachisag</w:t>
      </w:r>
      <w:r w:rsidRPr="002A35D9">
        <w:rPr>
          <w:rFonts w:ascii="Cambria" w:hAnsi="Cambria"/>
          <w:color w:val="000000" w:themeColor="text1"/>
          <w:sz w:val="20"/>
          <w:szCs w:val="20"/>
          <w:lang w:val="es-ES"/>
        </w:rPr>
        <w:t>,</w:t>
      </w:r>
      <w:r w:rsidR="00E54209" w:rsidRPr="002A35D9">
        <w:rPr>
          <w:rFonts w:ascii="Cambria" w:hAnsi="Cambria"/>
          <w:color w:val="000000" w:themeColor="text1"/>
          <w:sz w:val="20"/>
          <w:szCs w:val="20"/>
          <w:lang w:val="es-ES"/>
        </w:rPr>
        <w:t xml:space="preserve"> miembros de las “Juntas de Defensa del Campesinado”</w:t>
      </w:r>
      <w:r w:rsidR="00F625F5" w:rsidRPr="002A35D9">
        <w:rPr>
          <w:rFonts w:ascii="Cambria" w:hAnsi="Cambria"/>
          <w:color w:val="000000" w:themeColor="text1"/>
          <w:sz w:val="20"/>
          <w:szCs w:val="20"/>
          <w:lang w:val="es-ES"/>
        </w:rPr>
        <w:t>,</w:t>
      </w:r>
      <w:r w:rsidR="00257034" w:rsidRPr="002A35D9">
        <w:rPr>
          <w:rFonts w:ascii="Cambria" w:hAnsi="Cambria"/>
          <w:color w:val="000000" w:themeColor="text1"/>
          <w:sz w:val="20"/>
          <w:szCs w:val="20"/>
          <w:lang w:val="es-ES"/>
        </w:rPr>
        <w:t xml:space="preserve"> ingres</w:t>
      </w:r>
      <w:r w:rsidR="00293783" w:rsidRPr="002A35D9">
        <w:rPr>
          <w:rFonts w:ascii="Cambria" w:hAnsi="Cambria"/>
          <w:color w:val="000000" w:themeColor="text1"/>
          <w:sz w:val="20"/>
          <w:szCs w:val="20"/>
          <w:lang w:val="es-ES"/>
        </w:rPr>
        <w:t>aron</w:t>
      </w:r>
      <w:r w:rsidR="00F625F5" w:rsidRPr="002A35D9">
        <w:rPr>
          <w:rFonts w:ascii="Cambria" w:hAnsi="Cambria"/>
          <w:color w:val="000000" w:themeColor="text1"/>
          <w:sz w:val="20"/>
          <w:szCs w:val="20"/>
          <w:lang w:val="es-ES"/>
        </w:rPr>
        <w:t xml:space="preserve"> a la cárcel por la fuerza</w:t>
      </w:r>
      <w:r w:rsidR="007467FB" w:rsidRPr="002A35D9">
        <w:rPr>
          <w:rFonts w:ascii="Cambria" w:hAnsi="Cambria"/>
          <w:color w:val="000000" w:themeColor="text1"/>
          <w:sz w:val="20"/>
          <w:szCs w:val="20"/>
          <w:lang w:val="es-ES"/>
        </w:rPr>
        <w:t xml:space="preserve"> y </w:t>
      </w:r>
      <w:r w:rsidR="009C0F27" w:rsidRPr="002A35D9">
        <w:rPr>
          <w:rFonts w:ascii="Cambria" w:hAnsi="Cambria"/>
          <w:color w:val="000000" w:themeColor="text1"/>
          <w:sz w:val="20"/>
          <w:szCs w:val="20"/>
          <w:lang w:val="es-ES"/>
        </w:rPr>
        <w:t>se llev</w:t>
      </w:r>
      <w:r w:rsidR="00293783" w:rsidRPr="002A35D9">
        <w:rPr>
          <w:rFonts w:ascii="Cambria" w:hAnsi="Cambria"/>
          <w:color w:val="000000" w:themeColor="text1"/>
          <w:sz w:val="20"/>
          <w:szCs w:val="20"/>
          <w:lang w:val="es-ES"/>
        </w:rPr>
        <w:t>aron</w:t>
      </w:r>
      <w:r w:rsidR="007467FB" w:rsidRPr="002A35D9">
        <w:rPr>
          <w:rFonts w:ascii="Cambria" w:hAnsi="Cambria"/>
          <w:color w:val="000000" w:themeColor="text1"/>
          <w:sz w:val="20"/>
          <w:szCs w:val="20"/>
          <w:lang w:val="es-ES"/>
        </w:rPr>
        <w:t xml:space="preserve"> a </w:t>
      </w:r>
      <w:r w:rsidRPr="002A35D9">
        <w:rPr>
          <w:rFonts w:ascii="Cambria" w:hAnsi="Cambria"/>
          <w:color w:val="000000" w:themeColor="text1"/>
          <w:sz w:val="20"/>
          <w:szCs w:val="20"/>
          <w:lang w:val="es-ES"/>
        </w:rPr>
        <w:t>los dos reclusos</w:t>
      </w:r>
      <w:r w:rsidR="005F6934" w:rsidRPr="002A35D9">
        <w:rPr>
          <w:rFonts w:ascii="Cambria" w:hAnsi="Cambria"/>
          <w:color w:val="000000" w:themeColor="text1"/>
          <w:sz w:val="20"/>
          <w:szCs w:val="20"/>
          <w:lang w:val="es-ES"/>
        </w:rPr>
        <w:t xml:space="preserve"> a la Comunidad Shausi</w:t>
      </w:r>
      <w:r w:rsidR="009C0F27" w:rsidRPr="002A35D9">
        <w:rPr>
          <w:rFonts w:ascii="Cambria" w:hAnsi="Cambria"/>
          <w:color w:val="000000" w:themeColor="text1"/>
          <w:sz w:val="20"/>
          <w:szCs w:val="20"/>
          <w:lang w:val="es-ES"/>
        </w:rPr>
        <w:t xml:space="preserve">, </w:t>
      </w:r>
      <w:r w:rsidRPr="002A35D9">
        <w:rPr>
          <w:rFonts w:ascii="Cambria" w:hAnsi="Cambria"/>
          <w:color w:val="000000" w:themeColor="text1"/>
          <w:sz w:val="20"/>
          <w:szCs w:val="20"/>
          <w:lang w:val="es-ES"/>
        </w:rPr>
        <w:t>junto con la</w:t>
      </w:r>
      <w:r w:rsidR="009C0F27" w:rsidRPr="002A35D9">
        <w:rPr>
          <w:rFonts w:ascii="Cambria" w:hAnsi="Cambria"/>
          <w:color w:val="000000" w:themeColor="text1"/>
          <w:sz w:val="20"/>
          <w:szCs w:val="20"/>
          <w:lang w:val="es-ES"/>
        </w:rPr>
        <w:t xml:space="preserve"> madre </w:t>
      </w:r>
      <w:r w:rsidR="00444CE0" w:rsidRPr="002A35D9">
        <w:rPr>
          <w:rFonts w:ascii="Cambria" w:hAnsi="Cambria"/>
          <w:color w:val="000000" w:themeColor="text1"/>
          <w:sz w:val="20"/>
          <w:szCs w:val="20"/>
          <w:lang w:val="es-ES"/>
        </w:rPr>
        <w:t>y</w:t>
      </w:r>
      <w:r w:rsidR="009E097E" w:rsidRPr="002A35D9">
        <w:rPr>
          <w:rFonts w:ascii="Cambria" w:hAnsi="Cambria"/>
          <w:color w:val="000000" w:themeColor="text1"/>
          <w:sz w:val="20"/>
          <w:szCs w:val="20"/>
          <w:lang w:val="es-ES"/>
        </w:rPr>
        <w:t xml:space="preserve"> </w:t>
      </w:r>
      <w:r w:rsidR="005F6934" w:rsidRPr="002A35D9">
        <w:rPr>
          <w:rFonts w:ascii="Cambria" w:hAnsi="Cambria"/>
          <w:color w:val="000000" w:themeColor="text1"/>
          <w:sz w:val="20"/>
          <w:szCs w:val="20"/>
          <w:lang w:val="es-ES"/>
        </w:rPr>
        <w:t xml:space="preserve">la </w:t>
      </w:r>
      <w:r w:rsidR="00444CE0" w:rsidRPr="002A35D9">
        <w:rPr>
          <w:rFonts w:ascii="Cambria" w:hAnsi="Cambria"/>
          <w:color w:val="000000" w:themeColor="text1"/>
          <w:sz w:val="20"/>
          <w:szCs w:val="20"/>
          <w:lang w:val="es-ES"/>
        </w:rPr>
        <w:t>hermana</w:t>
      </w:r>
      <w:r w:rsidRPr="002A35D9">
        <w:rPr>
          <w:rFonts w:ascii="Cambria" w:hAnsi="Cambria"/>
          <w:color w:val="000000" w:themeColor="text1"/>
          <w:sz w:val="20"/>
          <w:szCs w:val="20"/>
          <w:lang w:val="es-ES"/>
        </w:rPr>
        <w:t xml:space="preserve"> de Fredy Núñez,</w:t>
      </w:r>
      <w:r w:rsidR="009C0F27" w:rsidRPr="002A35D9">
        <w:rPr>
          <w:rFonts w:ascii="Cambria" w:hAnsi="Cambria"/>
          <w:color w:val="000000" w:themeColor="text1"/>
          <w:sz w:val="20"/>
          <w:szCs w:val="20"/>
          <w:lang w:val="es-ES"/>
        </w:rPr>
        <w:t xml:space="preserve"> quienes se encontraban buscando a su hijo</w:t>
      </w:r>
      <w:r w:rsidR="006D720A" w:rsidRPr="002A35D9">
        <w:rPr>
          <w:rFonts w:ascii="Cambria" w:hAnsi="Cambria"/>
          <w:color w:val="000000" w:themeColor="text1"/>
          <w:sz w:val="20"/>
          <w:szCs w:val="20"/>
          <w:lang w:val="es-ES"/>
        </w:rPr>
        <w:t xml:space="preserve"> en el lugar de detención</w:t>
      </w:r>
      <w:r w:rsidR="005F6934" w:rsidRPr="002A35D9">
        <w:rPr>
          <w:rFonts w:ascii="Cambria" w:hAnsi="Cambria"/>
          <w:color w:val="000000" w:themeColor="text1"/>
          <w:sz w:val="20"/>
          <w:szCs w:val="20"/>
          <w:lang w:val="es-ES"/>
        </w:rPr>
        <w:t>.</w:t>
      </w:r>
      <w:r w:rsidR="008761E8" w:rsidRPr="002A35D9">
        <w:rPr>
          <w:rFonts w:ascii="Cambria" w:hAnsi="Cambria"/>
          <w:color w:val="000000" w:themeColor="text1"/>
          <w:sz w:val="20"/>
          <w:szCs w:val="20"/>
          <w:lang w:val="es-ES"/>
        </w:rPr>
        <w:t xml:space="preserve"> </w:t>
      </w:r>
    </w:p>
    <w:p w14:paraId="61364445" w14:textId="77777777" w:rsidR="002A35D9" w:rsidRDefault="002A35D9" w:rsidP="002A35D9">
      <w:pPr>
        <w:pStyle w:val="ListParagraph"/>
        <w:rPr>
          <w:color w:val="000000" w:themeColor="text1"/>
          <w:sz w:val="20"/>
          <w:szCs w:val="20"/>
          <w:lang w:val="es-ES"/>
        </w:rPr>
      </w:pPr>
    </w:p>
    <w:p w14:paraId="79E5F29D" w14:textId="77777777" w:rsidR="002A35D9" w:rsidRDefault="006D720A"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2A35D9">
        <w:rPr>
          <w:rFonts w:ascii="Cambria" w:hAnsi="Cambria"/>
          <w:color w:val="000000" w:themeColor="text1"/>
          <w:sz w:val="20"/>
          <w:szCs w:val="20"/>
          <w:lang w:val="es-ES"/>
        </w:rPr>
        <w:t>Indicó</w:t>
      </w:r>
      <w:r w:rsidR="009C0F27" w:rsidRPr="002A35D9">
        <w:rPr>
          <w:rFonts w:ascii="Cambria" w:hAnsi="Cambria"/>
          <w:color w:val="000000" w:themeColor="text1"/>
          <w:sz w:val="20"/>
          <w:szCs w:val="20"/>
          <w:lang w:val="es-ES"/>
        </w:rPr>
        <w:t xml:space="preserve"> que la policía se apersonó </w:t>
      </w:r>
      <w:r w:rsidRPr="002A35D9">
        <w:rPr>
          <w:rFonts w:ascii="Cambria" w:hAnsi="Cambria"/>
          <w:color w:val="000000" w:themeColor="text1"/>
          <w:sz w:val="20"/>
          <w:szCs w:val="20"/>
          <w:lang w:val="es-ES"/>
        </w:rPr>
        <w:t>a la Comunidad Shausi</w:t>
      </w:r>
      <w:r w:rsidR="009C0F27" w:rsidRPr="002A35D9">
        <w:rPr>
          <w:rFonts w:ascii="Cambria" w:hAnsi="Cambria"/>
          <w:color w:val="000000" w:themeColor="text1"/>
          <w:sz w:val="20"/>
          <w:szCs w:val="20"/>
          <w:lang w:val="es-ES"/>
        </w:rPr>
        <w:t xml:space="preserve"> y logró la liberación de la madre y </w:t>
      </w:r>
      <w:r w:rsidR="005F6934" w:rsidRPr="002A35D9">
        <w:rPr>
          <w:rFonts w:ascii="Cambria" w:hAnsi="Cambria"/>
          <w:color w:val="000000" w:themeColor="text1"/>
          <w:sz w:val="20"/>
          <w:szCs w:val="20"/>
          <w:lang w:val="es-ES"/>
        </w:rPr>
        <w:t xml:space="preserve">la </w:t>
      </w:r>
      <w:r w:rsidR="009C0F27" w:rsidRPr="002A35D9">
        <w:rPr>
          <w:rFonts w:ascii="Cambria" w:hAnsi="Cambria"/>
          <w:color w:val="000000" w:themeColor="text1"/>
          <w:sz w:val="20"/>
          <w:szCs w:val="20"/>
          <w:lang w:val="es-ES"/>
        </w:rPr>
        <w:t xml:space="preserve">hermana, </w:t>
      </w:r>
      <w:r w:rsidR="005F6934" w:rsidRPr="002A35D9">
        <w:rPr>
          <w:rFonts w:ascii="Cambria" w:hAnsi="Cambria"/>
          <w:color w:val="000000" w:themeColor="text1"/>
          <w:sz w:val="20"/>
          <w:szCs w:val="20"/>
          <w:lang w:val="es-ES"/>
        </w:rPr>
        <w:t>sin</w:t>
      </w:r>
      <w:r w:rsidR="008D56E6" w:rsidRPr="002A35D9">
        <w:rPr>
          <w:rFonts w:ascii="Cambria" w:hAnsi="Cambria"/>
          <w:color w:val="000000" w:themeColor="text1"/>
          <w:sz w:val="20"/>
          <w:szCs w:val="20"/>
          <w:lang w:val="es-ES"/>
        </w:rPr>
        <w:t xml:space="preserve"> lograr </w:t>
      </w:r>
      <w:r w:rsidR="009C0F27" w:rsidRPr="002A35D9">
        <w:rPr>
          <w:rFonts w:ascii="Cambria" w:hAnsi="Cambria"/>
          <w:color w:val="000000" w:themeColor="text1"/>
          <w:sz w:val="20"/>
          <w:szCs w:val="20"/>
          <w:lang w:val="es-ES"/>
        </w:rPr>
        <w:t>la liberación de</w:t>
      </w:r>
      <w:r w:rsidR="00D003C5" w:rsidRPr="002A35D9">
        <w:rPr>
          <w:rFonts w:ascii="Cambria" w:hAnsi="Cambria"/>
          <w:color w:val="000000" w:themeColor="text1"/>
          <w:sz w:val="20"/>
          <w:szCs w:val="20"/>
          <w:lang w:val="es-ES"/>
        </w:rPr>
        <w:t xml:space="preserve"> Fredy Núñez</w:t>
      </w:r>
      <w:r w:rsidR="00F35657" w:rsidRPr="002A35D9">
        <w:rPr>
          <w:rFonts w:ascii="Cambria" w:hAnsi="Cambria"/>
          <w:color w:val="000000" w:themeColor="text1"/>
          <w:sz w:val="20"/>
          <w:szCs w:val="20"/>
          <w:lang w:val="es-ES"/>
        </w:rPr>
        <w:t>.</w:t>
      </w:r>
      <w:r w:rsidR="00DA02EE" w:rsidRPr="002A35D9">
        <w:rPr>
          <w:rFonts w:ascii="Cambria" w:hAnsi="Cambria"/>
          <w:color w:val="000000" w:themeColor="text1"/>
          <w:sz w:val="20"/>
          <w:szCs w:val="20"/>
          <w:lang w:val="es-ES"/>
        </w:rPr>
        <w:t xml:space="preserve"> </w:t>
      </w:r>
      <w:r w:rsidR="00C012B7" w:rsidRPr="002A35D9">
        <w:rPr>
          <w:rFonts w:ascii="Cambria" w:hAnsi="Cambria"/>
          <w:color w:val="000000" w:themeColor="text1"/>
          <w:sz w:val="20"/>
          <w:szCs w:val="20"/>
          <w:lang w:val="es-ES"/>
        </w:rPr>
        <w:t xml:space="preserve">Refirió que después de permanecer por unas horas en la Comunidad Shausi, fue subido a un vehículo y desde entonces se desconoce su paradero. </w:t>
      </w:r>
    </w:p>
    <w:p w14:paraId="0599724A" w14:textId="77777777" w:rsidR="002A35D9" w:rsidRDefault="002A35D9" w:rsidP="002A35D9">
      <w:pPr>
        <w:pStyle w:val="ListParagraph"/>
        <w:rPr>
          <w:color w:val="000000" w:themeColor="text1"/>
          <w:sz w:val="20"/>
          <w:szCs w:val="20"/>
          <w:lang w:val="es-ES"/>
        </w:rPr>
      </w:pPr>
    </w:p>
    <w:p w14:paraId="6AC24118" w14:textId="77777777" w:rsidR="002A35D9" w:rsidRDefault="00DF3579"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2A35D9">
        <w:rPr>
          <w:rFonts w:ascii="Cambria" w:hAnsi="Cambria"/>
          <w:color w:val="000000" w:themeColor="text1"/>
          <w:sz w:val="20"/>
          <w:szCs w:val="20"/>
          <w:lang w:val="es-ES"/>
        </w:rPr>
        <w:t xml:space="preserve">La parte peticionaria argumentó que las “Juntas de Defensa del Campesinado” que perpetraron la desaparición de la presunta víctima actuaban con el auspicio de la </w:t>
      </w:r>
      <w:r w:rsidR="002C0F74" w:rsidRPr="002A35D9">
        <w:rPr>
          <w:rFonts w:ascii="Cambria" w:hAnsi="Cambria"/>
          <w:color w:val="000000" w:themeColor="text1"/>
          <w:sz w:val="20"/>
          <w:szCs w:val="20"/>
          <w:lang w:val="es-ES"/>
        </w:rPr>
        <w:t>F</w:t>
      </w:r>
      <w:r w:rsidRPr="002A35D9">
        <w:rPr>
          <w:rFonts w:ascii="Cambria" w:hAnsi="Cambria"/>
          <w:color w:val="000000" w:themeColor="text1"/>
          <w:sz w:val="20"/>
          <w:szCs w:val="20"/>
          <w:lang w:val="es-ES"/>
        </w:rPr>
        <w:t xml:space="preserve">iscalía </w:t>
      </w:r>
      <w:r w:rsidR="00A424EE" w:rsidRPr="002A35D9">
        <w:rPr>
          <w:rFonts w:ascii="Cambria" w:hAnsi="Cambria"/>
          <w:color w:val="000000" w:themeColor="text1"/>
          <w:sz w:val="20"/>
          <w:szCs w:val="20"/>
          <w:lang w:val="es-ES"/>
        </w:rPr>
        <w:t xml:space="preserve">pues existía una relación estrecha entre el Fiscal General de la Nación y </w:t>
      </w:r>
      <w:r w:rsidR="00494D4B" w:rsidRPr="002A35D9">
        <w:rPr>
          <w:rFonts w:ascii="Cambria" w:hAnsi="Cambria"/>
          <w:color w:val="000000" w:themeColor="text1"/>
          <w:sz w:val="20"/>
          <w:szCs w:val="20"/>
          <w:lang w:val="es-ES"/>
        </w:rPr>
        <w:t>aquellas</w:t>
      </w:r>
      <w:r w:rsidR="00A424EE" w:rsidRPr="002A35D9">
        <w:rPr>
          <w:rFonts w:ascii="Cambria" w:hAnsi="Cambria"/>
          <w:color w:val="000000" w:themeColor="text1"/>
          <w:sz w:val="20"/>
          <w:szCs w:val="20"/>
          <w:lang w:val="es-ES"/>
        </w:rPr>
        <w:t xml:space="preserve">, y el Estado mismo permitió su formación y auge. </w:t>
      </w:r>
    </w:p>
    <w:p w14:paraId="3948291C" w14:textId="77777777" w:rsidR="002A35D9" w:rsidRDefault="002A35D9" w:rsidP="002A35D9">
      <w:pPr>
        <w:pStyle w:val="ListParagraph"/>
        <w:rPr>
          <w:color w:val="000000" w:themeColor="text1"/>
          <w:sz w:val="20"/>
          <w:szCs w:val="20"/>
          <w:lang w:val="es-ES"/>
        </w:rPr>
      </w:pPr>
    </w:p>
    <w:p w14:paraId="205DE686" w14:textId="77777777" w:rsidR="002A35D9" w:rsidRDefault="00143F09"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2A35D9">
        <w:rPr>
          <w:rFonts w:ascii="Cambria" w:hAnsi="Cambria"/>
          <w:color w:val="000000" w:themeColor="text1"/>
          <w:sz w:val="20"/>
          <w:szCs w:val="20"/>
          <w:lang w:val="es-ES"/>
        </w:rPr>
        <w:t>Por otra parte, argumentó que en el marco de las investigaciones el Estado cometió una serie de faltas al deber de debida diligencia.</w:t>
      </w:r>
      <w:r w:rsidR="004F6D06" w:rsidRPr="002A35D9">
        <w:rPr>
          <w:rFonts w:ascii="Cambria" w:hAnsi="Cambria"/>
          <w:color w:val="000000" w:themeColor="text1"/>
          <w:sz w:val="20"/>
          <w:szCs w:val="20"/>
          <w:lang w:val="es-ES"/>
        </w:rPr>
        <w:t xml:space="preserve"> Indic</w:t>
      </w:r>
      <w:r w:rsidR="004F6D06" w:rsidRPr="002A35D9">
        <w:rPr>
          <w:rFonts w:ascii="Cambria" w:hAnsi="Cambria"/>
          <w:color w:val="000000" w:themeColor="text1"/>
          <w:sz w:val="20"/>
          <w:szCs w:val="20"/>
          <w:lang w:val="es-VE"/>
        </w:rPr>
        <w:t>ó que el Estado vinculó a siete personas a la desaparición de la víctima, sin embargo, el 11 de diciembre de 2002 el Juzgado</w:t>
      </w:r>
      <w:r w:rsidR="00DD5EF0" w:rsidRPr="002A35D9">
        <w:rPr>
          <w:rFonts w:ascii="Cambria" w:hAnsi="Cambria"/>
          <w:color w:val="000000" w:themeColor="text1"/>
          <w:sz w:val="20"/>
          <w:szCs w:val="20"/>
          <w:lang w:val="es-ES"/>
        </w:rPr>
        <w:t xml:space="preserve"> Cuarto de lo Penal dictó auto de sobreseimiento provisional </w:t>
      </w:r>
      <w:r w:rsidR="004F6D06" w:rsidRPr="002A35D9">
        <w:rPr>
          <w:rFonts w:ascii="Cambria" w:hAnsi="Cambria"/>
          <w:color w:val="000000" w:themeColor="text1"/>
          <w:sz w:val="20"/>
          <w:szCs w:val="20"/>
          <w:lang w:val="es-ES"/>
        </w:rPr>
        <w:t xml:space="preserve">a su favor. Refirió que </w:t>
      </w:r>
      <w:r w:rsidR="00F743F6" w:rsidRPr="002A35D9">
        <w:rPr>
          <w:rFonts w:ascii="Cambria" w:hAnsi="Cambria"/>
          <w:color w:val="000000" w:themeColor="text1"/>
          <w:sz w:val="20"/>
          <w:szCs w:val="20"/>
          <w:lang w:val="es-ES"/>
        </w:rPr>
        <w:t xml:space="preserve">en su decisión, el Juzgado Cuarto de lo Penal le restó toda eficacia probatoria a la </w:t>
      </w:r>
      <w:r w:rsidR="00F743F6" w:rsidRPr="002A35D9">
        <w:rPr>
          <w:rFonts w:ascii="Cambria" w:hAnsi="Cambria"/>
          <w:color w:val="000000" w:themeColor="text1"/>
          <w:sz w:val="20"/>
          <w:szCs w:val="20"/>
          <w:lang w:val="es-ES"/>
        </w:rPr>
        <w:lastRenderedPageBreak/>
        <w:t xml:space="preserve">evidencia recabada por la Fiscalía en la etapa indagatoria, en virtud de que dicho órgano incumplió </w:t>
      </w:r>
      <w:r w:rsidR="00DD5EF0" w:rsidRPr="002A35D9">
        <w:rPr>
          <w:rFonts w:ascii="Cambria" w:hAnsi="Cambria"/>
          <w:color w:val="000000" w:themeColor="text1"/>
          <w:sz w:val="20"/>
          <w:szCs w:val="20"/>
          <w:lang w:val="es-ES"/>
        </w:rPr>
        <w:t>c</w:t>
      </w:r>
      <w:r w:rsidR="00F743F6" w:rsidRPr="002A35D9">
        <w:rPr>
          <w:rFonts w:ascii="Cambria" w:hAnsi="Cambria"/>
          <w:color w:val="000000" w:themeColor="text1"/>
          <w:sz w:val="20"/>
          <w:szCs w:val="20"/>
          <w:lang w:val="es-ES"/>
        </w:rPr>
        <w:t>on</w:t>
      </w:r>
      <w:r w:rsidR="00DA02EE" w:rsidRPr="002A35D9">
        <w:rPr>
          <w:rFonts w:ascii="Cambria" w:hAnsi="Cambria"/>
          <w:color w:val="000000" w:themeColor="text1"/>
          <w:sz w:val="20"/>
          <w:szCs w:val="20"/>
          <w:lang w:val="es-ES"/>
        </w:rPr>
        <w:t xml:space="preserve"> </w:t>
      </w:r>
      <w:r w:rsidR="00DD5EF0" w:rsidRPr="002A35D9">
        <w:rPr>
          <w:rFonts w:ascii="Cambria" w:hAnsi="Cambria"/>
          <w:color w:val="000000" w:themeColor="text1"/>
          <w:sz w:val="20"/>
          <w:szCs w:val="20"/>
          <w:lang w:val="es-ES"/>
        </w:rPr>
        <w:t xml:space="preserve">la Ley Orgánica del Ministerio Público que ordena citar a la defensa de los imputados para su intervención en las diligencias probatorias. </w:t>
      </w:r>
    </w:p>
    <w:p w14:paraId="4D6163DE" w14:textId="77777777" w:rsidR="002A35D9" w:rsidRDefault="002A35D9" w:rsidP="002A35D9">
      <w:pPr>
        <w:pStyle w:val="ListParagraph"/>
        <w:rPr>
          <w:color w:val="000000" w:themeColor="text1"/>
          <w:sz w:val="20"/>
          <w:szCs w:val="20"/>
          <w:lang w:val="es-ES"/>
        </w:rPr>
      </w:pPr>
    </w:p>
    <w:p w14:paraId="2C41168A" w14:textId="77777777" w:rsidR="002A35D9" w:rsidRDefault="00EF443C"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2A35D9">
        <w:rPr>
          <w:rFonts w:ascii="Cambria" w:hAnsi="Cambria"/>
          <w:color w:val="000000" w:themeColor="text1"/>
          <w:sz w:val="20"/>
          <w:szCs w:val="20"/>
          <w:lang w:val="es-ES"/>
        </w:rPr>
        <w:t>Con respecto</w:t>
      </w:r>
      <w:r w:rsidR="00655415" w:rsidRPr="002A35D9">
        <w:rPr>
          <w:rFonts w:ascii="Cambria" w:hAnsi="Cambria"/>
          <w:color w:val="000000" w:themeColor="text1"/>
          <w:sz w:val="20"/>
          <w:szCs w:val="20"/>
          <w:lang w:val="es-ES"/>
        </w:rPr>
        <w:t xml:space="preserve"> a las diligencias de búsqueda para dar con el paradero de la presunta víctima refirió </w:t>
      </w:r>
      <w:r w:rsidR="00033184" w:rsidRPr="002A35D9">
        <w:rPr>
          <w:rFonts w:ascii="Cambria" w:hAnsi="Cambria"/>
          <w:color w:val="000000" w:themeColor="text1"/>
          <w:sz w:val="20"/>
          <w:szCs w:val="20"/>
          <w:lang w:val="es-ES"/>
        </w:rPr>
        <w:t xml:space="preserve">que el 18 de octubre de 2004 el Juzgado Cuarto de lo Penal certificó que desde la decisión de sobreseimiento provisional, no habría recibido ninguna solicitud de diligencias por parte de la Fiscalía. </w:t>
      </w:r>
    </w:p>
    <w:p w14:paraId="580A6C45" w14:textId="77777777" w:rsidR="002A35D9" w:rsidRDefault="002A35D9" w:rsidP="002A35D9">
      <w:pPr>
        <w:pStyle w:val="ListParagraph"/>
        <w:rPr>
          <w:color w:val="000000" w:themeColor="text1"/>
          <w:sz w:val="20"/>
          <w:szCs w:val="20"/>
          <w:lang w:val="es-ES"/>
        </w:rPr>
      </w:pPr>
    </w:p>
    <w:p w14:paraId="22E87F7D" w14:textId="77777777" w:rsidR="002A35D9" w:rsidRDefault="00C012B7"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2A35D9">
        <w:rPr>
          <w:rFonts w:ascii="Cambria" w:hAnsi="Cambria"/>
          <w:color w:val="000000" w:themeColor="text1"/>
          <w:sz w:val="20"/>
          <w:szCs w:val="20"/>
          <w:lang w:val="es-ES"/>
        </w:rPr>
        <w:t>En c</w:t>
      </w:r>
      <w:r w:rsidR="00C830E1" w:rsidRPr="002A35D9">
        <w:rPr>
          <w:rFonts w:ascii="Cambria" w:hAnsi="Cambria"/>
          <w:color w:val="000000" w:themeColor="text1"/>
          <w:sz w:val="20"/>
          <w:szCs w:val="20"/>
          <w:lang w:val="es-ES"/>
        </w:rPr>
        <w:t xml:space="preserve">uanto al derecho, argumentó que </w:t>
      </w:r>
      <w:r w:rsidR="00A421D9" w:rsidRPr="002A35D9">
        <w:rPr>
          <w:rFonts w:ascii="Cambria" w:hAnsi="Cambria"/>
          <w:color w:val="000000" w:themeColor="text1"/>
          <w:sz w:val="20"/>
          <w:szCs w:val="20"/>
          <w:lang w:val="es-ES"/>
        </w:rPr>
        <w:t>se viol</w:t>
      </w:r>
      <w:r w:rsidR="00854F1D" w:rsidRPr="002A35D9">
        <w:rPr>
          <w:rFonts w:ascii="Cambria" w:hAnsi="Cambria"/>
          <w:color w:val="000000" w:themeColor="text1"/>
          <w:sz w:val="20"/>
          <w:szCs w:val="20"/>
          <w:lang w:val="es-ES"/>
        </w:rPr>
        <w:t xml:space="preserve">aron los </w:t>
      </w:r>
      <w:r w:rsidR="00A421D9" w:rsidRPr="002A35D9">
        <w:rPr>
          <w:rFonts w:ascii="Cambria" w:hAnsi="Cambria"/>
          <w:b/>
          <w:color w:val="000000" w:themeColor="text1"/>
          <w:sz w:val="20"/>
          <w:szCs w:val="20"/>
          <w:lang w:val="es-ES"/>
        </w:rPr>
        <w:t>derecho</w:t>
      </w:r>
      <w:r w:rsidR="00854F1D" w:rsidRPr="002A35D9">
        <w:rPr>
          <w:rFonts w:ascii="Cambria" w:hAnsi="Cambria"/>
          <w:b/>
          <w:color w:val="000000" w:themeColor="text1"/>
          <w:sz w:val="20"/>
          <w:szCs w:val="20"/>
          <w:lang w:val="es-ES"/>
        </w:rPr>
        <w:t>s</w:t>
      </w:r>
      <w:r w:rsidR="00A421D9" w:rsidRPr="002A35D9">
        <w:rPr>
          <w:rFonts w:ascii="Cambria" w:hAnsi="Cambria"/>
          <w:b/>
          <w:color w:val="000000" w:themeColor="text1"/>
          <w:sz w:val="20"/>
          <w:szCs w:val="20"/>
          <w:lang w:val="es-ES"/>
        </w:rPr>
        <w:t xml:space="preserve"> </w:t>
      </w:r>
      <w:r w:rsidR="00A421D9" w:rsidRPr="002A35D9">
        <w:rPr>
          <w:rFonts w:ascii="Cambria" w:hAnsi="Cambria"/>
          <w:b/>
          <w:bCs/>
          <w:sz w:val="20"/>
          <w:szCs w:val="20"/>
          <w:bdr w:val="none" w:sz="0" w:space="0" w:color="auto"/>
          <w:lang w:val="es-ES"/>
        </w:rPr>
        <w:t>a la vida</w:t>
      </w:r>
      <w:r w:rsidR="007A4895" w:rsidRPr="002A35D9">
        <w:rPr>
          <w:rFonts w:ascii="Cambria" w:hAnsi="Cambria"/>
          <w:b/>
          <w:bCs/>
          <w:sz w:val="20"/>
          <w:szCs w:val="20"/>
          <w:bdr w:val="none" w:sz="0" w:space="0" w:color="auto"/>
          <w:lang w:val="es-ES"/>
        </w:rPr>
        <w:t xml:space="preserve"> y libertad personal</w:t>
      </w:r>
      <w:r w:rsidR="0057217A" w:rsidRPr="002A35D9">
        <w:rPr>
          <w:rFonts w:ascii="Cambria" w:hAnsi="Cambria"/>
          <w:b/>
          <w:bCs/>
          <w:color w:val="1F497D" w:themeColor="text2"/>
          <w:sz w:val="20"/>
          <w:szCs w:val="20"/>
          <w:bdr w:val="none" w:sz="0" w:space="0" w:color="auto"/>
          <w:lang w:val="es-ES"/>
        </w:rPr>
        <w:t xml:space="preserve"> </w:t>
      </w:r>
      <w:r w:rsidR="0057217A" w:rsidRPr="002A35D9">
        <w:rPr>
          <w:rFonts w:ascii="Cambria" w:hAnsi="Cambria"/>
          <w:color w:val="000000" w:themeColor="text1"/>
          <w:sz w:val="20"/>
          <w:szCs w:val="20"/>
          <w:lang w:val="es-ES"/>
        </w:rPr>
        <w:t xml:space="preserve">porque han pasado más de 17 años desde que Fredy Núñez fue secuestrado </w:t>
      </w:r>
      <w:r w:rsidR="006023A8" w:rsidRPr="002A35D9">
        <w:rPr>
          <w:rFonts w:ascii="Cambria" w:hAnsi="Cambria"/>
          <w:color w:val="000000" w:themeColor="text1"/>
          <w:sz w:val="20"/>
          <w:szCs w:val="20"/>
          <w:lang w:val="es-ES"/>
        </w:rPr>
        <w:t>del destacamento de P</w:t>
      </w:r>
      <w:r w:rsidR="0057217A" w:rsidRPr="002A35D9">
        <w:rPr>
          <w:rFonts w:ascii="Cambria" w:hAnsi="Cambria"/>
          <w:color w:val="000000" w:themeColor="text1"/>
          <w:sz w:val="20"/>
          <w:szCs w:val="20"/>
          <w:lang w:val="es-ES"/>
        </w:rPr>
        <w:t>olicía y no se ha tenido conocimiento de su paradero.</w:t>
      </w:r>
    </w:p>
    <w:p w14:paraId="4C6FB1E1" w14:textId="77777777" w:rsidR="002A35D9" w:rsidRDefault="002A35D9" w:rsidP="002A35D9">
      <w:pPr>
        <w:pStyle w:val="ListParagraph"/>
        <w:rPr>
          <w:rFonts w:asciiTheme="majorHAnsi" w:hAnsiTheme="majorHAnsi"/>
          <w:color w:val="000000" w:themeColor="text1"/>
          <w:sz w:val="20"/>
          <w:szCs w:val="20"/>
          <w:lang w:val="es-ES"/>
        </w:rPr>
      </w:pPr>
    </w:p>
    <w:p w14:paraId="7407EBE9" w14:textId="77777777" w:rsidR="002A35D9" w:rsidRDefault="00351D8D"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2A35D9">
        <w:rPr>
          <w:rFonts w:asciiTheme="majorHAnsi" w:hAnsiTheme="majorHAnsi"/>
          <w:color w:val="000000" w:themeColor="text1"/>
          <w:sz w:val="20"/>
          <w:szCs w:val="20"/>
          <w:lang w:val="es-ES"/>
        </w:rPr>
        <w:t xml:space="preserve">Indicó que se violó </w:t>
      </w:r>
      <w:r w:rsidRPr="002A35D9">
        <w:rPr>
          <w:rFonts w:asciiTheme="majorHAnsi" w:hAnsiTheme="majorHAnsi"/>
          <w:b/>
          <w:bCs/>
          <w:sz w:val="20"/>
          <w:szCs w:val="20"/>
          <w:bdr w:val="none" w:sz="0" w:space="0" w:color="auto"/>
          <w:lang w:val="es-ES"/>
        </w:rPr>
        <w:t>el derecho a</w:t>
      </w:r>
      <w:r w:rsidR="00C260A3" w:rsidRPr="002A35D9">
        <w:rPr>
          <w:rFonts w:asciiTheme="majorHAnsi" w:hAnsiTheme="majorHAnsi"/>
          <w:b/>
          <w:bCs/>
          <w:sz w:val="20"/>
          <w:szCs w:val="20"/>
          <w:bdr w:val="none" w:sz="0" w:space="0" w:color="auto"/>
          <w:lang w:val="es-ES"/>
        </w:rPr>
        <w:t>l reconocimiento de</w:t>
      </w:r>
      <w:r w:rsidRPr="002A35D9">
        <w:rPr>
          <w:rFonts w:asciiTheme="majorHAnsi" w:hAnsiTheme="majorHAnsi"/>
          <w:b/>
          <w:bCs/>
          <w:sz w:val="20"/>
          <w:szCs w:val="20"/>
          <w:bdr w:val="none" w:sz="0" w:space="0" w:color="auto"/>
          <w:lang w:val="es-ES"/>
        </w:rPr>
        <w:t xml:space="preserve"> la personalidad jurídica</w:t>
      </w:r>
      <w:r w:rsidR="00F1616A" w:rsidRPr="002A35D9">
        <w:rPr>
          <w:rFonts w:asciiTheme="majorHAnsi" w:hAnsiTheme="majorHAnsi"/>
          <w:b/>
          <w:bCs/>
          <w:sz w:val="20"/>
          <w:szCs w:val="20"/>
          <w:bdr w:val="none" w:sz="0" w:space="0" w:color="auto"/>
          <w:lang w:val="es-ES"/>
        </w:rPr>
        <w:t xml:space="preserve">, </w:t>
      </w:r>
      <w:r w:rsidR="00F1616A" w:rsidRPr="002A35D9">
        <w:rPr>
          <w:rFonts w:asciiTheme="majorHAnsi" w:hAnsiTheme="majorHAnsi"/>
          <w:color w:val="000000" w:themeColor="text1"/>
          <w:sz w:val="20"/>
          <w:szCs w:val="20"/>
          <w:lang w:val="es-ES"/>
        </w:rPr>
        <w:t>porque la privación de libertad de la presunta víctima lo imposibilitó para ejercer sus derechos.</w:t>
      </w:r>
      <w:r w:rsidR="00F1616A" w:rsidRPr="002A35D9" w:rsidDel="00D45F2A">
        <w:rPr>
          <w:rFonts w:asciiTheme="majorHAnsi" w:hAnsiTheme="majorHAnsi"/>
          <w:color w:val="000000" w:themeColor="text1"/>
          <w:sz w:val="20"/>
          <w:szCs w:val="20"/>
          <w:lang w:val="es-ES"/>
        </w:rPr>
        <w:t xml:space="preserve"> </w:t>
      </w:r>
    </w:p>
    <w:p w14:paraId="6EF24E6A" w14:textId="77777777" w:rsidR="002A35D9" w:rsidRDefault="002A35D9" w:rsidP="002A35D9">
      <w:pPr>
        <w:pStyle w:val="ListParagraph"/>
        <w:rPr>
          <w:rFonts w:asciiTheme="majorHAnsi" w:hAnsiTheme="majorHAnsi"/>
          <w:color w:val="000000" w:themeColor="text1"/>
          <w:sz w:val="20"/>
          <w:szCs w:val="20"/>
          <w:lang w:val="es-ES"/>
        </w:rPr>
      </w:pPr>
    </w:p>
    <w:p w14:paraId="60B7339D" w14:textId="77777777" w:rsidR="008C416C" w:rsidRPr="002A35D9" w:rsidRDefault="000E1FB2"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ES"/>
        </w:rPr>
      </w:pPr>
      <w:r w:rsidRPr="002A35D9">
        <w:rPr>
          <w:rFonts w:asciiTheme="majorHAnsi" w:hAnsiTheme="majorHAnsi"/>
          <w:color w:val="000000" w:themeColor="text1"/>
          <w:sz w:val="20"/>
          <w:szCs w:val="20"/>
          <w:lang w:val="es-ES"/>
        </w:rPr>
        <w:t xml:space="preserve">Finalmente, </w:t>
      </w:r>
      <w:r w:rsidR="00D45F2A" w:rsidRPr="002A35D9">
        <w:rPr>
          <w:rFonts w:asciiTheme="majorHAnsi" w:hAnsiTheme="majorHAnsi"/>
          <w:color w:val="000000" w:themeColor="text1"/>
          <w:sz w:val="20"/>
          <w:szCs w:val="20"/>
          <w:lang w:val="es-ES"/>
        </w:rPr>
        <w:t xml:space="preserve">argumentó la violación del </w:t>
      </w:r>
      <w:r w:rsidR="00D45F2A" w:rsidRPr="002A35D9">
        <w:rPr>
          <w:rFonts w:asciiTheme="majorHAnsi" w:hAnsiTheme="majorHAnsi"/>
          <w:b/>
          <w:color w:val="000000" w:themeColor="text1"/>
          <w:sz w:val="20"/>
          <w:szCs w:val="20"/>
          <w:lang w:val="es-ES"/>
        </w:rPr>
        <w:t>derecho a las garantías judiciales y protección judicial</w:t>
      </w:r>
      <w:r w:rsidR="00D45F2A" w:rsidRPr="002A35D9">
        <w:rPr>
          <w:rFonts w:asciiTheme="majorHAnsi" w:hAnsiTheme="majorHAnsi"/>
          <w:color w:val="000000" w:themeColor="text1"/>
          <w:sz w:val="20"/>
          <w:szCs w:val="20"/>
          <w:lang w:val="es-ES"/>
        </w:rPr>
        <w:t xml:space="preserve"> </w:t>
      </w:r>
      <w:r w:rsidR="00C012B7" w:rsidRPr="002A35D9">
        <w:rPr>
          <w:rFonts w:asciiTheme="majorHAnsi" w:hAnsiTheme="majorHAnsi"/>
          <w:color w:val="000000" w:themeColor="text1"/>
          <w:sz w:val="20"/>
          <w:szCs w:val="20"/>
          <w:lang w:val="es-ES"/>
        </w:rPr>
        <w:t xml:space="preserve">por la falta de investigación adecuada de los hechos denunciados. </w:t>
      </w:r>
    </w:p>
    <w:p w14:paraId="6F43F8A8" w14:textId="77777777" w:rsidR="0053484E" w:rsidRPr="000A209E" w:rsidRDefault="0053484E" w:rsidP="004E08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p>
    <w:p w14:paraId="1DA73115" w14:textId="77777777" w:rsidR="00D45F2A" w:rsidRPr="000A209E" w:rsidRDefault="00C60C22" w:rsidP="002A35D9">
      <w:pPr>
        <w:pStyle w:val="Heading2"/>
        <w:numPr>
          <w:ilvl w:val="0"/>
          <w:numId w:val="56"/>
        </w:numPr>
        <w:tabs>
          <w:tab w:val="left" w:pos="540"/>
        </w:tabs>
        <w:spacing w:before="0" w:after="0"/>
        <w:ind w:left="0" w:firstLine="0"/>
        <w:jc w:val="both"/>
        <w:rPr>
          <w:rFonts w:ascii="Cambria" w:hAnsi="Cambria"/>
          <w:i w:val="0"/>
          <w:color w:val="000000" w:themeColor="text1"/>
          <w:sz w:val="20"/>
          <w:szCs w:val="20"/>
          <w:lang w:val="es-ES"/>
        </w:rPr>
      </w:pPr>
      <w:bookmarkStart w:id="5" w:name="_Toc5359023"/>
      <w:r w:rsidRPr="000A209E">
        <w:rPr>
          <w:rFonts w:ascii="Cambria" w:hAnsi="Cambria"/>
          <w:i w:val="0"/>
          <w:color w:val="000000" w:themeColor="text1"/>
          <w:sz w:val="20"/>
          <w:szCs w:val="20"/>
          <w:lang w:val="es-ES"/>
        </w:rPr>
        <w:t>Estado</w:t>
      </w:r>
      <w:bookmarkEnd w:id="5"/>
    </w:p>
    <w:p w14:paraId="3212A369" w14:textId="77777777" w:rsidR="00D32CA9" w:rsidRPr="00B431F1" w:rsidRDefault="00D32CA9" w:rsidP="00D32C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lang w:val="es-ES"/>
        </w:rPr>
      </w:pPr>
    </w:p>
    <w:p w14:paraId="1013B024" w14:textId="77777777" w:rsidR="002A35D9" w:rsidRDefault="001D382B"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B431F1">
        <w:rPr>
          <w:rFonts w:asciiTheme="majorHAnsi" w:hAnsiTheme="majorHAnsi"/>
          <w:color w:val="000000" w:themeColor="text1"/>
          <w:sz w:val="20"/>
          <w:szCs w:val="20"/>
          <w:lang w:val="es-ES"/>
        </w:rPr>
        <w:t>E</w:t>
      </w:r>
      <w:r w:rsidR="00C012B7" w:rsidRPr="00B431F1">
        <w:rPr>
          <w:rFonts w:asciiTheme="majorHAnsi" w:hAnsiTheme="majorHAnsi"/>
          <w:color w:val="000000" w:themeColor="text1"/>
          <w:sz w:val="20"/>
          <w:szCs w:val="20"/>
          <w:lang w:val="es-ES"/>
        </w:rPr>
        <w:t>l Estado</w:t>
      </w:r>
      <w:r w:rsidR="00C41237" w:rsidRPr="00B431F1">
        <w:rPr>
          <w:rFonts w:asciiTheme="majorHAnsi" w:hAnsiTheme="majorHAnsi"/>
          <w:color w:val="000000" w:themeColor="text1"/>
          <w:sz w:val="20"/>
          <w:szCs w:val="20"/>
          <w:lang w:val="es-ES"/>
        </w:rPr>
        <w:t xml:space="preserve"> </w:t>
      </w:r>
      <w:r w:rsidR="008B1EDD" w:rsidRPr="00B431F1">
        <w:rPr>
          <w:rFonts w:asciiTheme="majorHAnsi" w:hAnsiTheme="majorHAnsi"/>
          <w:color w:val="000000" w:themeColor="text1"/>
          <w:sz w:val="20"/>
          <w:szCs w:val="20"/>
          <w:lang w:val="es-ES"/>
        </w:rPr>
        <w:t>negó en primer lugar que los hechos configuren una desaparición forzada. Al respecto, indicó que agentes estatales</w:t>
      </w:r>
      <w:r w:rsidR="00593260">
        <w:rPr>
          <w:rFonts w:asciiTheme="majorHAnsi" w:hAnsiTheme="majorHAnsi"/>
          <w:color w:val="000000" w:themeColor="text1"/>
          <w:sz w:val="20"/>
          <w:szCs w:val="20"/>
          <w:lang w:val="es-ES"/>
        </w:rPr>
        <w:t xml:space="preserve"> no sustrajeron a la presunta víctima de la cárcel donde estaba detenida,</w:t>
      </w:r>
      <w:r w:rsidR="008F634D">
        <w:rPr>
          <w:rFonts w:asciiTheme="majorHAnsi" w:hAnsiTheme="majorHAnsi"/>
          <w:color w:val="000000" w:themeColor="text1"/>
          <w:sz w:val="20"/>
          <w:szCs w:val="20"/>
          <w:lang w:val="es-ES"/>
        </w:rPr>
        <w:t xml:space="preserve"> </w:t>
      </w:r>
      <w:r w:rsidR="008B1EDD" w:rsidRPr="00593260">
        <w:rPr>
          <w:rFonts w:asciiTheme="majorHAnsi" w:hAnsiTheme="majorHAnsi"/>
          <w:color w:val="000000" w:themeColor="text1"/>
          <w:sz w:val="20"/>
          <w:szCs w:val="20"/>
          <w:lang w:val="es-ES"/>
        </w:rPr>
        <w:t xml:space="preserve">y refirió que en la desaparición de la presunta víctima podrían estar involucrados </w:t>
      </w:r>
      <w:r w:rsidR="000A1DF9" w:rsidRPr="00593260">
        <w:rPr>
          <w:rFonts w:asciiTheme="majorHAnsi" w:hAnsiTheme="majorHAnsi"/>
          <w:color w:val="000000" w:themeColor="text1"/>
          <w:sz w:val="20"/>
          <w:szCs w:val="20"/>
          <w:lang w:val="es-ES"/>
        </w:rPr>
        <w:t>actores</w:t>
      </w:r>
      <w:r w:rsidR="008B1EDD" w:rsidRPr="00593260">
        <w:rPr>
          <w:rFonts w:asciiTheme="majorHAnsi" w:hAnsiTheme="majorHAnsi"/>
          <w:color w:val="000000" w:themeColor="text1"/>
          <w:sz w:val="20"/>
          <w:szCs w:val="20"/>
          <w:lang w:val="es-ES"/>
        </w:rPr>
        <w:t xml:space="preserve"> particulares</w:t>
      </w:r>
      <w:r w:rsidR="007D2FC6" w:rsidRPr="00593260">
        <w:rPr>
          <w:rFonts w:asciiTheme="majorHAnsi" w:hAnsiTheme="majorHAnsi"/>
          <w:color w:val="000000" w:themeColor="text1"/>
          <w:sz w:val="20"/>
          <w:szCs w:val="20"/>
          <w:lang w:val="es-ES"/>
        </w:rPr>
        <w:t xml:space="preserve">. Destacó que no existió participación de </w:t>
      </w:r>
      <w:r w:rsidR="008B1EDD" w:rsidRPr="00593260">
        <w:rPr>
          <w:rFonts w:asciiTheme="majorHAnsi" w:hAnsiTheme="majorHAnsi"/>
          <w:color w:val="000000" w:themeColor="text1"/>
          <w:sz w:val="20"/>
          <w:szCs w:val="20"/>
          <w:lang w:val="es-ES"/>
        </w:rPr>
        <w:t>ningún agente p</w:t>
      </w:r>
      <w:r w:rsidR="001201C2" w:rsidRPr="00593260">
        <w:rPr>
          <w:rFonts w:asciiTheme="majorHAnsi" w:hAnsiTheme="majorHAnsi"/>
          <w:color w:val="000000" w:themeColor="text1"/>
          <w:sz w:val="20"/>
          <w:szCs w:val="20"/>
          <w:lang w:val="es-ES"/>
        </w:rPr>
        <w:t xml:space="preserve">úblico ni activamente ni por tolerancia o aquiescencia. </w:t>
      </w:r>
      <w:r w:rsidR="008F634D">
        <w:rPr>
          <w:rFonts w:asciiTheme="majorHAnsi" w:hAnsiTheme="majorHAnsi"/>
          <w:color w:val="000000" w:themeColor="text1"/>
          <w:sz w:val="20"/>
          <w:szCs w:val="20"/>
          <w:lang w:val="es-ES"/>
        </w:rPr>
        <w:t xml:space="preserve"> </w:t>
      </w:r>
    </w:p>
    <w:p w14:paraId="5E590302" w14:textId="77777777" w:rsidR="002A35D9" w:rsidRDefault="002A35D9" w:rsidP="002A35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17D54AD5" w14:textId="77777777" w:rsidR="002A35D9" w:rsidRDefault="00FC1BAA"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 xml:space="preserve">Asimismo, indicó que </w:t>
      </w:r>
      <w:r w:rsidR="00F523E6" w:rsidRPr="002A35D9">
        <w:rPr>
          <w:rFonts w:asciiTheme="majorHAnsi" w:hAnsiTheme="majorHAnsi"/>
          <w:color w:val="000000" w:themeColor="text1"/>
          <w:sz w:val="20"/>
          <w:szCs w:val="20"/>
          <w:lang w:val="es-ES"/>
        </w:rPr>
        <w:t>la investigación de los hechos se ha desarrollado de manera completa e imparcial y con los estándares de debida diligencia requeridos. Indicó que desde el primer momento se ha permitido a los familiares de la presunta víctima participar activamente en el proceso</w:t>
      </w:r>
      <w:r w:rsidR="00247217" w:rsidRPr="002A35D9">
        <w:rPr>
          <w:rFonts w:asciiTheme="majorHAnsi" w:hAnsiTheme="majorHAnsi"/>
          <w:color w:val="000000" w:themeColor="text1"/>
          <w:sz w:val="20"/>
          <w:szCs w:val="20"/>
          <w:lang w:val="es-ES"/>
        </w:rPr>
        <w:t>, cuyas actuaciones han estado abiertas para ellos</w:t>
      </w:r>
      <w:r w:rsidR="00F523E6" w:rsidRPr="002A35D9">
        <w:rPr>
          <w:rFonts w:asciiTheme="majorHAnsi" w:hAnsiTheme="majorHAnsi"/>
          <w:color w:val="000000" w:themeColor="text1"/>
          <w:sz w:val="20"/>
          <w:szCs w:val="20"/>
          <w:lang w:val="es-ES"/>
        </w:rPr>
        <w:t>.</w:t>
      </w:r>
      <w:r w:rsidR="00DA02EE" w:rsidRPr="002A35D9">
        <w:rPr>
          <w:rFonts w:asciiTheme="majorHAnsi" w:hAnsiTheme="majorHAnsi"/>
          <w:color w:val="000000" w:themeColor="text1"/>
          <w:sz w:val="20"/>
          <w:szCs w:val="20"/>
          <w:lang w:val="es-ES"/>
        </w:rPr>
        <w:t xml:space="preserve"> </w:t>
      </w:r>
      <w:r w:rsidR="0029605A" w:rsidRPr="002A35D9">
        <w:rPr>
          <w:rFonts w:asciiTheme="majorHAnsi" w:hAnsiTheme="majorHAnsi"/>
          <w:color w:val="000000" w:themeColor="text1"/>
          <w:sz w:val="20"/>
          <w:szCs w:val="20"/>
          <w:lang w:val="es-ES"/>
        </w:rPr>
        <w:t xml:space="preserve">Refirió que el 16 de agosto de 2001 la Policía Nacional analizó indicios sobre amenazas realizadas por comuneros de </w:t>
      </w:r>
      <w:r w:rsidR="001C7F2A" w:rsidRPr="002A35D9">
        <w:rPr>
          <w:rFonts w:asciiTheme="majorHAnsi" w:hAnsiTheme="majorHAnsi"/>
          <w:color w:val="000000" w:themeColor="text1"/>
          <w:sz w:val="20"/>
          <w:szCs w:val="20"/>
          <w:lang w:val="es-ES"/>
        </w:rPr>
        <w:t>Puñachisag</w:t>
      </w:r>
      <w:r w:rsidR="0029605A" w:rsidRPr="002A35D9">
        <w:rPr>
          <w:rFonts w:asciiTheme="majorHAnsi" w:hAnsiTheme="majorHAnsi"/>
          <w:color w:val="000000" w:themeColor="text1"/>
          <w:sz w:val="20"/>
          <w:szCs w:val="20"/>
          <w:lang w:val="es-ES"/>
        </w:rPr>
        <w:t xml:space="preserve"> y Shausi a los familiares de la presunta víctima.</w:t>
      </w:r>
    </w:p>
    <w:p w14:paraId="6CA47E74" w14:textId="77777777" w:rsidR="002A35D9" w:rsidRDefault="002A35D9" w:rsidP="002A35D9">
      <w:pPr>
        <w:pStyle w:val="ListParagraph"/>
        <w:rPr>
          <w:rFonts w:asciiTheme="majorHAnsi" w:hAnsiTheme="majorHAnsi"/>
          <w:color w:val="000000" w:themeColor="text1"/>
          <w:sz w:val="20"/>
          <w:szCs w:val="20"/>
          <w:lang w:val="es-ES"/>
        </w:rPr>
      </w:pPr>
    </w:p>
    <w:p w14:paraId="7D94275E" w14:textId="77777777" w:rsidR="002A35D9" w:rsidRDefault="0029605A"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Expresó que el 21 de noviembre de 2001 el Agente Fiscal de la Provincia de Tungurahua decretó el inició de la indagación previa, el 8 de mayo de 2002 se abrió instrucción fiscal</w:t>
      </w:r>
      <w:r w:rsidR="00DA02EE" w:rsidRPr="002A35D9">
        <w:rPr>
          <w:rFonts w:asciiTheme="majorHAnsi" w:hAnsiTheme="majorHAnsi"/>
          <w:color w:val="000000" w:themeColor="text1"/>
          <w:sz w:val="20"/>
          <w:szCs w:val="20"/>
          <w:lang w:val="es-ES"/>
        </w:rPr>
        <w:t xml:space="preserve"> por el delito de plagio y el 10</w:t>
      </w:r>
      <w:r w:rsidRPr="002A35D9">
        <w:rPr>
          <w:rFonts w:asciiTheme="majorHAnsi" w:hAnsiTheme="majorHAnsi"/>
          <w:color w:val="000000" w:themeColor="text1"/>
          <w:sz w:val="20"/>
          <w:szCs w:val="20"/>
          <w:lang w:val="es-ES"/>
        </w:rPr>
        <w:t xml:space="preserve"> de </w:t>
      </w:r>
      <w:r w:rsidR="00DA02EE" w:rsidRPr="002A35D9">
        <w:rPr>
          <w:rFonts w:asciiTheme="majorHAnsi" w:hAnsiTheme="majorHAnsi"/>
          <w:color w:val="000000" w:themeColor="text1"/>
          <w:sz w:val="20"/>
          <w:szCs w:val="20"/>
          <w:lang w:val="es-ES"/>
        </w:rPr>
        <w:t>mayo</w:t>
      </w:r>
      <w:r w:rsidRPr="002A35D9">
        <w:rPr>
          <w:rFonts w:asciiTheme="majorHAnsi" w:hAnsiTheme="majorHAnsi"/>
          <w:color w:val="000000" w:themeColor="text1"/>
          <w:sz w:val="20"/>
          <w:szCs w:val="20"/>
          <w:lang w:val="es-ES"/>
        </w:rPr>
        <w:t xml:space="preserve"> de 2002 se dictó orden de detención contra siete personas. </w:t>
      </w:r>
    </w:p>
    <w:p w14:paraId="37B72B79" w14:textId="77777777" w:rsidR="002A35D9" w:rsidRDefault="002A35D9" w:rsidP="002A35D9">
      <w:pPr>
        <w:pStyle w:val="ListParagraph"/>
        <w:rPr>
          <w:rFonts w:asciiTheme="majorHAnsi" w:hAnsiTheme="majorHAnsi"/>
          <w:color w:val="000000" w:themeColor="text1"/>
          <w:sz w:val="20"/>
          <w:szCs w:val="20"/>
          <w:lang w:val="es-ES"/>
        </w:rPr>
      </w:pPr>
    </w:p>
    <w:p w14:paraId="090B9135" w14:textId="77777777" w:rsidR="002A35D9" w:rsidRDefault="0040756E"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 xml:space="preserve">Añadió que el 11 de julio de 2002 las personas detenidas solicitaron amparo de libertad ante la Corte Superior de Justicia, la cual concedió dicha libertad por no existir indicios claros de su participación, ni grados de autoría en el delito por el que fueron acusados. </w:t>
      </w:r>
    </w:p>
    <w:p w14:paraId="1BCE6656" w14:textId="77777777" w:rsidR="002A35D9" w:rsidRDefault="002A35D9" w:rsidP="002A35D9">
      <w:pPr>
        <w:pStyle w:val="ListParagraph"/>
        <w:rPr>
          <w:rFonts w:asciiTheme="majorHAnsi" w:hAnsiTheme="majorHAnsi"/>
          <w:color w:val="000000" w:themeColor="text1"/>
          <w:sz w:val="20"/>
          <w:szCs w:val="20"/>
          <w:lang w:val="es-ES"/>
        </w:rPr>
      </w:pPr>
    </w:p>
    <w:p w14:paraId="5838C10A" w14:textId="77777777" w:rsidR="002A35D9" w:rsidRDefault="0040756E"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Indicó que el 10 de diciembre de 2002 se realizó audiencia preliminar en el Juzgado Cuarto de lo Penal, el cual dictó auto de sobreseimiento provisional del proceso.</w:t>
      </w:r>
      <w:r w:rsidR="004C286F" w:rsidRPr="002A35D9">
        <w:rPr>
          <w:rFonts w:asciiTheme="majorHAnsi" w:hAnsiTheme="majorHAnsi"/>
          <w:color w:val="000000" w:themeColor="text1"/>
          <w:sz w:val="20"/>
          <w:szCs w:val="20"/>
          <w:lang w:val="es-ES"/>
        </w:rPr>
        <w:t xml:space="preserve"> </w:t>
      </w:r>
      <w:r w:rsidRPr="002A35D9">
        <w:rPr>
          <w:rFonts w:asciiTheme="majorHAnsi" w:hAnsiTheme="majorHAnsi"/>
          <w:color w:val="000000" w:themeColor="text1"/>
          <w:sz w:val="20"/>
          <w:szCs w:val="20"/>
          <w:lang w:val="es-ES"/>
        </w:rPr>
        <w:t>Subrayó que dicha decisión no fue apelada por la parte peticionaria, la cual tenía la oportunidad de presentar un recurso de apelación</w:t>
      </w:r>
      <w:r w:rsidR="00594D45" w:rsidRPr="002A35D9">
        <w:rPr>
          <w:rFonts w:asciiTheme="majorHAnsi" w:hAnsiTheme="majorHAnsi"/>
          <w:color w:val="000000" w:themeColor="text1"/>
          <w:sz w:val="20"/>
          <w:szCs w:val="20"/>
          <w:lang w:val="es-ES"/>
        </w:rPr>
        <w:t>.</w:t>
      </w:r>
      <w:r w:rsidRPr="002A35D9">
        <w:rPr>
          <w:rFonts w:asciiTheme="majorHAnsi" w:hAnsiTheme="majorHAnsi"/>
          <w:color w:val="000000" w:themeColor="text1"/>
          <w:sz w:val="20"/>
          <w:szCs w:val="20"/>
          <w:lang w:val="es-ES"/>
        </w:rPr>
        <w:t xml:space="preserve"> </w:t>
      </w:r>
    </w:p>
    <w:p w14:paraId="145287A2" w14:textId="77777777" w:rsidR="002A35D9" w:rsidRDefault="002A35D9" w:rsidP="002A35D9">
      <w:pPr>
        <w:pStyle w:val="ListParagraph"/>
        <w:rPr>
          <w:rFonts w:asciiTheme="majorHAnsi" w:hAnsiTheme="majorHAnsi"/>
          <w:color w:val="000000" w:themeColor="text1"/>
          <w:sz w:val="20"/>
          <w:szCs w:val="20"/>
          <w:lang w:val="es-ES"/>
        </w:rPr>
      </w:pPr>
    </w:p>
    <w:p w14:paraId="3D2A1404" w14:textId="77777777" w:rsidR="002A35D9" w:rsidRDefault="0040756E"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 xml:space="preserve">Expresó </w:t>
      </w:r>
      <w:r w:rsidR="00D13366" w:rsidRPr="002A35D9">
        <w:rPr>
          <w:rFonts w:asciiTheme="majorHAnsi" w:hAnsiTheme="majorHAnsi"/>
          <w:color w:val="000000" w:themeColor="text1"/>
          <w:sz w:val="20"/>
          <w:szCs w:val="20"/>
          <w:lang w:val="es-ES"/>
        </w:rPr>
        <w:t>que,</w:t>
      </w:r>
      <w:r w:rsidRPr="002A35D9">
        <w:rPr>
          <w:rFonts w:asciiTheme="majorHAnsi" w:hAnsiTheme="majorHAnsi"/>
          <w:color w:val="000000" w:themeColor="text1"/>
          <w:sz w:val="20"/>
          <w:szCs w:val="20"/>
          <w:lang w:val="es-ES"/>
        </w:rPr>
        <w:t xml:space="preserve"> pese a lo anterior, el 15 de octubre de 2004</w:t>
      </w:r>
      <w:r w:rsidR="004920A9" w:rsidRPr="002A35D9">
        <w:rPr>
          <w:rFonts w:asciiTheme="majorHAnsi" w:hAnsiTheme="majorHAnsi"/>
          <w:color w:val="000000" w:themeColor="text1"/>
          <w:sz w:val="20"/>
          <w:szCs w:val="20"/>
          <w:lang w:val="es-ES"/>
        </w:rPr>
        <w:t>,</w:t>
      </w:r>
      <w:r w:rsidRPr="002A35D9">
        <w:rPr>
          <w:rFonts w:asciiTheme="majorHAnsi" w:hAnsiTheme="majorHAnsi"/>
          <w:color w:val="000000" w:themeColor="text1"/>
          <w:sz w:val="20"/>
          <w:szCs w:val="20"/>
          <w:lang w:val="es-ES"/>
        </w:rPr>
        <w:t xml:space="preserve"> el </w:t>
      </w:r>
      <w:r w:rsidR="00D13366" w:rsidRPr="002A35D9">
        <w:rPr>
          <w:rFonts w:asciiTheme="majorHAnsi" w:hAnsiTheme="majorHAnsi"/>
          <w:color w:val="000000" w:themeColor="text1"/>
          <w:sz w:val="20"/>
          <w:szCs w:val="20"/>
          <w:lang w:val="es-ES"/>
        </w:rPr>
        <w:t>jefe</w:t>
      </w:r>
      <w:r w:rsidRPr="002A35D9">
        <w:rPr>
          <w:rFonts w:asciiTheme="majorHAnsi" w:hAnsiTheme="majorHAnsi"/>
          <w:color w:val="000000" w:themeColor="text1"/>
          <w:sz w:val="20"/>
          <w:szCs w:val="20"/>
          <w:lang w:val="es-ES"/>
        </w:rPr>
        <w:t xml:space="preserve"> de la Policía Judicial indicó que continuaban las investigaciones para dar con el paradero de la presunta víctima. </w:t>
      </w:r>
      <w:r w:rsidR="00266789" w:rsidRPr="002A35D9">
        <w:rPr>
          <w:rFonts w:asciiTheme="majorHAnsi" w:hAnsiTheme="majorHAnsi"/>
          <w:color w:val="000000" w:themeColor="text1"/>
          <w:sz w:val="20"/>
          <w:szCs w:val="20"/>
          <w:lang w:val="es-ES"/>
        </w:rPr>
        <w:t xml:space="preserve">Sin embargo, el Estado no </w:t>
      </w:r>
      <w:r w:rsidR="00F72D39" w:rsidRPr="002A35D9">
        <w:rPr>
          <w:rFonts w:asciiTheme="majorHAnsi" w:hAnsiTheme="majorHAnsi"/>
          <w:color w:val="000000" w:themeColor="text1"/>
          <w:sz w:val="20"/>
          <w:szCs w:val="20"/>
          <w:lang w:val="es-ES"/>
        </w:rPr>
        <w:t>aportó detalle sobre diligencias concretas.</w:t>
      </w:r>
    </w:p>
    <w:p w14:paraId="124E9FD8" w14:textId="77777777" w:rsidR="002A35D9" w:rsidRDefault="002A35D9" w:rsidP="002A35D9">
      <w:pPr>
        <w:pStyle w:val="ListParagraph"/>
        <w:rPr>
          <w:rFonts w:asciiTheme="majorHAnsi" w:hAnsiTheme="majorHAnsi"/>
          <w:sz w:val="20"/>
          <w:szCs w:val="20"/>
          <w:lang w:val="es-ES"/>
        </w:rPr>
      </w:pPr>
    </w:p>
    <w:p w14:paraId="6D56D265" w14:textId="77777777" w:rsidR="002A35D9" w:rsidRDefault="00AD3CFB"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sz w:val="20"/>
          <w:szCs w:val="20"/>
          <w:lang w:val="es-ES"/>
        </w:rPr>
        <w:t>E</w:t>
      </w:r>
      <w:r w:rsidR="004F5B92" w:rsidRPr="002A35D9">
        <w:rPr>
          <w:rFonts w:asciiTheme="majorHAnsi" w:hAnsiTheme="majorHAnsi"/>
          <w:sz w:val="20"/>
          <w:szCs w:val="20"/>
          <w:lang w:val="es-ES"/>
        </w:rPr>
        <w:t>n cuanto</w:t>
      </w:r>
      <w:r w:rsidR="004E14A3" w:rsidRPr="002A35D9">
        <w:rPr>
          <w:rFonts w:asciiTheme="majorHAnsi" w:hAnsiTheme="majorHAnsi"/>
          <w:sz w:val="20"/>
          <w:szCs w:val="20"/>
          <w:lang w:val="es-ES"/>
        </w:rPr>
        <w:t xml:space="preserve"> al derecho el Estado argumentó que </w:t>
      </w:r>
      <w:r w:rsidR="00FF6C52" w:rsidRPr="002A35D9">
        <w:rPr>
          <w:rFonts w:asciiTheme="majorHAnsi" w:hAnsiTheme="majorHAnsi"/>
          <w:sz w:val="20"/>
          <w:szCs w:val="20"/>
          <w:lang w:val="es-ES"/>
        </w:rPr>
        <w:t>no violó e</w:t>
      </w:r>
      <w:r w:rsidR="00FF6C52" w:rsidRPr="002A35D9">
        <w:rPr>
          <w:rFonts w:asciiTheme="majorHAnsi" w:hAnsiTheme="majorHAnsi"/>
          <w:b/>
          <w:sz w:val="20"/>
          <w:szCs w:val="20"/>
          <w:lang w:val="es-ES"/>
        </w:rPr>
        <w:t>l derecho a</w:t>
      </w:r>
      <w:r w:rsidR="004416A8" w:rsidRPr="002A35D9">
        <w:rPr>
          <w:rFonts w:asciiTheme="majorHAnsi" w:hAnsiTheme="majorHAnsi"/>
          <w:b/>
          <w:sz w:val="20"/>
          <w:szCs w:val="20"/>
          <w:lang w:val="es-ES"/>
        </w:rPr>
        <w:t>l reconocimiento de</w:t>
      </w:r>
      <w:r w:rsidR="00FF6C52" w:rsidRPr="002A35D9">
        <w:rPr>
          <w:rFonts w:asciiTheme="majorHAnsi" w:hAnsiTheme="majorHAnsi"/>
          <w:b/>
          <w:sz w:val="20"/>
          <w:szCs w:val="20"/>
          <w:lang w:val="es-ES"/>
        </w:rPr>
        <w:t xml:space="preserve"> la personalidad </w:t>
      </w:r>
      <w:r w:rsidR="00D13366" w:rsidRPr="002A35D9">
        <w:rPr>
          <w:rFonts w:asciiTheme="majorHAnsi" w:hAnsiTheme="majorHAnsi"/>
          <w:b/>
          <w:sz w:val="20"/>
          <w:szCs w:val="20"/>
          <w:lang w:val="es-ES"/>
        </w:rPr>
        <w:t>jurídica, el</w:t>
      </w:r>
      <w:r w:rsidR="00FF6C52" w:rsidRPr="002A35D9">
        <w:rPr>
          <w:rFonts w:asciiTheme="majorHAnsi" w:hAnsiTheme="majorHAnsi"/>
          <w:b/>
          <w:sz w:val="20"/>
          <w:szCs w:val="20"/>
          <w:lang w:val="es-ES"/>
        </w:rPr>
        <w:t xml:space="preserve"> derecho a la vida, </w:t>
      </w:r>
      <w:r w:rsidR="00D46866" w:rsidRPr="002A35D9">
        <w:rPr>
          <w:rFonts w:asciiTheme="majorHAnsi" w:hAnsiTheme="majorHAnsi"/>
          <w:b/>
          <w:sz w:val="20"/>
          <w:szCs w:val="20"/>
          <w:lang w:val="es-ES"/>
        </w:rPr>
        <w:t>el</w:t>
      </w:r>
      <w:r w:rsidR="00D46866" w:rsidRPr="002A35D9">
        <w:rPr>
          <w:rFonts w:asciiTheme="majorHAnsi" w:hAnsiTheme="majorHAnsi"/>
          <w:sz w:val="20"/>
          <w:szCs w:val="20"/>
          <w:lang w:val="es-ES"/>
        </w:rPr>
        <w:t xml:space="preserve"> </w:t>
      </w:r>
      <w:r w:rsidR="00D46866" w:rsidRPr="002A35D9">
        <w:rPr>
          <w:rFonts w:asciiTheme="majorHAnsi" w:hAnsiTheme="majorHAnsi"/>
          <w:b/>
          <w:sz w:val="20"/>
          <w:szCs w:val="20"/>
          <w:lang w:val="es-ES"/>
        </w:rPr>
        <w:t>derecho a la integridad personal</w:t>
      </w:r>
      <w:r w:rsidR="00D46866" w:rsidRPr="002A35D9">
        <w:rPr>
          <w:rFonts w:asciiTheme="majorHAnsi" w:hAnsiTheme="majorHAnsi"/>
          <w:sz w:val="20"/>
          <w:szCs w:val="20"/>
          <w:lang w:val="es-ES"/>
        </w:rPr>
        <w:t xml:space="preserve"> y el </w:t>
      </w:r>
      <w:r w:rsidR="00D46866" w:rsidRPr="002A35D9">
        <w:rPr>
          <w:rFonts w:asciiTheme="majorHAnsi" w:hAnsiTheme="majorHAnsi"/>
          <w:b/>
          <w:sz w:val="20"/>
          <w:szCs w:val="20"/>
          <w:lang w:val="es-ES"/>
        </w:rPr>
        <w:t xml:space="preserve">derecho a la libertad personal </w:t>
      </w:r>
      <w:r w:rsidR="005365FF" w:rsidRPr="002A35D9">
        <w:rPr>
          <w:rFonts w:asciiTheme="majorHAnsi" w:hAnsiTheme="majorHAnsi"/>
          <w:b/>
          <w:sz w:val="20"/>
          <w:szCs w:val="20"/>
          <w:lang w:val="es-ES"/>
        </w:rPr>
        <w:t xml:space="preserve">establecidos en la Convención Americana </w:t>
      </w:r>
      <w:r w:rsidR="00D46866" w:rsidRPr="002A35D9">
        <w:rPr>
          <w:rFonts w:asciiTheme="majorHAnsi" w:hAnsiTheme="majorHAnsi"/>
          <w:sz w:val="20"/>
          <w:szCs w:val="20"/>
          <w:lang w:val="es-ES"/>
        </w:rPr>
        <w:t xml:space="preserve">ni el artículo 1 de la Convención Interamericana sobre Desaparición </w:t>
      </w:r>
      <w:r w:rsidR="00D13366" w:rsidRPr="002A35D9">
        <w:rPr>
          <w:rFonts w:asciiTheme="majorHAnsi" w:hAnsiTheme="majorHAnsi"/>
          <w:sz w:val="20"/>
          <w:szCs w:val="20"/>
          <w:lang w:val="es-ES"/>
        </w:rPr>
        <w:t>Forzada, porque</w:t>
      </w:r>
      <w:r w:rsidR="00FF6C52" w:rsidRPr="002A35D9">
        <w:rPr>
          <w:rFonts w:asciiTheme="majorHAnsi" w:hAnsiTheme="majorHAnsi"/>
          <w:sz w:val="20"/>
          <w:szCs w:val="20"/>
          <w:lang w:val="es-ES"/>
        </w:rPr>
        <w:t xml:space="preserve"> no participó </w:t>
      </w:r>
      <w:r w:rsidR="00D46866" w:rsidRPr="002A35D9">
        <w:rPr>
          <w:rFonts w:asciiTheme="majorHAnsi" w:hAnsiTheme="majorHAnsi"/>
          <w:sz w:val="20"/>
          <w:szCs w:val="20"/>
          <w:lang w:val="es-ES"/>
        </w:rPr>
        <w:t xml:space="preserve">ni en la detención ni </w:t>
      </w:r>
      <w:r w:rsidR="00FF6C52" w:rsidRPr="002A35D9">
        <w:rPr>
          <w:rFonts w:asciiTheme="majorHAnsi" w:hAnsiTheme="majorHAnsi"/>
          <w:sz w:val="20"/>
          <w:szCs w:val="20"/>
          <w:lang w:val="es-ES"/>
        </w:rPr>
        <w:t>en la desaparición de la presunta víctima y</w:t>
      </w:r>
      <w:r w:rsidR="009A0C18" w:rsidRPr="002A35D9">
        <w:rPr>
          <w:rFonts w:asciiTheme="majorHAnsi" w:hAnsiTheme="majorHAnsi"/>
          <w:sz w:val="20"/>
          <w:szCs w:val="20"/>
          <w:lang w:val="es-ES"/>
        </w:rPr>
        <w:t xml:space="preserve"> no existen elementos que acrediten su aquiescencia en los hechos. </w:t>
      </w:r>
    </w:p>
    <w:p w14:paraId="36D25DFC" w14:textId="77777777" w:rsidR="002A35D9" w:rsidRDefault="002A35D9" w:rsidP="002A35D9">
      <w:pPr>
        <w:pStyle w:val="ListParagraph"/>
        <w:rPr>
          <w:rFonts w:asciiTheme="majorHAnsi" w:hAnsiTheme="majorHAnsi"/>
          <w:color w:val="000000" w:themeColor="text1"/>
          <w:sz w:val="20"/>
          <w:szCs w:val="20"/>
          <w:lang w:val="es-ES"/>
        </w:rPr>
      </w:pPr>
    </w:p>
    <w:p w14:paraId="3F6C5899" w14:textId="77777777" w:rsidR="00BB6093" w:rsidRPr="002A35D9" w:rsidRDefault="00BB6093"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 xml:space="preserve">Con respecto a las </w:t>
      </w:r>
      <w:r w:rsidRPr="002A35D9">
        <w:rPr>
          <w:rFonts w:asciiTheme="majorHAnsi" w:hAnsiTheme="majorHAnsi"/>
          <w:b/>
          <w:color w:val="000000" w:themeColor="text1"/>
          <w:sz w:val="20"/>
          <w:szCs w:val="20"/>
          <w:lang w:val="es-ES"/>
        </w:rPr>
        <w:t>garantías judiciales y protección judicial</w:t>
      </w:r>
      <w:r w:rsidRPr="002A35D9">
        <w:rPr>
          <w:rFonts w:asciiTheme="majorHAnsi" w:hAnsiTheme="majorHAnsi"/>
          <w:color w:val="000000" w:themeColor="text1"/>
          <w:sz w:val="20"/>
          <w:szCs w:val="20"/>
          <w:lang w:val="es-ES"/>
        </w:rPr>
        <w:t xml:space="preserve">, refirió que no se vulneraron dichos derechos pues </w:t>
      </w:r>
      <w:r w:rsidR="00D46866" w:rsidRPr="002A35D9">
        <w:rPr>
          <w:rFonts w:asciiTheme="majorHAnsi" w:hAnsiTheme="majorHAnsi"/>
          <w:color w:val="000000" w:themeColor="text1"/>
          <w:sz w:val="20"/>
          <w:szCs w:val="20"/>
          <w:lang w:val="es-ES"/>
        </w:rPr>
        <w:t xml:space="preserve">ha realizado una serie de diligencias para investigar a los responsables de los hechos, sin </w:t>
      </w:r>
      <w:r w:rsidR="00D13366" w:rsidRPr="002A35D9">
        <w:rPr>
          <w:rFonts w:asciiTheme="majorHAnsi" w:hAnsiTheme="majorHAnsi"/>
          <w:color w:val="000000" w:themeColor="text1"/>
          <w:sz w:val="20"/>
          <w:szCs w:val="20"/>
          <w:lang w:val="es-ES"/>
        </w:rPr>
        <w:lastRenderedPageBreak/>
        <w:t>embargo,</w:t>
      </w:r>
      <w:r w:rsidR="00D46866" w:rsidRPr="002A35D9">
        <w:rPr>
          <w:rFonts w:asciiTheme="majorHAnsi" w:hAnsiTheme="majorHAnsi"/>
          <w:color w:val="000000" w:themeColor="text1"/>
          <w:sz w:val="20"/>
          <w:szCs w:val="20"/>
          <w:lang w:val="es-ES"/>
        </w:rPr>
        <w:t xml:space="preserve"> se trata de una obligación de medio y no de resultado. Además, los familiares de la presunta víctima han tenido amplia participación en el proceso y contado con recursos para impugnar las decisiones </w:t>
      </w:r>
      <w:r w:rsidR="001966A6" w:rsidRPr="002A35D9">
        <w:rPr>
          <w:rFonts w:asciiTheme="majorHAnsi" w:hAnsiTheme="majorHAnsi"/>
          <w:color w:val="000000" w:themeColor="text1"/>
          <w:sz w:val="20"/>
          <w:szCs w:val="20"/>
          <w:lang w:val="es-ES"/>
        </w:rPr>
        <w:t xml:space="preserve">proferidas por los órganos jurisdiccionales. </w:t>
      </w:r>
    </w:p>
    <w:p w14:paraId="3A8FCD6F" w14:textId="77777777" w:rsidR="00843AD3" w:rsidRPr="00B431F1" w:rsidRDefault="00843AD3" w:rsidP="00843AD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lang w:val="es-ES"/>
        </w:rPr>
      </w:pPr>
    </w:p>
    <w:p w14:paraId="39C8EBB9" w14:textId="77777777" w:rsidR="003E7479" w:rsidRPr="000A209E" w:rsidRDefault="00A13B72" w:rsidP="002A35D9">
      <w:pPr>
        <w:pStyle w:val="Heading1"/>
        <w:numPr>
          <w:ilvl w:val="0"/>
          <w:numId w:val="55"/>
        </w:numPr>
        <w:tabs>
          <w:tab w:val="left" w:pos="540"/>
        </w:tabs>
        <w:spacing w:before="0"/>
        <w:ind w:left="0" w:firstLine="0"/>
        <w:jc w:val="both"/>
        <w:rPr>
          <w:rFonts w:ascii="Cambria" w:hAnsi="Cambria"/>
          <w:color w:val="000000" w:themeColor="text1"/>
          <w:sz w:val="20"/>
          <w:szCs w:val="20"/>
          <w:lang w:val="es-ES"/>
        </w:rPr>
      </w:pPr>
      <w:bookmarkStart w:id="6" w:name="_Toc5359024"/>
      <w:r w:rsidRPr="000A209E">
        <w:rPr>
          <w:rFonts w:ascii="Cambria" w:hAnsi="Cambria"/>
          <w:color w:val="000000" w:themeColor="text1"/>
          <w:sz w:val="20"/>
          <w:szCs w:val="20"/>
          <w:lang w:val="es-ES"/>
        </w:rPr>
        <w:t>DETERMINACIONES DE HECHO</w:t>
      </w:r>
      <w:bookmarkEnd w:id="6"/>
    </w:p>
    <w:p w14:paraId="6C07EE39" w14:textId="77777777" w:rsidR="00E4257C" w:rsidRDefault="00E4257C" w:rsidP="007D7ED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b/>
          <w:sz w:val="20"/>
          <w:szCs w:val="20"/>
          <w:lang w:val="es-ES"/>
        </w:rPr>
      </w:pPr>
    </w:p>
    <w:p w14:paraId="074AEEA1" w14:textId="77777777" w:rsidR="005B3815" w:rsidRPr="008F634D" w:rsidRDefault="00C07DEB"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Theme="majorHAnsi" w:hAnsiTheme="majorHAnsi"/>
          <w:color w:val="000000" w:themeColor="text1"/>
          <w:sz w:val="20"/>
          <w:szCs w:val="20"/>
          <w:lang w:val="es-ES"/>
        </w:rPr>
        <w:t>La</w:t>
      </w:r>
      <w:r w:rsidRPr="00CA5800">
        <w:rPr>
          <w:rFonts w:ascii="Cambria" w:hAnsi="Cambria"/>
          <w:sz w:val="20"/>
          <w:szCs w:val="20"/>
          <w:lang w:val="es-CO"/>
        </w:rPr>
        <w:t xml:space="preserve"> Comisión recuerda que tratándose de un caso de alegada desaparición forzada, la prueba indiciaria y presuntiva resulta de especial importancia ya que “esta forma de violación se caracteriza por procurar la supresión de todo elemento que permita comprobar la detención, el paradero y la suerte de las victimas</w:t>
      </w:r>
      <w:r w:rsidRPr="00CA5800">
        <w:rPr>
          <w:rFonts w:ascii="Cambria" w:hAnsi="Cambria"/>
          <w:sz w:val="20"/>
          <w:szCs w:val="20"/>
          <w:lang w:val="es-VE"/>
        </w:rPr>
        <w:t>”</w:t>
      </w:r>
      <w:r w:rsidRPr="00342CED">
        <w:rPr>
          <w:rFonts w:ascii="Cambria" w:hAnsi="Cambria"/>
          <w:sz w:val="20"/>
          <w:szCs w:val="20"/>
          <w:vertAlign w:val="superscript"/>
          <w:lang w:val="es-VE"/>
        </w:rPr>
        <w:footnoteReference w:id="3"/>
      </w:r>
      <w:r w:rsidRPr="00CA5800">
        <w:rPr>
          <w:rFonts w:ascii="Cambria" w:hAnsi="Cambria"/>
          <w:sz w:val="20"/>
          <w:szCs w:val="20"/>
          <w:lang w:val="es-VE"/>
        </w:rPr>
        <w:t>.</w:t>
      </w:r>
    </w:p>
    <w:p w14:paraId="60B15BF2" w14:textId="77777777" w:rsidR="008F634D" w:rsidRPr="008F634D" w:rsidRDefault="008F634D" w:rsidP="008F634D">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0F213B5E" w14:textId="77777777" w:rsidR="00170726" w:rsidRPr="000A209E" w:rsidRDefault="00616AEF" w:rsidP="002A35D9">
      <w:pPr>
        <w:pStyle w:val="Heading2"/>
        <w:numPr>
          <w:ilvl w:val="0"/>
          <w:numId w:val="57"/>
        </w:numPr>
        <w:tabs>
          <w:tab w:val="left" w:pos="540"/>
        </w:tabs>
        <w:spacing w:before="0" w:after="0"/>
        <w:ind w:left="0" w:firstLine="0"/>
        <w:jc w:val="both"/>
        <w:rPr>
          <w:rFonts w:ascii="Cambria" w:hAnsi="Cambria"/>
          <w:i w:val="0"/>
          <w:color w:val="000000" w:themeColor="text1"/>
          <w:sz w:val="20"/>
          <w:szCs w:val="20"/>
          <w:lang w:val="es-ES"/>
        </w:rPr>
      </w:pPr>
      <w:bookmarkStart w:id="7" w:name="_Toc5359025"/>
      <w:r w:rsidRPr="000A209E">
        <w:rPr>
          <w:rFonts w:ascii="Cambria" w:hAnsi="Cambria"/>
          <w:i w:val="0"/>
          <w:color w:val="000000" w:themeColor="text1"/>
          <w:sz w:val="20"/>
          <w:szCs w:val="20"/>
          <w:lang w:val="es-ES"/>
        </w:rPr>
        <w:t>Antecedentes</w:t>
      </w:r>
      <w:r w:rsidR="00170726" w:rsidRPr="000A209E">
        <w:rPr>
          <w:rFonts w:ascii="Cambria" w:hAnsi="Cambria"/>
          <w:i w:val="0"/>
          <w:color w:val="000000" w:themeColor="text1"/>
          <w:sz w:val="20"/>
          <w:szCs w:val="20"/>
          <w:lang w:val="es-ES"/>
        </w:rPr>
        <w:t xml:space="preserve"> </w:t>
      </w:r>
      <w:r w:rsidR="00490F6B" w:rsidRPr="000A209E">
        <w:rPr>
          <w:rFonts w:ascii="Cambria" w:hAnsi="Cambria"/>
          <w:i w:val="0"/>
          <w:color w:val="000000" w:themeColor="text1"/>
          <w:sz w:val="20"/>
          <w:szCs w:val="20"/>
          <w:lang w:val="es-ES"/>
        </w:rPr>
        <w:t>sobre las Juntas de Defensa del Campesinado</w:t>
      </w:r>
      <w:bookmarkEnd w:id="7"/>
    </w:p>
    <w:p w14:paraId="08EF4092" w14:textId="77777777" w:rsidR="00B76B20" w:rsidRPr="000A209E" w:rsidRDefault="00B76B20" w:rsidP="00B76B2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hAnsi="Cambria"/>
          <w:color w:val="000000" w:themeColor="text1"/>
          <w:sz w:val="20"/>
          <w:szCs w:val="20"/>
          <w:lang w:val="es-ES"/>
        </w:rPr>
      </w:pPr>
    </w:p>
    <w:p w14:paraId="5D8CD616" w14:textId="77777777" w:rsidR="002A35D9" w:rsidRDefault="007637D6"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 xml:space="preserve">La parte peticionaria </w:t>
      </w:r>
      <w:r w:rsidR="009B52DB" w:rsidRPr="009B52DB">
        <w:rPr>
          <w:rFonts w:asciiTheme="majorHAnsi" w:hAnsiTheme="majorHAnsi"/>
          <w:color w:val="000000" w:themeColor="text1"/>
          <w:sz w:val="20"/>
          <w:szCs w:val="20"/>
          <w:lang w:val="es-ES"/>
        </w:rPr>
        <w:t xml:space="preserve">alega que la desaparición de la presunta víctima fue perpetrada por miembros de las Juntas del Campesinado. </w:t>
      </w:r>
    </w:p>
    <w:p w14:paraId="7EFDFAE8" w14:textId="77777777" w:rsidR="002A35D9" w:rsidRDefault="002A35D9" w:rsidP="002A35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themeColor="text1"/>
          <w:sz w:val="20"/>
          <w:szCs w:val="20"/>
          <w:lang w:val="es-ES"/>
        </w:rPr>
      </w:pPr>
    </w:p>
    <w:p w14:paraId="708F8C37" w14:textId="77777777" w:rsidR="002A35D9" w:rsidRDefault="00B76B20"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 xml:space="preserve">Según </w:t>
      </w:r>
      <w:r w:rsidR="00594928" w:rsidRPr="002A35D9">
        <w:rPr>
          <w:rFonts w:asciiTheme="majorHAnsi" w:hAnsiTheme="majorHAnsi"/>
          <w:color w:val="000000" w:themeColor="text1"/>
          <w:sz w:val="20"/>
          <w:szCs w:val="20"/>
          <w:lang w:val="es-ES"/>
        </w:rPr>
        <w:t xml:space="preserve">la </w:t>
      </w:r>
      <w:r w:rsidRPr="002A35D9">
        <w:rPr>
          <w:rFonts w:asciiTheme="majorHAnsi" w:hAnsiTheme="majorHAnsi"/>
          <w:color w:val="000000" w:themeColor="text1"/>
          <w:sz w:val="20"/>
          <w:szCs w:val="20"/>
          <w:lang w:val="es-ES"/>
        </w:rPr>
        <w:t xml:space="preserve">información disponible las Juntas del </w:t>
      </w:r>
      <w:r w:rsidR="00EB05EA" w:rsidRPr="002A35D9">
        <w:rPr>
          <w:rFonts w:asciiTheme="majorHAnsi" w:hAnsiTheme="majorHAnsi"/>
          <w:color w:val="000000" w:themeColor="text1"/>
          <w:sz w:val="20"/>
          <w:szCs w:val="20"/>
          <w:lang w:val="es-ES"/>
        </w:rPr>
        <w:t>Campesinado</w:t>
      </w:r>
      <w:r w:rsidR="007F4501" w:rsidRPr="002A35D9">
        <w:rPr>
          <w:rFonts w:asciiTheme="majorHAnsi" w:hAnsiTheme="majorHAnsi"/>
          <w:color w:val="000000" w:themeColor="text1"/>
          <w:sz w:val="20"/>
          <w:szCs w:val="20"/>
          <w:lang w:val="es-ES"/>
        </w:rPr>
        <w:t xml:space="preserve"> son un sistema de justicia informal</w:t>
      </w:r>
      <w:r w:rsidR="007F4501" w:rsidRPr="009B52DB">
        <w:rPr>
          <w:rStyle w:val="FootnoteReference"/>
          <w:rFonts w:asciiTheme="majorHAnsi" w:hAnsiTheme="majorHAnsi"/>
          <w:color w:val="000000" w:themeColor="text1"/>
          <w:sz w:val="20"/>
          <w:szCs w:val="20"/>
          <w:lang w:val="es-ES"/>
        </w:rPr>
        <w:footnoteReference w:id="4"/>
      </w:r>
      <w:r w:rsidR="007F4501" w:rsidRPr="002A35D9">
        <w:rPr>
          <w:rFonts w:asciiTheme="majorHAnsi" w:hAnsiTheme="majorHAnsi"/>
          <w:color w:val="000000" w:themeColor="text1"/>
          <w:sz w:val="20"/>
          <w:szCs w:val="20"/>
          <w:lang w:val="es-ES"/>
        </w:rPr>
        <w:t xml:space="preserve"> que</w:t>
      </w:r>
      <w:r w:rsidR="00EB05EA" w:rsidRPr="002A35D9">
        <w:rPr>
          <w:rFonts w:asciiTheme="majorHAnsi" w:hAnsiTheme="majorHAnsi"/>
          <w:color w:val="000000" w:themeColor="text1"/>
          <w:sz w:val="20"/>
          <w:szCs w:val="20"/>
          <w:lang w:val="es-ES"/>
        </w:rPr>
        <w:t xml:space="preserve"> fueron creadas con el objeto de promover el desarrollo </w:t>
      </w:r>
      <w:r w:rsidR="00510D62" w:rsidRPr="002A35D9">
        <w:rPr>
          <w:rFonts w:asciiTheme="majorHAnsi" w:hAnsiTheme="majorHAnsi"/>
          <w:color w:val="000000" w:themeColor="text1"/>
          <w:sz w:val="20"/>
          <w:szCs w:val="20"/>
          <w:lang w:val="es-ES"/>
        </w:rPr>
        <w:t>y prevenir el robo de ganado y otros delitos comunes. Están organizada</w:t>
      </w:r>
      <w:r w:rsidR="00D13366" w:rsidRPr="002A35D9">
        <w:rPr>
          <w:rFonts w:asciiTheme="majorHAnsi" w:hAnsiTheme="majorHAnsi"/>
          <w:color w:val="000000" w:themeColor="text1"/>
          <w:sz w:val="20"/>
          <w:szCs w:val="20"/>
          <w:lang w:val="es-ES"/>
        </w:rPr>
        <w:t xml:space="preserve">s por parroquias y cuentan con </w:t>
      </w:r>
      <w:r w:rsidR="00510D62" w:rsidRPr="002A35D9">
        <w:rPr>
          <w:rFonts w:asciiTheme="majorHAnsi" w:hAnsiTheme="majorHAnsi"/>
          <w:color w:val="000000" w:themeColor="text1"/>
          <w:sz w:val="20"/>
          <w:szCs w:val="20"/>
          <w:lang w:val="es-ES"/>
        </w:rPr>
        <w:t xml:space="preserve">un presidente para cada localidad, elegido por los residentes. Las juntas pertenecen a una federación de juntas </w:t>
      </w:r>
      <w:r w:rsidR="00594928" w:rsidRPr="002A35D9">
        <w:rPr>
          <w:rFonts w:asciiTheme="majorHAnsi" w:hAnsiTheme="majorHAnsi"/>
          <w:color w:val="000000" w:themeColor="text1"/>
          <w:sz w:val="20"/>
          <w:szCs w:val="20"/>
          <w:lang w:val="es-ES"/>
        </w:rPr>
        <w:t xml:space="preserve">de orden </w:t>
      </w:r>
      <w:r w:rsidR="00510D62" w:rsidRPr="002A35D9">
        <w:rPr>
          <w:rFonts w:asciiTheme="majorHAnsi" w:hAnsiTheme="majorHAnsi"/>
          <w:color w:val="000000" w:themeColor="text1"/>
          <w:sz w:val="20"/>
          <w:szCs w:val="20"/>
          <w:lang w:val="es-ES"/>
        </w:rPr>
        <w:t xml:space="preserve">nacional. </w:t>
      </w:r>
      <w:r w:rsidR="00B85169" w:rsidRPr="002A35D9">
        <w:rPr>
          <w:rFonts w:asciiTheme="majorHAnsi" w:hAnsiTheme="majorHAnsi"/>
          <w:color w:val="000000" w:themeColor="text1"/>
          <w:sz w:val="20"/>
          <w:szCs w:val="20"/>
          <w:lang w:val="es-ES"/>
        </w:rPr>
        <w:t>Las juntas rurales son particularmente poderosas en las provincias de la sierra de Cotopaxi, Tungurahua, Chimborazo, Bolívar, y en algunas zonas de los Ríos</w:t>
      </w:r>
      <w:r w:rsidR="00F10860" w:rsidRPr="009B52DB">
        <w:rPr>
          <w:rStyle w:val="FootnoteReference"/>
          <w:rFonts w:asciiTheme="majorHAnsi" w:hAnsiTheme="majorHAnsi"/>
          <w:color w:val="000000" w:themeColor="text1"/>
          <w:sz w:val="20"/>
          <w:szCs w:val="20"/>
          <w:lang w:val="es-ES"/>
        </w:rPr>
        <w:footnoteReference w:id="5"/>
      </w:r>
      <w:r w:rsidR="00B85169" w:rsidRPr="002A35D9">
        <w:rPr>
          <w:rFonts w:asciiTheme="majorHAnsi" w:hAnsiTheme="majorHAnsi"/>
          <w:color w:val="000000" w:themeColor="text1"/>
          <w:sz w:val="20"/>
          <w:szCs w:val="20"/>
          <w:lang w:val="es-ES"/>
        </w:rPr>
        <w:t xml:space="preserve">. </w:t>
      </w:r>
    </w:p>
    <w:p w14:paraId="4E031696" w14:textId="77777777" w:rsidR="002A35D9" w:rsidRDefault="002A35D9" w:rsidP="002A35D9">
      <w:pPr>
        <w:pStyle w:val="ListParagraph"/>
        <w:rPr>
          <w:rFonts w:asciiTheme="majorHAnsi" w:hAnsiTheme="majorHAnsi"/>
          <w:color w:val="000000" w:themeColor="text1"/>
          <w:sz w:val="20"/>
          <w:szCs w:val="20"/>
          <w:lang w:val="es-ES"/>
        </w:rPr>
      </w:pPr>
    </w:p>
    <w:p w14:paraId="67865507" w14:textId="77777777" w:rsidR="002A35D9" w:rsidRDefault="009B52DB"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O</w:t>
      </w:r>
      <w:r w:rsidR="00EB05EA" w:rsidRPr="002A35D9">
        <w:rPr>
          <w:rFonts w:asciiTheme="majorHAnsi" w:hAnsiTheme="majorHAnsi"/>
          <w:color w:val="000000" w:themeColor="text1"/>
          <w:sz w:val="20"/>
          <w:szCs w:val="20"/>
          <w:lang w:val="es-ES"/>
        </w:rPr>
        <w:t>rganismos nacionales e internacionales han reportado graves violaciones de derechos humanos cometid</w:t>
      </w:r>
      <w:r w:rsidR="004360F9" w:rsidRPr="002A35D9">
        <w:rPr>
          <w:rFonts w:asciiTheme="majorHAnsi" w:hAnsiTheme="majorHAnsi"/>
          <w:color w:val="000000" w:themeColor="text1"/>
          <w:sz w:val="20"/>
          <w:szCs w:val="20"/>
          <w:lang w:val="es-ES"/>
        </w:rPr>
        <w:t>a</w:t>
      </w:r>
      <w:r w:rsidR="00EB05EA" w:rsidRPr="002A35D9">
        <w:rPr>
          <w:rFonts w:asciiTheme="majorHAnsi" w:hAnsiTheme="majorHAnsi"/>
          <w:color w:val="000000" w:themeColor="text1"/>
          <w:sz w:val="20"/>
          <w:szCs w:val="20"/>
          <w:lang w:val="es-ES"/>
        </w:rPr>
        <w:t xml:space="preserve">s por las Juntas. </w:t>
      </w:r>
    </w:p>
    <w:p w14:paraId="2778D3E6" w14:textId="77777777" w:rsidR="002A35D9" w:rsidRDefault="002A35D9" w:rsidP="002A35D9">
      <w:pPr>
        <w:pStyle w:val="ListParagraph"/>
        <w:rPr>
          <w:rFonts w:asciiTheme="majorHAnsi" w:hAnsiTheme="majorHAnsi"/>
          <w:color w:val="000000" w:themeColor="text1"/>
          <w:sz w:val="20"/>
          <w:szCs w:val="20"/>
          <w:lang w:val="es-ES"/>
        </w:rPr>
      </w:pPr>
    </w:p>
    <w:p w14:paraId="6165D6AD" w14:textId="77777777" w:rsidR="002A35D9" w:rsidRDefault="00AF2F94"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En 2007, el Grupo de Trabajo de Naciones Unidas sobre la utilización de mercenarios como medio de violar los derechos humanos y obstaculizar el ejercicio d</w:t>
      </w:r>
      <w:r w:rsidR="001D20FB" w:rsidRPr="002A35D9">
        <w:rPr>
          <w:rFonts w:asciiTheme="majorHAnsi" w:hAnsiTheme="majorHAnsi"/>
          <w:color w:val="000000" w:themeColor="text1"/>
          <w:sz w:val="20"/>
          <w:szCs w:val="20"/>
          <w:lang w:val="es-ES"/>
        </w:rPr>
        <w:t xml:space="preserve">el derecho de los pueblos a la libre determinación, indicó que organizaciones no gubernamentales le informaron que las Juntas de Defensa del Campesinado intervienen en casos de seguridad, </w:t>
      </w:r>
      <w:r w:rsidR="00E44274" w:rsidRPr="002A35D9">
        <w:rPr>
          <w:rFonts w:asciiTheme="majorHAnsi" w:hAnsiTheme="majorHAnsi"/>
          <w:color w:val="000000" w:themeColor="text1"/>
          <w:sz w:val="20"/>
          <w:szCs w:val="20"/>
          <w:lang w:val="es-ES"/>
        </w:rPr>
        <w:t xml:space="preserve">de </w:t>
      </w:r>
      <w:r w:rsidR="001D20FB" w:rsidRPr="002A35D9">
        <w:rPr>
          <w:rFonts w:asciiTheme="majorHAnsi" w:hAnsiTheme="majorHAnsi"/>
          <w:color w:val="000000" w:themeColor="text1"/>
          <w:sz w:val="20"/>
          <w:szCs w:val="20"/>
          <w:lang w:val="es-ES"/>
        </w:rPr>
        <w:t xml:space="preserve">litigios por tierras y </w:t>
      </w:r>
      <w:r w:rsidR="00E44274" w:rsidRPr="002A35D9">
        <w:rPr>
          <w:rFonts w:asciiTheme="majorHAnsi" w:hAnsiTheme="majorHAnsi"/>
          <w:color w:val="000000" w:themeColor="text1"/>
          <w:sz w:val="20"/>
          <w:szCs w:val="20"/>
          <w:lang w:val="es-ES"/>
        </w:rPr>
        <w:t xml:space="preserve">de </w:t>
      </w:r>
      <w:r w:rsidR="001D20FB" w:rsidRPr="002A35D9">
        <w:rPr>
          <w:rFonts w:asciiTheme="majorHAnsi" w:hAnsiTheme="majorHAnsi"/>
          <w:color w:val="000000" w:themeColor="text1"/>
          <w:sz w:val="20"/>
          <w:szCs w:val="20"/>
          <w:lang w:val="es-ES"/>
        </w:rPr>
        <w:t>delincuencia común, y que en muchos de estos casos “asumen las funciones de las autoridades públicas y hay acusaciones de abusos que incluyen violaciones del derecho de privacidad, actos de tortura y trato degradante, homicidios y desapariciones. Ilustra este problema el caso del Sr. Fredy Núñez que desapareció en 2001</w:t>
      </w:r>
      <w:r w:rsidR="00403E3D" w:rsidRPr="009B52DB">
        <w:rPr>
          <w:rStyle w:val="FootnoteReference"/>
          <w:rFonts w:asciiTheme="majorHAnsi" w:hAnsiTheme="majorHAnsi"/>
          <w:color w:val="000000" w:themeColor="text1"/>
          <w:sz w:val="20"/>
          <w:szCs w:val="20"/>
          <w:lang w:val="es-ES"/>
        </w:rPr>
        <w:footnoteReference w:id="6"/>
      </w:r>
      <w:r w:rsidR="00DE59F5" w:rsidRPr="002A35D9">
        <w:rPr>
          <w:rFonts w:asciiTheme="majorHAnsi" w:hAnsiTheme="majorHAnsi"/>
          <w:color w:val="000000" w:themeColor="text1"/>
          <w:sz w:val="20"/>
          <w:szCs w:val="20"/>
          <w:lang w:val="es-ES"/>
        </w:rPr>
        <w:t>”</w:t>
      </w:r>
      <w:r w:rsidR="001D20FB" w:rsidRPr="002A35D9">
        <w:rPr>
          <w:rFonts w:asciiTheme="majorHAnsi" w:hAnsiTheme="majorHAnsi"/>
          <w:color w:val="000000" w:themeColor="text1"/>
          <w:sz w:val="20"/>
          <w:szCs w:val="20"/>
          <w:lang w:val="es-ES"/>
        </w:rPr>
        <w:t>.</w:t>
      </w:r>
      <w:r w:rsidR="0074069D" w:rsidRPr="002A35D9">
        <w:rPr>
          <w:rFonts w:asciiTheme="majorHAnsi" w:hAnsiTheme="majorHAnsi"/>
          <w:color w:val="000000" w:themeColor="text1"/>
          <w:sz w:val="20"/>
          <w:szCs w:val="20"/>
          <w:lang w:val="es-ES"/>
        </w:rPr>
        <w:t xml:space="preserve"> Por ello, exhortó al Estado ecuatoriano a “</w:t>
      </w:r>
      <w:r w:rsidR="00F10860" w:rsidRPr="002A35D9">
        <w:rPr>
          <w:rFonts w:asciiTheme="majorHAnsi" w:hAnsiTheme="majorHAnsi"/>
          <w:color w:val="000000" w:themeColor="text1"/>
          <w:sz w:val="20"/>
          <w:szCs w:val="20"/>
          <w:lang w:val="es-ES"/>
        </w:rPr>
        <w:t>evitar que las Juntas de Defensa del Campesinado se conviertan en agentes paramilitares</w:t>
      </w:r>
      <w:r w:rsidR="00F10860" w:rsidRPr="009B52DB">
        <w:rPr>
          <w:rStyle w:val="FootnoteReference"/>
          <w:rFonts w:asciiTheme="majorHAnsi" w:hAnsiTheme="majorHAnsi"/>
          <w:color w:val="000000" w:themeColor="text1"/>
          <w:sz w:val="20"/>
          <w:szCs w:val="20"/>
          <w:lang w:val="es-ES"/>
        </w:rPr>
        <w:footnoteReference w:id="7"/>
      </w:r>
      <w:r w:rsidR="00F10860" w:rsidRPr="002A35D9">
        <w:rPr>
          <w:rFonts w:asciiTheme="majorHAnsi" w:hAnsiTheme="majorHAnsi"/>
          <w:color w:val="000000" w:themeColor="text1"/>
          <w:sz w:val="20"/>
          <w:szCs w:val="20"/>
          <w:lang w:val="es-ES"/>
        </w:rPr>
        <w:t>.</w:t>
      </w:r>
    </w:p>
    <w:p w14:paraId="1AE98690" w14:textId="77777777" w:rsidR="002A35D9" w:rsidRDefault="002A35D9" w:rsidP="002A35D9">
      <w:pPr>
        <w:pStyle w:val="ListParagraph"/>
        <w:rPr>
          <w:rFonts w:asciiTheme="majorHAnsi" w:hAnsiTheme="majorHAnsi"/>
          <w:color w:val="000000" w:themeColor="text1"/>
          <w:sz w:val="20"/>
          <w:szCs w:val="20"/>
          <w:lang w:val="es-ES"/>
        </w:rPr>
      </w:pPr>
    </w:p>
    <w:p w14:paraId="0BDC0261" w14:textId="77777777" w:rsidR="002A35D9" w:rsidRDefault="00ED50B8"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 xml:space="preserve">En 2010, el Comité contra la Tortura </w:t>
      </w:r>
      <w:r w:rsidR="00EE12BE" w:rsidRPr="002A35D9">
        <w:rPr>
          <w:rFonts w:asciiTheme="majorHAnsi" w:hAnsiTheme="majorHAnsi"/>
          <w:color w:val="000000" w:themeColor="text1"/>
          <w:sz w:val="20"/>
          <w:szCs w:val="20"/>
          <w:lang w:val="es-ES"/>
        </w:rPr>
        <w:t xml:space="preserve">manifestó preocupación por </w:t>
      </w:r>
      <w:r w:rsidR="009B52DB" w:rsidRPr="002A35D9">
        <w:rPr>
          <w:rFonts w:asciiTheme="majorHAnsi" w:hAnsiTheme="majorHAnsi"/>
          <w:color w:val="000000" w:themeColor="text1"/>
          <w:sz w:val="20"/>
          <w:szCs w:val="20"/>
          <w:lang w:val="es-ES"/>
        </w:rPr>
        <w:t>la participación activa de las Juntas de Defensa del C</w:t>
      </w:r>
      <w:r w:rsidR="00EE12BE" w:rsidRPr="002A35D9">
        <w:rPr>
          <w:rFonts w:asciiTheme="majorHAnsi" w:hAnsiTheme="majorHAnsi"/>
          <w:color w:val="000000" w:themeColor="text1"/>
          <w:sz w:val="20"/>
          <w:szCs w:val="20"/>
          <w:lang w:val="es-ES"/>
        </w:rPr>
        <w:t>ampesinado en la seguridad en el medio rural</w:t>
      </w:r>
      <w:r w:rsidR="0092331D" w:rsidRPr="002A35D9">
        <w:rPr>
          <w:rFonts w:asciiTheme="majorHAnsi" w:hAnsiTheme="majorHAnsi"/>
          <w:color w:val="000000" w:themeColor="text1"/>
          <w:sz w:val="20"/>
          <w:szCs w:val="20"/>
          <w:lang w:val="es-ES"/>
        </w:rPr>
        <w:t xml:space="preserve">, refiriéndose a </w:t>
      </w:r>
      <w:r w:rsidR="00EE12BE" w:rsidRPr="002A35D9">
        <w:rPr>
          <w:rFonts w:asciiTheme="majorHAnsi" w:hAnsiTheme="majorHAnsi"/>
          <w:color w:val="000000" w:themeColor="text1"/>
          <w:sz w:val="20"/>
          <w:szCs w:val="20"/>
          <w:lang w:val="es-ES"/>
        </w:rPr>
        <w:t xml:space="preserve">abusos cometidos por algunos miembros </w:t>
      </w:r>
      <w:r w:rsidR="0074069D" w:rsidRPr="002A35D9">
        <w:rPr>
          <w:rFonts w:asciiTheme="majorHAnsi" w:hAnsiTheme="majorHAnsi"/>
          <w:color w:val="000000" w:themeColor="text1"/>
          <w:sz w:val="20"/>
          <w:szCs w:val="20"/>
          <w:lang w:val="es-ES"/>
        </w:rPr>
        <w:t xml:space="preserve">de dichas organizaciones, </w:t>
      </w:r>
      <w:r w:rsidR="00EE12BE" w:rsidRPr="002A35D9">
        <w:rPr>
          <w:rFonts w:asciiTheme="majorHAnsi" w:hAnsiTheme="majorHAnsi"/>
          <w:color w:val="000000" w:themeColor="text1"/>
          <w:sz w:val="20"/>
          <w:szCs w:val="20"/>
          <w:lang w:val="es-ES"/>
        </w:rPr>
        <w:t>los cuales incluyen linchamientos</w:t>
      </w:r>
      <w:r w:rsidR="0074069D" w:rsidRPr="009B52DB">
        <w:rPr>
          <w:rStyle w:val="FootnoteReference"/>
          <w:rFonts w:asciiTheme="majorHAnsi" w:hAnsiTheme="majorHAnsi"/>
          <w:color w:val="000000" w:themeColor="text1"/>
          <w:sz w:val="20"/>
          <w:szCs w:val="20"/>
          <w:lang w:val="es-ES"/>
        </w:rPr>
        <w:footnoteReference w:id="8"/>
      </w:r>
      <w:r w:rsidR="00EE12BE" w:rsidRPr="002A35D9">
        <w:rPr>
          <w:rFonts w:asciiTheme="majorHAnsi" w:hAnsiTheme="majorHAnsi"/>
          <w:color w:val="000000" w:themeColor="text1"/>
          <w:sz w:val="20"/>
          <w:szCs w:val="20"/>
          <w:lang w:val="es-ES"/>
        </w:rPr>
        <w:t>.</w:t>
      </w:r>
    </w:p>
    <w:p w14:paraId="12540255" w14:textId="77777777" w:rsidR="002A35D9" w:rsidRDefault="002A35D9" w:rsidP="002A35D9">
      <w:pPr>
        <w:pStyle w:val="ListParagraph"/>
        <w:rPr>
          <w:rFonts w:asciiTheme="majorHAnsi" w:hAnsiTheme="majorHAnsi"/>
          <w:color w:val="000000" w:themeColor="text1"/>
          <w:sz w:val="20"/>
          <w:szCs w:val="20"/>
          <w:lang w:val="es-ES"/>
        </w:rPr>
      </w:pPr>
    </w:p>
    <w:p w14:paraId="3BEA281B" w14:textId="77777777" w:rsidR="002A35D9" w:rsidRDefault="00EB05EA"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En 2015, el Relator Especial de Naciones Unidas sobre las ejecuciones extrajudiciales, sumarias o arbitrarias indic</w:t>
      </w:r>
      <w:r w:rsidR="00854152" w:rsidRPr="002A35D9">
        <w:rPr>
          <w:rFonts w:asciiTheme="majorHAnsi" w:hAnsiTheme="majorHAnsi"/>
          <w:color w:val="000000" w:themeColor="text1"/>
          <w:sz w:val="20"/>
          <w:szCs w:val="20"/>
          <w:lang w:val="es-ES"/>
        </w:rPr>
        <w:t xml:space="preserve">ó </w:t>
      </w:r>
      <w:r w:rsidR="00B43F02" w:rsidRPr="002A35D9">
        <w:rPr>
          <w:rFonts w:asciiTheme="majorHAnsi" w:hAnsiTheme="majorHAnsi"/>
          <w:color w:val="000000" w:themeColor="text1"/>
          <w:sz w:val="20"/>
          <w:szCs w:val="20"/>
          <w:lang w:val="es-ES"/>
        </w:rPr>
        <w:t>luego</w:t>
      </w:r>
      <w:r w:rsidR="00854152" w:rsidRPr="002A35D9">
        <w:rPr>
          <w:rFonts w:asciiTheme="majorHAnsi" w:hAnsiTheme="majorHAnsi"/>
          <w:color w:val="000000" w:themeColor="text1"/>
          <w:sz w:val="20"/>
          <w:szCs w:val="20"/>
          <w:lang w:val="es-ES"/>
        </w:rPr>
        <w:t xml:space="preserve"> de su Misión a Ecuador que recibió información sobre amenazas, secuestros, torturas o muertes de personas a manos de las juntas</w:t>
      </w:r>
      <w:r w:rsidR="00B43F02" w:rsidRPr="002A35D9">
        <w:rPr>
          <w:rFonts w:asciiTheme="majorHAnsi" w:hAnsiTheme="majorHAnsi"/>
          <w:color w:val="000000" w:themeColor="text1"/>
          <w:sz w:val="20"/>
          <w:szCs w:val="20"/>
          <w:lang w:val="es-ES"/>
        </w:rPr>
        <w:t xml:space="preserve"> de defensa del campesinado</w:t>
      </w:r>
      <w:r w:rsidR="00854152" w:rsidRPr="002A35D9">
        <w:rPr>
          <w:rFonts w:asciiTheme="majorHAnsi" w:hAnsiTheme="majorHAnsi"/>
          <w:color w:val="000000" w:themeColor="text1"/>
          <w:sz w:val="20"/>
          <w:szCs w:val="20"/>
          <w:lang w:val="es-ES"/>
        </w:rPr>
        <w:t xml:space="preserve">. Indicó que según le fue indicado, </w:t>
      </w:r>
      <w:r w:rsidR="00854152" w:rsidRPr="002A35D9">
        <w:rPr>
          <w:rFonts w:asciiTheme="majorHAnsi" w:hAnsiTheme="majorHAnsi"/>
          <w:color w:val="000000" w:themeColor="text1"/>
          <w:sz w:val="20"/>
          <w:szCs w:val="20"/>
          <w:lang w:val="es-ES"/>
        </w:rPr>
        <w:lastRenderedPageBreak/>
        <w:t>las juntas han utilizado la fuerza para controlar el sistema de justicia penal y que los funcionarios rara vez respondían con eficacia a las denuncias sobre las actividades de las juntas, lo cual fue corroborado por el hecho de que “en general los funcionarios no quisieron o no pudieron responder a las preguntas sobre los abusos cometidos por las juntas, y mucho menos reconocieron la necesidad de investigarlas”</w:t>
      </w:r>
      <w:r w:rsidR="00854152" w:rsidRPr="009B52DB">
        <w:rPr>
          <w:rStyle w:val="FootnoteReference"/>
          <w:rFonts w:asciiTheme="majorHAnsi" w:hAnsiTheme="majorHAnsi"/>
          <w:color w:val="000000" w:themeColor="text1"/>
          <w:sz w:val="20"/>
          <w:szCs w:val="20"/>
          <w:lang w:val="es-ES"/>
        </w:rPr>
        <w:footnoteReference w:id="9"/>
      </w:r>
      <w:r w:rsidR="00854152" w:rsidRPr="002A35D9">
        <w:rPr>
          <w:rFonts w:asciiTheme="majorHAnsi" w:hAnsiTheme="majorHAnsi"/>
          <w:color w:val="000000" w:themeColor="text1"/>
          <w:sz w:val="20"/>
          <w:szCs w:val="20"/>
          <w:lang w:val="es-ES"/>
        </w:rPr>
        <w:t xml:space="preserve">. </w:t>
      </w:r>
    </w:p>
    <w:p w14:paraId="21117A9D" w14:textId="77777777" w:rsidR="002A35D9" w:rsidRDefault="002A35D9" w:rsidP="002A35D9">
      <w:pPr>
        <w:pStyle w:val="ListParagraph"/>
        <w:rPr>
          <w:rFonts w:asciiTheme="majorHAnsi" w:hAnsiTheme="majorHAnsi"/>
          <w:color w:val="000000" w:themeColor="text1"/>
          <w:sz w:val="20"/>
          <w:szCs w:val="20"/>
          <w:lang w:val="es-ES"/>
        </w:rPr>
      </w:pPr>
    </w:p>
    <w:p w14:paraId="3699949B" w14:textId="77777777" w:rsidR="00490F6B" w:rsidRPr="002A35D9" w:rsidRDefault="003424DB"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2A35D9">
        <w:rPr>
          <w:rFonts w:asciiTheme="majorHAnsi" w:hAnsiTheme="majorHAnsi"/>
          <w:color w:val="000000" w:themeColor="text1"/>
          <w:sz w:val="20"/>
          <w:szCs w:val="20"/>
          <w:lang w:val="es-ES"/>
        </w:rPr>
        <w:t xml:space="preserve">Asimismo, el Estado de Ecuador reportó al Comité de Derechos Humanos en 2015 que recibió información sobre denuncias en contra de miembros de las juntas por violaciones de derechos humanos. Igualmente, indicó </w:t>
      </w:r>
      <w:r w:rsidR="00D13366" w:rsidRPr="002A35D9">
        <w:rPr>
          <w:rFonts w:asciiTheme="majorHAnsi" w:hAnsiTheme="majorHAnsi"/>
          <w:color w:val="000000" w:themeColor="text1"/>
          <w:sz w:val="20"/>
          <w:szCs w:val="20"/>
          <w:lang w:val="es-ES"/>
        </w:rPr>
        <w:t>que,</w:t>
      </w:r>
      <w:r w:rsidRPr="002A35D9">
        <w:rPr>
          <w:rFonts w:asciiTheme="majorHAnsi" w:hAnsiTheme="majorHAnsi"/>
          <w:color w:val="000000" w:themeColor="text1"/>
          <w:sz w:val="20"/>
          <w:szCs w:val="20"/>
          <w:lang w:val="es-ES"/>
        </w:rPr>
        <w:t xml:space="preserve"> en los numerosos procesos judiciales en Tungurahua, Chimborazo y Bolívar en contra del </w:t>
      </w:r>
      <w:r w:rsidR="00D13366" w:rsidRPr="002A35D9">
        <w:rPr>
          <w:rFonts w:asciiTheme="majorHAnsi" w:hAnsiTheme="majorHAnsi"/>
          <w:color w:val="000000" w:themeColor="text1"/>
          <w:sz w:val="20"/>
          <w:szCs w:val="20"/>
          <w:lang w:val="es-ES"/>
        </w:rPr>
        <w:t>presidente</w:t>
      </w:r>
      <w:r w:rsidRPr="002A35D9">
        <w:rPr>
          <w:rFonts w:asciiTheme="majorHAnsi" w:hAnsiTheme="majorHAnsi"/>
          <w:color w:val="000000" w:themeColor="text1"/>
          <w:sz w:val="20"/>
          <w:szCs w:val="20"/>
          <w:lang w:val="es-ES"/>
        </w:rPr>
        <w:t xml:space="preserve"> de las Juntas, han existido desestimaciones o se ha obtenido el sobreseimiento definitivo lo cual ha sucedido de forma análoga con todos los procesos relacionados con dichas Juntas. Por ello, indicó que se están ejecutando medidas para fortalecer los procesos de investigación sobre estos casos, como: 1) la implementación de indicadores que identifiquen los casos relacionados con las Juntas en el futuro; 2) la asignación de un Fiscal adicional a la Dirección de la Comisión de la Verdad para investigar los abusos cometidos por las juntas</w:t>
      </w:r>
      <w:r w:rsidR="009B52DB" w:rsidRPr="002A35D9">
        <w:rPr>
          <w:rFonts w:asciiTheme="majorHAnsi" w:hAnsiTheme="majorHAnsi"/>
          <w:color w:val="000000" w:themeColor="text1"/>
          <w:sz w:val="20"/>
          <w:szCs w:val="20"/>
          <w:lang w:val="es-ES"/>
        </w:rPr>
        <w:t>,</w:t>
      </w:r>
      <w:r w:rsidRPr="002A35D9">
        <w:rPr>
          <w:rFonts w:asciiTheme="majorHAnsi" w:hAnsiTheme="majorHAnsi"/>
          <w:color w:val="000000" w:themeColor="text1"/>
          <w:sz w:val="20"/>
          <w:szCs w:val="20"/>
          <w:lang w:val="es-ES"/>
        </w:rPr>
        <w:t xml:space="preserve"> y 3) la realización de un estudio para determinar qué casos de abusos de las Juntas pueden reabrirse como graves violaciones de derechos humanos, para evitar la impunidad</w:t>
      </w:r>
      <w:r w:rsidR="009E49EA" w:rsidRPr="009B52DB">
        <w:rPr>
          <w:rStyle w:val="FootnoteReference"/>
          <w:rFonts w:asciiTheme="majorHAnsi" w:hAnsiTheme="majorHAnsi"/>
          <w:color w:val="000000" w:themeColor="text1"/>
          <w:sz w:val="20"/>
          <w:szCs w:val="20"/>
          <w:lang w:val="es-ES"/>
        </w:rPr>
        <w:footnoteReference w:id="10"/>
      </w:r>
      <w:r w:rsidRPr="002A35D9">
        <w:rPr>
          <w:rFonts w:asciiTheme="majorHAnsi" w:hAnsiTheme="majorHAnsi"/>
          <w:color w:val="000000" w:themeColor="text1"/>
          <w:sz w:val="20"/>
          <w:szCs w:val="20"/>
          <w:lang w:val="es-ES"/>
        </w:rPr>
        <w:t xml:space="preserve">. </w:t>
      </w:r>
    </w:p>
    <w:p w14:paraId="3CE6C14C" w14:textId="77777777" w:rsidR="00490F6B" w:rsidRPr="000A209E" w:rsidRDefault="00490F6B" w:rsidP="00490F6B">
      <w:pPr>
        <w:rPr>
          <w:rFonts w:ascii="Cambria" w:hAnsi="Cambria"/>
          <w:sz w:val="20"/>
          <w:szCs w:val="20"/>
          <w:lang w:val="es-ES"/>
        </w:rPr>
      </w:pPr>
    </w:p>
    <w:p w14:paraId="7B9242EB" w14:textId="77777777" w:rsidR="00490F6B" w:rsidRPr="000A209E" w:rsidRDefault="00490F6B" w:rsidP="002A35D9">
      <w:pPr>
        <w:pStyle w:val="Heading2"/>
        <w:numPr>
          <w:ilvl w:val="0"/>
          <w:numId w:val="57"/>
        </w:numPr>
        <w:tabs>
          <w:tab w:val="left" w:pos="630"/>
        </w:tabs>
        <w:spacing w:before="0" w:after="0"/>
        <w:ind w:left="0" w:firstLine="0"/>
        <w:jc w:val="both"/>
        <w:rPr>
          <w:rFonts w:ascii="Cambria" w:hAnsi="Cambria"/>
          <w:i w:val="0"/>
          <w:color w:val="000000" w:themeColor="text1"/>
          <w:sz w:val="20"/>
          <w:szCs w:val="20"/>
          <w:lang w:val="es-ES"/>
        </w:rPr>
      </w:pPr>
      <w:bookmarkStart w:id="8" w:name="_Toc5359026"/>
      <w:r w:rsidRPr="000A209E">
        <w:rPr>
          <w:rFonts w:ascii="Cambria" w:hAnsi="Cambria"/>
          <w:i w:val="0"/>
          <w:color w:val="000000" w:themeColor="text1"/>
          <w:sz w:val="20"/>
          <w:szCs w:val="20"/>
          <w:lang w:val="es-ES"/>
        </w:rPr>
        <w:t>Sobre la presunta víctima y sus familiares</w:t>
      </w:r>
      <w:bookmarkEnd w:id="8"/>
      <w:r w:rsidRPr="000A209E">
        <w:rPr>
          <w:rFonts w:ascii="Cambria" w:hAnsi="Cambria"/>
          <w:i w:val="0"/>
          <w:color w:val="000000" w:themeColor="text1"/>
          <w:sz w:val="20"/>
          <w:szCs w:val="20"/>
          <w:lang w:val="es-ES"/>
        </w:rPr>
        <w:t xml:space="preserve"> </w:t>
      </w:r>
    </w:p>
    <w:p w14:paraId="351E280F" w14:textId="77777777" w:rsidR="00722111" w:rsidRPr="000A209E" w:rsidRDefault="00722111" w:rsidP="004D7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p>
    <w:p w14:paraId="60F3967F" w14:textId="77777777" w:rsidR="00616AEF" w:rsidRPr="007B580C" w:rsidRDefault="00490F6B"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olor w:val="000000" w:themeColor="text1"/>
          <w:sz w:val="20"/>
          <w:szCs w:val="20"/>
          <w:lang w:val="es-ES"/>
        </w:rPr>
      </w:pPr>
      <w:r w:rsidRPr="000346C4">
        <w:rPr>
          <w:rFonts w:asciiTheme="majorHAnsi" w:hAnsiTheme="majorHAnsi"/>
          <w:color w:val="000000" w:themeColor="text1"/>
          <w:sz w:val="20"/>
          <w:szCs w:val="20"/>
          <w:lang w:val="es-ES"/>
        </w:rPr>
        <w:t xml:space="preserve">Según información disponible </w:t>
      </w:r>
      <w:r w:rsidR="00A22D65" w:rsidRPr="000346C4">
        <w:rPr>
          <w:rFonts w:asciiTheme="majorHAnsi" w:hAnsiTheme="majorHAnsi"/>
          <w:color w:val="000000" w:themeColor="text1"/>
          <w:sz w:val="20"/>
          <w:szCs w:val="20"/>
          <w:lang w:val="es-ES"/>
        </w:rPr>
        <w:t>al momento de los hechos, F</w:t>
      </w:r>
      <w:r w:rsidR="0096649A">
        <w:rPr>
          <w:rFonts w:asciiTheme="majorHAnsi" w:hAnsiTheme="majorHAnsi"/>
          <w:sz w:val="20"/>
          <w:szCs w:val="20"/>
          <w:bdr w:val="none" w:sz="0" w:space="0" w:color="auto"/>
          <w:lang w:val="es-ES"/>
        </w:rPr>
        <w:t>re</w:t>
      </w:r>
      <w:r w:rsidR="00A22D65" w:rsidRPr="000346C4">
        <w:rPr>
          <w:rFonts w:asciiTheme="majorHAnsi" w:hAnsiTheme="majorHAnsi"/>
          <w:sz w:val="20"/>
          <w:szCs w:val="20"/>
          <w:bdr w:val="none" w:sz="0" w:space="0" w:color="auto"/>
          <w:lang w:val="es-ES"/>
        </w:rPr>
        <w:t xml:space="preserve">dy Marcelo Núñez </w:t>
      </w:r>
      <w:r w:rsidR="00A22D65" w:rsidRPr="007B580C">
        <w:rPr>
          <w:rFonts w:asciiTheme="majorHAnsi" w:hAnsiTheme="majorHAnsi"/>
          <w:sz w:val="20"/>
          <w:szCs w:val="20"/>
          <w:bdr w:val="none" w:sz="0" w:space="0" w:color="auto"/>
          <w:lang w:val="es-ES"/>
        </w:rPr>
        <w:t>Naranjo tenía 27 años</w:t>
      </w:r>
      <w:r w:rsidR="001D18EA" w:rsidRPr="007B580C">
        <w:rPr>
          <w:rFonts w:asciiTheme="majorHAnsi" w:hAnsiTheme="majorHAnsi"/>
          <w:sz w:val="20"/>
          <w:szCs w:val="20"/>
          <w:bdr w:val="none" w:sz="0" w:space="0" w:color="auto"/>
          <w:lang w:val="es-ES"/>
        </w:rPr>
        <w:t>,</w:t>
      </w:r>
      <w:r w:rsidR="00A22D65" w:rsidRPr="007B580C">
        <w:rPr>
          <w:rFonts w:asciiTheme="majorHAnsi" w:hAnsiTheme="majorHAnsi"/>
          <w:sz w:val="20"/>
          <w:szCs w:val="20"/>
          <w:bdr w:val="none" w:sz="0" w:space="0" w:color="auto"/>
          <w:lang w:val="es-ES"/>
        </w:rPr>
        <w:t xml:space="preserve"> era divorciado y chofer de profesión. S</w:t>
      </w:r>
      <w:r w:rsidR="00493A17" w:rsidRPr="007B580C">
        <w:rPr>
          <w:rFonts w:asciiTheme="majorHAnsi" w:hAnsiTheme="majorHAnsi"/>
          <w:color w:val="000000" w:themeColor="text1"/>
          <w:sz w:val="20"/>
          <w:szCs w:val="20"/>
          <w:lang w:val="es-ES"/>
        </w:rPr>
        <w:t xml:space="preserve">u núcleo familiar </w:t>
      </w:r>
      <w:r w:rsidRPr="007B580C">
        <w:rPr>
          <w:rFonts w:asciiTheme="majorHAnsi" w:hAnsiTheme="majorHAnsi"/>
          <w:color w:val="000000" w:themeColor="text1"/>
          <w:sz w:val="20"/>
          <w:szCs w:val="20"/>
          <w:lang w:val="es-ES"/>
        </w:rPr>
        <w:t xml:space="preserve">está </w:t>
      </w:r>
      <w:r w:rsidR="00493A17" w:rsidRPr="007B580C">
        <w:rPr>
          <w:rFonts w:asciiTheme="majorHAnsi" w:hAnsiTheme="majorHAnsi"/>
          <w:color w:val="000000" w:themeColor="text1"/>
          <w:sz w:val="20"/>
          <w:szCs w:val="20"/>
          <w:lang w:val="es-ES"/>
        </w:rPr>
        <w:t>compuesto por</w:t>
      </w:r>
      <w:r w:rsidR="00FF0967" w:rsidRPr="007B580C">
        <w:rPr>
          <w:rFonts w:asciiTheme="majorHAnsi" w:hAnsiTheme="majorHAnsi"/>
          <w:color w:val="000000" w:themeColor="text1"/>
          <w:sz w:val="20"/>
          <w:szCs w:val="20"/>
          <w:lang w:val="es-ES"/>
        </w:rPr>
        <w:t>:</w:t>
      </w:r>
      <w:r w:rsidR="00493A17" w:rsidRPr="007B580C">
        <w:rPr>
          <w:rFonts w:asciiTheme="majorHAnsi" w:hAnsiTheme="majorHAnsi"/>
          <w:color w:val="000000" w:themeColor="text1"/>
          <w:sz w:val="20"/>
          <w:szCs w:val="20"/>
          <w:lang w:val="es-ES"/>
        </w:rPr>
        <w:t xml:space="preserve"> </w:t>
      </w:r>
      <w:r w:rsidR="00206211" w:rsidRPr="007B580C">
        <w:rPr>
          <w:rFonts w:asciiTheme="majorHAnsi" w:hAnsiTheme="majorHAnsi"/>
          <w:color w:val="000000" w:themeColor="text1"/>
          <w:sz w:val="20"/>
          <w:szCs w:val="20"/>
          <w:lang w:val="es-ES"/>
        </w:rPr>
        <w:t>sus padres, Sixto Núñez y</w:t>
      </w:r>
      <w:r w:rsidR="00493A17" w:rsidRPr="007B580C">
        <w:rPr>
          <w:rFonts w:asciiTheme="majorHAnsi" w:hAnsiTheme="majorHAnsi"/>
          <w:color w:val="000000" w:themeColor="text1"/>
          <w:sz w:val="20"/>
          <w:szCs w:val="20"/>
          <w:lang w:val="es-ES"/>
        </w:rPr>
        <w:t xml:space="preserve"> María Gregoria Naranjo</w:t>
      </w:r>
      <w:r w:rsidR="00C91D59">
        <w:rPr>
          <w:rFonts w:asciiTheme="majorHAnsi" w:hAnsiTheme="majorHAnsi"/>
          <w:color w:val="000000" w:themeColor="text1"/>
          <w:sz w:val="20"/>
          <w:szCs w:val="20"/>
          <w:lang w:val="es-ES"/>
        </w:rPr>
        <w:t>,</w:t>
      </w:r>
      <w:r w:rsidR="00F25E28">
        <w:rPr>
          <w:rFonts w:asciiTheme="majorHAnsi" w:hAnsiTheme="majorHAnsi"/>
          <w:color w:val="000000" w:themeColor="text1"/>
          <w:sz w:val="20"/>
          <w:szCs w:val="20"/>
          <w:lang w:val="es-ES"/>
        </w:rPr>
        <w:t xml:space="preserve"> </w:t>
      </w:r>
      <w:r w:rsidR="00206211" w:rsidRPr="007B580C">
        <w:rPr>
          <w:rFonts w:asciiTheme="majorHAnsi" w:hAnsiTheme="majorHAnsi"/>
          <w:color w:val="000000" w:themeColor="text1"/>
          <w:sz w:val="20"/>
          <w:szCs w:val="20"/>
          <w:lang w:val="es-ES"/>
        </w:rPr>
        <w:t>sus hermanas Marcia</w:t>
      </w:r>
      <w:r w:rsidR="00C91D59" w:rsidRPr="00C91D59">
        <w:rPr>
          <w:rFonts w:asciiTheme="majorHAnsi" w:hAnsiTheme="majorHAnsi"/>
          <w:color w:val="000000" w:themeColor="text1"/>
          <w:sz w:val="20"/>
          <w:szCs w:val="20"/>
          <w:lang w:val="es-ES"/>
        </w:rPr>
        <w:t xml:space="preserve"> </w:t>
      </w:r>
      <w:r w:rsidR="00C91D59" w:rsidRPr="007B580C">
        <w:rPr>
          <w:rFonts w:asciiTheme="majorHAnsi" w:hAnsiTheme="majorHAnsi"/>
          <w:color w:val="000000" w:themeColor="text1"/>
          <w:sz w:val="20"/>
          <w:szCs w:val="20"/>
          <w:lang w:val="es-ES"/>
        </w:rPr>
        <w:t>Núñez</w:t>
      </w:r>
      <w:r w:rsidR="00C91D59">
        <w:rPr>
          <w:rFonts w:asciiTheme="majorHAnsi" w:hAnsiTheme="majorHAnsi"/>
          <w:color w:val="000000" w:themeColor="text1"/>
          <w:sz w:val="20"/>
          <w:szCs w:val="20"/>
          <w:lang w:val="es-ES"/>
        </w:rPr>
        <w:t xml:space="preserve"> y su familia</w:t>
      </w:r>
      <w:r w:rsidR="00206211" w:rsidRPr="007B580C">
        <w:rPr>
          <w:rFonts w:asciiTheme="majorHAnsi" w:hAnsiTheme="majorHAnsi"/>
          <w:color w:val="000000" w:themeColor="text1"/>
          <w:sz w:val="20"/>
          <w:szCs w:val="20"/>
          <w:lang w:val="es-ES"/>
        </w:rPr>
        <w:t xml:space="preserve"> y Silvia Núñez </w:t>
      </w:r>
      <w:r w:rsidR="00C91D59">
        <w:rPr>
          <w:rFonts w:asciiTheme="majorHAnsi" w:hAnsiTheme="majorHAnsi"/>
          <w:color w:val="000000" w:themeColor="text1"/>
          <w:sz w:val="20"/>
          <w:szCs w:val="20"/>
          <w:lang w:val="es-ES"/>
        </w:rPr>
        <w:t>y su familia</w:t>
      </w:r>
      <w:r w:rsidR="000346C4" w:rsidRPr="007B580C">
        <w:rPr>
          <w:rStyle w:val="FootnoteReference"/>
          <w:rFonts w:asciiTheme="majorHAnsi" w:hAnsiTheme="majorHAnsi"/>
          <w:color w:val="000000" w:themeColor="text1"/>
          <w:sz w:val="20"/>
          <w:szCs w:val="20"/>
          <w:lang w:val="es-ES"/>
        </w:rPr>
        <w:footnoteReference w:id="11"/>
      </w:r>
      <w:r w:rsidR="00B469E5" w:rsidRPr="007B580C">
        <w:rPr>
          <w:rFonts w:asciiTheme="majorHAnsi" w:hAnsiTheme="majorHAnsi"/>
          <w:color w:val="000000" w:themeColor="text1"/>
          <w:sz w:val="20"/>
          <w:szCs w:val="20"/>
          <w:lang w:val="es-ES"/>
        </w:rPr>
        <w:t xml:space="preserve">. </w:t>
      </w:r>
    </w:p>
    <w:p w14:paraId="7BE1782D" w14:textId="77777777" w:rsidR="00490F6B" w:rsidRPr="007B580C" w:rsidRDefault="00490F6B" w:rsidP="00490F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p>
    <w:p w14:paraId="13CC41B9" w14:textId="77777777" w:rsidR="00490F6B" w:rsidRPr="007B580C" w:rsidRDefault="00490F6B" w:rsidP="002A35D9">
      <w:pPr>
        <w:pStyle w:val="Heading2"/>
        <w:numPr>
          <w:ilvl w:val="0"/>
          <w:numId w:val="57"/>
        </w:numPr>
        <w:tabs>
          <w:tab w:val="left" w:pos="630"/>
        </w:tabs>
        <w:spacing w:before="0" w:after="0"/>
        <w:ind w:left="0" w:firstLine="0"/>
        <w:jc w:val="both"/>
        <w:rPr>
          <w:rFonts w:ascii="Cambria" w:hAnsi="Cambria"/>
          <w:i w:val="0"/>
          <w:color w:val="000000" w:themeColor="text1"/>
          <w:sz w:val="20"/>
          <w:szCs w:val="20"/>
          <w:lang w:val="es-ES"/>
        </w:rPr>
      </w:pPr>
      <w:bookmarkStart w:id="9" w:name="_Toc5359027"/>
      <w:r w:rsidRPr="007B580C">
        <w:rPr>
          <w:rFonts w:ascii="Cambria" w:hAnsi="Cambria"/>
          <w:i w:val="0"/>
          <w:color w:val="000000" w:themeColor="text1"/>
          <w:sz w:val="20"/>
          <w:szCs w:val="20"/>
          <w:lang w:val="es-ES"/>
        </w:rPr>
        <w:t>Hechos del caso</w:t>
      </w:r>
      <w:bookmarkEnd w:id="9"/>
    </w:p>
    <w:p w14:paraId="1E0214ED" w14:textId="77777777" w:rsidR="00103925" w:rsidRPr="000A209E" w:rsidRDefault="00103925" w:rsidP="001039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p>
    <w:p w14:paraId="50E97CD9" w14:textId="77777777" w:rsidR="002A35D9" w:rsidRDefault="000346C4"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lang w:val="es-ES"/>
        </w:rPr>
      </w:pPr>
      <w:r w:rsidRPr="002A35D9">
        <w:rPr>
          <w:rFonts w:asciiTheme="majorHAnsi" w:hAnsiTheme="majorHAnsi"/>
          <w:color w:val="000000" w:themeColor="text1"/>
          <w:sz w:val="20"/>
          <w:szCs w:val="20"/>
          <w:lang w:val="es-ES"/>
        </w:rPr>
        <w:t>Según</w:t>
      </w:r>
      <w:r w:rsidRPr="00D64D9D">
        <w:rPr>
          <w:rFonts w:asciiTheme="majorHAnsi" w:hAnsiTheme="majorHAnsi"/>
          <w:sz w:val="20"/>
          <w:szCs w:val="20"/>
          <w:bdr w:val="none" w:sz="0" w:space="0" w:color="auto"/>
          <w:lang w:val="es-ES"/>
        </w:rPr>
        <w:t xml:space="preserve"> consta en el expediente,</w:t>
      </w:r>
      <w:r w:rsidR="00F25E28">
        <w:rPr>
          <w:rFonts w:asciiTheme="majorHAnsi" w:hAnsiTheme="majorHAnsi"/>
          <w:sz w:val="20"/>
          <w:szCs w:val="20"/>
          <w:bdr w:val="none" w:sz="0" w:space="0" w:color="auto"/>
          <w:lang w:val="es-ES"/>
        </w:rPr>
        <w:t xml:space="preserve"> </w:t>
      </w:r>
      <w:r w:rsidR="008068BF" w:rsidRPr="00D64D9D">
        <w:rPr>
          <w:rFonts w:asciiTheme="majorHAnsi" w:hAnsiTheme="majorHAnsi"/>
          <w:sz w:val="20"/>
          <w:szCs w:val="20"/>
          <w:bdr w:val="none" w:sz="0" w:space="0" w:color="auto"/>
          <w:lang w:val="es-ES"/>
        </w:rPr>
        <w:t xml:space="preserve">el 15 de julio de 2001 el señor Octavio Morales, en compañía de otros </w:t>
      </w:r>
      <w:r w:rsidR="00D023B2" w:rsidRPr="00D64D9D">
        <w:rPr>
          <w:rFonts w:asciiTheme="majorHAnsi" w:hAnsiTheme="majorHAnsi"/>
          <w:sz w:val="20"/>
          <w:szCs w:val="20"/>
          <w:bdr w:val="none" w:sz="0" w:space="0" w:color="auto"/>
          <w:lang w:val="es-ES"/>
        </w:rPr>
        <w:t xml:space="preserve">sujetos en estado de ebriedad, </w:t>
      </w:r>
      <w:r w:rsidR="008068BF" w:rsidRPr="00D64D9D">
        <w:rPr>
          <w:rFonts w:asciiTheme="majorHAnsi" w:hAnsiTheme="majorHAnsi"/>
          <w:sz w:val="20"/>
          <w:szCs w:val="20"/>
          <w:bdr w:val="none" w:sz="0" w:space="0" w:color="auto"/>
          <w:lang w:val="es-ES"/>
        </w:rPr>
        <w:t>ingresaron al</w:t>
      </w:r>
      <w:r w:rsidR="00103925" w:rsidRPr="00D64D9D">
        <w:rPr>
          <w:rFonts w:asciiTheme="majorHAnsi" w:hAnsiTheme="majorHAnsi"/>
          <w:sz w:val="20"/>
          <w:szCs w:val="20"/>
          <w:bdr w:val="none" w:sz="0" w:space="0" w:color="auto"/>
          <w:lang w:val="es-ES"/>
        </w:rPr>
        <w:t xml:space="preserve"> salón</w:t>
      </w:r>
      <w:r w:rsidR="00311173" w:rsidRPr="00D64D9D">
        <w:rPr>
          <w:rFonts w:asciiTheme="majorHAnsi" w:hAnsiTheme="majorHAnsi"/>
          <w:sz w:val="20"/>
          <w:szCs w:val="20"/>
          <w:bdr w:val="none" w:sz="0" w:space="0" w:color="auto"/>
          <w:lang w:val="es-ES"/>
        </w:rPr>
        <w:t xml:space="preserve"> </w:t>
      </w:r>
      <w:r w:rsidR="00C36059">
        <w:rPr>
          <w:rFonts w:asciiTheme="majorHAnsi" w:hAnsiTheme="majorHAnsi"/>
          <w:sz w:val="20"/>
          <w:szCs w:val="20"/>
          <w:bdr w:val="none" w:sz="0" w:space="0" w:color="auto"/>
          <w:lang w:val="es-ES"/>
        </w:rPr>
        <w:t>de billares</w:t>
      </w:r>
      <w:r w:rsidR="00311173" w:rsidRPr="005265E4">
        <w:rPr>
          <w:rFonts w:asciiTheme="majorHAnsi" w:hAnsiTheme="majorHAnsi"/>
          <w:sz w:val="20"/>
          <w:szCs w:val="20"/>
          <w:bdr w:val="none" w:sz="0" w:space="0" w:color="auto"/>
          <w:lang w:val="es-ES"/>
        </w:rPr>
        <w:t xml:space="preserve"> </w:t>
      </w:r>
      <w:r w:rsidR="00103925" w:rsidRPr="005265E4">
        <w:rPr>
          <w:rFonts w:asciiTheme="majorHAnsi" w:hAnsiTheme="majorHAnsi"/>
          <w:sz w:val="20"/>
          <w:szCs w:val="20"/>
          <w:bdr w:val="none" w:sz="0" w:space="0" w:color="auto"/>
          <w:lang w:val="es-ES"/>
        </w:rPr>
        <w:t>“latinos”,</w:t>
      </w:r>
      <w:r w:rsidR="00103925" w:rsidRPr="00D64D9D">
        <w:rPr>
          <w:rFonts w:asciiTheme="majorHAnsi" w:hAnsiTheme="majorHAnsi"/>
          <w:sz w:val="20"/>
          <w:szCs w:val="20"/>
          <w:bdr w:val="none" w:sz="0" w:space="0" w:color="auto"/>
          <w:lang w:val="es-ES"/>
        </w:rPr>
        <w:t xml:space="preserve"> </w:t>
      </w:r>
      <w:r w:rsidR="00311173" w:rsidRPr="00D64D9D">
        <w:rPr>
          <w:rFonts w:asciiTheme="majorHAnsi" w:hAnsiTheme="majorHAnsi"/>
          <w:sz w:val="20"/>
          <w:szCs w:val="20"/>
          <w:bdr w:val="none" w:sz="0" w:space="0" w:color="auto"/>
          <w:lang w:val="es-ES"/>
        </w:rPr>
        <w:t xml:space="preserve">ubicado </w:t>
      </w:r>
      <w:r w:rsidR="00D023B2" w:rsidRPr="00D64D9D">
        <w:rPr>
          <w:rFonts w:asciiTheme="majorHAnsi" w:hAnsiTheme="majorHAnsi"/>
          <w:sz w:val="20"/>
          <w:szCs w:val="20"/>
          <w:bdr w:val="none" w:sz="0" w:space="0" w:color="auto"/>
          <w:lang w:val="es-ES"/>
        </w:rPr>
        <w:t>en las calles Eloy Alfaro y Juan León M</w:t>
      </w:r>
      <w:r w:rsidR="00103925" w:rsidRPr="00D64D9D">
        <w:rPr>
          <w:rFonts w:asciiTheme="majorHAnsi" w:hAnsiTheme="majorHAnsi"/>
          <w:sz w:val="20"/>
          <w:szCs w:val="20"/>
          <w:bdr w:val="none" w:sz="0" w:space="0" w:color="auto"/>
          <w:lang w:val="es-ES"/>
        </w:rPr>
        <w:t>era</w:t>
      </w:r>
      <w:r w:rsidR="00D023B2" w:rsidRPr="00D64D9D">
        <w:rPr>
          <w:rFonts w:asciiTheme="majorHAnsi" w:hAnsiTheme="majorHAnsi"/>
          <w:sz w:val="20"/>
          <w:szCs w:val="20"/>
          <w:bdr w:val="none" w:sz="0" w:space="0" w:color="auto"/>
          <w:lang w:val="es-ES"/>
        </w:rPr>
        <w:t>, del cantón Q</w:t>
      </w:r>
      <w:r w:rsidR="00103925" w:rsidRPr="00D64D9D">
        <w:rPr>
          <w:rFonts w:asciiTheme="majorHAnsi" w:hAnsiTheme="majorHAnsi"/>
          <w:sz w:val="20"/>
          <w:szCs w:val="20"/>
          <w:bdr w:val="none" w:sz="0" w:space="0" w:color="auto"/>
          <w:lang w:val="es-ES"/>
        </w:rPr>
        <w:t>uero,</w:t>
      </w:r>
      <w:r w:rsidR="00560FA6" w:rsidRPr="00D64D9D">
        <w:rPr>
          <w:rFonts w:asciiTheme="majorHAnsi" w:hAnsiTheme="majorHAnsi"/>
          <w:sz w:val="20"/>
          <w:szCs w:val="20"/>
          <w:bdr w:val="none" w:sz="0" w:space="0" w:color="auto"/>
          <w:lang w:val="es-ES"/>
        </w:rPr>
        <w:t xml:space="preserve"> con la intención</w:t>
      </w:r>
      <w:r w:rsidR="00D023B2" w:rsidRPr="00D64D9D">
        <w:rPr>
          <w:rFonts w:asciiTheme="majorHAnsi" w:hAnsiTheme="majorHAnsi"/>
          <w:sz w:val="20"/>
          <w:szCs w:val="20"/>
          <w:bdr w:val="none" w:sz="0" w:space="0" w:color="auto"/>
          <w:lang w:val="es-ES"/>
        </w:rPr>
        <w:t xml:space="preserve"> de </w:t>
      </w:r>
      <w:r w:rsidR="008068BF" w:rsidRPr="00D64D9D">
        <w:rPr>
          <w:rFonts w:asciiTheme="majorHAnsi" w:hAnsiTheme="majorHAnsi"/>
          <w:sz w:val="20"/>
          <w:szCs w:val="20"/>
          <w:bdr w:val="none" w:sz="0" w:space="0" w:color="auto"/>
          <w:lang w:val="es-ES"/>
        </w:rPr>
        <w:t>consumir alcohol, pero ante la negativa de la dueña del lugar Gregoria Naranjo, de venderles bebidas</w:t>
      </w:r>
      <w:r w:rsidR="00C94861" w:rsidRPr="00D64D9D">
        <w:rPr>
          <w:rFonts w:asciiTheme="majorHAnsi" w:hAnsiTheme="majorHAnsi"/>
          <w:sz w:val="20"/>
          <w:szCs w:val="20"/>
          <w:bdr w:val="none" w:sz="0" w:space="0" w:color="auto"/>
          <w:lang w:val="es-ES"/>
        </w:rPr>
        <w:t xml:space="preserve"> alcohólicas</w:t>
      </w:r>
      <w:r w:rsidR="008068BF" w:rsidRPr="00D64D9D">
        <w:rPr>
          <w:rFonts w:asciiTheme="majorHAnsi" w:hAnsiTheme="majorHAnsi"/>
          <w:sz w:val="20"/>
          <w:szCs w:val="20"/>
          <w:bdr w:val="none" w:sz="0" w:space="0" w:color="auto"/>
          <w:lang w:val="es-ES"/>
        </w:rPr>
        <w:t>, Morales destruyó la puerta y vidrios de una ventana del local, y abandonó el local</w:t>
      </w:r>
      <w:r w:rsidR="00560FA6" w:rsidRPr="00D64D9D">
        <w:rPr>
          <w:rStyle w:val="FootnoteReference"/>
          <w:rFonts w:asciiTheme="majorHAnsi" w:hAnsiTheme="majorHAnsi"/>
          <w:sz w:val="20"/>
          <w:szCs w:val="20"/>
          <w:bdr w:val="none" w:sz="0" w:space="0" w:color="auto"/>
          <w:lang w:val="es-ES"/>
        </w:rPr>
        <w:footnoteReference w:id="12"/>
      </w:r>
      <w:r w:rsidR="00560FA6" w:rsidRPr="00D64D9D">
        <w:rPr>
          <w:rFonts w:asciiTheme="majorHAnsi" w:hAnsiTheme="majorHAnsi"/>
          <w:sz w:val="20"/>
          <w:szCs w:val="20"/>
          <w:bdr w:val="none" w:sz="0" w:space="0" w:color="auto"/>
          <w:lang w:val="es-ES"/>
        </w:rPr>
        <w:t xml:space="preserve">. </w:t>
      </w:r>
    </w:p>
    <w:p w14:paraId="286765E1" w14:textId="77777777" w:rsidR="002A35D9" w:rsidRDefault="002A35D9" w:rsidP="002A35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bdr w:val="none" w:sz="0" w:space="0" w:color="auto"/>
          <w:lang w:val="es-ES"/>
        </w:rPr>
      </w:pPr>
    </w:p>
    <w:p w14:paraId="21BC226F" w14:textId="77777777" w:rsidR="002A35D9" w:rsidRDefault="008068BF"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lang w:val="es-ES"/>
        </w:rPr>
      </w:pPr>
      <w:r w:rsidRPr="002A35D9">
        <w:rPr>
          <w:rFonts w:asciiTheme="majorHAnsi" w:hAnsiTheme="majorHAnsi"/>
          <w:sz w:val="20"/>
          <w:szCs w:val="20"/>
          <w:bdr w:val="none" w:sz="0" w:space="0" w:color="auto"/>
          <w:lang w:val="es-ES"/>
        </w:rPr>
        <w:t>Con posterioridad Fredy Núñez, hijo de la propietaria, salió en busca de Morales y lo trajo de vuelta al salón, donde procedió a agredirlo</w:t>
      </w:r>
      <w:r w:rsidR="000A230E" w:rsidRPr="00D64D9D">
        <w:rPr>
          <w:rStyle w:val="FootnoteReference"/>
          <w:rFonts w:asciiTheme="majorHAnsi" w:hAnsiTheme="majorHAnsi"/>
          <w:sz w:val="20"/>
          <w:szCs w:val="20"/>
          <w:bdr w:val="none" w:sz="0" w:space="0" w:color="auto"/>
          <w:lang w:val="es-ES"/>
        </w:rPr>
        <w:footnoteReference w:id="13"/>
      </w:r>
      <w:r w:rsidR="006F56E5" w:rsidRPr="002A35D9">
        <w:rPr>
          <w:rFonts w:asciiTheme="majorHAnsi" w:hAnsiTheme="majorHAnsi"/>
          <w:sz w:val="20"/>
          <w:szCs w:val="20"/>
          <w:bdr w:val="none" w:sz="0" w:space="0" w:color="auto"/>
          <w:lang w:val="es-ES"/>
        </w:rPr>
        <w:t>.</w:t>
      </w:r>
      <w:r w:rsidR="00F25E28" w:rsidRPr="002A35D9">
        <w:rPr>
          <w:rFonts w:asciiTheme="majorHAnsi" w:hAnsiTheme="majorHAnsi"/>
          <w:sz w:val="20"/>
          <w:szCs w:val="20"/>
          <w:bdr w:val="none" w:sz="0" w:space="0" w:color="auto"/>
          <w:lang w:val="es-ES"/>
        </w:rPr>
        <w:t xml:space="preserve"> </w:t>
      </w:r>
      <w:r w:rsidR="009470FC" w:rsidRPr="002A35D9">
        <w:rPr>
          <w:rFonts w:asciiTheme="majorHAnsi" w:hAnsiTheme="majorHAnsi"/>
          <w:sz w:val="20"/>
          <w:szCs w:val="20"/>
          <w:bdr w:val="none" w:sz="0" w:space="0" w:color="auto"/>
          <w:lang w:val="es-ES"/>
        </w:rPr>
        <w:t>Frente a ello, la policía se apersonó al lugar</w:t>
      </w:r>
      <w:r w:rsidR="000E7881" w:rsidRPr="002A35D9">
        <w:rPr>
          <w:rFonts w:asciiTheme="majorHAnsi" w:hAnsiTheme="majorHAnsi"/>
          <w:sz w:val="20"/>
          <w:szCs w:val="20"/>
          <w:bdr w:val="none" w:sz="0" w:space="0" w:color="auto"/>
          <w:lang w:val="es-ES"/>
        </w:rPr>
        <w:t xml:space="preserve"> y detuvo a Fredy </w:t>
      </w:r>
      <w:r w:rsidR="0073598C" w:rsidRPr="002A35D9">
        <w:rPr>
          <w:rFonts w:asciiTheme="majorHAnsi" w:hAnsiTheme="majorHAnsi"/>
          <w:sz w:val="20"/>
          <w:szCs w:val="20"/>
          <w:bdr w:val="none" w:sz="0" w:space="0" w:color="auto"/>
          <w:lang w:val="es-ES"/>
        </w:rPr>
        <w:t>Núñez, Octavio Morales y Orlando Freire</w:t>
      </w:r>
      <w:r w:rsidR="000E7881" w:rsidRPr="002A35D9">
        <w:rPr>
          <w:rFonts w:asciiTheme="majorHAnsi" w:hAnsiTheme="majorHAnsi"/>
          <w:sz w:val="20"/>
          <w:szCs w:val="20"/>
          <w:bdr w:val="none" w:sz="0" w:space="0" w:color="auto"/>
          <w:lang w:val="es-ES"/>
        </w:rPr>
        <w:t>, un amigo</w:t>
      </w:r>
      <w:r w:rsidR="00CC3846" w:rsidRPr="002A35D9">
        <w:rPr>
          <w:rFonts w:asciiTheme="majorHAnsi" w:hAnsiTheme="majorHAnsi"/>
          <w:sz w:val="20"/>
          <w:szCs w:val="20"/>
          <w:bdr w:val="none" w:sz="0" w:space="0" w:color="auto"/>
          <w:lang w:val="es-ES"/>
        </w:rPr>
        <w:t xml:space="preserve"> de </w:t>
      </w:r>
      <w:r w:rsidR="0073598C" w:rsidRPr="002A35D9">
        <w:rPr>
          <w:rFonts w:asciiTheme="majorHAnsi" w:hAnsiTheme="majorHAnsi"/>
          <w:sz w:val="20"/>
          <w:szCs w:val="20"/>
          <w:bdr w:val="none" w:sz="0" w:space="0" w:color="auto"/>
          <w:lang w:val="es-ES"/>
        </w:rPr>
        <w:t>Octavio Morales</w:t>
      </w:r>
      <w:r w:rsidR="00C87951" w:rsidRPr="002A35D9">
        <w:rPr>
          <w:rFonts w:asciiTheme="majorHAnsi" w:hAnsiTheme="majorHAnsi"/>
          <w:sz w:val="20"/>
          <w:szCs w:val="20"/>
          <w:bdr w:val="none" w:sz="0" w:space="0" w:color="auto"/>
          <w:lang w:val="es-ES"/>
        </w:rPr>
        <w:t>,</w:t>
      </w:r>
      <w:r w:rsidR="000E7881" w:rsidRPr="002A35D9">
        <w:rPr>
          <w:rFonts w:asciiTheme="majorHAnsi" w:hAnsiTheme="majorHAnsi"/>
          <w:sz w:val="20"/>
          <w:szCs w:val="20"/>
          <w:bdr w:val="none" w:sz="0" w:space="0" w:color="auto"/>
          <w:lang w:val="es-ES"/>
        </w:rPr>
        <w:t xml:space="preserve"> que exigía su liberaci</w:t>
      </w:r>
      <w:r w:rsidR="00982BD8" w:rsidRPr="002A35D9">
        <w:rPr>
          <w:rFonts w:asciiTheme="majorHAnsi" w:hAnsiTheme="majorHAnsi"/>
          <w:sz w:val="20"/>
          <w:szCs w:val="20"/>
          <w:bdr w:val="none" w:sz="0" w:space="0" w:color="auto"/>
          <w:lang w:val="es-ES"/>
        </w:rPr>
        <w:t>ón y fueron conducidos a los Calabozos del Destacamento de Policía del Cantón Quero</w:t>
      </w:r>
      <w:r w:rsidR="00AD5F3A" w:rsidRPr="00D64D9D">
        <w:rPr>
          <w:rStyle w:val="FootnoteReference"/>
          <w:rFonts w:asciiTheme="majorHAnsi" w:hAnsiTheme="majorHAnsi"/>
          <w:sz w:val="20"/>
          <w:szCs w:val="20"/>
          <w:bdr w:val="none" w:sz="0" w:space="0" w:color="auto"/>
          <w:lang w:val="es-ES"/>
        </w:rPr>
        <w:footnoteReference w:id="14"/>
      </w:r>
      <w:r w:rsidR="00982BD8" w:rsidRPr="002A35D9">
        <w:rPr>
          <w:rFonts w:asciiTheme="majorHAnsi" w:hAnsiTheme="majorHAnsi"/>
          <w:sz w:val="20"/>
          <w:szCs w:val="20"/>
          <w:bdr w:val="none" w:sz="0" w:space="0" w:color="auto"/>
          <w:lang w:val="es-ES"/>
        </w:rPr>
        <w:t>.</w:t>
      </w:r>
      <w:r w:rsidR="00AD5F3A" w:rsidRPr="002A35D9">
        <w:rPr>
          <w:rFonts w:asciiTheme="majorHAnsi" w:hAnsiTheme="majorHAnsi"/>
          <w:sz w:val="20"/>
          <w:szCs w:val="20"/>
          <w:bdr w:val="none" w:sz="0" w:space="0" w:color="auto"/>
          <w:lang w:val="es-ES"/>
        </w:rPr>
        <w:t xml:space="preserve"> </w:t>
      </w:r>
    </w:p>
    <w:p w14:paraId="4981D0EB" w14:textId="77777777" w:rsidR="002A35D9" w:rsidRDefault="002A35D9" w:rsidP="002A35D9">
      <w:pPr>
        <w:pStyle w:val="ListParagraph"/>
        <w:rPr>
          <w:rFonts w:asciiTheme="majorHAnsi" w:hAnsiTheme="majorHAnsi"/>
          <w:sz w:val="20"/>
          <w:szCs w:val="20"/>
          <w:bdr w:val="none" w:sz="0" w:space="0" w:color="auto"/>
          <w:lang w:val="es-ES"/>
        </w:rPr>
      </w:pPr>
    </w:p>
    <w:p w14:paraId="1438A3FC" w14:textId="77777777" w:rsidR="002A35D9" w:rsidRDefault="00DE59F5"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lang w:val="es-ES"/>
        </w:rPr>
      </w:pPr>
      <w:r w:rsidRPr="002A35D9">
        <w:rPr>
          <w:rFonts w:asciiTheme="majorHAnsi" w:hAnsiTheme="majorHAnsi"/>
          <w:sz w:val="20"/>
          <w:szCs w:val="20"/>
          <w:bdr w:val="none" w:sz="0" w:space="0" w:color="auto"/>
          <w:lang w:val="es-ES"/>
        </w:rPr>
        <w:t>Según consta en el Informe Policial, t</w:t>
      </w:r>
      <w:r w:rsidR="00AD5F3A" w:rsidRPr="002A35D9">
        <w:rPr>
          <w:rFonts w:asciiTheme="majorHAnsi" w:hAnsiTheme="majorHAnsi"/>
          <w:sz w:val="20"/>
          <w:szCs w:val="20"/>
          <w:bdr w:val="none" w:sz="0" w:space="0" w:color="auto"/>
          <w:lang w:val="es-ES"/>
        </w:rPr>
        <w:t xml:space="preserve">ranscurrida media hora, se presentaron a dicho </w:t>
      </w:r>
      <w:r w:rsidR="00C94861" w:rsidRPr="002A35D9">
        <w:rPr>
          <w:rFonts w:asciiTheme="majorHAnsi" w:hAnsiTheme="majorHAnsi"/>
          <w:sz w:val="20"/>
          <w:szCs w:val="20"/>
          <w:bdr w:val="none" w:sz="0" w:space="0" w:color="auto"/>
          <w:lang w:val="es-ES"/>
        </w:rPr>
        <w:t>destacamento</w:t>
      </w:r>
      <w:r w:rsidR="00AD5F3A" w:rsidRPr="002A35D9">
        <w:rPr>
          <w:rFonts w:asciiTheme="majorHAnsi" w:hAnsiTheme="majorHAnsi"/>
          <w:sz w:val="20"/>
          <w:szCs w:val="20"/>
          <w:bdr w:val="none" w:sz="0" w:space="0" w:color="auto"/>
          <w:lang w:val="es-ES"/>
        </w:rPr>
        <w:t xml:space="preserve"> </w:t>
      </w:r>
      <w:r w:rsidR="006E3649" w:rsidRPr="002A35D9">
        <w:rPr>
          <w:rFonts w:asciiTheme="majorHAnsi" w:hAnsiTheme="majorHAnsi"/>
          <w:sz w:val="20"/>
          <w:szCs w:val="20"/>
          <w:bdr w:val="none" w:sz="0" w:space="0" w:color="auto"/>
          <w:lang w:val="es-ES"/>
        </w:rPr>
        <w:t>cuatrocienta</w:t>
      </w:r>
      <w:r w:rsidR="00D41B6A" w:rsidRPr="002A35D9">
        <w:rPr>
          <w:rFonts w:asciiTheme="majorHAnsi" w:hAnsiTheme="majorHAnsi"/>
          <w:sz w:val="20"/>
          <w:szCs w:val="20"/>
          <w:bdr w:val="none" w:sz="0" w:space="0" w:color="auto"/>
          <w:lang w:val="es-ES"/>
        </w:rPr>
        <w:t xml:space="preserve">s </w:t>
      </w:r>
      <w:r w:rsidR="006E3649" w:rsidRPr="002A35D9">
        <w:rPr>
          <w:rFonts w:asciiTheme="majorHAnsi" w:hAnsiTheme="majorHAnsi"/>
          <w:sz w:val="20"/>
          <w:szCs w:val="20"/>
          <w:bdr w:val="none" w:sz="0" w:space="0" w:color="auto"/>
          <w:lang w:val="es-ES"/>
        </w:rPr>
        <w:t>personas</w:t>
      </w:r>
      <w:r w:rsidR="00D41B6A" w:rsidRPr="002A35D9">
        <w:rPr>
          <w:rFonts w:asciiTheme="majorHAnsi" w:hAnsiTheme="majorHAnsi"/>
          <w:sz w:val="20"/>
          <w:szCs w:val="20"/>
          <w:bdr w:val="none" w:sz="0" w:space="0" w:color="auto"/>
          <w:lang w:val="es-ES"/>
        </w:rPr>
        <w:t xml:space="preserve"> de la comunidad </w:t>
      </w:r>
      <w:r w:rsidR="001C7F2A" w:rsidRPr="002A35D9">
        <w:rPr>
          <w:rFonts w:asciiTheme="majorHAnsi" w:hAnsiTheme="majorHAnsi"/>
          <w:sz w:val="20"/>
          <w:szCs w:val="20"/>
          <w:bdr w:val="none" w:sz="0" w:space="0" w:color="auto"/>
          <w:lang w:val="es-ES"/>
        </w:rPr>
        <w:t>Puñachisag</w:t>
      </w:r>
      <w:r w:rsidR="00103925" w:rsidRPr="002A35D9">
        <w:rPr>
          <w:rFonts w:asciiTheme="majorHAnsi" w:hAnsiTheme="majorHAnsi"/>
          <w:sz w:val="20"/>
          <w:szCs w:val="20"/>
          <w:bdr w:val="none" w:sz="0" w:space="0" w:color="auto"/>
          <w:lang w:val="es-ES"/>
        </w:rPr>
        <w:t xml:space="preserve">, </w:t>
      </w:r>
      <w:r w:rsidR="00AD5F3A" w:rsidRPr="002A35D9">
        <w:rPr>
          <w:rFonts w:asciiTheme="majorHAnsi" w:hAnsiTheme="majorHAnsi"/>
          <w:sz w:val="20"/>
          <w:szCs w:val="20"/>
          <w:bdr w:val="none" w:sz="0" w:space="0" w:color="auto"/>
          <w:lang w:val="es-ES"/>
        </w:rPr>
        <w:t>quienes i</w:t>
      </w:r>
      <w:r w:rsidR="00A75C60" w:rsidRPr="002A35D9">
        <w:rPr>
          <w:rFonts w:asciiTheme="majorHAnsi" w:hAnsiTheme="majorHAnsi"/>
          <w:sz w:val="20"/>
          <w:szCs w:val="20"/>
          <w:bdr w:val="none" w:sz="0" w:space="0" w:color="auto"/>
          <w:lang w:val="es-ES"/>
        </w:rPr>
        <w:t xml:space="preserve">ngresaron por la fuerza, </w:t>
      </w:r>
      <w:r w:rsidR="00AD5F3A" w:rsidRPr="002A35D9">
        <w:rPr>
          <w:rFonts w:asciiTheme="majorHAnsi" w:hAnsiTheme="majorHAnsi"/>
          <w:sz w:val="20"/>
          <w:szCs w:val="20"/>
          <w:bdr w:val="none" w:sz="0" w:space="0" w:color="auto"/>
          <w:lang w:val="es-ES"/>
        </w:rPr>
        <w:t xml:space="preserve">liberaron a </w:t>
      </w:r>
      <w:r w:rsidR="006E3649" w:rsidRPr="002A35D9">
        <w:rPr>
          <w:rFonts w:asciiTheme="majorHAnsi" w:hAnsiTheme="majorHAnsi"/>
          <w:sz w:val="20"/>
          <w:szCs w:val="20"/>
          <w:bdr w:val="none" w:sz="0" w:space="0" w:color="auto"/>
          <w:lang w:val="es-ES"/>
        </w:rPr>
        <w:t xml:space="preserve">Octavio </w:t>
      </w:r>
      <w:r w:rsidR="00C94861" w:rsidRPr="002A35D9">
        <w:rPr>
          <w:rFonts w:asciiTheme="majorHAnsi" w:hAnsiTheme="majorHAnsi"/>
          <w:sz w:val="20"/>
          <w:szCs w:val="20"/>
          <w:bdr w:val="none" w:sz="0" w:space="0" w:color="auto"/>
          <w:lang w:val="es-ES"/>
        </w:rPr>
        <w:t>Morales y Orlando Freire y tomaron</w:t>
      </w:r>
      <w:r w:rsidR="006E3649" w:rsidRPr="002A35D9">
        <w:rPr>
          <w:rFonts w:asciiTheme="majorHAnsi" w:hAnsiTheme="majorHAnsi"/>
          <w:sz w:val="20"/>
          <w:szCs w:val="20"/>
          <w:bdr w:val="none" w:sz="0" w:space="0" w:color="auto"/>
          <w:lang w:val="es-ES"/>
        </w:rPr>
        <w:t xml:space="preserve"> como rehenes a Fredy Núñez, Gregoria Naranjo y Marcia Núñez, madre y hermana del primero</w:t>
      </w:r>
      <w:r w:rsidR="00A9472E" w:rsidRPr="00D64D9D">
        <w:rPr>
          <w:rStyle w:val="FootnoteReference"/>
          <w:rFonts w:asciiTheme="majorHAnsi" w:hAnsiTheme="majorHAnsi"/>
          <w:sz w:val="20"/>
          <w:szCs w:val="20"/>
          <w:bdr w:val="none" w:sz="0" w:space="0" w:color="auto"/>
          <w:lang w:val="es-ES"/>
        </w:rPr>
        <w:footnoteReference w:id="15"/>
      </w:r>
      <w:r w:rsidR="00676500" w:rsidRPr="002A35D9">
        <w:rPr>
          <w:rFonts w:asciiTheme="majorHAnsi" w:hAnsiTheme="majorHAnsi"/>
          <w:sz w:val="20"/>
          <w:szCs w:val="20"/>
          <w:bdr w:val="none" w:sz="0" w:space="0" w:color="auto"/>
          <w:lang w:val="es-ES"/>
        </w:rPr>
        <w:t>.</w:t>
      </w:r>
      <w:r w:rsidR="00B431B3" w:rsidRPr="002A35D9">
        <w:rPr>
          <w:rFonts w:asciiTheme="majorHAnsi" w:hAnsiTheme="majorHAnsi"/>
          <w:sz w:val="20"/>
          <w:szCs w:val="20"/>
          <w:bdr w:val="none" w:sz="0" w:space="0" w:color="auto"/>
          <w:lang w:val="es-ES"/>
        </w:rPr>
        <w:t xml:space="preserve"> Según información del parte policial de 16 de agosto de 2001, el secuestro de la presunta víctima fue liderado por </w:t>
      </w:r>
      <w:r w:rsidR="000346C4" w:rsidRPr="002A35D9">
        <w:rPr>
          <w:rFonts w:asciiTheme="majorHAnsi" w:hAnsiTheme="majorHAnsi"/>
          <w:sz w:val="20"/>
          <w:szCs w:val="20"/>
          <w:bdr w:val="none" w:sz="0" w:space="0" w:color="auto"/>
          <w:lang w:val="es-ES"/>
        </w:rPr>
        <w:t>Ángel</w:t>
      </w:r>
      <w:r w:rsidR="000571B3" w:rsidRPr="002A35D9">
        <w:rPr>
          <w:rFonts w:asciiTheme="majorHAnsi" w:hAnsiTheme="majorHAnsi"/>
          <w:sz w:val="20"/>
          <w:szCs w:val="20"/>
          <w:bdr w:val="none" w:sz="0" w:space="0" w:color="auto"/>
          <w:lang w:val="es-ES"/>
        </w:rPr>
        <w:t xml:space="preserve"> Raúl Bayas Villacres </w:t>
      </w:r>
      <w:r w:rsidR="00CE51E7" w:rsidRPr="002A35D9">
        <w:rPr>
          <w:rFonts w:asciiTheme="majorHAnsi" w:hAnsiTheme="majorHAnsi"/>
          <w:sz w:val="20"/>
          <w:szCs w:val="20"/>
          <w:bdr w:val="none" w:sz="0" w:space="0" w:color="auto"/>
          <w:lang w:val="es-ES"/>
        </w:rPr>
        <w:t>quien se desempeñ</w:t>
      </w:r>
      <w:r w:rsidR="000571B3" w:rsidRPr="002A35D9">
        <w:rPr>
          <w:rFonts w:asciiTheme="majorHAnsi" w:hAnsiTheme="majorHAnsi"/>
          <w:sz w:val="20"/>
          <w:szCs w:val="20"/>
          <w:bdr w:val="none" w:sz="0" w:space="0" w:color="auto"/>
          <w:lang w:val="es-ES"/>
        </w:rPr>
        <w:t>a</w:t>
      </w:r>
      <w:r w:rsidR="00B431B3" w:rsidRPr="002A35D9">
        <w:rPr>
          <w:rFonts w:asciiTheme="majorHAnsi" w:hAnsiTheme="majorHAnsi"/>
          <w:sz w:val="20"/>
          <w:szCs w:val="20"/>
          <w:bdr w:val="none" w:sz="0" w:space="0" w:color="auto"/>
          <w:lang w:val="es-ES"/>
        </w:rPr>
        <w:t xml:space="preserve">ba como presidente de la </w:t>
      </w:r>
      <w:r w:rsidR="00B431B3" w:rsidRPr="002A35D9">
        <w:rPr>
          <w:rFonts w:asciiTheme="majorHAnsi" w:hAnsiTheme="majorHAnsi"/>
          <w:sz w:val="20"/>
          <w:szCs w:val="20"/>
          <w:bdr w:val="none" w:sz="0" w:space="0" w:color="auto"/>
          <w:lang w:val="es-ES"/>
        </w:rPr>
        <w:lastRenderedPageBreak/>
        <w:t>C</w:t>
      </w:r>
      <w:r w:rsidR="000571B3" w:rsidRPr="002A35D9">
        <w:rPr>
          <w:rFonts w:asciiTheme="majorHAnsi" w:hAnsiTheme="majorHAnsi"/>
          <w:sz w:val="20"/>
          <w:szCs w:val="20"/>
          <w:bdr w:val="none" w:sz="0" w:space="0" w:color="auto"/>
          <w:lang w:val="es-ES"/>
        </w:rPr>
        <w:t>entral de Juntas del Campesinado del Can</w:t>
      </w:r>
      <w:r w:rsidR="00C8530D" w:rsidRPr="002A35D9">
        <w:rPr>
          <w:rFonts w:asciiTheme="majorHAnsi" w:hAnsiTheme="majorHAnsi"/>
          <w:sz w:val="20"/>
          <w:szCs w:val="20"/>
          <w:bdr w:val="none" w:sz="0" w:space="0" w:color="auto"/>
          <w:lang w:val="es-ES"/>
        </w:rPr>
        <w:t xml:space="preserve">tón Quero, así como </w:t>
      </w:r>
      <w:r w:rsidR="00B431B3" w:rsidRPr="002A35D9">
        <w:rPr>
          <w:rFonts w:asciiTheme="majorHAnsi" w:hAnsiTheme="majorHAnsi"/>
          <w:sz w:val="20"/>
          <w:szCs w:val="20"/>
          <w:bdr w:val="none" w:sz="0" w:space="0" w:color="auto"/>
          <w:lang w:val="es-ES"/>
        </w:rPr>
        <w:t>otras personas</w:t>
      </w:r>
      <w:r w:rsidR="001467FC" w:rsidRPr="00D64D9D">
        <w:rPr>
          <w:rStyle w:val="FootnoteReference"/>
          <w:rFonts w:asciiTheme="majorHAnsi" w:hAnsiTheme="majorHAnsi"/>
          <w:sz w:val="20"/>
          <w:szCs w:val="20"/>
          <w:bdr w:val="none" w:sz="0" w:space="0" w:color="auto"/>
          <w:lang w:val="es-ES"/>
        </w:rPr>
        <w:footnoteReference w:id="16"/>
      </w:r>
      <w:r w:rsidR="001467FC" w:rsidRPr="002A35D9">
        <w:rPr>
          <w:rFonts w:asciiTheme="majorHAnsi" w:hAnsiTheme="majorHAnsi"/>
          <w:sz w:val="20"/>
          <w:szCs w:val="20"/>
          <w:bdr w:val="none" w:sz="0" w:space="0" w:color="auto"/>
          <w:lang w:val="es-ES"/>
        </w:rPr>
        <w:t>.</w:t>
      </w:r>
      <w:r w:rsidR="006B29E8" w:rsidRPr="002A35D9">
        <w:rPr>
          <w:rFonts w:asciiTheme="majorHAnsi" w:hAnsiTheme="majorHAnsi"/>
          <w:sz w:val="20"/>
          <w:szCs w:val="20"/>
          <w:bdr w:val="none" w:sz="0" w:space="0" w:color="auto"/>
          <w:lang w:val="es-ES"/>
        </w:rPr>
        <w:t xml:space="preserve"> El informe policial no da cuenta de </w:t>
      </w:r>
      <w:r w:rsidR="00A67896" w:rsidRPr="002A35D9">
        <w:rPr>
          <w:rFonts w:asciiTheme="majorHAnsi" w:hAnsiTheme="majorHAnsi"/>
          <w:sz w:val="20"/>
          <w:szCs w:val="20"/>
          <w:bdr w:val="none" w:sz="0" w:space="0" w:color="auto"/>
          <w:lang w:val="es-ES"/>
        </w:rPr>
        <w:t xml:space="preserve">las medidas adoptadas por el personal de custodia del destacamento para enfrentar el supuesto ingreso por la fuerza de las referidas personas ni para evitar que se llevaran secuestradas a detenidos bajo su custodia, entre otras personas. </w:t>
      </w:r>
    </w:p>
    <w:p w14:paraId="5BF7C181" w14:textId="77777777" w:rsidR="002A35D9" w:rsidRDefault="002A35D9" w:rsidP="002A35D9">
      <w:pPr>
        <w:pStyle w:val="ListParagraph"/>
        <w:rPr>
          <w:rFonts w:asciiTheme="majorHAnsi" w:hAnsiTheme="majorHAnsi"/>
          <w:sz w:val="20"/>
          <w:szCs w:val="20"/>
          <w:bdr w:val="none" w:sz="0" w:space="0" w:color="auto"/>
          <w:lang w:val="es-ES"/>
        </w:rPr>
      </w:pPr>
    </w:p>
    <w:p w14:paraId="4AC74C3A" w14:textId="77777777" w:rsidR="002A35D9" w:rsidRDefault="00002235"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lang w:val="es-ES"/>
        </w:rPr>
      </w:pPr>
      <w:r w:rsidRPr="002A35D9">
        <w:rPr>
          <w:rFonts w:asciiTheme="majorHAnsi" w:hAnsiTheme="majorHAnsi"/>
          <w:sz w:val="20"/>
          <w:szCs w:val="20"/>
          <w:bdr w:val="none" w:sz="0" w:space="0" w:color="auto"/>
          <w:lang w:val="es-ES"/>
        </w:rPr>
        <w:t>Según un informe policial, l</w:t>
      </w:r>
      <w:r w:rsidR="00FF0967" w:rsidRPr="002A35D9">
        <w:rPr>
          <w:rFonts w:asciiTheme="majorHAnsi" w:hAnsiTheme="majorHAnsi"/>
          <w:sz w:val="20"/>
          <w:szCs w:val="20"/>
          <w:bdr w:val="none" w:sz="0" w:space="0" w:color="auto"/>
          <w:lang w:val="es-ES"/>
        </w:rPr>
        <w:t>uego de ser capturados como rehenes,</w:t>
      </w:r>
      <w:r w:rsidR="00E3057C" w:rsidRPr="002A35D9">
        <w:rPr>
          <w:rFonts w:asciiTheme="majorHAnsi" w:hAnsiTheme="majorHAnsi"/>
          <w:sz w:val="20"/>
          <w:szCs w:val="20"/>
          <w:bdr w:val="none" w:sz="0" w:space="0" w:color="auto"/>
          <w:lang w:val="es-ES"/>
        </w:rPr>
        <w:t xml:space="preserve"> </w:t>
      </w:r>
      <w:r w:rsidR="000C3F40" w:rsidRPr="002A35D9">
        <w:rPr>
          <w:rFonts w:asciiTheme="majorHAnsi" w:hAnsiTheme="majorHAnsi"/>
          <w:sz w:val="20"/>
          <w:szCs w:val="20"/>
          <w:bdr w:val="none" w:sz="0" w:space="0" w:color="auto"/>
          <w:lang w:val="es-ES"/>
        </w:rPr>
        <w:t>Fredy Núñez, Gregoria Naranjo y Marcia Núñez</w:t>
      </w:r>
      <w:r w:rsidR="00C94861" w:rsidRPr="002A35D9">
        <w:rPr>
          <w:rFonts w:asciiTheme="majorHAnsi" w:hAnsiTheme="majorHAnsi"/>
          <w:sz w:val="20"/>
          <w:szCs w:val="20"/>
          <w:bdr w:val="none" w:sz="0" w:space="0" w:color="auto"/>
          <w:lang w:val="es-ES"/>
        </w:rPr>
        <w:t xml:space="preserve"> </w:t>
      </w:r>
      <w:r w:rsidR="00A9472E" w:rsidRPr="002A35D9">
        <w:rPr>
          <w:rFonts w:asciiTheme="majorHAnsi" w:hAnsiTheme="majorHAnsi"/>
          <w:sz w:val="20"/>
          <w:szCs w:val="20"/>
          <w:bdr w:val="none" w:sz="0" w:space="0" w:color="auto"/>
          <w:lang w:val="es-ES"/>
        </w:rPr>
        <w:t>fueron trasladados a la c</w:t>
      </w:r>
      <w:r w:rsidR="00794E1A" w:rsidRPr="002A35D9">
        <w:rPr>
          <w:rFonts w:asciiTheme="majorHAnsi" w:hAnsiTheme="majorHAnsi"/>
          <w:sz w:val="20"/>
          <w:szCs w:val="20"/>
          <w:bdr w:val="none" w:sz="0" w:space="0" w:color="auto"/>
          <w:lang w:val="es-ES"/>
        </w:rPr>
        <w:t xml:space="preserve">omunidad </w:t>
      </w:r>
      <w:r w:rsidR="001C7F2A" w:rsidRPr="002A35D9">
        <w:rPr>
          <w:rFonts w:asciiTheme="majorHAnsi" w:hAnsiTheme="majorHAnsi"/>
          <w:sz w:val="20"/>
          <w:szCs w:val="20"/>
          <w:bdr w:val="none" w:sz="0" w:space="0" w:color="auto"/>
          <w:lang w:val="es-ES"/>
        </w:rPr>
        <w:t>Puñachisag</w:t>
      </w:r>
      <w:r w:rsidR="000D3DF3" w:rsidRPr="002A35D9">
        <w:rPr>
          <w:rFonts w:asciiTheme="majorHAnsi" w:hAnsiTheme="majorHAnsi"/>
          <w:sz w:val="20"/>
          <w:szCs w:val="20"/>
          <w:bdr w:val="none" w:sz="0" w:space="0" w:color="auto"/>
          <w:lang w:val="es-ES"/>
        </w:rPr>
        <w:t xml:space="preserve">, </w:t>
      </w:r>
      <w:r w:rsidR="00705544" w:rsidRPr="002A35D9">
        <w:rPr>
          <w:rFonts w:asciiTheme="majorHAnsi" w:hAnsiTheme="majorHAnsi"/>
          <w:sz w:val="20"/>
          <w:szCs w:val="20"/>
          <w:bdr w:val="none" w:sz="0" w:space="0" w:color="auto"/>
          <w:lang w:val="es-ES"/>
        </w:rPr>
        <w:t xml:space="preserve">en donde </w:t>
      </w:r>
      <w:r w:rsidRPr="002A35D9">
        <w:rPr>
          <w:rFonts w:asciiTheme="majorHAnsi" w:hAnsiTheme="majorHAnsi"/>
          <w:sz w:val="20"/>
          <w:szCs w:val="20"/>
          <w:bdr w:val="none" w:sz="0" w:space="0" w:color="auto"/>
          <w:lang w:val="es-ES"/>
        </w:rPr>
        <w:t>fueron “flagelados”</w:t>
      </w:r>
      <w:r w:rsidR="0024615A" w:rsidRPr="00D64D9D">
        <w:rPr>
          <w:rStyle w:val="FootnoteReference"/>
          <w:rFonts w:asciiTheme="majorHAnsi" w:hAnsiTheme="majorHAnsi"/>
          <w:sz w:val="20"/>
          <w:szCs w:val="20"/>
          <w:bdr w:val="none" w:sz="0" w:space="0" w:color="auto"/>
          <w:lang w:val="es-ES"/>
        </w:rPr>
        <w:footnoteReference w:id="17"/>
      </w:r>
      <w:r w:rsidR="0024615A" w:rsidRPr="002A35D9">
        <w:rPr>
          <w:rFonts w:asciiTheme="majorHAnsi" w:hAnsiTheme="majorHAnsi"/>
          <w:sz w:val="20"/>
          <w:szCs w:val="20"/>
          <w:bdr w:val="none" w:sz="0" w:space="0" w:color="auto"/>
          <w:lang w:val="es-ES"/>
        </w:rPr>
        <w:t>.</w:t>
      </w:r>
      <w:r w:rsidR="003F1444" w:rsidRPr="002A35D9">
        <w:rPr>
          <w:rFonts w:asciiTheme="majorHAnsi" w:hAnsiTheme="majorHAnsi"/>
          <w:sz w:val="20"/>
          <w:szCs w:val="20"/>
          <w:bdr w:val="none" w:sz="0" w:space="0" w:color="auto"/>
          <w:lang w:val="es-ES"/>
        </w:rPr>
        <w:t xml:space="preserve"> </w:t>
      </w:r>
      <w:r w:rsidR="00FF0967" w:rsidRPr="002A35D9">
        <w:rPr>
          <w:rFonts w:asciiTheme="majorHAnsi" w:hAnsiTheme="majorHAnsi"/>
          <w:sz w:val="20"/>
          <w:szCs w:val="20"/>
          <w:bdr w:val="none" w:sz="0" w:space="0" w:color="auto"/>
          <w:lang w:val="es-ES"/>
        </w:rPr>
        <w:t xml:space="preserve">Según declaró </w:t>
      </w:r>
      <w:r w:rsidR="00672ABE" w:rsidRPr="002A35D9">
        <w:rPr>
          <w:rFonts w:asciiTheme="majorHAnsi" w:hAnsiTheme="majorHAnsi"/>
          <w:sz w:val="20"/>
          <w:szCs w:val="20"/>
          <w:bdr w:val="none" w:sz="0" w:space="0" w:color="auto"/>
          <w:lang w:val="es-ES"/>
        </w:rPr>
        <w:t>Sixto Núñez</w:t>
      </w:r>
      <w:r w:rsidR="006142A1" w:rsidRPr="002A35D9">
        <w:rPr>
          <w:rFonts w:asciiTheme="majorHAnsi" w:hAnsiTheme="majorHAnsi"/>
          <w:sz w:val="20"/>
          <w:szCs w:val="20"/>
          <w:bdr w:val="none" w:sz="0" w:space="0" w:color="auto"/>
          <w:lang w:val="es-ES"/>
        </w:rPr>
        <w:t xml:space="preserve">, </w:t>
      </w:r>
      <w:r w:rsidR="00206211" w:rsidRPr="002A35D9">
        <w:rPr>
          <w:rFonts w:asciiTheme="majorHAnsi" w:hAnsiTheme="majorHAnsi"/>
          <w:sz w:val="20"/>
          <w:szCs w:val="20"/>
          <w:bdr w:val="none" w:sz="0" w:space="0" w:color="auto"/>
          <w:lang w:val="es-ES"/>
        </w:rPr>
        <w:t>padre</w:t>
      </w:r>
      <w:r w:rsidR="006142A1" w:rsidRPr="002A35D9">
        <w:rPr>
          <w:rFonts w:asciiTheme="majorHAnsi" w:hAnsiTheme="majorHAnsi"/>
          <w:sz w:val="20"/>
          <w:szCs w:val="20"/>
          <w:bdr w:val="none" w:sz="0" w:space="0" w:color="auto"/>
          <w:lang w:val="es-ES"/>
        </w:rPr>
        <w:t xml:space="preserve"> de</w:t>
      </w:r>
      <w:r w:rsidR="002A2F18" w:rsidRPr="002A35D9">
        <w:rPr>
          <w:rFonts w:asciiTheme="majorHAnsi" w:hAnsiTheme="majorHAnsi"/>
          <w:sz w:val="20"/>
          <w:szCs w:val="20"/>
          <w:bdr w:val="none" w:sz="0" w:space="0" w:color="auto"/>
          <w:lang w:val="es-ES"/>
        </w:rPr>
        <w:t xml:space="preserve"> Fredy Núñez, éste, su madre y su hermana </w:t>
      </w:r>
      <w:r w:rsidR="00AC7EF4" w:rsidRPr="002A35D9">
        <w:rPr>
          <w:rFonts w:asciiTheme="majorHAnsi" w:hAnsiTheme="majorHAnsi"/>
          <w:sz w:val="20"/>
          <w:szCs w:val="20"/>
          <w:bdr w:val="none" w:sz="0" w:space="0" w:color="auto"/>
          <w:lang w:val="es-ES"/>
        </w:rPr>
        <w:t>Marcia fueron amarradas con alambres y azotadas y pinchadas con unas varillas con puntas</w:t>
      </w:r>
      <w:r w:rsidR="006D4B47" w:rsidRPr="00D64D9D">
        <w:rPr>
          <w:rStyle w:val="FootnoteReference"/>
          <w:rFonts w:asciiTheme="majorHAnsi" w:hAnsiTheme="majorHAnsi"/>
          <w:sz w:val="20"/>
          <w:szCs w:val="20"/>
          <w:bdr w:val="none" w:sz="0" w:space="0" w:color="auto"/>
          <w:lang w:val="es-ES"/>
        </w:rPr>
        <w:footnoteReference w:id="18"/>
      </w:r>
      <w:r w:rsidR="006D4B47" w:rsidRPr="002A35D9">
        <w:rPr>
          <w:rFonts w:asciiTheme="majorHAnsi" w:hAnsiTheme="majorHAnsi"/>
          <w:sz w:val="20"/>
          <w:szCs w:val="20"/>
          <w:bdr w:val="none" w:sz="0" w:space="0" w:color="auto"/>
          <w:lang w:val="es-ES"/>
        </w:rPr>
        <w:t xml:space="preserve">. </w:t>
      </w:r>
      <w:r w:rsidR="000B3BBC" w:rsidRPr="002A35D9">
        <w:rPr>
          <w:rFonts w:asciiTheme="majorHAnsi" w:hAnsiTheme="majorHAnsi"/>
          <w:sz w:val="20"/>
          <w:szCs w:val="20"/>
          <w:bdr w:val="none" w:sz="0" w:space="0" w:color="auto"/>
          <w:lang w:val="es-ES"/>
        </w:rPr>
        <w:t>Al respecto</w:t>
      </w:r>
      <w:r w:rsidR="00B0379E" w:rsidRPr="002A35D9">
        <w:rPr>
          <w:rFonts w:asciiTheme="majorHAnsi" w:hAnsiTheme="majorHAnsi"/>
          <w:sz w:val="20"/>
          <w:szCs w:val="20"/>
          <w:bdr w:val="none" w:sz="0" w:space="0" w:color="auto"/>
          <w:lang w:val="es-ES"/>
        </w:rPr>
        <w:t>,</w:t>
      </w:r>
      <w:r w:rsidR="000B3BBC" w:rsidRPr="002A35D9">
        <w:rPr>
          <w:rFonts w:asciiTheme="majorHAnsi" w:hAnsiTheme="majorHAnsi"/>
          <w:sz w:val="20"/>
          <w:szCs w:val="20"/>
          <w:bdr w:val="none" w:sz="0" w:space="0" w:color="auto"/>
          <w:lang w:val="es-ES"/>
        </w:rPr>
        <w:t xml:space="preserve"> un policía indic</w:t>
      </w:r>
      <w:r w:rsidR="000B3BBC" w:rsidRPr="002A35D9">
        <w:rPr>
          <w:rFonts w:asciiTheme="majorHAnsi" w:hAnsiTheme="majorHAnsi"/>
          <w:sz w:val="20"/>
          <w:szCs w:val="20"/>
          <w:bdr w:val="none" w:sz="0" w:space="0" w:color="auto"/>
          <w:lang w:val="es-VE"/>
        </w:rPr>
        <w:t>ó que las dos mujeres “fueron liberadas luego de haber sido castigadas”</w:t>
      </w:r>
      <w:r w:rsidR="000B3BBC">
        <w:rPr>
          <w:rStyle w:val="FootnoteReference"/>
          <w:rFonts w:asciiTheme="majorHAnsi" w:hAnsiTheme="majorHAnsi"/>
          <w:sz w:val="20"/>
          <w:szCs w:val="20"/>
          <w:bdr w:val="none" w:sz="0" w:space="0" w:color="auto"/>
          <w:lang w:val="es-VE"/>
        </w:rPr>
        <w:footnoteReference w:id="19"/>
      </w:r>
      <w:r w:rsidR="000B3BBC" w:rsidRPr="002A35D9">
        <w:rPr>
          <w:rFonts w:asciiTheme="majorHAnsi" w:hAnsiTheme="majorHAnsi"/>
          <w:sz w:val="20"/>
          <w:szCs w:val="20"/>
          <w:bdr w:val="none" w:sz="0" w:space="0" w:color="auto"/>
          <w:lang w:val="es-VE"/>
        </w:rPr>
        <w:t>.</w:t>
      </w:r>
      <w:r w:rsidR="000B3BBC" w:rsidRPr="002A35D9">
        <w:rPr>
          <w:rFonts w:asciiTheme="majorHAnsi" w:hAnsiTheme="majorHAnsi"/>
          <w:sz w:val="20"/>
          <w:szCs w:val="20"/>
          <w:bdr w:val="none" w:sz="0" w:space="0" w:color="auto"/>
          <w:lang w:val="es-ES"/>
        </w:rPr>
        <w:t xml:space="preserve"> </w:t>
      </w:r>
    </w:p>
    <w:p w14:paraId="5AC42928" w14:textId="77777777" w:rsidR="002A35D9" w:rsidRDefault="002A35D9" w:rsidP="002A35D9">
      <w:pPr>
        <w:pStyle w:val="ListParagraph"/>
        <w:rPr>
          <w:rFonts w:asciiTheme="majorHAnsi" w:hAnsiTheme="majorHAnsi"/>
          <w:sz w:val="20"/>
          <w:szCs w:val="20"/>
          <w:bdr w:val="none" w:sz="0" w:space="0" w:color="auto"/>
          <w:lang w:val="es-ES"/>
        </w:rPr>
      </w:pPr>
    </w:p>
    <w:p w14:paraId="326BC670" w14:textId="77777777" w:rsidR="002A35D9" w:rsidRDefault="00B0379E"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lang w:val="es-ES"/>
        </w:rPr>
      </w:pPr>
      <w:r w:rsidRPr="002A35D9">
        <w:rPr>
          <w:rFonts w:asciiTheme="majorHAnsi" w:hAnsiTheme="majorHAnsi"/>
          <w:sz w:val="20"/>
          <w:szCs w:val="20"/>
          <w:bdr w:val="none" w:sz="0" w:space="0" w:color="auto"/>
          <w:lang w:val="es-ES"/>
        </w:rPr>
        <w:t xml:space="preserve">Con posterioridad, las tres personas fueron conducidas a la comunidad Shausi. </w:t>
      </w:r>
      <w:r w:rsidR="00BC0F0C" w:rsidRPr="002A35D9">
        <w:rPr>
          <w:rFonts w:asciiTheme="majorHAnsi" w:hAnsiTheme="majorHAnsi"/>
          <w:sz w:val="20"/>
          <w:szCs w:val="20"/>
          <w:lang w:val="es-VE"/>
        </w:rPr>
        <w:t>Conforme al expediente</w:t>
      </w:r>
      <w:r w:rsidR="005265E4" w:rsidRPr="002A35D9">
        <w:rPr>
          <w:rFonts w:asciiTheme="majorHAnsi" w:hAnsiTheme="majorHAnsi"/>
          <w:sz w:val="20"/>
          <w:szCs w:val="20"/>
          <w:lang w:val="es-VE"/>
        </w:rPr>
        <w:t xml:space="preserve">, Gregoria Naranjo y </w:t>
      </w:r>
      <w:r w:rsidR="005265E4" w:rsidRPr="002A35D9">
        <w:rPr>
          <w:rFonts w:asciiTheme="majorHAnsi" w:hAnsiTheme="majorHAnsi"/>
          <w:sz w:val="20"/>
          <w:szCs w:val="20"/>
          <w:bdr w:val="none" w:sz="0" w:space="0" w:color="auto"/>
          <w:lang w:val="es-ES"/>
        </w:rPr>
        <w:t xml:space="preserve">Marcia Núñez fueron liberadas en </w:t>
      </w:r>
      <w:r w:rsidRPr="002A35D9">
        <w:rPr>
          <w:rFonts w:asciiTheme="majorHAnsi" w:hAnsiTheme="majorHAnsi"/>
          <w:sz w:val="20"/>
          <w:szCs w:val="20"/>
          <w:bdr w:val="none" w:sz="0" w:space="0" w:color="auto"/>
          <w:lang w:val="es-ES"/>
        </w:rPr>
        <w:t>dicha comunidad</w:t>
      </w:r>
      <w:r w:rsidR="005265E4" w:rsidRPr="00643B45">
        <w:rPr>
          <w:rStyle w:val="FootnoteReference"/>
          <w:rFonts w:asciiTheme="majorHAnsi" w:hAnsiTheme="majorHAnsi"/>
          <w:sz w:val="20"/>
          <w:szCs w:val="20"/>
          <w:bdr w:val="none" w:sz="0" w:space="0" w:color="auto"/>
          <w:lang w:val="es-ES"/>
        </w:rPr>
        <w:footnoteReference w:id="20"/>
      </w:r>
      <w:r w:rsidR="005265E4" w:rsidRPr="002A35D9">
        <w:rPr>
          <w:rFonts w:asciiTheme="majorHAnsi" w:hAnsiTheme="majorHAnsi"/>
          <w:sz w:val="20"/>
          <w:szCs w:val="20"/>
          <w:bdr w:val="none" w:sz="0" w:space="0" w:color="auto"/>
          <w:lang w:val="es-ES"/>
        </w:rPr>
        <w:t>.</w:t>
      </w:r>
      <w:r w:rsidR="00E3057C" w:rsidRPr="002A35D9">
        <w:rPr>
          <w:rFonts w:asciiTheme="majorHAnsi" w:hAnsiTheme="majorHAnsi"/>
          <w:sz w:val="20"/>
          <w:szCs w:val="20"/>
          <w:bdr w:val="none" w:sz="0" w:space="0" w:color="auto"/>
          <w:lang w:val="es-ES"/>
        </w:rPr>
        <w:t xml:space="preserve"> </w:t>
      </w:r>
      <w:r w:rsidR="00036A3E" w:rsidRPr="002A35D9">
        <w:rPr>
          <w:rFonts w:asciiTheme="majorHAnsi" w:hAnsiTheme="majorHAnsi"/>
          <w:sz w:val="20"/>
          <w:szCs w:val="20"/>
          <w:bdr w:val="none" w:sz="0" w:space="0" w:color="auto"/>
          <w:lang w:val="es-ES"/>
        </w:rPr>
        <w:t>Según indicaron las Juntas del Campesinado en un comunicado:</w:t>
      </w:r>
    </w:p>
    <w:p w14:paraId="6BA88788" w14:textId="77777777" w:rsidR="002A35D9" w:rsidRDefault="002A35D9" w:rsidP="002A35D9">
      <w:pPr>
        <w:pStyle w:val="ListParagraph"/>
        <w:rPr>
          <w:rFonts w:asciiTheme="majorHAnsi" w:hAnsiTheme="majorHAnsi"/>
          <w:sz w:val="20"/>
          <w:szCs w:val="20"/>
          <w:bdr w:val="none" w:sz="0" w:space="0" w:color="auto"/>
          <w:lang w:val="es-ES"/>
        </w:rPr>
      </w:pPr>
    </w:p>
    <w:p w14:paraId="3B646C3C" w14:textId="77777777" w:rsidR="00036A3E" w:rsidRPr="002A35D9" w:rsidRDefault="00036A3E" w:rsidP="002A35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bdr w:val="none" w:sz="0" w:space="0" w:color="auto"/>
          <w:lang w:val="es-ES"/>
        </w:rPr>
      </w:pPr>
      <w:r w:rsidRPr="002A35D9">
        <w:rPr>
          <w:rFonts w:asciiTheme="majorHAnsi" w:hAnsiTheme="majorHAnsi"/>
          <w:sz w:val="20"/>
          <w:szCs w:val="20"/>
          <w:bdr w:val="none" w:sz="0" w:space="0" w:color="auto"/>
          <w:lang w:val="es-ES"/>
        </w:rPr>
        <w:t>(…) si bien es cierto que el campesinado cansados de soportar los abusos, robos y asesinatos que venía cometiendo Fredy Marcelo Núñez Naranjo conjuntamente con su banda de asaltantes de carreteras lo habían llevado al calabozo del campesinado, y es cuando Fredy Marcelo Núñez aprovechándose de la rusticidad del calabozo y como buen delincuente rompe las seguridades del calabozo y se da a la fuga. (…)</w:t>
      </w:r>
      <w:r w:rsidR="00752826" w:rsidRPr="00643B45">
        <w:rPr>
          <w:rStyle w:val="FootnoteReference"/>
          <w:rFonts w:asciiTheme="majorHAnsi" w:hAnsiTheme="majorHAnsi"/>
          <w:sz w:val="20"/>
          <w:szCs w:val="20"/>
          <w:bdr w:val="none" w:sz="0" w:space="0" w:color="auto"/>
          <w:lang w:val="es-ES"/>
        </w:rPr>
        <w:footnoteReference w:id="21"/>
      </w:r>
      <w:r w:rsidR="00752826" w:rsidRPr="002A35D9">
        <w:rPr>
          <w:rFonts w:asciiTheme="majorHAnsi" w:hAnsiTheme="majorHAnsi"/>
          <w:sz w:val="20"/>
          <w:szCs w:val="20"/>
          <w:bdr w:val="none" w:sz="0" w:space="0" w:color="auto"/>
          <w:lang w:val="es-ES"/>
        </w:rPr>
        <w:t>.</w:t>
      </w:r>
    </w:p>
    <w:p w14:paraId="16990F25" w14:textId="77777777" w:rsidR="00EA7466" w:rsidRDefault="00EA7466" w:rsidP="00EA7466">
      <w:pPr>
        <w:pStyle w:val="ListParagraph"/>
        <w:rPr>
          <w:rFonts w:asciiTheme="majorHAnsi" w:hAnsiTheme="majorHAnsi"/>
          <w:sz w:val="20"/>
          <w:szCs w:val="20"/>
          <w:bdr w:val="none" w:sz="0" w:space="0" w:color="auto"/>
          <w:lang w:val="es-ES"/>
        </w:rPr>
      </w:pPr>
    </w:p>
    <w:p w14:paraId="08E6ADA6" w14:textId="77777777" w:rsidR="001B2E71" w:rsidRDefault="005265E4"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bdr w:val="none" w:sz="0" w:space="0" w:color="auto"/>
          <w:lang w:val="es-ES"/>
        </w:rPr>
      </w:pPr>
      <w:r w:rsidRPr="00B0379E">
        <w:rPr>
          <w:rFonts w:asciiTheme="majorHAnsi" w:hAnsiTheme="majorHAnsi"/>
          <w:sz w:val="20"/>
          <w:szCs w:val="20"/>
          <w:bdr w:val="none" w:sz="0" w:space="0" w:color="auto"/>
          <w:lang w:val="es-ES"/>
        </w:rPr>
        <w:t xml:space="preserve">En cuanto la presunta víctima, según indicó su padre, luego de la liberación de las mujeres, </w:t>
      </w:r>
      <w:r w:rsidR="00643B45" w:rsidRPr="00B0379E">
        <w:rPr>
          <w:rFonts w:asciiTheme="majorHAnsi" w:hAnsiTheme="majorHAnsi"/>
          <w:sz w:val="20"/>
          <w:szCs w:val="20"/>
          <w:bdr w:val="none" w:sz="0" w:space="0" w:color="auto"/>
          <w:lang w:val="es-ES"/>
        </w:rPr>
        <w:t xml:space="preserve">uno de los miembros </w:t>
      </w:r>
      <w:r w:rsidRPr="00B0379E">
        <w:rPr>
          <w:rFonts w:asciiTheme="majorHAnsi" w:hAnsiTheme="majorHAnsi"/>
          <w:sz w:val="20"/>
          <w:szCs w:val="20"/>
          <w:bdr w:val="none" w:sz="0" w:space="0" w:color="auto"/>
          <w:lang w:val="es-ES"/>
        </w:rPr>
        <w:t xml:space="preserve">de la comunidad </w:t>
      </w:r>
      <w:r w:rsidR="001C7F2A">
        <w:rPr>
          <w:rFonts w:asciiTheme="majorHAnsi" w:hAnsiTheme="majorHAnsi"/>
          <w:sz w:val="20"/>
          <w:szCs w:val="20"/>
          <w:bdr w:val="none" w:sz="0" w:space="0" w:color="auto"/>
          <w:lang w:val="es-ES"/>
        </w:rPr>
        <w:t>Puñachisag</w:t>
      </w:r>
      <w:r w:rsidRPr="00B0379E">
        <w:rPr>
          <w:rFonts w:asciiTheme="majorHAnsi" w:hAnsiTheme="majorHAnsi"/>
          <w:sz w:val="20"/>
          <w:szCs w:val="20"/>
          <w:bdr w:val="none" w:sz="0" w:space="0" w:color="auto"/>
          <w:lang w:val="es-ES"/>
        </w:rPr>
        <w:t>,</w:t>
      </w:r>
      <w:r w:rsidR="00E3057C">
        <w:rPr>
          <w:rFonts w:asciiTheme="majorHAnsi" w:hAnsiTheme="majorHAnsi"/>
          <w:sz w:val="20"/>
          <w:szCs w:val="20"/>
          <w:bdr w:val="none" w:sz="0" w:space="0" w:color="auto"/>
          <w:lang w:val="es-ES"/>
        </w:rPr>
        <w:t xml:space="preserve"> </w:t>
      </w:r>
      <w:r w:rsidR="0053086B" w:rsidRPr="00B0379E">
        <w:rPr>
          <w:rFonts w:asciiTheme="majorHAnsi" w:hAnsiTheme="majorHAnsi"/>
          <w:sz w:val="20"/>
          <w:szCs w:val="20"/>
          <w:bdr w:val="none" w:sz="0" w:space="0" w:color="auto"/>
          <w:lang w:val="es-ES"/>
        </w:rPr>
        <w:t>ordenó a cinco</w:t>
      </w:r>
      <w:r w:rsidR="00CD5BE1" w:rsidRPr="00B0379E">
        <w:rPr>
          <w:rFonts w:asciiTheme="majorHAnsi" w:hAnsiTheme="majorHAnsi"/>
          <w:sz w:val="20"/>
          <w:szCs w:val="20"/>
          <w:bdr w:val="none" w:sz="0" w:space="0" w:color="auto"/>
          <w:lang w:val="es-ES"/>
        </w:rPr>
        <w:t xml:space="preserve"> hombres encapuchados que </w:t>
      </w:r>
      <w:r w:rsidR="0096649A">
        <w:rPr>
          <w:rFonts w:asciiTheme="majorHAnsi" w:hAnsiTheme="majorHAnsi"/>
          <w:sz w:val="20"/>
          <w:szCs w:val="20"/>
          <w:bdr w:val="none" w:sz="0" w:space="0" w:color="auto"/>
          <w:lang w:val="es-ES"/>
        </w:rPr>
        <w:t>agarren a Fre</w:t>
      </w:r>
      <w:r w:rsidR="00790FB9" w:rsidRPr="00B0379E">
        <w:rPr>
          <w:rFonts w:asciiTheme="majorHAnsi" w:hAnsiTheme="majorHAnsi"/>
          <w:sz w:val="20"/>
          <w:szCs w:val="20"/>
          <w:bdr w:val="none" w:sz="0" w:space="0" w:color="auto"/>
          <w:lang w:val="es-ES"/>
        </w:rPr>
        <w:t xml:space="preserve">dy y lo interroguen, </w:t>
      </w:r>
      <w:r w:rsidR="00DE016A" w:rsidRPr="00B0379E">
        <w:rPr>
          <w:rFonts w:asciiTheme="majorHAnsi" w:hAnsiTheme="majorHAnsi"/>
          <w:sz w:val="20"/>
          <w:szCs w:val="20"/>
          <w:bdr w:val="none" w:sz="0" w:space="0" w:color="auto"/>
          <w:lang w:val="es-ES"/>
        </w:rPr>
        <w:t>y cada contestación estaba seguida de golpes, por lo que constantemente gritaba “hasta que todo quedó en silencio</w:t>
      </w:r>
      <w:r w:rsidR="00643B45" w:rsidRPr="00B0379E">
        <w:rPr>
          <w:rFonts w:asciiTheme="majorHAnsi" w:hAnsiTheme="majorHAnsi"/>
          <w:sz w:val="20"/>
          <w:szCs w:val="20"/>
          <w:bdr w:val="none" w:sz="0" w:space="0" w:color="auto"/>
          <w:lang w:val="es-ES"/>
        </w:rPr>
        <w:t>”</w:t>
      </w:r>
      <w:r w:rsidR="00DE016A" w:rsidRPr="00B0379E">
        <w:rPr>
          <w:rFonts w:asciiTheme="majorHAnsi" w:hAnsiTheme="majorHAnsi"/>
          <w:sz w:val="20"/>
          <w:szCs w:val="20"/>
          <w:bdr w:val="none" w:sz="0" w:space="0" w:color="auto"/>
          <w:lang w:val="es-ES"/>
        </w:rPr>
        <w:t>, y esto fue lo último que supo de su hijo</w:t>
      </w:r>
      <w:r w:rsidR="00DE016A" w:rsidRPr="00667638">
        <w:rPr>
          <w:rStyle w:val="FootnoteReference"/>
          <w:rFonts w:asciiTheme="majorHAnsi" w:hAnsiTheme="majorHAnsi"/>
          <w:sz w:val="20"/>
          <w:szCs w:val="20"/>
          <w:bdr w:val="none" w:sz="0" w:space="0" w:color="auto"/>
          <w:lang w:val="es-ES"/>
        </w:rPr>
        <w:footnoteReference w:id="22"/>
      </w:r>
      <w:r w:rsidR="00DE016A" w:rsidRPr="00B0379E">
        <w:rPr>
          <w:rFonts w:asciiTheme="majorHAnsi" w:hAnsiTheme="majorHAnsi"/>
          <w:sz w:val="20"/>
          <w:szCs w:val="20"/>
          <w:bdr w:val="none" w:sz="0" w:space="0" w:color="auto"/>
          <w:lang w:val="es-ES"/>
        </w:rPr>
        <w:t>.</w:t>
      </w:r>
      <w:r w:rsidR="00C629D3">
        <w:rPr>
          <w:rFonts w:asciiTheme="majorHAnsi" w:hAnsiTheme="majorHAnsi"/>
          <w:sz w:val="20"/>
          <w:szCs w:val="20"/>
          <w:bdr w:val="none" w:sz="0" w:space="0" w:color="auto"/>
          <w:lang w:val="es-ES"/>
        </w:rPr>
        <w:t xml:space="preserve"> </w:t>
      </w:r>
      <w:r w:rsidR="00A338DF" w:rsidRPr="00B0379E">
        <w:rPr>
          <w:rFonts w:asciiTheme="majorHAnsi" w:hAnsiTheme="majorHAnsi"/>
          <w:sz w:val="20"/>
          <w:szCs w:val="20"/>
          <w:bdr w:val="none" w:sz="0" w:space="0" w:color="auto"/>
          <w:lang w:val="es-ES"/>
        </w:rPr>
        <w:t>Refirió que ha escuchado que a su hijo, “le han quemado, que le han botado al agua y desde ahí no se sabe nada más y son nueve meses que ojalá le encontremos a mi hijo vivo o muerto”</w:t>
      </w:r>
      <w:r w:rsidR="00A338DF" w:rsidRPr="00B0379E">
        <w:rPr>
          <w:rStyle w:val="FootnoteReference"/>
          <w:rFonts w:asciiTheme="majorHAnsi" w:hAnsiTheme="majorHAnsi"/>
          <w:sz w:val="20"/>
          <w:szCs w:val="20"/>
          <w:bdr w:val="none" w:sz="0" w:space="0" w:color="auto"/>
          <w:lang w:val="es-ES"/>
        </w:rPr>
        <w:t xml:space="preserve"> </w:t>
      </w:r>
      <w:r w:rsidR="00A338DF" w:rsidRPr="00667638">
        <w:rPr>
          <w:rStyle w:val="FootnoteReference"/>
          <w:rFonts w:asciiTheme="majorHAnsi" w:hAnsiTheme="majorHAnsi"/>
          <w:sz w:val="20"/>
          <w:szCs w:val="20"/>
          <w:bdr w:val="none" w:sz="0" w:space="0" w:color="auto"/>
          <w:lang w:val="es-ES"/>
        </w:rPr>
        <w:footnoteReference w:id="23"/>
      </w:r>
      <w:r w:rsidR="00A338DF" w:rsidRPr="00B0379E">
        <w:rPr>
          <w:rFonts w:asciiTheme="majorHAnsi" w:hAnsiTheme="majorHAnsi"/>
          <w:sz w:val="20"/>
          <w:szCs w:val="20"/>
          <w:bdr w:val="none" w:sz="0" w:space="0" w:color="auto"/>
          <w:lang w:val="es-ES"/>
        </w:rPr>
        <w:t>.</w:t>
      </w:r>
      <w:r w:rsidR="00E3057C">
        <w:rPr>
          <w:rFonts w:asciiTheme="majorHAnsi" w:hAnsiTheme="majorHAnsi"/>
          <w:sz w:val="20"/>
          <w:szCs w:val="20"/>
          <w:bdr w:val="none" w:sz="0" w:space="0" w:color="auto"/>
          <w:lang w:val="es-ES"/>
        </w:rPr>
        <w:t xml:space="preserve"> </w:t>
      </w:r>
      <w:r w:rsidR="00E3057C" w:rsidRPr="00E3057C">
        <w:rPr>
          <w:rFonts w:asciiTheme="majorHAnsi" w:hAnsiTheme="majorHAnsi"/>
          <w:sz w:val="20"/>
          <w:szCs w:val="20"/>
          <w:bdr w:val="none" w:sz="0" w:space="0" w:color="auto"/>
          <w:lang w:val="es-ES"/>
        </w:rPr>
        <w:t>E</w:t>
      </w:r>
      <w:r w:rsidR="00DE016A" w:rsidRPr="00E3057C">
        <w:rPr>
          <w:rFonts w:asciiTheme="majorHAnsi" w:hAnsiTheme="majorHAnsi"/>
          <w:sz w:val="20"/>
          <w:szCs w:val="20"/>
          <w:bdr w:val="none" w:sz="0" w:space="0" w:color="auto"/>
          <w:lang w:val="es-ES"/>
        </w:rPr>
        <w:t>l Informe Policial</w:t>
      </w:r>
      <w:r w:rsidR="00206211" w:rsidRPr="00E3057C">
        <w:rPr>
          <w:rFonts w:asciiTheme="majorHAnsi" w:hAnsiTheme="majorHAnsi"/>
          <w:sz w:val="20"/>
          <w:szCs w:val="20"/>
          <w:bdr w:val="none" w:sz="0" w:space="0" w:color="auto"/>
          <w:lang w:val="es-ES"/>
        </w:rPr>
        <w:t xml:space="preserve"> indica que tras la liberación de las dos mujeres, la presunta víctima fue subid</w:t>
      </w:r>
      <w:r w:rsidR="0040707E">
        <w:rPr>
          <w:rFonts w:asciiTheme="majorHAnsi" w:hAnsiTheme="majorHAnsi"/>
          <w:sz w:val="20"/>
          <w:szCs w:val="20"/>
          <w:bdr w:val="none" w:sz="0" w:space="0" w:color="auto"/>
          <w:lang w:val="es-ES"/>
        </w:rPr>
        <w:t>a</w:t>
      </w:r>
      <w:r w:rsidR="00206211" w:rsidRPr="00E3057C">
        <w:rPr>
          <w:rFonts w:asciiTheme="majorHAnsi" w:hAnsiTheme="majorHAnsi"/>
          <w:sz w:val="20"/>
          <w:szCs w:val="20"/>
          <w:bdr w:val="none" w:sz="0" w:space="0" w:color="auto"/>
          <w:lang w:val="es-ES"/>
        </w:rPr>
        <w:t xml:space="preserve"> a un vehículo con rumbo desconocido</w:t>
      </w:r>
      <w:r w:rsidR="0024615A" w:rsidRPr="00667638">
        <w:rPr>
          <w:rStyle w:val="FootnoteReference"/>
          <w:rFonts w:asciiTheme="majorHAnsi" w:hAnsiTheme="majorHAnsi"/>
          <w:sz w:val="20"/>
          <w:szCs w:val="20"/>
          <w:bdr w:val="none" w:sz="0" w:space="0" w:color="auto"/>
          <w:lang w:val="es-ES"/>
        </w:rPr>
        <w:footnoteReference w:id="24"/>
      </w:r>
      <w:r w:rsidR="0024615A" w:rsidRPr="00E3057C">
        <w:rPr>
          <w:rFonts w:asciiTheme="majorHAnsi" w:hAnsiTheme="majorHAnsi"/>
          <w:sz w:val="20"/>
          <w:szCs w:val="20"/>
          <w:bdr w:val="none" w:sz="0" w:space="0" w:color="auto"/>
          <w:lang w:val="es-ES"/>
        </w:rPr>
        <w:t xml:space="preserve">. </w:t>
      </w:r>
    </w:p>
    <w:p w14:paraId="14A07D6B" w14:textId="77777777" w:rsidR="00620C03" w:rsidRPr="00620C03" w:rsidRDefault="00620C03" w:rsidP="00620C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bdr w:val="none" w:sz="0" w:space="0" w:color="auto"/>
          <w:lang w:val="es-ES"/>
        </w:rPr>
      </w:pPr>
    </w:p>
    <w:p w14:paraId="6BF8299E" w14:textId="77777777" w:rsidR="004D7141" w:rsidRPr="000A209E" w:rsidRDefault="00A9472E" w:rsidP="002A35D9">
      <w:pPr>
        <w:pStyle w:val="Heading2"/>
        <w:numPr>
          <w:ilvl w:val="0"/>
          <w:numId w:val="57"/>
        </w:numPr>
        <w:tabs>
          <w:tab w:val="left" w:pos="630"/>
        </w:tabs>
        <w:spacing w:before="0" w:after="0"/>
        <w:ind w:left="0" w:firstLine="0"/>
        <w:jc w:val="both"/>
        <w:rPr>
          <w:rFonts w:ascii="Cambria" w:hAnsi="Cambria"/>
          <w:i w:val="0"/>
          <w:sz w:val="20"/>
          <w:szCs w:val="20"/>
          <w:lang w:val="es-ES"/>
        </w:rPr>
      </w:pPr>
      <w:bookmarkStart w:id="10" w:name="_Toc5359028"/>
      <w:r w:rsidRPr="000A209E">
        <w:rPr>
          <w:rFonts w:ascii="Cambria" w:hAnsi="Cambria"/>
          <w:i w:val="0"/>
          <w:sz w:val="20"/>
          <w:szCs w:val="20"/>
          <w:lang w:val="es-ES"/>
        </w:rPr>
        <w:t>Proceso penal</w:t>
      </w:r>
      <w:bookmarkEnd w:id="10"/>
      <w:r w:rsidRPr="000A209E">
        <w:rPr>
          <w:rFonts w:ascii="Cambria" w:hAnsi="Cambria"/>
          <w:i w:val="0"/>
          <w:sz w:val="20"/>
          <w:szCs w:val="20"/>
          <w:lang w:val="es-ES"/>
        </w:rPr>
        <w:t xml:space="preserve"> </w:t>
      </w:r>
    </w:p>
    <w:p w14:paraId="2A6171A2" w14:textId="77777777" w:rsidR="00D64D9D" w:rsidRPr="00D64D9D" w:rsidRDefault="00D64D9D" w:rsidP="00D64D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77512898" w14:textId="77777777" w:rsidR="002A35D9" w:rsidRDefault="006E3572"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Pr>
          <w:rFonts w:asciiTheme="majorHAnsi" w:hAnsiTheme="majorHAnsi"/>
          <w:sz w:val="20"/>
          <w:szCs w:val="20"/>
          <w:lang w:val="es-VE"/>
        </w:rPr>
        <w:t>El</w:t>
      </w:r>
      <w:r w:rsidR="00BE1B7E" w:rsidRPr="00D91923">
        <w:rPr>
          <w:rFonts w:ascii="Cambria" w:hAnsi="Cambria"/>
          <w:sz w:val="20"/>
          <w:szCs w:val="20"/>
          <w:lang w:val="es-ES"/>
        </w:rPr>
        <w:t xml:space="preserve"> 23 de julio del 2001 </w:t>
      </w:r>
      <w:r>
        <w:rPr>
          <w:rFonts w:ascii="Cambria" w:hAnsi="Cambria"/>
          <w:sz w:val="20"/>
          <w:szCs w:val="20"/>
          <w:lang w:val="es-ES"/>
        </w:rPr>
        <w:t xml:space="preserve">el padre de la presunta víctima presentó una denuncia por la desaparición </w:t>
      </w:r>
      <w:r w:rsidR="00643B45">
        <w:rPr>
          <w:rFonts w:ascii="Cambria" w:hAnsi="Cambria"/>
          <w:sz w:val="20"/>
          <w:szCs w:val="20"/>
          <w:lang w:val="es-ES"/>
        </w:rPr>
        <w:t>de su hijo</w:t>
      </w:r>
      <w:r>
        <w:rPr>
          <w:rFonts w:ascii="Cambria" w:hAnsi="Cambria"/>
          <w:sz w:val="20"/>
          <w:szCs w:val="20"/>
          <w:lang w:val="es-ES"/>
        </w:rPr>
        <w:t xml:space="preserve"> </w:t>
      </w:r>
      <w:r w:rsidR="0064745F">
        <w:rPr>
          <w:rFonts w:ascii="Cambria" w:hAnsi="Cambria"/>
          <w:sz w:val="20"/>
          <w:szCs w:val="20"/>
          <w:lang w:val="es-ES"/>
        </w:rPr>
        <w:t xml:space="preserve">ante la </w:t>
      </w:r>
      <w:r w:rsidR="00643B45">
        <w:rPr>
          <w:rFonts w:ascii="Cambria" w:hAnsi="Cambria"/>
          <w:sz w:val="20"/>
          <w:szCs w:val="20"/>
          <w:lang w:val="es-ES"/>
        </w:rPr>
        <w:t>Policía Judicial de Tungurahua</w:t>
      </w:r>
      <w:r w:rsidR="0064745F" w:rsidRPr="00D91923">
        <w:rPr>
          <w:rStyle w:val="FootnoteReference"/>
          <w:rFonts w:asciiTheme="majorHAnsi" w:hAnsiTheme="majorHAnsi"/>
          <w:color w:val="000000" w:themeColor="text1"/>
          <w:sz w:val="20"/>
          <w:szCs w:val="20"/>
          <w:lang w:val="es-ES"/>
        </w:rPr>
        <w:footnoteReference w:id="25"/>
      </w:r>
      <w:r w:rsidR="0064745F">
        <w:rPr>
          <w:rFonts w:ascii="Cambria" w:hAnsi="Cambria"/>
          <w:sz w:val="20"/>
          <w:szCs w:val="20"/>
          <w:lang w:val="es-ES"/>
        </w:rPr>
        <w:t xml:space="preserve">. </w:t>
      </w:r>
    </w:p>
    <w:p w14:paraId="7F8F39C3" w14:textId="77777777" w:rsidR="002A35D9" w:rsidRDefault="002A35D9" w:rsidP="002A35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ES"/>
        </w:rPr>
      </w:pPr>
    </w:p>
    <w:p w14:paraId="34A7F96F" w14:textId="77777777" w:rsidR="002A35D9" w:rsidRDefault="0064745F"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lastRenderedPageBreak/>
        <w:t>El 13 de agosto de 2001 el Inspector General de la Policía Nacional solicitó el inicio de las investigaciones</w:t>
      </w:r>
      <w:r w:rsidR="003B3606" w:rsidRPr="002A35D9">
        <w:rPr>
          <w:rFonts w:ascii="Cambria" w:hAnsi="Cambria"/>
          <w:sz w:val="20"/>
          <w:szCs w:val="20"/>
          <w:lang w:val="es-ES"/>
        </w:rPr>
        <w:t xml:space="preserve"> e incorporó </w:t>
      </w:r>
      <w:r w:rsidR="006472DD" w:rsidRPr="002A35D9">
        <w:rPr>
          <w:rFonts w:ascii="Cambria" w:hAnsi="Cambria"/>
          <w:sz w:val="20"/>
          <w:szCs w:val="20"/>
          <w:lang w:val="es-ES"/>
        </w:rPr>
        <w:t xml:space="preserve">cinco </w:t>
      </w:r>
      <w:r w:rsidR="003B3606" w:rsidRPr="002A35D9">
        <w:rPr>
          <w:rFonts w:ascii="Cambria" w:hAnsi="Cambria"/>
          <w:sz w:val="20"/>
          <w:szCs w:val="20"/>
          <w:lang w:val="es-ES"/>
        </w:rPr>
        <w:t xml:space="preserve"> partes policiales elaborados por diferentes oficiales de la policía que confirma</w:t>
      </w:r>
      <w:r w:rsidR="00643B45" w:rsidRPr="002A35D9">
        <w:rPr>
          <w:rFonts w:ascii="Cambria" w:hAnsi="Cambria"/>
          <w:sz w:val="20"/>
          <w:szCs w:val="20"/>
          <w:lang w:val="es-ES"/>
        </w:rPr>
        <w:t>n</w:t>
      </w:r>
      <w:r w:rsidR="003B3606" w:rsidRPr="002A35D9">
        <w:rPr>
          <w:rFonts w:ascii="Cambria" w:hAnsi="Cambria"/>
          <w:sz w:val="20"/>
          <w:szCs w:val="20"/>
          <w:lang w:val="es-ES"/>
        </w:rPr>
        <w:t xml:space="preserve"> la detención de </w:t>
      </w:r>
      <w:r w:rsidR="005B1E7B" w:rsidRPr="002A35D9">
        <w:rPr>
          <w:rFonts w:asciiTheme="majorHAnsi" w:hAnsiTheme="majorHAnsi"/>
          <w:color w:val="000000" w:themeColor="text1"/>
          <w:sz w:val="20"/>
          <w:szCs w:val="20"/>
          <w:lang w:val="es-ES"/>
        </w:rPr>
        <w:t xml:space="preserve">Fredy Núñez, Octavio Morales y Orlando Freire, </w:t>
      </w:r>
      <w:r w:rsidR="0095414C" w:rsidRPr="002A35D9">
        <w:rPr>
          <w:rFonts w:asciiTheme="majorHAnsi" w:hAnsiTheme="majorHAnsi"/>
          <w:color w:val="000000" w:themeColor="text1"/>
          <w:sz w:val="20"/>
          <w:szCs w:val="20"/>
          <w:lang w:val="es-ES"/>
        </w:rPr>
        <w:t xml:space="preserve">así como </w:t>
      </w:r>
      <w:r w:rsidR="005B1E7B" w:rsidRPr="002A35D9">
        <w:rPr>
          <w:rFonts w:asciiTheme="majorHAnsi" w:hAnsiTheme="majorHAnsi"/>
          <w:color w:val="000000" w:themeColor="text1"/>
          <w:sz w:val="20"/>
          <w:szCs w:val="20"/>
          <w:lang w:val="es-ES"/>
        </w:rPr>
        <w:t>los incidentes suscitados en las inst</w:t>
      </w:r>
      <w:r w:rsidR="0095414C" w:rsidRPr="002A35D9">
        <w:rPr>
          <w:rFonts w:asciiTheme="majorHAnsi" w:hAnsiTheme="majorHAnsi"/>
          <w:color w:val="000000" w:themeColor="text1"/>
          <w:sz w:val="20"/>
          <w:szCs w:val="20"/>
          <w:lang w:val="es-ES"/>
        </w:rPr>
        <w:t>alaciones del destacamento del Cantón Q</w:t>
      </w:r>
      <w:r w:rsidR="005B1E7B" w:rsidRPr="002A35D9">
        <w:rPr>
          <w:rFonts w:asciiTheme="majorHAnsi" w:hAnsiTheme="majorHAnsi"/>
          <w:color w:val="000000" w:themeColor="text1"/>
          <w:sz w:val="20"/>
          <w:szCs w:val="20"/>
          <w:lang w:val="es-ES"/>
        </w:rPr>
        <w:t>uero, y la posterior captura de Fredy Núñez</w:t>
      </w:r>
      <w:r w:rsidR="006472DD" w:rsidRPr="002A35D9">
        <w:rPr>
          <w:rFonts w:asciiTheme="majorHAnsi" w:hAnsiTheme="majorHAnsi"/>
          <w:color w:val="000000" w:themeColor="text1"/>
          <w:sz w:val="20"/>
          <w:szCs w:val="20"/>
          <w:lang w:val="es-ES"/>
        </w:rPr>
        <w:t xml:space="preserve"> por parte de quienes ingresaron a dicho lugar</w:t>
      </w:r>
      <w:r w:rsidR="00D91923" w:rsidRPr="00D91923">
        <w:rPr>
          <w:rStyle w:val="FootnoteReference"/>
          <w:rFonts w:asciiTheme="majorHAnsi" w:hAnsiTheme="majorHAnsi"/>
          <w:color w:val="000000" w:themeColor="text1"/>
          <w:sz w:val="20"/>
          <w:szCs w:val="20"/>
          <w:lang w:val="es-ES"/>
        </w:rPr>
        <w:footnoteReference w:id="26"/>
      </w:r>
      <w:r w:rsidR="005B1E7B" w:rsidRPr="002A35D9">
        <w:rPr>
          <w:rFonts w:ascii="Cambria" w:hAnsi="Cambria"/>
          <w:sz w:val="20"/>
          <w:szCs w:val="20"/>
          <w:lang w:val="es-ES"/>
        </w:rPr>
        <w:t xml:space="preserve">. </w:t>
      </w:r>
    </w:p>
    <w:p w14:paraId="2B18DA16" w14:textId="77777777" w:rsidR="002A35D9" w:rsidRDefault="002A35D9" w:rsidP="002A35D9">
      <w:pPr>
        <w:pStyle w:val="ListParagraph"/>
        <w:rPr>
          <w:sz w:val="20"/>
          <w:szCs w:val="20"/>
          <w:lang w:val="es-ES"/>
        </w:rPr>
      </w:pPr>
    </w:p>
    <w:p w14:paraId="737351C2" w14:textId="77777777" w:rsidR="002A35D9" w:rsidRDefault="007E12A9"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El 15 de agosto de 2001 rindió declaración el policía Marcelo Fabian Velasco Jacome, quien participó en la detención de la presunta víctima, y refirió que el 15 de julio de 2001, luego de la detención, alrededor de las cinco o cinco y media de la tarde, llegaron aproximadamente 400 personas</w:t>
      </w:r>
      <w:r w:rsidR="00E3057C" w:rsidRPr="002A35D9">
        <w:rPr>
          <w:rFonts w:ascii="Cambria" w:hAnsi="Cambria"/>
          <w:sz w:val="20"/>
          <w:szCs w:val="20"/>
          <w:lang w:val="es-ES"/>
        </w:rPr>
        <w:t xml:space="preserve"> </w:t>
      </w:r>
      <w:r w:rsidRPr="002A35D9">
        <w:rPr>
          <w:rFonts w:ascii="Cambria" w:hAnsi="Cambria"/>
          <w:sz w:val="20"/>
          <w:szCs w:val="20"/>
          <w:lang w:val="es-ES"/>
        </w:rPr>
        <w:t>al Destacamento “rompieron las seguridades del calabozo y pusieron en libertad a los dos miembros de la Comunidad Puñachisag” (…)”</w:t>
      </w:r>
      <w:r w:rsidR="0096649A" w:rsidRPr="002A35D9">
        <w:rPr>
          <w:rFonts w:ascii="Cambria" w:hAnsi="Cambria"/>
          <w:sz w:val="20"/>
          <w:szCs w:val="20"/>
          <w:lang w:val="es-ES"/>
        </w:rPr>
        <w:t xml:space="preserve"> y se llevaron como rehén a Fre</w:t>
      </w:r>
      <w:r w:rsidRPr="002A35D9">
        <w:rPr>
          <w:rFonts w:ascii="Cambria" w:hAnsi="Cambria"/>
          <w:sz w:val="20"/>
          <w:szCs w:val="20"/>
          <w:lang w:val="es-ES"/>
        </w:rPr>
        <w:t>dy</w:t>
      </w:r>
      <w:r w:rsidR="00E3057C" w:rsidRPr="002A35D9">
        <w:rPr>
          <w:rFonts w:ascii="Cambria" w:hAnsi="Cambria"/>
          <w:sz w:val="20"/>
          <w:szCs w:val="20"/>
          <w:lang w:val="es-ES"/>
        </w:rPr>
        <w:t xml:space="preserve"> Marcelo Núñez Naranjo</w:t>
      </w:r>
      <w:r w:rsidRPr="002A35D9">
        <w:rPr>
          <w:rFonts w:ascii="Cambria" w:hAnsi="Cambria"/>
          <w:sz w:val="20"/>
          <w:szCs w:val="20"/>
          <w:lang w:val="es-ES"/>
        </w:rPr>
        <w:t xml:space="preserve">, a Gregoria Naranjo y a Marcia </w:t>
      </w:r>
      <w:r w:rsidR="00E3057C" w:rsidRPr="002A35D9">
        <w:rPr>
          <w:rFonts w:ascii="Cambria" w:hAnsi="Cambria"/>
          <w:sz w:val="20"/>
          <w:szCs w:val="20"/>
          <w:lang w:val="es-ES"/>
        </w:rPr>
        <w:t>Núñez</w:t>
      </w:r>
      <w:r w:rsidR="008C544B" w:rsidRPr="002A35D9">
        <w:rPr>
          <w:rFonts w:ascii="Cambria" w:hAnsi="Cambria"/>
          <w:sz w:val="20"/>
          <w:szCs w:val="20"/>
          <w:lang w:val="es-ES"/>
        </w:rPr>
        <w:t>. Al ser preguntado si el Comandante Provincial tiene conocimiento de lo que ha pasado con la presunta víctima indicó que “de esta novedad tiene conocimiento el señor Comandante Provincial, de igual manera, las autoridades de esta localidad no han tomado cartas en el asunto”</w:t>
      </w:r>
      <w:r w:rsidR="00B6772E" w:rsidRPr="00F17A3D">
        <w:rPr>
          <w:rStyle w:val="FootnoteReference"/>
          <w:rFonts w:ascii="Cambria" w:hAnsi="Cambria"/>
          <w:sz w:val="20"/>
          <w:szCs w:val="20"/>
          <w:lang w:val="es-ES"/>
        </w:rPr>
        <w:footnoteReference w:id="27"/>
      </w:r>
      <w:r w:rsidR="008C544B" w:rsidRPr="002A35D9">
        <w:rPr>
          <w:rFonts w:ascii="Cambria" w:hAnsi="Cambria"/>
          <w:sz w:val="20"/>
          <w:szCs w:val="20"/>
          <w:lang w:val="es-ES"/>
        </w:rPr>
        <w:t xml:space="preserve">. </w:t>
      </w:r>
    </w:p>
    <w:p w14:paraId="2A148287" w14:textId="77777777" w:rsidR="002A35D9" w:rsidRDefault="002A35D9" w:rsidP="002A35D9">
      <w:pPr>
        <w:pStyle w:val="ListParagraph"/>
        <w:rPr>
          <w:sz w:val="20"/>
          <w:szCs w:val="20"/>
          <w:lang w:val="es-ES"/>
        </w:rPr>
      </w:pPr>
    </w:p>
    <w:p w14:paraId="6FE0430A" w14:textId="77777777" w:rsidR="002A35D9" w:rsidRDefault="00B6772E"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En la misma fecha rindió declaración el policía Luis Amable Paredes Valle, quien al ser preguntado sobre las acciones tomadas para investigar el paradero de la presunta víctima refirió que “se ha tomado contacto con las diferentes autoridades del Cantón, a fin de averiguar sobr</w:t>
      </w:r>
      <w:r w:rsidR="0096649A" w:rsidRPr="002A35D9">
        <w:rPr>
          <w:rFonts w:ascii="Cambria" w:hAnsi="Cambria"/>
          <w:sz w:val="20"/>
          <w:szCs w:val="20"/>
          <w:lang w:val="es-ES"/>
        </w:rPr>
        <w:t>e el paradero del ciudadano Fre</w:t>
      </w:r>
      <w:r w:rsidRPr="002A35D9">
        <w:rPr>
          <w:rFonts w:ascii="Cambria" w:hAnsi="Cambria"/>
          <w:sz w:val="20"/>
          <w:szCs w:val="20"/>
          <w:lang w:val="es-ES"/>
        </w:rPr>
        <w:t>dy Núñez Naranjo, sin que nadie colabore sobre este aspecto”</w:t>
      </w:r>
      <w:r w:rsidR="00C36059" w:rsidRPr="00F17A3D">
        <w:rPr>
          <w:rStyle w:val="FootnoteReference"/>
          <w:rFonts w:ascii="Cambria" w:hAnsi="Cambria"/>
          <w:sz w:val="20"/>
          <w:szCs w:val="20"/>
          <w:lang w:val="es-ES"/>
        </w:rPr>
        <w:footnoteReference w:id="28"/>
      </w:r>
      <w:r w:rsidR="00FB76EA" w:rsidRPr="002A35D9">
        <w:rPr>
          <w:rFonts w:ascii="Cambria" w:hAnsi="Cambria"/>
          <w:sz w:val="20"/>
          <w:szCs w:val="20"/>
          <w:lang w:val="es-ES"/>
        </w:rPr>
        <w:t>.</w:t>
      </w:r>
    </w:p>
    <w:p w14:paraId="0978DA36" w14:textId="77777777" w:rsidR="002A35D9" w:rsidRDefault="002A35D9" w:rsidP="002A35D9">
      <w:pPr>
        <w:pStyle w:val="ListParagraph"/>
        <w:rPr>
          <w:rFonts w:asciiTheme="majorHAnsi" w:hAnsiTheme="majorHAnsi"/>
          <w:color w:val="000000" w:themeColor="text1"/>
          <w:sz w:val="20"/>
          <w:szCs w:val="20"/>
          <w:lang w:val="es-ES"/>
        </w:rPr>
      </w:pPr>
    </w:p>
    <w:p w14:paraId="7C57FB97" w14:textId="77777777" w:rsidR="002A35D9" w:rsidRDefault="00DD64A2"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Theme="majorHAnsi" w:hAnsiTheme="majorHAnsi"/>
          <w:color w:val="000000" w:themeColor="text1"/>
          <w:sz w:val="20"/>
          <w:szCs w:val="20"/>
          <w:lang w:val="es-ES"/>
        </w:rPr>
        <w:t>El 16 de agosto de 2001</w:t>
      </w:r>
      <w:r w:rsidR="00C23EFB" w:rsidRPr="002A35D9">
        <w:rPr>
          <w:rFonts w:asciiTheme="majorHAnsi" w:hAnsiTheme="majorHAnsi"/>
          <w:color w:val="000000" w:themeColor="text1"/>
          <w:sz w:val="20"/>
          <w:szCs w:val="20"/>
          <w:lang w:val="es-ES"/>
        </w:rPr>
        <w:t xml:space="preserve"> </w:t>
      </w:r>
      <w:r w:rsidR="00BE07CA" w:rsidRPr="002A35D9">
        <w:rPr>
          <w:rFonts w:ascii="Cambria" w:hAnsi="Cambria"/>
          <w:sz w:val="20"/>
          <w:szCs w:val="20"/>
          <w:lang w:val="es-ES"/>
        </w:rPr>
        <w:t>la Policía Nacional del Ecuador emitió un informe de investigación en el cual estableció que realizó una serie de diligencias en</w:t>
      </w:r>
      <w:r w:rsidR="0096649A" w:rsidRPr="002A35D9">
        <w:rPr>
          <w:rFonts w:ascii="Cambria" w:hAnsi="Cambria"/>
          <w:sz w:val="20"/>
          <w:szCs w:val="20"/>
          <w:lang w:val="es-ES"/>
        </w:rPr>
        <w:t xml:space="preserve"> torno a la desaparición de Fre</w:t>
      </w:r>
      <w:r w:rsidR="00BE07CA" w:rsidRPr="002A35D9">
        <w:rPr>
          <w:rFonts w:ascii="Cambria" w:hAnsi="Cambria"/>
          <w:sz w:val="20"/>
          <w:szCs w:val="20"/>
          <w:lang w:val="es-ES"/>
        </w:rPr>
        <w:t>dy Núñez Naranjo</w:t>
      </w:r>
      <w:r w:rsidRPr="002A35D9">
        <w:rPr>
          <w:rFonts w:ascii="Cambria" w:hAnsi="Cambria"/>
          <w:sz w:val="20"/>
          <w:szCs w:val="20"/>
          <w:lang w:val="es-ES"/>
        </w:rPr>
        <w:t xml:space="preserve">. En dicho informe se indica que el Presidente de las Juntas del Campesinado de Tungurahua refirió que </w:t>
      </w:r>
      <w:r w:rsidR="00293DD0" w:rsidRPr="002A35D9">
        <w:rPr>
          <w:rFonts w:ascii="Cambria" w:hAnsi="Cambria"/>
          <w:sz w:val="20"/>
          <w:szCs w:val="20"/>
          <w:lang w:val="es-ES"/>
        </w:rPr>
        <w:t>la presunta víctima se dio a la fuga de los calabozos de la misma comunidad el 15 de julio de 2001</w:t>
      </w:r>
      <w:r w:rsidR="009A2346" w:rsidRPr="002A35D9">
        <w:rPr>
          <w:rFonts w:ascii="Cambria" w:hAnsi="Cambria"/>
          <w:sz w:val="20"/>
          <w:szCs w:val="20"/>
          <w:lang w:val="es-ES"/>
        </w:rPr>
        <w:t>. Asimismo,</w:t>
      </w:r>
      <w:r w:rsidR="00016D0C" w:rsidRPr="002A35D9">
        <w:rPr>
          <w:rFonts w:ascii="Cambria" w:hAnsi="Cambria"/>
          <w:sz w:val="20"/>
          <w:szCs w:val="20"/>
          <w:lang w:val="es-ES"/>
        </w:rPr>
        <w:t xml:space="preserve"> indicó que no ha sido posible entrevistarse </w:t>
      </w:r>
      <w:r w:rsidR="009A2346" w:rsidRPr="002A35D9">
        <w:rPr>
          <w:rFonts w:ascii="Cambria" w:hAnsi="Cambria"/>
          <w:sz w:val="20"/>
          <w:szCs w:val="20"/>
          <w:lang w:val="es-ES"/>
        </w:rPr>
        <w:t xml:space="preserve">con los familiares de la presunta víctima porque han manifestado </w:t>
      </w:r>
      <w:r w:rsidR="006A0612" w:rsidRPr="002A35D9">
        <w:rPr>
          <w:rFonts w:ascii="Cambria" w:hAnsi="Cambria"/>
          <w:sz w:val="20"/>
          <w:szCs w:val="20"/>
          <w:lang w:val="es-ES"/>
        </w:rPr>
        <w:t xml:space="preserve">que no pueden dar mayor información por </w:t>
      </w:r>
      <w:r w:rsidR="00251F4D" w:rsidRPr="002A35D9">
        <w:rPr>
          <w:rFonts w:ascii="Cambria" w:hAnsi="Cambria"/>
          <w:sz w:val="20"/>
          <w:szCs w:val="20"/>
          <w:lang w:val="es-ES"/>
        </w:rPr>
        <w:t xml:space="preserve">temor a </w:t>
      </w:r>
      <w:r w:rsidR="006A0612" w:rsidRPr="002A35D9">
        <w:rPr>
          <w:rFonts w:ascii="Cambria" w:hAnsi="Cambria"/>
          <w:sz w:val="20"/>
          <w:szCs w:val="20"/>
          <w:lang w:val="es-ES"/>
        </w:rPr>
        <w:t>las represalias que la comunidad</w:t>
      </w:r>
      <w:r w:rsidR="0053086B" w:rsidRPr="002A35D9">
        <w:rPr>
          <w:rFonts w:ascii="Cambria" w:hAnsi="Cambria"/>
          <w:sz w:val="20"/>
          <w:szCs w:val="20"/>
          <w:lang w:val="es-ES"/>
        </w:rPr>
        <w:t xml:space="preserve"> Puñachisag y Shaushi</w:t>
      </w:r>
      <w:r w:rsidR="006A0612" w:rsidRPr="002A35D9">
        <w:rPr>
          <w:rFonts w:ascii="Cambria" w:hAnsi="Cambria"/>
          <w:sz w:val="20"/>
          <w:szCs w:val="20"/>
          <w:lang w:val="es-ES"/>
        </w:rPr>
        <w:t xml:space="preserve"> pueda tomar en su contra</w:t>
      </w:r>
      <w:r w:rsidR="00672CBC">
        <w:rPr>
          <w:rStyle w:val="FootnoteReference"/>
          <w:rFonts w:ascii="Cambria" w:hAnsi="Cambria"/>
          <w:sz w:val="20"/>
          <w:szCs w:val="20"/>
          <w:lang w:val="es-ES"/>
        </w:rPr>
        <w:footnoteReference w:id="29"/>
      </w:r>
      <w:r w:rsidR="006A0612" w:rsidRPr="002A35D9">
        <w:rPr>
          <w:rFonts w:ascii="Cambria" w:hAnsi="Cambria"/>
          <w:sz w:val="20"/>
          <w:szCs w:val="20"/>
          <w:lang w:val="es-ES"/>
        </w:rPr>
        <w:t xml:space="preserve">. </w:t>
      </w:r>
    </w:p>
    <w:p w14:paraId="565BD5FA" w14:textId="77777777" w:rsidR="002A35D9" w:rsidRDefault="002A35D9" w:rsidP="002A35D9">
      <w:pPr>
        <w:pStyle w:val="ListParagraph"/>
        <w:rPr>
          <w:sz w:val="20"/>
          <w:szCs w:val="20"/>
          <w:lang w:val="es-ES"/>
        </w:rPr>
      </w:pPr>
    </w:p>
    <w:p w14:paraId="1C2CB70F" w14:textId="77777777" w:rsidR="002A35D9" w:rsidRDefault="00672CBC"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En el informe se indicó que en la entrevista al señor Sixto Rodriguez Núñez Naranjo este refirió que el Comandante Provincial de Policía le indicó que “tome contacto con el señor Mayor de Policía Carlos Aguirre, a fin de que se logre coordinar con el doctor Manuel Gallegos para tratar de sacar información sobre el desaparecido, quien le ha manifestad</w:t>
      </w:r>
      <w:r w:rsidR="00C36059" w:rsidRPr="002A35D9">
        <w:rPr>
          <w:rFonts w:ascii="Cambria" w:hAnsi="Cambria"/>
          <w:sz w:val="20"/>
          <w:szCs w:val="20"/>
          <w:lang w:val="es-ES"/>
        </w:rPr>
        <w:t>o</w:t>
      </w:r>
      <w:r w:rsidR="0096649A" w:rsidRPr="002A35D9">
        <w:rPr>
          <w:rFonts w:ascii="Cambria" w:hAnsi="Cambria"/>
          <w:sz w:val="20"/>
          <w:szCs w:val="20"/>
          <w:lang w:val="es-ES"/>
        </w:rPr>
        <w:t xml:space="preserve"> que Fre</w:t>
      </w:r>
      <w:r w:rsidRPr="002A35D9">
        <w:rPr>
          <w:rFonts w:ascii="Cambria" w:hAnsi="Cambria"/>
          <w:sz w:val="20"/>
          <w:szCs w:val="20"/>
          <w:lang w:val="es-ES"/>
        </w:rPr>
        <w:t xml:space="preserve">dy Marcelo </w:t>
      </w:r>
      <w:r w:rsidR="00E3057C" w:rsidRPr="002A35D9">
        <w:rPr>
          <w:rFonts w:ascii="Cambria" w:hAnsi="Cambria"/>
          <w:sz w:val="20"/>
          <w:szCs w:val="20"/>
          <w:lang w:val="es-ES"/>
        </w:rPr>
        <w:t>Núñez</w:t>
      </w:r>
      <w:r w:rsidRPr="002A35D9">
        <w:rPr>
          <w:rFonts w:ascii="Cambria" w:hAnsi="Cambria"/>
          <w:sz w:val="20"/>
          <w:szCs w:val="20"/>
          <w:lang w:val="es-ES"/>
        </w:rPr>
        <w:t xml:space="preserve"> Naranjo, es integrante de una banda de facinerosos que se han encontrado haciendo de las suyas en el Cantón Quero (…)</w:t>
      </w:r>
      <w:r>
        <w:rPr>
          <w:rStyle w:val="FootnoteReference"/>
          <w:rFonts w:ascii="Cambria" w:hAnsi="Cambria"/>
          <w:sz w:val="20"/>
          <w:szCs w:val="20"/>
          <w:lang w:val="es-ES"/>
        </w:rPr>
        <w:footnoteReference w:id="30"/>
      </w:r>
      <w:r w:rsidRPr="002A35D9">
        <w:rPr>
          <w:rFonts w:ascii="Cambria" w:hAnsi="Cambria"/>
          <w:sz w:val="20"/>
          <w:szCs w:val="20"/>
          <w:lang w:val="es-ES"/>
        </w:rPr>
        <w:t>”. En el Informe se subraya como “trabajos pendientes” tratar de ubicar a la presunta víctima</w:t>
      </w:r>
      <w:r w:rsidR="00E53F48">
        <w:rPr>
          <w:rStyle w:val="FootnoteReference"/>
          <w:rFonts w:ascii="Cambria" w:hAnsi="Cambria"/>
          <w:sz w:val="20"/>
          <w:szCs w:val="20"/>
          <w:lang w:val="es-ES"/>
        </w:rPr>
        <w:footnoteReference w:id="31"/>
      </w:r>
      <w:r w:rsidR="009B56CC" w:rsidRPr="002A35D9">
        <w:rPr>
          <w:rFonts w:ascii="Cambria" w:hAnsi="Cambria"/>
          <w:sz w:val="20"/>
          <w:szCs w:val="20"/>
          <w:lang w:val="es-ES"/>
        </w:rPr>
        <w:t>.</w:t>
      </w:r>
    </w:p>
    <w:p w14:paraId="7A7768C0" w14:textId="77777777" w:rsidR="002A35D9" w:rsidRDefault="002A35D9" w:rsidP="002A35D9">
      <w:pPr>
        <w:pStyle w:val="ListParagraph"/>
        <w:rPr>
          <w:rFonts w:asciiTheme="majorHAnsi" w:hAnsiTheme="majorHAnsi"/>
          <w:sz w:val="20"/>
          <w:szCs w:val="20"/>
          <w:lang w:val="es-VE"/>
        </w:rPr>
      </w:pPr>
    </w:p>
    <w:p w14:paraId="51FA97B1" w14:textId="77777777" w:rsidR="002A35D9" w:rsidRDefault="002D3E0D"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Theme="majorHAnsi" w:hAnsiTheme="majorHAnsi"/>
          <w:sz w:val="20"/>
          <w:szCs w:val="20"/>
          <w:lang w:val="es-VE"/>
        </w:rPr>
        <w:t>Finalmente, en el i</w:t>
      </w:r>
      <w:r w:rsidR="00DE5929" w:rsidRPr="002A35D9">
        <w:rPr>
          <w:rFonts w:asciiTheme="majorHAnsi" w:hAnsiTheme="majorHAnsi"/>
          <w:sz w:val="20"/>
          <w:szCs w:val="20"/>
          <w:lang w:val="es-VE"/>
        </w:rPr>
        <w:t xml:space="preserve">nforme se hace constar que el 29 de julio de 2001 más de </w:t>
      </w:r>
      <w:r w:rsidR="00095CDB" w:rsidRPr="002A35D9">
        <w:rPr>
          <w:rFonts w:asciiTheme="majorHAnsi" w:hAnsiTheme="majorHAnsi"/>
          <w:sz w:val="20"/>
          <w:szCs w:val="20"/>
          <w:lang w:val="es-VE"/>
        </w:rPr>
        <w:t>4000</w:t>
      </w:r>
      <w:r w:rsidR="00DE5929" w:rsidRPr="002A35D9">
        <w:rPr>
          <w:rFonts w:asciiTheme="majorHAnsi" w:hAnsiTheme="majorHAnsi"/>
          <w:sz w:val="20"/>
          <w:szCs w:val="20"/>
          <w:lang w:val="es-VE"/>
        </w:rPr>
        <w:t xml:space="preserve"> campesinos pertenecientes a las comunidades del Cantón Quero y que forman parte del </w:t>
      </w:r>
      <w:r w:rsidR="00F4799F" w:rsidRPr="002A35D9">
        <w:rPr>
          <w:rFonts w:asciiTheme="majorHAnsi" w:hAnsiTheme="majorHAnsi"/>
          <w:sz w:val="20"/>
          <w:szCs w:val="20"/>
          <w:lang w:val="es-VE"/>
        </w:rPr>
        <w:t>Consorcio de Juntas del Campesinado realizaron una marcha donde manifestaron que se encuentran cansados de abusos cometidos por delincuen</w:t>
      </w:r>
      <w:r w:rsidR="0096649A" w:rsidRPr="002A35D9">
        <w:rPr>
          <w:rFonts w:asciiTheme="majorHAnsi" w:hAnsiTheme="majorHAnsi"/>
          <w:sz w:val="20"/>
          <w:szCs w:val="20"/>
          <w:lang w:val="es-VE"/>
        </w:rPr>
        <w:t>tes, y que uno de ellos es Fred</w:t>
      </w:r>
      <w:r w:rsidR="00F4799F" w:rsidRPr="002A35D9">
        <w:rPr>
          <w:rFonts w:asciiTheme="majorHAnsi" w:hAnsiTheme="majorHAnsi"/>
          <w:sz w:val="20"/>
          <w:szCs w:val="20"/>
          <w:lang w:val="es-VE"/>
        </w:rPr>
        <w:t xml:space="preserve">y Marcelo Nuñez, y refirieron que “están dispuestos a colaborar y </w:t>
      </w:r>
      <w:r w:rsidR="00F4799F" w:rsidRPr="002A35D9">
        <w:rPr>
          <w:rFonts w:asciiTheme="majorHAnsi" w:hAnsiTheme="majorHAnsi"/>
          <w:sz w:val="20"/>
          <w:szCs w:val="20"/>
          <w:lang w:val="es-VE"/>
        </w:rPr>
        <w:lastRenderedPageBreak/>
        <w:t>apoyar a los ocho policías quienes se encuentran detenidos en la ciudad de Riobamba, por luchar contra la delincuencia”</w:t>
      </w:r>
      <w:r w:rsidR="00F4799F" w:rsidRPr="00F4799F">
        <w:rPr>
          <w:rStyle w:val="FootnoteReference"/>
          <w:rFonts w:asciiTheme="majorHAnsi" w:hAnsiTheme="majorHAnsi"/>
          <w:sz w:val="20"/>
          <w:szCs w:val="20"/>
          <w:lang w:val="es-ES"/>
        </w:rPr>
        <w:footnoteReference w:id="32"/>
      </w:r>
      <w:r w:rsidR="00F4799F" w:rsidRPr="002A35D9">
        <w:rPr>
          <w:rFonts w:asciiTheme="majorHAnsi" w:hAnsiTheme="majorHAnsi"/>
          <w:sz w:val="20"/>
          <w:szCs w:val="20"/>
          <w:lang w:val="es-VE"/>
        </w:rPr>
        <w:t>.</w:t>
      </w:r>
    </w:p>
    <w:p w14:paraId="159A4A94" w14:textId="77777777" w:rsidR="002A35D9" w:rsidRDefault="002A35D9" w:rsidP="002A35D9">
      <w:pPr>
        <w:pStyle w:val="ListParagraph"/>
        <w:rPr>
          <w:rFonts w:asciiTheme="majorHAnsi" w:hAnsiTheme="majorHAnsi"/>
          <w:color w:val="000000" w:themeColor="text1"/>
          <w:sz w:val="20"/>
          <w:szCs w:val="20"/>
          <w:lang w:val="es-ES"/>
        </w:rPr>
      </w:pPr>
    </w:p>
    <w:p w14:paraId="5B2BCB1C" w14:textId="77777777" w:rsidR="002A35D9" w:rsidRDefault="0041347D"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Style w:val="apple-converted-space"/>
          <w:rFonts w:ascii="Cambria" w:hAnsi="Cambria"/>
          <w:sz w:val="20"/>
          <w:szCs w:val="20"/>
          <w:lang w:val="es-ES"/>
        </w:rPr>
      </w:pPr>
      <w:r w:rsidRPr="002A35D9">
        <w:rPr>
          <w:rFonts w:asciiTheme="majorHAnsi" w:hAnsiTheme="majorHAnsi"/>
          <w:color w:val="000000" w:themeColor="text1"/>
          <w:sz w:val="20"/>
          <w:szCs w:val="20"/>
          <w:lang w:val="es-ES"/>
        </w:rPr>
        <w:t>El</w:t>
      </w:r>
      <w:r w:rsidRPr="002A35D9">
        <w:rPr>
          <w:rFonts w:ascii="Cambria" w:hAnsi="Cambria"/>
          <w:sz w:val="20"/>
          <w:szCs w:val="20"/>
          <w:lang w:val="es-ES"/>
        </w:rPr>
        <w:t xml:space="preserve"> 21 de noviembre de 2001 el padre de la supuesta víctima presentó </w:t>
      </w:r>
      <w:r w:rsidR="00B47BC1" w:rsidRPr="002A35D9">
        <w:rPr>
          <w:rFonts w:ascii="Cambria" w:hAnsi="Cambria"/>
          <w:sz w:val="20"/>
          <w:szCs w:val="20"/>
          <w:lang w:val="es-ES"/>
        </w:rPr>
        <w:t xml:space="preserve">otra </w:t>
      </w:r>
      <w:r w:rsidR="00BE07CA" w:rsidRPr="002A35D9">
        <w:rPr>
          <w:rFonts w:ascii="Cambria" w:hAnsi="Cambria"/>
          <w:sz w:val="20"/>
          <w:szCs w:val="20"/>
          <w:lang w:val="es-ES"/>
        </w:rPr>
        <w:t>denuncia ante el Fiscal D</w:t>
      </w:r>
      <w:r w:rsidRPr="002A35D9">
        <w:rPr>
          <w:rFonts w:ascii="Cambria" w:hAnsi="Cambria"/>
          <w:sz w:val="20"/>
          <w:szCs w:val="20"/>
          <w:lang w:val="es-ES"/>
        </w:rPr>
        <w:t xml:space="preserve">istrital de Tungurahua en la que alegó que su hijo </w:t>
      </w:r>
      <w:r w:rsidR="00706C91" w:rsidRPr="002A35D9">
        <w:rPr>
          <w:rFonts w:ascii="Cambria" w:hAnsi="Cambria"/>
          <w:sz w:val="20"/>
          <w:szCs w:val="20"/>
          <w:lang w:val="es-ES"/>
        </w:rPr>
        <w:t>fue desaparecido</w:t>
      </w:r>
      <w:r w:rsidR="00BE07CA" w:rsidRPr="002A35D9">
        <w:rPr>
          <w:rFonts w:ascii="Cambria" w:hAnsi="Cambria"/>
          <w:sz w:val="20"/>
          <w:szCs w:val="20"/>
          <w:lang w:val="es-ES"/>
        </w:rPr>
        <w:t xml:space="preserve"> por miembro</w:t>
      </w:r>
      <w:r w:rsidR="00794E1A" w:rsidRPr="002A35D9">
        <w:rPr>
          <w:rFonts w:ascii="Cambria" w:hAnsi="Cambria"/>
          <w:sz w:val="20"/>
          <w:szCs w:val="20"/>
          <w:lang w:val="es-ES"/>
        </w:rPr>
        <w:t xml:space="preserve">s de las comunidades de </w:t>
      </w:r>
      <w:r w:rsidR="001C7F2A" w:rsidRPr="002A35D9">
        <w:rPr>
          <w:rFonts w:ascii="Cambria" w:hAnsi="Cambria"/>
          <w:sz w:val="20"/>
          <w:szCs w:val="20"/>
          <w:lang w:val="es-ES"/>
        </w:rPr>
        <w:t>Puñachisag</w:t>
      </w:r>
      <w:r w:rsidR="00BE07CA" w:rsidRPr="002A35D9">
        <w:rPr>
          <w:rFonts w:ascii="Cambria" w:hAnsi="Cambria"/>
          <w:sz w:val="20"/>
          <w:szCs w:val="20"/>
          <w:lang w:val="es-ES"/>
        </w:rPr>
        <w:t xml:space="preserve"> entre los que se encuentra Macario </w:t>
      </w:r>
      <w:r w:rsidR="006A706E" w:rsidRPr="002A35D9">
        <w:rPr>
          <w:rFonts w:ascii="Cambria" w:hAnsi="Cambria"/>
          <w:sz w:val="20"/>
          <w:szCs w:val="20"/>
          <w:lang w:val="es-ES"/>
        </w:rPr>
        <w:t>Raúl Bayas Villacré</w:t>
      </w:r>
      <w:r w:rsidR="00BE07CA" w:rsidRPr="002A35D9">
        <w:rPr>
          <w:rFonts w:ascii="Cambria" w:hAnsi="Cambria"/>
          <w:sz w:val="20"/>
          <w:szCs w:val="20"/>
          <w:lang w:val="es-ES"/>
        </w:rPr>
        <w:t xml:space="preserve">s y otras personas y solicitó que se realicen las debidas investigaciones para que </w:t>
      </w:r>
      <w:r w:rsidR="00602231" w:rsidRPr="002A35D9">
        <w:rPr>
          <w:rFonts w:ascii="Cambria" w:hAnsi="Cambria"/>
          <w:bCs/>
          <w:sz w:val="20"/>
          <w:szCs w:val="20"/>
          <w:lang w:val="es-ES"/>
        </w:rPr>
        <w:t>se pueda dar con los autores</w:t>
      </w:r>
      <w:r w:rsidR="001A6E20" w:rsidRPr="002A35D9">
        <w:rPr>
          <w:rFonts w:ascii="Cambria" w:hAnsi="Cambria"/>
          <w:bCs/>
          <w:sz w:val="20"/>
          <w:szCs w:val="20"/>
          <w:lang w:val="es-ES"/>
        </w:rPr>
        <w:t>,</w:t>
      </w:r>
      <w:r w:rsidR="00602231" w:rsidRPr="002A35D9">
        <w:rPr>
          <w:rFonts w:ascii="Cambria" w:hAnsi="Cambria"/>
          <w:bCs/>
          <w:sz w:val="20"/>
          <w:szCs w:val="20"/>
          <w:lang w:val="es-ES"/>
        </w:rPr>
        <w:t xml:space="preserve"> cómplices y encubridores del hecho</w:t>
      </w:r>
      <w:r w:rsidR="00602231" w:rsidRPr="000A209E">
        <w:rPr>
          <w:rStyle w:val="FootnoteReference"/>
          <w:rFonts w:ascii="Cambria" w:hAnsi="Cambria"/>
          <w:bCs/>
          <w:sz w:val="20"/>
          <w:szCs w:val="20"/>
          <w:lang w:val="es-ES"/>
        </w:rPr>
        <w:footnoteReference w:id="33"/>
      </w:r>
      <w:r w:rsidR="002B173F" w:rsidRPr="002A35D9">
        <w:rPr>
          <w:rFonts w:ascii="Cambria" w:hAnsi="Cambria"/>
          <w:bCs/>
          <w:sz w:val="20"/>
          <w:szCs w:val="20"/>
          <w:lang w:val="es-ES"/>
        </w:rPr>
        <w:t>.</w:t>
      </w:r>
      <w:r w:rsidR="008B1DB1" w:rsidRPr="002A35D9">
        <w:rPr>
          <w:rFonts w:ascii="Cambria" w:hAnsi="Cambria"/>
          <w:bCs/>
          <w:sz w:val="20"/>
          <w:szCs w:val="20"/>
          <w:lang w:val="es-ES"/>
        </w:rPr>
        <w:t xml:space="preserve"> </w:t>
      </w:r>
      <w:r w:rsidR="00401AD5" w:rsidRPr="002A35D9">
        <w:rPr>
          <w:rStyle w:val="apple-converted-space"/>
          <w:rFonts w:ascii="Cambria" w:hAnsi="Cambria"/>
          <w:bCs/>
          <w:sz w:val="20"/>
          <w:szCs w:val="20"/>
          <w:lang w:val="es-ES"/>
        </w:rPr>
        <w:t>Indicó que según el informe policial la desaparición de la presunta víctima se dio en respuesta a las lesiones físicas que le ocasionó a Octavio Morales</w:t>
      </w:r>
      <w:r w:rsidR="00200FE7" w:rsidRPr="000A209E">
        <w:rPr>
          <w:rStyle w:val="FootnoteReference"/>
          <w:rFonts w:ascii="Cambria" w:hAnsi="Cambria"/>
          <w:bCs/>
          <w:sz w:val="20"/>
          <w:szCs w:val="20"/>
          <w:lang w:val="es-ES"/>
        </w:rPr>
        <w:footnoteReference w:id="34"/>
      </w:r>
      <w:r w:rsidR="00B102BC" w:rsidRPr="002A35D9">
        <w:rPr>
          <w:rStyle w:val="apple-converted-space"/>
          <w:rFonts w:ascii="Cambria" w:hAnsi="Cambria"/>
          <w:bCs/>
          <w:sz w:val="20"/>
          <w:szCs w:val="20"/>
          <w:lang w:val="es-ES"/>
        </w:rPr>
        <w:t xml:space="preserve">. </w:t>
      </w:r>
    </w:p>
    <w:p w14:paraId="3A1BC59E" w14:textId="77777777" w:rsidR="002A35D9" w:rsidRDefault="002A35D9" w:rsidP="002A35D9">
      <w:pPr>
        <w:pStyle w:val="ListParagraph"/>
        <w:rPr>
          <w:rStyle w:val="apple-converted-space"/>
          <w:rFonts w:asciiTheme="majorHAnsi" w:hAnsiTheme="majorHAnsi"/>
          <w:sz w:val="20"/>
          <w:szCs w:val="20"/>
          <w:lang w:val="es-VE"/>
        </w:rPr>
      </w:pPr>
    </w:p>
    <w:p w14:paraId="56790D12" w14:textId="77777777" w:rsidR="002A35D9" w:rsidRDefault="00401AD5"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Style w:val="apple-converted-space"/>
          <w:rFonts w:asciiTheme="majorHAnsi" w:hAnsiTheme="majorHAnsi"/>
          <w:sz w:val="20"/>
          <w:szCs w:val="20"/>
          <w:lang w:val="es-VE"/>
        </w:rPr>
        <w:t xml:space="preserve">El 26 de abril de 2002 se realizó un reconocimiento </w:t>
      </w:r>
      <w:r w:rsidR="00F92791" w:rsidRPr="002A35D9">
        <w:rPr>
          <w:rStyle w:val="apple-converted-space"/>
          <w:rFonts w:asciiTheme="majorHAnsi" w:hAnsiTheme="majorHAnsi"/>
          <w:sz w:val="20"/>
          <w:szCs w:val="20"/>
          <w:lang w:val="es-VE"/>
        </w:rPr>
        <w:t xml:space="preserve">en las instalaciones donde funcionaba la Policía Nacional de Cantón </w:t>
      </w:r>
      <w:r w:rsidR="007B7B36" w:rsidRPr="002A35D9">
        <w:rPr>
          <w:rStyle w:val="apple-converted-space"/>
          <w:rFonts w:asciiTheme="majorHAnsi" w:hAnsiTheme="majorHAnsi"/>
          <w:sz w:val="20"/>
          <w:szCs w:val="20"/>
          <w:lang w:val="es-VE"/>
        </w:rPr>
        <w:t xml:space="preserve">Quero, y del calabozo </w:t>
      </w:r>
      <w:r w:rsidR="00593971" w:rsidRPr="002A35D9">
        <w:rPr>
          <w:rStyle w:val="apple-converted-space"/>
          <w:rFonts w:asciiTheme="majorHAnsi" w:hAnsiTheme="majorHAnsi"/>
          <w:sz w:val="20"/>
          <w:szCs w:val="20"/>
          <w:lang w:val="es-VE"/>
        </w:rPr>
        <w:t>donde se encontraba detenida la presunta víctima, sin embargo</w:t>
      </w:r>
      <w:r w:rsidR="00834062" w:rsidRPr="002A35D9">
        <w:rPr>
          <w:rStyle w:val="apple-converted-space"/>
          <w:rFonts w:asciiTheme="majorHAnsi" w:hAnsiTheme="majorHAnsi"/>
          <w:sz w:val="20"/>
          <w:szCs w:val="20"/>
          <w:lang w:val="es-VE"/>
        </w:rPr>
        <w:t>,</w:t>
      </w:r>
      <w:r w:rsidR="00593971" w:rsidRPr="002A35D9">
        <w:rPr>
          <w:rStyle w:val="apple-converted-space"/>
          <w:rFonts w:asciiTheme="majorHAnsi" w:hAnsiTheme="majorHAnsi"/>
          <w:sz w:val="20"/>
          <w:szCs w:val="20"/>
          <w:lang w:val="es-VE"/>
        </w:rPr>
        <w:t xml:space="preserve"> no se encontraron daños materiales</w:t>
      </w:r>
      <w:r w:rsidR="00706C91" w:rsidRPr="000A209E">
        <w:rPr>
          <w:rStyle w:val="FootnoteReference"/>
          <w:rFonts w:ascii="Cambria" w:hAnsi="Cambria"/>
          <w:sz w:val="20"/>
          <w:szCs w:val="20"/>
          <w:lang w:val="es-ES"/>
        </w:rPr>
        <w:footnoteReference w:id="35"/>
      </w:r>
      <w:r w:rsidR="00157F7B" w:rsidRPr="002A35D9">
        <w:rPr>
          <w:rFonts w:ascii="Cambria" w:hAnsi="Cambria"/>
          <w:sz w:val="20"/>
          <w:szCs w:val="20"/>
          <w:lang w:val="es-ES"/>
        </w:rPr>
        <w:t>.</w:t>
      </w:r>
      <w:r w:rsidR="00A51CA3" w:rsidRPr="002A35D9">
        <w:rPr>
          <w:rFonts w:ascii="Cambria" w:hAnsi="Cambria"/>
          <w:sz w:val="20"/>
          <w:szCs w:val="20"/>
          <w:lang w:val="es-ES"/>
        </w:rPr>
        <w:t xml:space="preserve"> Cabe mencionar que d</w:t>
      </w:r>
      <w:r w:rsidR="002E674D" w:rsidRPr="002A35D9">
        <w:rPr>
          <w:rFonts w:ascii="Cambria" w:hAnsi="Cambria"/>
          <w:sz w:val="20"/>
          <w:szCs w:val="20"/>
          <w:lang w:val="es-ES"/>
        </w:rPr>
        <w:t>icho reconocimiento se realizó nueve meses después de ocurridos los hechos</w:t>
      </w:r>
      <w:r w:rsidR="00F42162" w:rsidRPr="000A209E">
        <w:rPr>
          <w:rStyle w:val="FootnoteReference"/>
          <w:rFonts w:ascii="Cambria" w:hAnsi="Cambria"/>
          <w:sz w:val="20"/>
          <w:szCs w:val="20"/>
          <w:lang w:val="es-ES"/>
        </w:rPr>
        <w:footnoteReference w:id="36"/>
      </w:r>
      <w:r w:rsidR="00F37728" w:rsidRPr="002A35D9">
        <w:rPr>
          <w:rFonts w:ascii="Cambria" w:hAnsi="Cambria"/>
          <w:sz w:val="20"/>
          <w:szCs w:val="20"/>
          <w:lang w:val="es-ES"/>
        </w:rPr>
        <w:t xml:space="preserve">. </w:t>
      </w:r>
    </w:p>
    <w:p w14:paraId="7CF76119" w14:textId="77777777" w:rsidR="002A35D9" w:rsidRDefault="002A35D9" w:rsidP="002A35D9">
      <w:pPr>
        <w:pStyle w:val="ListParagraph"/>
        <w:rPr>
          <w:rFonts w:asciiTheme="majorHAnsi" w:hAnsiTheme="majorHAnsi"/>
          <w:sz w:val="20"/>
          <w:szCs w:val="20"/>
          <w:lang w:val="es-VE"/>
        </w:rPr>
      </w:pPr>
    </w:p>
    <w:p w14:paraId="3954FC0F" w14:textId="77777777" w:rsidR="002A35D9" w:rsidRDefault="00BA61B6"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Style w:val="apple-converted-space"/>
          <w:rFonts w:ascii="Cambria" w:hAnsi="Cambria"/>
          <w:sz w:val="20"/>
          <w:szCs w:val="20"/>
          <w:lang w:val="es-ES"/>
        </w:rPr>
      </w:pPr>
      <w:r w:rsidRPr="002A35D9">
        <w:rPr>
          <w:rFonts w:asciiTheme="majorHAnsi" w:hAnsiTheme="majorHAnsi"/>
          <w:sz w:val="20"/>
          <w:szCs w:val="20"/>
          <w:lang w:val="es-VE"/>
        </w:rPr>
        <w:t xml:space="preserve">El </w:t>
      </w:r>
      <w:r w:rsidR="002C3C33" w:rsidRPr="002A35D9">
        <w:rPr>
          <w:rFonts w:asciiTheme="majorHAnsi" w:hAnsiTheme="majorHAnsi"/>
          <w:sz w:val="20"/>
          <w:szCs w:val="20"/>
          <w:lang w:val="es-VE"/>
        </w:rPr>
        <w:t xml:space="preserve">8 de mayo de 2002 el Agente Fiscal del Distrito de Tungurahua formuló acusación por el tipo penal de plagio en contra de </w:t>
      </w:r>
      <w:r w:rsidR="002C3C33" w:rsidRPr="002A35D9">
        <w:rPr>
          <w:rFonts w:ascii="Cambria" w:hAnsi="Cambria"/>
          <w:sz w:val="20"/>
          <w:szCs w:val="20"/>
          <w:lang w:val="es-ES"/>
        </w:rPr>
        <w:t>Luis Adan Segundo Bemos Casa,</w:t>
      </w:r>
      <w:r w:rsidR="002C3C33" w:rsidRPr="002A35D9">
        <w:rPr>
          <w:rStyle w:val="apple-converted-space"/>
          <w:rFonts w:ascii="Cambria" w:hAnsi="Cambria"/>
          <w:sz w:val="20"/>
          <w:szCs w:val="20"/>
          <w:lang w:val="es-ES"/>
        </w:rPr>
        <w:t xml:space="preserve"> </w:t>
      </w:r>
      <w:r w:rsidR="002C3C33" w:rsidRPr="002A35D9">
        <w:rPr>
          <w:rFonts w:ascii="Cambria" w:hAnsi="Cambria"/>
          <w:sz w:val="20"/>
          <w:szCs w:val="20"/>
          <w:lang w:val="es-ES"/>
        </w:rPr>
        <w:t>Macario Raúl Bayas Villacrés,</w:t>
      </w:r>
      <w:r w:rsidR="002C3C33" w:rsidRPr="002A35D9">
        <w:rPr>
          <w:rStyle w:val="apple-converted-space"/>
          <w:rFonts w:ascii="Cambria" w:hAnsi="Cambria"/>
          <w:sz w:val="20"/>
          <w:szCs w:val="20"/>
          <w:lang w:val="es-ES"/>
        </w:rPr>
        <w:t xml:space="preserve"> </w:t>
      </w:r>
      <w:r w:rsidR="002C3C33" w:rsidRPr="002A35D9">
        <w:rPr>
          <w:rFonts w:ascii="Cambria" w:hAnsi="Cambria"/>
          <w:sz w:val="20"/>
          <w:szCs w:val="20"/>
          <w:lang w:val="es-ES"/>
        </w:rPr>
        <w:t xml:space="preserve">Luis </w:t>
      </w:r>
      <w:r w:rsidR="008C7A48" w:rsidRPr="002A35D9">
        <w:rPr>
          <w:rFonts w:ascii="Cambria" w:hAnsi="Cambria"/>
          <w:sz w:val="20"/>
          <w:szCs w:val="20"/>
          <w:lang w:val="es-ES"/>
        </w:rPr>
        <w:t>Bolívar</w:t>
      </w:r>
      <w:r w:rsidR="002C3C33" w:rsidRPr="002A35D9">
        <w:rPr>
          <w:rFonts w:ascii="Cambria" w:hAnsi="Cambria"/>
          <w:sz w:val="20"/>
          <w:szCs w:val="20"/>
          <w:lang w:val="es-ES"/>
        </w:rPr>
        <w:t xml:space="preserve"> Tipan Salan,</w:t>
      </w:r>
      <w:r w:rsidR="002C3C33" w:rsidRPr="002A35D9">
        <w:rPr>
          <w:rStyle w:val="apple-converted-space"/>
          <w:rFonts w:ascii="Cambria" w:hAnsi="Cambria"/>
          <w:sz w:val="20"/>
          <w:szCs w:val="20"/>
          <w:lang w:val="es-ES"/>
        </w:rPr>
        <w:t> </w:t>
      </w:r>
      <w:r w:rsidR="002C3C33" w:rsidRPr="002A35D9">
        <w:rPr>
          <w:rFonts w:ascii="Cambria" w:hAnsi="Cambria"/>
          <w:sz w:val="20"/>
          <w:szCs w:val="20"/>
          <w:lang w:val="es-ES"/>
        </w:rPr>
        <w:t>Holger Adán Bemos Sánchez,</w:t>
      </w:r>
      <w:r w:rsidR="002C3C33" w:rsidRPr="002A35D9">
        <w:rPr>
          <w:rStyle w:val="apple-converted-space"/>
          <w:rFonts w:ascii="Cambria" w:hAnsi="Cambria"/>
          <w:sz w:val="20"/>
          <w:szCs w:val="20"/>
          <w:lang w:val="es-ES"/>
        </w:rPr>
        <w:t> </w:t>
      </w:r>
      <w:r w:rsidR="002C3C33" w:rsidRPr="002A35D9">
        <w:rPr>
          <w:rFonts w:ascii="Cambria" w:hAnsi="Cambria"/>
          <w:sz w:val="20"/>
          <w:szCs w:val="20"/>
          <w:lang w:val="es-ES"/>
        </w:rPr>
        <w:t>Fausto Aníbal Jerez Llamuca,</w:t>
      </w:r>
      <w:r w:rsidR="002C3C33" w:rsidRPr="002A35D9">
        <w:rPr>
          <w:rStyle w:val="apple-converted-space"/>
          <w:rFonts w:ascii="Cambria" w:hAnsi="Cambria"/>
          <w:sz w:val="20"/>
          <w:szCs w:val="20"/>
          <w:lang w:val="es-ES"/>
        </w:rPr>
        <w:t> </w:t>
      </w:r>
      <w:r w:rsidR="002C3C33" w:rsidRPr="002A35D9">
        <w:rPr>
          <w:rFonts w:ascii="Cambria" w:hAnsi="Cambria"/>
          <w:sz w:val="20"/>
          <w:szCs w:val="20"/>
          <w:lang w:val="es-ES"/>
        </w:rPr>
        <w:t>Edwin Absalón Cevallos Villacres y</w:t>
      </w:r>
      <w:r w:rsidR="002C3C33" w:rsidRPr="002A35D9">
        <w:rPr>
          <w:rStyle w:val="apple-converted-space"/>
          <w:rFonts w:ascii="Cambria" w:hAnsi="Cambria"/>
          <w:sz w:val="20"/>
          <w:szCs w:val="20"/>
          <w:lang w:val="es-ES"/>
        </w:rPr>
        <w:t> </w:t>
      </w:r>
      <w:r w:rsidR="002C3C33" w:rsidRPr="002A35D9">
        <w:rPr>
          <w:rFonts w:ascii="Cambria" w:hAnsi="Cambria"/>
          <w:sz w:val="20"/>
          <w:szCs w:val="20"/>
          <w:lang w:val="es-ES"/>
        </w:rPr>
        <w:t>María Umbelina Barreno Sánchez,</w:t>
      </w:r>
      <w:r w:rsidR="008C7A48" w:rsidRPr="002A35D9">
        <w:rPr>
          <w:rFonts w:ascii="Cambria" w:hAnsi="Cambria"/>
          <w:sz w:val="20"/>
          <w:szCs w:val="20"/>
          <w:lang w:val="es-ES"/>
        </w:rPr>
        <w:t xml:space="preserve"> </w:t>
      </w:r>
      <w:r w:rsidR="00716AC0" w:rsidRPr="002A35D9">
        <w:rPr>
          <w:rFonts w:ascii="Cambria" w:hAnsi="Cambria"/>
          <w:sz w:val="20"/>
          <w:szCs w:val="20"/>
          <w:lang w:val="es-ES"/>
        </w:rPr>
        <w:t xml:space="preserve">y </w:t>
      </w:r>
      <w:r w:rsidR="002C3C33" w:rsidRPr="002A35D9">
        <w:rPr>
          <w:rFonts w:ascii="Cambria" w:hAnsi="Cambria"/>
          <w:sz w:val="20"/>
          <w:szCs w:val="20"/>
          <w:lang w:val="es-ES"/>
        </w:rPr>
        <w:t>remiti</w:t>
      </w:r>
      <w:r w:rsidR="00716AC0" w:rsidRPr="002A35D9">
        <w:rPr>
          <w:rFonts w:ascii="Cambria" w:hAnsi="Cambria"/>
          <w:sz w:val="20"/>
          <w:szCs w:val="20"/>
          <w:lang w:val="es-ES"/>
        </w:rPr>
        <w:t>ó</w:t>
      </w:r>
      <w:r w:rsidR="002C3C33" w:rsidRPr="002A35D9">
        <w:rPr>
          <w:rFonts w:ascii="Cambria" w:hAnsi="Cambria"/>
          <w:sz w:val="20"/>
          <w:szCs w:val="20"/>
          <w:lang w:val="es-ES"/>
        </w:rPr>
        <w:t xml:space="preserve"> el proceso al Juzgado cuarto de lo penal de Tungurahua</w:t>
      </w:r>
      <w:r w:rsidR="007A5AFB" w:rsidRPr="002A35D9">
        <w:rPr>
          <w:rFonts w:ascii="Cambria" w:hAnsi="Cambria"/>
          <w:sz w:val="20"/>
          <w:szCs w:val="20"/>
          <w:lang w:val="es-ES"/>
        </w:rPr>
        <w:t xml:space="preserve"> en la misma fecha</w:t>
      </w:r>
      <w:r w:rsidR="002C3C33" w:rsidRPr="000A209E">
        <w:rPr>
          <w:rStyle w:val="FootnoteReference"/>
          <w:rFonts w:ascii="Cambria" w:hAnsi="Cambria"/>
          <w:sz w:val="20"/>
          <w:szCs w:val="20"/>
          <w:lang w:val="es-ES"/>
        </w:rPr>
        <w:footnoteReference w:id="37"/>
      </w:r>
      <w:r w:rsidR="002C3C33" w:rsidRPr="002A35D9">
        <w:rPr>
          <w:rFonts w:ascii="Cambria" w:hAnsi="Cambria"/>
          <w:sz w:val="20"/>
          <w:szCs w:val="20"/>
          <w:lang w:val="es-ES"/>
        </w:rPr>
        <w:t>.</w:t>
      </w:r>
    </w:p>
    <w:p w14:paraId="0C56AE95" w14:textId="77777777" w:rsidR="002A35D9" w:rsidRDefault="002A35D9" w:rsidP="002A35D9">
      <w:pPr>
        <w:pStyle w:val="ListParagraph"/>
        <w:rPr>
          <w:sz w:val="20"/>
          <w:szCs w:val="20"/>
          <w:lang w:val="es-ES"/>
        </w:rPr>
      </w:pPr>
    </w:p>
    <w:p w14:paraId="74744984" w14:textId="77777777" w:rsidR="002A35D9" w:rsidRDefault="002F7D05"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E</w:t>
      </w:r>
      <w:r w:rsidR="006A3951" w:rsidRPr="002A35D9">
        <w:rPr>
          <w:rFonts w:ascii="Cambria" w:hAnsi="Cambria"/>
          <w:sz w:val="20"/>
          <w:szCs w:val="20"/>
          <w:lang w:val="es-ES"/>
        </w:rPr>
        <w:t>l 1</w:t>
      </w:r>
      <w:r w:rsidR="000C49DD" w:rsidRPr="002A35D9">
        <w:rPr>
          <w:rFonts w:ascii="Cambria" w:hAnsi="Cambria"/>
          <w:sz w:val="20"/>
          <w:szCs w:val="20"/>
          <w:lang w:val="es-ES"/>
        </w:rPr>
        <w:t>0</w:t>
      </w:r>
      <w:r w:rsidR="001A6E20" w:rsidRPr="002A35D9">
        <w:rPr>
          <w:rFonts w:ascii="Cambria" w:hAnsi="Cambria"/>
          <w:sz w:val="20"/>
          <w:szCs w:val="20"/>
          <w:lang w:val="es-ES"/>
        </w:rPr>
        <w:t xml:space="preserve"> de mayo </w:t>
      </w:r>
      <w:r w:rsidR="00CB515C" w:rsidRPr="002A35D9">
        <w:rPr>
          <w:rFonts w:ascii="Cambria" w:hAnsi="Cambria"/>
          <w:sz w:val="20"/>
          <w:szCs w:val="20"/>
          <w:lang w:val="es-ES"/>
        </w:rPr>
        <w:t xml:space="preserve">2002 </w:t>
      </w:r>
      <w:r w:rsidR="001A6E20" w:rsidRPr="002A35D9">
        <w:rPr>
          <w:rFonts w:ascii="Cambria" w:hAnsi="Cambria"/>
          <w:sz w:val="20"/>
          <w:szCs w:val="20"/>
          <w:lang w:val="es-ES"/>
        </w:rPr>
        <w:t xml:space="preserve">el </w:t>
      </w:r>
      <w:r w:rsidR="003A5367" w:rsidRPr="002A35D9">
        <w:rPr>
          <w:rFonts w:ascii="Cambria" w:hAnsi="Cambria"/>
          <w:sz w:val="20"/>
          <w:szCs w:val="20"/>
          <w:lang w:val="es-ES"/>
        </w:rPr>
        <w:t>J</w:t>
      </w:r>
      <w:r w:rsidR="00CB515C" w:rsidRPr="002A35D9">
        <w:rPr>
          <w:rFonts w:ascii="Cambria" w:hAnsi="Cambria"/>
          <w:sz w:val="20"/>
          <w:szCs w:val="20"/>
          <w:lang w:val="es-ES"/>
        </w:rPr>
        <w:t>uzgado Cuarto de lo P</w:t>
      </w:r>
      <w:r w:rsidR="001A6E20" w:rsidRPr="002A35D9">
        <w:rPr>
          <w:rFonts w:ascii="Cambria" w:hAnsi="Cambria"/>
          <w:sz w:val="20"/>
          <w:szCs w:val="20"/>
          <w:lang w:val="es-ES"/>
        </w:rPr>
        <w:t>enal</w:t>
      </w:r>
      <w:r w:rsidR="00CB515C" w:rsidRPr="002A35D9">
        <w:rPr>
          <w:rFonts w:ascii="Cambria" w:hAnsi="Cambria"/>
          <w:sz w:val="20"/>
          <w:szCs w:val="20"/>
          <w:lang w:val="es-ES"/>
        </w:rPr>
        <w:t xml:space="preserve"> de Tungurahua </w:t>
      </w:r>
      <w:r w:rsidR="003A5367" w:rsidRPr="002A35D9">
        <w:rPr>
          <w:rFonts w:ascii="Cambria" w:hAnsi="Cambria"/>
          <w:sz w:val="20"/>
          <w:szCs w:val="20"/>
          <w:lang w:val="es-ES"/>
        </w:rPr>
        <w:t>ordenó</w:t>
      </w:r>
      <w:r w:rsidR="00602231" w:rsidRPr="002A35D9">
        <w:rPr>
          <w:rFonts w:ascii="Cambria" w:hAnsi="Cambria"/>
          <w:sz w:val="20"/>
          <w:szCs w:val="20"/>
          <w:lang w:val="es-ES"/>
        </w:rPr>
        <w:t xml:space="preserve"> la prisión prev</w:t>
      </w:r>
      <w:r w:rsidR="00E23321" w:rsidRPr="002A35D9">
        <w:rPr>
          <w:rFonts w:ascii="Cambria" w:hAnsi="Cambria"/>
          <w:sz w:val="20"/>
          <w:szCs w:val="20"/>
          <w:lang w:val="es-ES"/>
        </w:rPr>
        <w:t>entiva de los siete imputados, c</w:t>
      </w:r>
      <w:r w:rsidR="00602231" w:rsidRPr="002A35D9">
        <w:rPr>
          <w:rFonts w:ascii="Cambria" w:hAnsi="Cambria"/>
          <w:sz w:val="20"/>
          <w:szCs w:val="20"/>
          <w:lang w:val="es-ES"/>
        </w:rPr>
        <w:t>omo autores de</w:t>
      </w:r>
      <w:r w:rsidR="005B1C3B" w:rsidRPr="002A35D9">
        <w:rPr>
          <w:rFonts w:ascii="Cambria" w:hAnsi="Cambria"/>
          <w:sz w:val="20"/>
          <w:szCs w:val="20"/>
          <w:lang w:val="es-ES"/>
        </w:rPr>
        <w:t>l del</w:t>
      </w:r>
      <w:r w:rsidR="00716AC0" w:rsidRPr="002A35D9">
        <w:rPr>
          <w:rFonts w:ascii="Cambria" w:hAnsi="Cambria"/>
          <w:sz w:val="20"/>
          <w:szCs w:val="20"/>
          <w:lang w:val="es-ES"/>
        </w:rPr>
        <w:t>ito de plagio y además los acusó</w:t>
      </w:r>
      <w:r w:rsidR="005B1C3B" w:rsidRPr="002A35D9">
        <w:rPr>
          <w:rFonts w:ascii="Cambria" w:hAnsi="Cambria"/>
          <w:sz w:val="20"/>
          <w:szCs w:val="20"/>
          <w:lang w:val="es-ES"/>
        </w:rPr>
        <w:t xml:space="preserve"> por el delito</w:t>
      </w:r>
      <w:r w:rsidR="00602231" w:rsidRPr="002A35D9">
        <w:rPr>
          <w:rFonts w:ascii="Cambria" w:hAnsi="Cambria"/>
          <w:sz w:val="20"/>
          <w:szCs w:val="20"/>
          <w:lang w:val="es-ES"/>
        </w:rPr>
        <w:t xml:space="preserve"> de conspiración para discordia civil</w:t>
      </w:r>
      <w:r w:rsidR="00602231" w:rsidRPr="000A209E">
        <w:rPr>
          <w:rStyle w:val="FootnoteReference"/>
          <w:rFonts w:ascii="Cambria" w:hAnsi="Cambria"/>
          <w:sz w:val="20"/>
          <w:szCs w:val="20"/>
          <w:lang w:val="es-ES"/>
        </w:rPr>
        <w:footnoteReference w:id="38"/>
      </w:r>
      <w:r w:rsidR="007B36D7" w:rsidRPr="002A35D9">
        <w:rPr>
          <w:rFonts w:ascii="Cambria" w:hAnsi="Cambria"/>
          <w:sz w:val="20"/>
          <w:szCs w:val="20"/>
          <w:lang w:val="es-ES"/>
        </w:rPr>
        <w:t>.</w:t>
      </w:r>
      <w:r w:rsidR="00D06796" w:rsidRPr="002A35D9">
        <w:rPr>
          <w:rFonts w:ascii="Cambria" w:hAnsi="Cambria"/>
          <w:sz w:val="20"/>
          <w:szCs w:val="20"/>
          <w:lang w:val="es-ES"/>
        </w:rPr>
        <w:t xml:space="preserve"> </w:t>
      </w:r>
    </w:p>
    <w:p w14:paraId="2C35406B" w14:textId="77777777" w:rsidR="002A35D9" w:rsidRDefault="002A35D9" w:rsidP="002A35D9">
      <w:pPr>
        <w:pStyle w:val="ListParagraph"/>
        <w:rPr>
          <w:sz w:val="20"/>
          <w:szCs w:val="20"/>
          <w:lang w:val="es-ES"/>
        </w:rPr>
      </w:pPr>
    </w:p>
    <w:p w14:paraId="11F51F44" w14:textId="77777777" w:rsidR="002A35D9" w:rsidRDefault="00CE747A"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 xml:space="preserve">El 30 de junio de 2002 la Central de Juntas del Campesinado del </w:t>
      </w:r>
      <w:r w:rsidR="00E3057C" w:rsidRPr="002A35D9">
        <w:rPr>
          <w:rFonts w:ascii="Cambria" w:hAnsi="Cambria"/>
          <w:sz w:val="20"/>
          <w:szCs w:val="20"/>
          <w:lang w:val="es-ES"/>
        </w:rPr>
        <w:t>Cantón</w:t>
      </w:r>
      <w:r w:rsidRPr="002A35D9">
        <w:rPr>
          <w:rFonts w:ascii="Cambria" w:hAnsi="Cambria"/>
          <w:sz w:val="20"/>
          <w:szCs w:val="20"/>
          <w:lang w:val="es-ES"/>
        </w:rPr>
        <w:t xml:space="preserve"> Quero solicitó al Ministro Fiscal de Tungurahua la liberación de las personas detenidas argumentando su inocencia y refirió que </w:t>
      </w:r>
      <w:r w:rsidR="001D2179" w:rsidRPr="002A35D9">
        <w:rPr>
          <w:rFonts w:ascii="Cambria" w:hAnsi="Cambria"/>
          <w:sz w:val="20"/>
          <w:szCs w:val="20"/>
          <w:lang w:val="es-ES"/>
        </w:rPr>
        <w:t>si bien cansados de soportar los abusos que venía cometiendo la presunta víctima, fue llevada al calabozo del campesinado, esta se fugó de allí y ha pasado a formar parte</w:t>
      </w:r>
      <w:r w:rsidR="00E3057C" w:rsidRPr="002A35D9">
        <w:rPr>
          <w:rFonts w:ascii="Cambria" w:hAnsi="Cambria"/>
          <w:sz w:val="20"/>
          <w:szCs w:val="20"/>
          <w:lang w:val="es-ES"/>
        </w:rPr>
        <w:t xml:space="preserve"> </w:t>
      </w:r>
      <w:r w:rsidR="001D2179" w:rsidRPr="002A35D9">
        <w:rPr>
          <w:rFonts w:ascii="Cambria" w:hAnsi="Cambria"/>
          <w:sz w:val="20"/>
          <w:szCs w:val="20"/>
          <w:lang w:val="es-ES"/>
        </w:rPr>
        <w:t xml:space="preserve">de las FARC de Colombia. Indicó que además que, </w:t>
      </w:r>
      <w:r w:rsidRPr="002A35D9">
        <w:rPr>
          <w:rFonts w:ascii="Cambria" w:hAnsi="Cambria"/>
          <w:sz w:val="20"/>
          <w:szCs w:val="20"/>
          <w:lang w:val="es-ES"/>
        </w:rPr>
        <w:t>“por la favorable atención que sabrá dar a la presente seguros que no vamos a tener ningún inconveniente a nuestra petición porque caso contrario el alto respeto que tenemos a las altas autoridades y la</w:t>
      </w:r>
      <w:r w:rsidR="00852948" w:rsidRPr="002A35D9">
        <w:rPr>
          <w:rFonts w:ascii="Cambria" w:hAnsi="Cambria"/>
          <w:sz w:val="20"/>
          <w:szCs w:val="20"/>
          <w:lang w:val="es-ES"/>
        </w:rPr>
        <w:t xml:space="preserve"> </w:t>
      </w:r>
      <w:r w:rsidRPr="002A35D9">
        <w:rPr>
          <w:rFonts w:ascii="Cambria" w:hAnsi="Cambria"/>
          <w:sz w:val="20"/>
          <w:szCs w:val="20"/>
          <w:lang w:val="es-ES"/>
        </w:rPr>
        <w:t>Policía, no quisiéramos entrar en inconvenientes y peor llegar algún enfrentamiento”. Asimismo, refirió que “el único delito que cometemos es de vivir de nuestro trabajo y de algún modo convatir</w:t>
      </w:r>
      <w:r w:rsidR="001D2179" w:rsidRPr="002A35D9">
        <w:rPr>
          <w:rFonts w:ascii="Cambria" w:hAnsi="Cambria"/>
          <w:sz w:val="20"/>
          <w:szCs w:val="20"/>
          <w:lang w:val="es-ES"/>
        </w:rPr>
        <w:t xml:space="preserve"> (sic)</w:t>
      </w:r>
      <w:r w:rsidRPr="002A35D9">
        <w:rPr>
          <w:rFonts w:ascii="Cambria" w:hAnsi="Cambria"/>
          <w:sz w:val="20"/>
          <w:szCs w:val="20"/>
          <w:lang w:val="es-ES"/>
        </w:rPr>
        <w:t xml:space="preserve"> al delincuente”</w:t>
      </w:r>
      <w:r w:rsidR="001D2179" w:rsidRPr="00F17A3D">
        <w:rPr>
          <w:rStyle w:val="FootnoteReference"/>
          <w:rFonts w:ascii="Cambria" w:hAnsi="Cambria"/>
          <w:sz w:val="20"/>
          <w:szCs w:val="20"/>
          <w:lang w:val="es-ES"/>
        </w:rPr>
        <w:footnoteReference w:id="39"/>
      </w:r>
      <w:r w:rsidRPr="002A35D9">
        <w:rPr>
          <w:rFonts w:ascii="Cambria" w:hAnsi="Cambria"/>
          <w:sz w:val="20"/>
          <w:szCs w:val="20"/>
          <w:lang w:val="es-ES"/>
        </w:rPr>
        <w:t xml:space="preserve">. </w:t>
      </w:r>
    </w:p>
    <w:p w14:paraId="03BD37BE" w14:textId="77777777" w:rsidR="002A35D9" w:rsidRDefault="002A35D9" w:rsidP="002A35D9">
      <w:pPr>
        <w:pStyle w:val="ListParagraph"/>
        <w:rPr>
          <w:sz w:val="20"/>
          <w:szCs w:val="20"/>
          <w:lang w:val="es-ES"/>
        </w:rPr>
      </w:pPr>
    </w:p>
    <w:p w14:paraId="0D1024CE" w14:textId="77777777" w:rsidR="002A35D9" w:rsidRDefault="00183208"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El 11</w:t>
      </w:r>
      <w:r w:rsidR="0039497A" w:rsidRPr="002A35D9">
        <w:rPr>
          <w:rFonts w:ascii="Cambria" w:hAnsi="Cambria"/>
          <w:sz w:val="20"/>
          <w:szCs w:val="20"/>
          <w:lang w:val="es-ES"/>
        </w:rPr>
        <w:t xml:space="preserve"> de julio de 2002 los </w:t>
      </w:r>
      <w:r w:rsidR="00FF4075" w:rsidRPr="002A35D9">
        <w:rPr>
          <w:rFonts w:ascii="Cambria" w:hAnsi="Cambria"/>
          <w:sz w:val="20"/>
          <w:szCs w:val="20"/>
          <w:lang w:val="es-ES"/>
        </w:rPr>
        <w:t xml:space="preserve">imputados </w:t>
      </w:r>
      <w:r w:rsidR="0039497A" w:rsidRPr="002A35D9">
        <w:rPr>
          <w:rFonts w:ascii="Cambria" w:hAnsi="Cambria"/>
          <w:sz w:val="20"/>
          <w:szCs w:val="20"/>
          <w:lang w:val="es-ES"/>
        </w:rPr>
        <w:t>interpusieron</w:t>
      </w:r>
      <w:r w:rsidR="00EA5D72" w:rsidRPr="002A35D9">
        <w:rPr>
          <w:rFonts w:ascii="Cambria" w:hAnsi="Cambria"/>
          <w:sz w:val="20"/>
          <w:szCs w:val="20"/>
          <w:lang w:val="es-ES"/>
        </w:rPr>
        <w:t xml:space="preserve"> un </w:t>
      </w:r>
      <w:r w:rsidR="00FF4075" w:rsidRPr="002A35D9">
        <w:rPr>
          <w:rFonts w:ascii="Cambria" w:hAnsi="Cambria"/>
          <w:sz w:val="20"/>
          <w:szCs w:val="20"/>
          <w:lang w:val="es-ES"/>
        </w:rPr>
        <w:t xml:space="preserve">recurso de amparo de </w:t>
      </w:r>
      <w:r w:rsidR="00716AC0" w:rsidRPr="002A35D9">
        <w:rPr>
          <w:rFonts w:ascii="Cambria" w:hAnsi="Cambria"/>
          <w:sz w:val="20"/>
          <w:szCs w:val="20"/>
          <w:lang w:val="es-ES"/>
        </w:rPr>
        <w:t>libertad en contra de la Jueza Cuarto de lo P</w:t>
      </w:r>
      <w:r w:rsidR="00FF4075" w:rsidRPr="002A35D9">
        <w:rPr>
          <w:rFonts w:ascii="Cambria" w:hAnsi="Cambria"/>
          <w:sz w:val="20"/>
          <w:szCs w:val="20"/>
          <w:lang w:val="es-ES"/>
        </w:rPr>
        <w:t>enal de Tungurahua</w:t>
      </w:r>
      <w:r w:rsidR="003724EF" w:rsidRPr="000A209E">
        <w:rPr>
          <w:rStyle w:val="FootnoteReference"/>
          <w:rFonts w:ascii="Cambria" w:hAnsi="Cambria"/>
          <w:sz w:val="20"/>
          <w:szCs w:val="20"/>
          <w:lang w:val="es-ES"/>
        </w:rPr>
        <w:footnoteReference w:id="40"/>
      </w:r>
      <w:r w:rsidR="00716AC0" w:rsidRPr="002A35D9">
        <w:rPr>
          <w:rFonts w:ascii="Cambria" w:hAnsi="Cambria"/>
          <w:sz w:val="20"/>
          <w:szCs w:val="20"/>
          <w:lang w:val="es-ES"/>
        </w:rPr>
        <w:t xml:space="preserve"> ante la Corte Superior de Justicia de Tungurahua, argumentando la </w:t>
      </w:r>
      <w:r w:rsidR="00716AC0" w:rsidRPr="002A35D9">
        <w:rPr>
          <w:rFonts w:ascii="Cambria" w:hAnsi="Cambria"/>
          <w:sz w:val="20"/>
          <w:szCs w:val="20"/>
          <w:lang w:val="es-ES"/>
        </w:rPr>
        <w:lastRenderedPageBreak/>
        <w:t>falta de motivación de la Jueza al momento de expedir la orden captura, la cual generó violaciones al debido proceso y falta de seguridad jurídica</w:t>
      </w:r>
      <w:r w:rsidR="008B2AA3" w:rsidRPr="000A209E">
        <w:rPr>
          <w:rStyle w:val="FootnoteReference"/>
          <w:rFonts w:ascii="Cambria" w:hAnsi="Cambria"/>
          <w:sz w:val="20"/>
          <w:szCs w:val="20"/>
          <w:lang w:val="es-ES"/>
        </w:rPr>
        <w:footnoteReference w:id="41"/>
      </w:r>
      <w:r w:rsidR="008B2AA3" w:rsidRPr="002A35D9">
        <w:rPr>
          <w:rFonts w:ascii="Cambria" w:hAnsi="Cambria"/>
          <w:sz w:val="20"/>
          <w:szCs w:val="20"/>
          <w:lang w:val="es-ES"/>
        </w:rPr>
        <w:t xml:space="preserve">. </w:t>
      </w:r>
    </w:p>
    <w:p w14:paraId="3F60AFD4" w14:textId="77777777" w:rsidR="002A35D9" w:rsidRDefault="002A35D9" w:rsidP="002A35D9">
      <w:pPr>
        <w:pStyle w:val="ListParagraph"/>
        <w:rPr>
          <w:rFonts w:asciiTheme="majorHAnsi" w:hAnsiTheme="majorHAnsi"/>
          <w:sz w:val="20"/>
          <w:szCs w:val="20"/>
          <w:lang w:val="es-VE"/>
        </w:rPr>
      </w:pPr>
    </w:p>
    <w:p w14:paraId="7B462C4F" w14:textId="77777777" w:rsidR="002A35D9" w:rsidRDefault="00716AC0"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Theme="majorHAnsi" w:hAnsiTheme="majorHAnsi"/>
          <w:sz w:val="20"/>
          <w:szCs w:val="20"/>
          <w:lang w:val="es-VE"/>
        </w:rPr>
        <w:t xml:space="preserve">El 17 de julio de 2002 </w:t>
      </w:r>
      <w:r w:rsidR="00515532" w:rsidRPr="002A35D9">
        <w:rPr>
          <w:rFonts w:asciiTheme="majorHAnsi" w:hAnsiTheme="majorHAnsi"/>
          <w:sz w:val="20"/>
          <w:szCs w:val="20"/>
          <w:lang w:val="es-ES"/>
        </w:rPr>
        <w:t xml:space="preserve">el </w:t>
      </w:r>
      <w:r w:rsidR="00C23DFB" w:rsidRPr="002A35D9">
        <w:rPr>
          <w:rFonts w:asciiTheme="majorHAnsi" w:hAnsiTheme="majorHAnsi"/>
          <w:sz w:val="20"/>
          <w:szCs w:val="20"/>
          <w:lang w:val="es-ES"/>
        </w:rPr>
        <w:t>Juzgado Cuarto de lo Penal de Tungurahua</w:t>
      </w:r>
      <w:r w:rsidR="00686985" w:rsidRPr="002A35D9">
        <w:rPr>
          <w:rFonts w:asciiTheme="majorHAnsi" w:hAnsiTheme="majorHAnsi"/>
          <w:sz w:val="20"/>
          <w:szCs w:val="20"/>
          <w:lang w:val="es-ES"/>
        </w:rPr>
        <w:t xml:space="preserve"> informó a la Corte Superior de Justicia de Tungurahua que la decisión de prisión preventiva se basó en cinco pruebas: la denuncia contra los supuestos autores por parte de la presunta víctima, el informe médico </w:t>
      </w:r>
      <w:r w:rsidR="00FE29BC" w:rsidRPr="002A35D9">
        <w:rPr>
          <w:rFonts w:asciiTheme="majorHAnsi" w:hAnsiTheme="majorHAnsi"/>
          <w:sz w:val="20"/>
          <w:szCs w:val="20"/>
          <w:lang w:val="es-ES"/>
        </w:rPr>
        <w:t>de Octavio Morales y fotografías que comprueban su detención al igual que la de Marcelo Núñez Naranjo en el destacamento del cantó</w:t>
      </w:r>
      <w:r w:rsidR="00686985" w:rsidRPr="002A35D9">
        <w:rPr>
          <w:rFonts w:asciiTheme="majorHAnsi" w:hAnsiTheme="majorHAnsi"/>
          <w:sz w:val="20"/>
          <w:szCs w:val="20"/>
          <w:lang w:val="es-ES"/>
        </w:rPr>
        <w:t>n Quero,</w:t>
      </w:r>
      <w:r w:rsidR="00EB4701" w:rsidRPr="002A35D9">
        <w:rPr>
          <w:rFonts w:asciiTheme="majorHAnsi" w:hAnsiTheme="majorHAnsi"/>
          <w:sz w:val="20"/>
          <w:szCs w:val="20"/>
          <w:lang w:val="es-ES"/>
        </w:rPr>
        <w:t xml:space="preserve"> el reconocimiento </w:t>
      </w:r>
      <w:r w:rsidR="00686985" w:rsidRPr="002A35D9">
        <w:rPr>
          <w:rFonts w:asciiTheme="majorHAnsi" w:hAnsiTheme="majorHAnsi"/>
          <w:sz w:val="20"/>
          <w:szCs w:val="20"/>
          <w:lang w:val="es-ES"/>
        </w:rPr>
        <w:t>en el</w:t>
      </w:r>
      <w:r w:rsidR="00E3057C" w:rsidRPr="002A35D9">
        <w:rPr>
          <w:rFonts w:asciiTheme="majorHAnsi" w:hAnsiTheme="majorHAnsi"/>
          <w:sz w:val="20"/>
          <w:szCs w:val="20"/>
          <w:lang w:val="es-ES"/>
        </w:rPr>
        <w:t xml:space="preserve"> </w:t>
      </w:r>
      <w:r w:rsidR="00686985" w:rsidRPr="002A35D9">
        <w:rPr>
          <w:rFonts w:asciiTheme="majorHAnsi" w:hAnsiTheme="majorHAnsi"/>
          <w:sz w:val="20"/>
          <w:szCs w:val="20"/>
          <w:lang w:val="es-ES"/>
        </w:rPr>
        <w:t>Destacamento de Policía del C</w:t>
      </w:r>
      <w:r w:rsidR="00EB4701" w:rsidRPr="002A35D9">
        <w:rPr>
          <w:rFonts w:asciiTheme="majorHAnsi" w:hAnsiTheme="majorHAnsi"/>
          <w:sz w:val="20"/>
          <w:szCs w:val="20"/>
          <w:lang w:val="es-ES"/>
        </w:rPr>
        <w:t>antón Quero</w:t>
      </w:r>
      <w:r w:rsidR="00686985" w:rsidRPr="002A35D9">
        <w:rPr>
          <w:rFonts w:asciiTheme="majorHAnsi" w:hAnsiTheme="majorHAnsi"/>
          <w:sz w:val="20"/>
          <w:szCs w:val="20"/>
          <w:lang w:val="es-ES"/>
        </w:rPr>
        <w:t>, los partes policiales que dejan constancia de los hechos, y la versión del denunciante. Refirió que lo anterior generó indicios suf</w:t>
      </w:r>
      <w:r w:rsidR="00D26754" w:rsidRPr="002A35D9">
        <w:rPr>
          <w:rFonts w:asciiTheme="majorHAnsi" w:hAnsiTheme="majorHAnsi"/>
          <w:sz w:val="20"/>
          <w:szCs w:val="20"/>
          <w:lang w:val="es-ES"/>
        </w:rPr>
        <w:t>icientes para la medida dictada</w:t>
      </w:r>
      <w:r w:rsidR="00BE0AD9" w:rsidRPr="00716AC0">
        <w:rPr>
          <w:rStyle w:val="FootnoteReference"/>
          <w:rFonts w:asciiTheme="majorHAnsi" w:hAnsiTheme="majorHAnsi"/>
          <w:sz w:val="20"/>
          <w:szCs w:val="20"/>
          <w:lang w:val="es-ES"/>
        </w:rPr>
        <w:footnoteReference w:id="42"/>
      </w:r>
      <w:r w:rsidR="00BE0AD9" w:rsidRPr="002A35D9">
        <w:rPr>
          <w:rFonts w:asciiTheme="majorHAnsi" w:hAnsiTheme="majorHAnsi"/>
          <w:sz w:val="20"/>
          <w:szCs w:val="20"/>
          <w:lang w:val="es-ES"/>
        </w:rPr>
        <w:t xml:space="preserve">. </w:t>
      </w:r>
    </w:p>
    <w:p w14:paraId="4E1EB9CD" w14:textId="77777777" w:rsidR="002A35D9" w:rsidRDefault="002A35D9" w:rsidP="002A35D9">
      <w:pPr>
        <w:pStyle w:val="ListParagraph"/>
        <w:rPr>
          <w:sz w:val="20"/>
          <w:szCs w:val="20"/>
          <w:lang w:val="es-ES"/>
        </w:rPr>
      </w:pPr>
    </w:p>
    <w:p w14:paraId="0BCAC4EB" w14:textId="77777777" w:rsidR="002A35D9" w:rsidRDefault="00956270"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 xml:space="preserve">El 31 de julio de 2002, la </w:t>
      </w:r>
      <w:r w:rsidR="00D26754" w:rsidRPr="002A35D9">
        <w:rPr>
          <w:rFonts w:ascii="Cambria" w:hAnsi="Cambria"/>
          <w:sz w:val="20"/>
          <w:szCs w:val="20"/>
          <w:lang w:val="es-ES"/>
        </w:rPr>
        <w:t>Segunda S</w:t>
      </w:r>
      <w:r w:rsidR="00B71C28" w:rsidRPr="002A35D9">
        <w:rPr>
          <w:rFonts w:ascii="Cambria" w:hAnsi="Cambria"/>
          <w:sz w:val="20"/>
          <w:szCs w:val="20"/>
          <w:lang w:val="es-ES"/>
        </w:rPr>
        <w:t xml:space="preserve">ala de la </w:t>
      </w:r>
      <w:r w:rsidRPr="002A35D9">
        <w:rPr>
          <w:rFonts w:ascii="Cambria" w:hAnsi="Cambria"/>
          <w:sz w:val="20"/>
          <w:szCs w:val="20"/>
          <w:lang w:val="es-ES"/>
        </w:rPr>
        <w:t xml:space="preserve">Corte Superior de Justicia de Tungurahua </w:t>
      </w:r>
      <w:r w:rsidR="00D26754" w:rsidRPr="002A35D9">
        <w:rPr>
          <w:rFonts w:ascii="Cambria" w:hAnsi="Cambria"/>
          <w:sz w:val="20"/>
          <w:szCs w:val="20"/>
          <w:lang w:val="es-ES"/>
        </w:rPr>
        <w:t xml:space="preserve">otorgó el recurso de amparo de libertad argumentando que </w:t>
      </w:r>
      <w:r w:rsidR="000F7569" w:rsidRPr="002A35D9">
        <w:rPr>
          <w:rFonts w:ascii="Cambria" w:hAnsi="Cambria"/>
          <w:sz w:val="20"/>
          <w:szCs w:val="20"/>
          <w:lang w:val="es-ES"/>
        </w:rPr>
        <w:t>a</w:t>
      </w:r>
      <w:r w:rsidR="003C7C37" w:rsidRPr="002A35D9">
        <w:rPr>
          <w:rFonts w:ascii="Cambria" w:hAnsi="Cambria"/>
          <w:sz w:val="20"/>
          <w:szCs w:val="20"/>
          <w:lang w:val="es-ES"/>
        </w:rPr>
        <w:t>unque existan indicios suficientes para determinar que existió un delito de acción pública, hacen falta indicios claros y precisos para demostrar que los imputados fueron los autores o cómplices del mismo</w:t>
      </w:r>
      <w:r w:rsidR="000F7569" w:rsidRPr="002A35D9">
        <w:rPr>
          <w:rFonts w:ascii="Cambria" w:hAnsi="Cambria"/>
          <w:sz w:val="20"/>
          <w:szCs w:val="20"/>
          <w:lang w:val="es-ES"/>
        </w:rPr>
        <w:t>, pues considera que la información recae sobre un conglomerado humano que no permite individualizar a los actuantes</w:t>
      </w:r>
      <w:r w:rsidR="003C7C37" w:rsidRPr="000A209E">
        <w:rPr>
          <w:rStyle w:val="FootnoteReference"/>
          <w:rFonts w:ascii="Cambria" w:hAnsi="Cambria"/>
          <w:sz w:val="20"/>
          <w:szCs w:val="20"/>
          <w:lang w:val="es-ES"/>
        </w:rPr>
        <w:footnoteReference w:id="43"/>
      </w:r>
      <w:r w:rsidR="003C7C37" w:rsidRPr="002A35D9">
        <w:rPr>
          <w:rFonts w:ascii="Cambria" w:hAnsi="Cambria"/>
          <w:sz w:val="20"/>
          <w:szCs w:val="20"/>
          <w:lang w:val="es-ES"/>
        </w:rPr>
        <w:t xml:space="preserve">. </w:t>
      </w:r>
    </w:p>
    <w:p w14:paraId="7CF11DDF" w14:textId="77777777" w:rsidR="002A35D9" w:rsidRDefault="002A35D9" w:rsidP="002A35D9">
      <w:pPr>
        <w:pStyle w:val="ListParagraph"/>
        <w:rPr>
          <w:sz w:val="20"/>
          <w:szCs w:val="20"/>
          <w:lang w:val="es-ES"/>
        </w:rPr>
      </w:pPr>
    </w:p>
    <w:p w14:paraId="4913DE2F" w14:textId="77777777" w:rsidR="002A35D9" w:rsidRDefault="002B2FB6"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 xml:space="preserve">El 10 de diciembre de 2002 se llevó a cabo la audiencia </w:t>
      </w:r>
      <w:r w:rsidR="007A0BEF" w:rsidRPr="002A35D9">
        <w:rPr>
          <w:rFonts w:ascii="Cambria" w:hAnsi="Cambria"/>
          <w:sz w:val="20"/>
          <w:szCs w:val="20"/>
          <w:lang w:val="es-ES"/>
        </w:rPr>
        <w:t>preliminar</w:t>
      </w:r>
      <w:r w:rsidRPr="000A209E">
        <w:rPr>
          <w:rStyle w:val="FootnoteReference"/>
          <w:rFonts w:ascii="Cambria" w:hAnsi="Cambria"/>
          <w:sz w:val="20"/>
          <w:szCs w:val="20"/>
          <w:lang w:val="es-ES"/>
        </w:rPr>
        <w:footnoteReference w:id="44"/>
      </w:r>
      <w:r w:rsidR="007A0BEF" w:rsidRPr="002A35D9">
        <w:rPr>
          <w:rFonts w:ascii="Cambria" w:hAnsi="Cambria"/>
          <w:sz w:val="20"/>
          <w:szCs w:val="20"/>
          <w:lang w:val="es-ES"/>
        </w:rPr>
        <w:t>.</w:t>
      </w:r>
    </w:p>
    <w:p w14:paraId="1A3F99C0" w14:textId="77777777" w:rsidR="002A35D9" w:rsidRDefault="002A35D9" w:rsidP="002A35D9">
      <w:pPr>
        <w:pStyle w:val="ListParagraph"/>
        <w:rPr>
          <w:sz w:val="20"/>
          <w:szCs w:val="20"/>
          <w:lang w:val="es-ES"/>
        </w:rPr>
      </w:pPr>
    </w:p>
    <w:p w14:paraId="14FA2B13" w14:textId="77777777" w:rsidR="002A35D9" w:rsidRDefault="007A0BEF"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 xml:space="preserve">El 11 de diciembre de 2002 la Jueza Cuarta de lo Penal de Tungurahua decretó el sobreseimiento provisional </w:t>
      </w:r>
      <w:bookmarkStart w:id="11" w:name="_Toc519601824"/>
      <w:r w:rsidR="00BF7B26" w:rsidRPr="002A35D9">
        <w:rPr>
          <w:rFonts w:ascii="Cambria" w:hAnsi="Cambria"/>
          <w:sz w:val="20"/>
          <w:szCs w:val="20"/>
          <w:lang w:val="es-ES"/>
        </w:rPr>
        <w:t>subrayando que la prueba obtenida durante la etapa indagatoria no cumplió con la Ley Orgánica del Ministerio Público</w:t>
      </w:r>
      <w:r w:rsidR="000C4A9B" w:rsidRPr="002A35D9">
        <w:rPr>
          <w:rFonts w:ascii="Cambria" w:hAnsi="Cambria"/>
          <w:sz w:val="20"/>
          <w:szCs w:val="20"/>
          <w:lang w:val="es-ES"/>
        </w:rPr>
        <w:t xml:space="preserve"> y que en la etapa de instrucción no se realizó diligencia alguna</w:t>
      </w:r>
      <w:r w:rsidR="00BF7B26" w:rsidRPr="002A35D9">
        <w:rPr>
          <w:rFonts w:ascii="Cambria" w:hAnsi="Cambria"/>
          <w:sz w:val="20"/>
          <w:szCs w:val="20"/>
          <w:lang w:val="es-ES"/>
        </w:rPr>
        <w:t>. Al respecto indicó que:</w:t>
      </w:r>
    </w:p>
    <w:p w14:paraId="5C5346F3" w14:textId="77777777" w:rsidR="002A35D9" w:rsidRDefault="002A35D9" w:rsidP="002A35D9">
      <w:pPr>
        <w:pStyle w:val="ListParagraph"/>
        <w:rPr>
          <w:sz w:val="20"/>
          <w:szCs w:val="20"/>
          <w:lang w:val="es-ES"/>
        </w:rPr>
      </w:pPr>
    </w:p>
    <w:p w14:paraId="01D5CA53" w14:textId="77777777" w:rsidR="00BF7B26" w:rsidRPr="002A35D9" w:rsidRDefault="00BF7B26" w:rsidP="0065163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720" w:right="720"/>
        <w:jc w:val="both"/>
        <w:rPr>
          <w:rFonts w:ascii="Cambria" w:hAnsi="Cambria"/>
          <w:sz w:val="20"/>
          <w:szCs w:val="20"/>
          <w:lang w:val="es-ES"/>
        </w:rPr>
      </w:pPr>
      <w:r w:rsidRPr="002A35D9">
        <w:rPr>
          <w:rFonts w:ascii="Cambria" w:hAnsi="Cambria"/>
          <w:sz w:val="20"/>
          <w:szCs w:val="20"/>
          <w:lang w:val="es-ES"/>
        </w:rPr>
        <w:t>(…) la etapa indagatoria es optativa del fiscal, y no es condición “sine qua non” para iniciar la Instrucción Fiscal, sin embargo si debe cumplir ciertos requisitos, al respecto el Art. 26 de la Ley Orgánica del Ministerio Público establece que el Ministerio Público debe garantizar la intervención de la defensa de los imputados en las indagaciones previas y las investigaciones procesales por delitos perseguibles de oficio quienes deberán ser citados y notificados para los efectos de intervenir en las diligencias probatorias (…)</w:t>
      </w:r>
    </w:p>
    <w:p w14:paraId="01BF70CD" w14:textId="77777777" w:rsidR="00BF7B26" w:rsidRDefault="00BF7B26" w:rsidP="0065163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p>
    <w:p w14:paraId="2857271E" w14:textId="77777777" w:rsidR="00651637" w:rsidRDefault="00BF7B26" w:rsidP="0065163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r>
        <w:rPr>
          <w:rFonts w:ascii="Cambria" w:hAnsi="Cambria"/>
          <w:sz w:val="20"/>
          <w:szCs w:val="20"/>
          <w:lang w:val="es-ES"/>
        </w:rPr>
        <w:t>(…) en el presente caso no existe constancia de que en la etapa indagatoria se haya cumplido con la citación</w:t>
      </w:r>
      <w:r w:rsidR="000C4A9B">
        <w:rPr>
          <w:rFonts w:ascii="Cambria" w:hAnsi="Cambria"/>
          <w:sz w:val="20"/>
          <w:szCs w:val="20"/>
          <w:lang w:val="es-ES"/>
        </w:rPr>
        <w:t xml:space="preserve"> establecida, en consecuencia toda esta evidencia carecería de eficacia probatoria, ya en la etapa de instrucción, no existe evidencia alguna ni de cargo ni de descargo, por lo que al no haber elementos que sustenten la presunción de existencia del delito (…) no se puede hablar de responsabilidad alguna</w:t>
      </w:r>
      <w:r w:rsidR="00E84AD3" w:rsidRPr="000A209E">
        <w:rPr>
          <w:rStyle w:val="FootnoteReference"/>
          <w:rFonts w:ascii="Cambria" w:hAnsi="Cambria"/>
          <w:sz w:val="20"/>
          <w:szCs w:val="20"/>
          <w:lang w:val="es-ES"/>
        </w:rPr>
        <w:footnoteReference w:id="45"/>
      </w:r>
      <w:r w:rsidR="00015E7C" w:rsidRPr="008F7809">
        <w:rPr>
          <w:rFonts w:ascii="Cambria" w:hAnsi="Cambria"/>
          <w:sz w:val="20"/>
          <w:szCs w:val="20"/>
          <w:lang w:val="es-ES"/>
        </w:rPr>
        <w:t>.</w:t>
      </w:r>
    </w:p>
    <w:p w14:paraId="32846EAE" w14:textId="77777777" w:rsidR="0065556E" w:rsidRPr="000A209E" w:rsidRDefault="00015E7C" w:rsidP="0065163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r w:rsidRPr="008F7809">
        <w:rPr>
          <w:rFonts w:ascii="Cambria" w:hAnsi="Cambria"/>
          <w:sz w:val="20"/>
          <w:szCs w:val="20"/>
          <w:lang w:val="es-ES"/>
        </w:rPr>
        <w:t xml:space="preserve"> </w:t>
      </w:r>
    </w:p>
    <w:p w14:paraId="1D96D1AB" w14:textId="77777777" w:rsidR="002A35D9" w:rsidRDefault="00691312"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0A209E">
        <w:rPr>
          <w:rFonts w:ascii="Cambria" w:hAnsi="Cambria"/>
          <w:sz w:val="20"/>
          <w:szCs w:val="20"/>
          <w:lang w:val="es-ES"/>
        </w:rPr>
        <w:t xml:space="preserve">El 15 de octubre de 2004 el jefe de la policía </w:t>
      </w:r>
      <w:r w:rsidR="00BF2234">
        <w:rPr>
          <w:rFonts w:ascii="Cambria" w:hAnsi="Cambria"/>
          <w:sz w:val="20"/>
          <w:szCs w:val="20"/>
          <w:lang w:val="es-ES"/>
        </w:rPr>
        <w:t xml:space="preserve">informó </w:t>
      </w:r>
      <w:r w:rsidR="00A546D0">
        <w:rPr>
          <w:rFonts w:ascii="Cambria" w:hAnsi="Cambria"/>
          <w:sz w:val="20"/>
          <w:szCs w:val="20"/>
          <w:lang w:val="es-ES"/>
        </w:rPr>
        <w:t xml:space="preserve">que “continúa con </w:t>
      </w:r>
      <w:r w:rsidR="00173141" w:rsidRPr="00A546D0">
        <w:rPr>
          <w:rFonts w:ascii="Cambria" w:hAnsi="Cambria"/>
          <w:sz w:val="20"/>
          <w:szCs w:val="20"/>
          <w:lang w:val="es-ES"/>
        </w:rPr>
        <w:t xml:space="preserve">las investigaciones en el presente caso, con la finalidad de dar con el paradero del ciudadano desaparecido y el resultado de las investigaciones </w:t>
      </w:r>
      <w:r w:rsidR="008B2705">
        <w:rPr>
          <w:rFonts w:ascii="Cambria" w:hAnsi="Cambria"/>
          <w:sz w:val="20"/>
          <w:szCs w:val="20"/>
          <w:lang w:val="es-ES"/>
        </w:rPr>
        <w:t xml:space="preserve">se </w:t>
      </w:r>
      <w:r w:rsidR="00173141" w:rsidRPr="00A546D0">
        <w:rPr>
          <w:rFonts w:ascii="Cambria" w:hAnsi="Cambria"/>
          <w:sz w:val="20"/>
          <w:szCs w:val="20"/>
          <w:lang w:val="es-ES"/>
        </w:rPr>
        <w:t>ha</w:t>
      </w:r>
      <w:r w:rsidR="00BF2234">
        <w:rPr>
          <w:rFonts w:ascii="Cambria" w:hAnsi="Cambria"/>
          <w:sz w:val="20"/>
          <w:szCs w:val="20"/>
          <w:lang w:val="es-ES"/>
        </w:rPr>
        <w:t>rá</w:t>
      </w:r>
      <w:r w:rsidR="00173141" w:rsidRPr="00A546D0">
        <w:rPr>
          <w:rFonts w:ascii="Cambria" w:hAnsi="Cambria"/>
          <w:sz w:val="20"/>
          <w:szCs w:val="20"/>
          <w:lang w:val="es-ES"/>
        </w:rPr>
        <w:t xml:space="preserve"> conocer a la autoridad competente</w:t>
      </w:r>
      <w:r w:rsidR="00A546D0">
        <w:rPr>
          <w:rFonts w:ascii="Cambria" w:hAnsi="Cambria"/>
          <w:sz w:val="20"/>
          <w:szCs w:val="20"/>
          <w:lang w:val="es-ES"/>
        </w:rPr>
        <w:t>”</w:t>
      </w:r>
      <w:r w:rsidR="00B8289F">
        <w:rPr>
          <w:rStyle w:val="FootnoteReference"/>
          <w:rFonts w:ascii="Cambria" w:hAnsi="Cambria"/>
          <w:sz w:val="20"/>
          <w:szCs w:val="20"/>
          <w:lang w:val="es-ES"/>
        </w:rPr>
        <w:footnoteReference w:id="46"/>
      </w:r>
      <w:r w:rsidR="00173141" w:rsidRPr="00A546D0">
        <w:rPr>
          <w:rFonts w:ascii="Cambria" w:hAnsi="Cambria"/>
          <w:sz w:val="20"/>
          <w:szCs w:val="20"/>
          <w:lang w:val="es-ES"/>
        </w:rPr>
        <w:t>.</w:t>
      </w:r>
    </w:p>
    <w:p w14:paraId="3DF65966" w14:textId="77777777" w:rsidR="002A35D9" w:rsidRDefault="002A35D9" w:rsidP="002A35D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ES"/>
        </w:rPr>
      </w:pPr>
    </w:p>
    <w:p w14:paraId="2ED07473" w14:textId="77777777" w:rsidR="002A35D9" w:rsidRDefault="00A546D0" w:rsidP="002A35D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Cambria" w:hAnsi="Cambria"/>
          <w:sz w:val="20"/>
          <w:szCs w:val="20"/>
          <w:lang w:val="es-ES"/>
        </w:rPr>
        <w:t xml:space="preserve">El 18 de octubre de 2004 el Juzgado Cuarto de lo Penal de Tungurahua indicó que </w:t>
      </w:r>
      <w:r w:rsidR="00691312" w:rsidRPr="002A35D9">
        <w:rPr>
          <w:rFonts w:ascii="Cambria" w:hAnsi="Cambria"/>
          <w:sz w:val="20"/>
          <w:szCs w:val="20"/>
          <w:lang w:val="es-ES"/>
        </w:rPr>
        <w:t xml:space="preserve">“con fecha 11 de diciembre del 2002, la señora Jueza suplente de la época, dicta auto de sobreseimiento provisional en el </w:t>
      </w:r>
      <w:r w:rsidR="00691312" w:rsidRPr="002A35D9">
        <w:rPr>
          <w:rFonts w:ascii="Cambria" w:hAnsi="Cambria"/>
          <w:sz w:val="20"/>
          <w:szCs w:val="20"/>
          <w:lang w:val="es-ES"/>
        </w:rPr>
        <w:lastRenderedPageBreak/>
        <w:t>proceso y de los imputados, mismo que se halla ejecutoriado por el ministerio de la ley. A partir de dicho auto no se ha recibido ninguna otra diligencia por</w:t>
      </w:r>
      <w:r w:rsidR="007547DB" w:rsidRPr="002A35D9">
        <w:rPr>
          <w:rFonts w:ascii="Cambria" w:hAnsi="Cambria"/>
          <w:sz w:val="20"/>
          <w:szCs w:val="20"/>
          <w:lang w:val="es-ES"/>
        </w:rPr>
        <w:t xml:space="preserve"> parte de la Fiscalía, hasta la </w:t>
      </w:r>
      <w:r w:rsidR="00691312" w:rsidRPr="002A35D9">
        <w:rPr>
          <w:rFonts w:ascii="Cambria" w:hAnsi="Cambria"/>
          <w:sz w:val="20"/>
          <w:szCs w:val="20"/>
          <w:lang w:val="es-ES"/>
        </w:rPr>
        <w:t>presente fecha”</w:t>
      </w:r>
      <w:r w:rsidR="00691312" w:rsidRPr="000A209E">
        <w:rPr>
          <w:rStyle w:val="FootnoteReference"/>
          <w:rFonts w:ascii="Cambria" w:hAnsi="Cambria"/>
          <w:sz w:val="20"/>
          <w:szCs w:val="20"/>
          <w:lang w:val="es-ES"/>
        </w:rPr>
        <w:footnoteReference w:id="47"/>
      </w:r>
      <w:bookmarkStart w:id="12" w:name="_Toc519601827"/>
      <w:bookmarkEnd w:id="11"/>
    </w:p>
    <w:p w14:paraId="0E1023D1" w14:textId="77777777" w:rsidR="002A35D9" w:rsidRDefault="002A35D9" w:rsidP="002A35D9">
      <w:pPr>
        <w:pStyle w:val="ListParagraph"/>
        <w:rPr>
          <w:rFonts w:asciiTheme="majorHAnsi" w:hAnsiTheme="majorHAnsi"/>
          <w:sz w:val="20"/>
          <w:szCs w:val="20"/>
          <w:lang w:val="es-VE"/>
        </w:rPr>
      </w:pPr>
    </w:p>
    <w:p w14:paraId="1C3AB9B5" w14:textId="77777777" w:rsidR="001B2E71" w:rsidRPr="002A35D9" w:rsidRDefault="0065556E" w:rsidP="001B2E7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A35D9">
        <w:rPr>
          <w:rFonts w:asciiTheme="majorHAnsi" w:hAnsiTheme="majorHAnsi"/>
          <w:sz w:val="20"/>
          <w:szCs w:val="20"/>
          <w:lang w:val="es-VE"/>
        </w:rPr>
        <w:t>Según consta en los informes policiales,</w:t>
      </w:r>
      <w:r w:rsidR="00E3057C" w:rsidRPr="002A35D9">
        <w:rPr>
          <w:rFonts w:asciiTheme="majorHAnsi" w:hAnsiTheme="majorHAnsi"/>
          <w:sz w:val="20"/>
          <w:szCs w:val="20"/>
          <w:lang w:val="es-VE"/>
        </w:rPr>
        <w:t xml:space="preserve"> </w:t>
      </w:r>
      <w:r w:rsidRPr="002A35D9">
        <w:rPr>
          <w:rFonts w:asciiTheme="majorHAnsi" w:hAnsiTheme="majorHAnsi"/>
          <w:sz w:val="20"/>
          <w:szCs w:val="20"/>
          <w:lang w:val="es-VE"/>
        </w:rPr>
        <w:t>y declaraciones testimoniales</w:t>
      </w:r>
      <w:r w:rsidRPr="00667638">
        <w:rPr>
          <w:rStyle w:val="FootnoteReference"/>
          <w:rFonts w:asciiTheme="majorHAnsi" w:hAnsiTheme="majorHAnsi"/>
          <w:sz w:val="20"/>
          <w:szCs w:val="20"/>
          <w:lang w:val="es-VE"/>
        </w:rPr>
        <w:footnoteReference w:id="48"/>
      </w:r>
      <w:r w:rsidRPr="002A35D9">
        <w:rPr>
          <w:rFonts w:asciiTheme="majorHAnsi" w:hAnsiTheme="majorHAnsi"/>
          <w:sz w:val="20"/>
          <w:szCs w:val="20"/>
          <w:lang w:val="es-VE"/>
        </w:rPr>
        <w:t>, como consecuencia de su búsqueda de justicia,</w:t>
      </w:r>
      <w:r w:rsidR="00F8382E" w:rsidRPr="002A35D9">
        <w:rPr>
          <w:rFonts w:asciiTheme="majorHAnsi" w:hAnsiTheme="majorHAnsi"/>
          <w:sz w:val="20"/>
          <w:szCs w:val="20"/>
          <w:lang w:val="es-VE"/>
        </w:rPr>
        <w:t xml:space="preserve"> </w:t>
      </w:r>
      <w:r w:rsidRPr="002A35D9">
        <w:rPr>
          <w:rFonts w:asciiTheme="majorHAnsi" w:hAnsiTheme="majorHAnsi"/>
          <w:sz w:val="20"/>
          <w:szCs w:val="20"/>
          <w:bdr w:val="none" w:sz="0" w:space="0" w:color="auto"/>
          <w:lang w:val="es-ES"/>
        </w:rPr>
        <w:t>Gregoria Naranjo y Sixto Núñez, padres de la presunta víctima, así como otros familiares han recibido amenazas para obligarles a que abandonen sus propiedades en el cantón Quero o de lo contrario quemarían sus bienes y sus vidas estarían en peligro</w:t>
      </w:r>
      <w:r w:rsidRPr="00667638">
        <w:rPr>
          <w:rStyle w:val="FootnoteReference"/>
          <w:rFonts w:asciiTheme="majorHAnsi" w:hAnsiTheme="majorHAnsi"/>
          <w:sz w:val="20"/>
          <w:szCs w:val="20"/>
          <w:bdr w:val="none" w:sz="0" w:space="0" w:color="auto"/>
          <w:lang w:val="es-ES"/>
        </w:rPr>
        <w:footnoteReference w:id="49"/>
      </w:r>
      <w:r w:rsidRPr="002A35D9">
        <w:rPr>
          <w:rFonts w:asciiTheme="majorHAnsi" w:hAnsiTheme="majorHAnsi"/>
          <w:sz w:val="20"/>
          <w:szCs w:val="20"/>
          <w:bdr w:val="none" w:sz="0" w:space="0" w:color="auto"/>
          <w:lang w:val="es-ES"/>
        </w:rPr>
        <w:t>.</w:t>
      </w:r>
      <w:r w:rsidR="005B78D7" w:rsidRPr="002A35D9">
        <w:rPr>
          <w:rFonts w:asciiTheme="majorHAnsi" w:hAnsiTheme="majorHAnsi"/>
          <w:sz w:val="20"/>
          <w:szCs w:val="20"/>
          <w:bdr w:val="none" w:sz="0" w:space="0" w:color="auto"/>
          <w:lang w:val="es-ES"/>
        </w:rPr>
        <w:t xml:space="preserve"> </w:t>
      </w:r>
      <w:r w:rsidRPr="002A35D9">
        <w:rPr>
          <w:rFonts w:asciiTheme="majorHAnsi" w:hAnsiTheme="majorHAnsi"/>
          <w:sz w:val="20"/>
          <w:szCs w:val="20"/>
          <w:bdr w:val="none" w:sz="0" w:space="0" w:color="auto"/>
          <w:lang w:val="es-ES"/>
        </w:rPr>
        <w:t>En dicho</w:t>
      </w:r>
      <w:r w:rsidR="00300E3F" w:rsidRPr="002A35D9">
        <w:rPr>
          <w:rFonts w:asciiTheme="majorHAnsi" w:hAnsiTheme="majorHAnsi"/>
          <w:sz w:val="20"/>
          <w:szCs w:val="20"/>
          <w:bdr w:val="none" w:sz="0" w:space="0" w:color="auto"/>
          <w:lang w:val="es-ES"/>
        </w:rPr>
        <w:t>s</w:t>
      </w:r>
      <w:r w:rsidRPr="002A35D9">
        <w:rPr>
          <w:rFonts w:asciiTheme="majorHAnsi" w:hAnsiTheme="majorHAnsi"/>
          <w:sz w:val="20"/>
          <w:szCs w:val="20"/>
          <w:bdr w:val="none" w:sz="0" w:space="0" w:color="auto"/>
          <w:lang w:val="es-ES"/>
        </w:rPr>
        <w:t xml:space="preserve"> informe</w:t>
      </w:r>
      <w:r w:rsidR="00300E3F" w:rsidRPr="002A35D9">
        <w:rPr>
          <w:rFonts w:asciiTheme="majorHAnsi" w:hAnsiTheme="majorHAnsi"/>
          <w:sz w:val="20"/>
          <w:szCs w:val="20"/>
          <w:bdr w:val="none" w:sz="0" w:space="0" w:color="auto"/>
          <w:lang w:val="es-ES"/>
        </w:rPr>
        <w:t>s</w:t>
      </w:r>
      <w:r w:rsidRPr="002A35D9">
        <w:rPr>
          <w:rFonts w:asciiTheme="majorHAnsi" w:hAnsiTheme="majorHAnsi"/>
          <w:sz w:val="20"/>
          <w:szCs w:val="20"/>
          <w:bdr w:val="none" w:sz="0" w:space="0" w:color="auto"/>
          <w:lang w:val="es-ES"/>
        </w:rPr>
        <w:t xml:space="preserve"> se indica que dichas amenazas provienen de miembros de la comunidad </w:t>
      </w:r>
      <w:r w:rsidR="001C7F2A" w:rsidRPr="002A35D9">
        <w:rPr>
          <w:rFonts w:asciiTheme="majorHAnsi" w:hAnsiTheme="majorHAnsi"/>
          <w:sz w:val="20"/>
          <w:szCs w:val="20"/>
          <w:bdr w:val="none" w:sz="0" w:space="0" w:color="auto"/>
          <w:lang w:val="es-ES"/>
        </w:rPr>
        <w:t>Puñachisag</w:t>
      </w:r>
      <w:r w:rsidRPr="002A35D9">
        <w:rPr>
          <w:rStyle w:val="FootnoteReference"/>
          <w:rFonts w:asciiTheme="majorHAnsi" w:hAnsiTheme="majorHAnsi"/>
          <w:sz w:val="20"/>
          <w:szCs w:val="20"/>
          <w:bdr w:val="none" w:sz="0" w:space="0" w:color="auto"/>
          <w:lang w:val="es-ES"/>
        </w:rPr>
        <w:t xml:space="preserve"> </w:t>
      </w:r>
      <w:r w:rsidRPr="00667638">
        <w:rPr>
          <w:rStyle w:val="FootnoteReference"/>
          <w:rFonts w:asciiTheme="majorHAnsi" w:hAnsiTheme="majorHAnsi"/>
          <w:sz w:val="20"/>
          <w:szCs w:val="20"/>
          <w:bdr w:val="none" w:sz="0" w:space="0" w:color="auto"/>
          <w:lang w:val="es-ES"/>
        </w:rPr>
        <w:footnoteReference w:id="50"/>
      </w:r>
      <w:r w:rsidRPr="002A35D9">
        <w:rPr>
          <w:rFonts w:asciiTheme="majorHAnsi" w:hAnsiTheme="majorHAnsi"/>
          <w:sz w:val="20"/>
          <w:szCs w:val="20"/>
          <w:bdr w:val="none" w:sz="0" w:space="0" w:color="auto"/>
          <w:lang w:val="es-ES"/>
        </w:rPr>
        <w:t>.</w:t>
      </w:r>
      <w:r w:rsidR="004C4999" w:rsidRPr="002A35D9">
        <w:rPr>
          <w:rFonts w:asciiTheme="majorHAnsi" w:hAnsiTheme="majorHAnsi"/>
          <w:sz w:val="20"/>
          <w:szCs w:val="20"/>
          <w:bdr w:val="none" w:sz="0" w:space="0" w:color="auto"/>
          <w:lang w:val="es-ES"/>
        </w:rPr>
        <w:t xml:space="preserve"> </w:t>
      </w:r>
      <w:r w:rsidRPr="002A35D9">
        <w:rPr>
          <w:rFonts w:asciiTheme="majorHAnsi" w:hAnsiTheme="majorHAnsi"/>
          <w:sz w:val="20"/>
          <w:szCs w:val="20"/>
          <w:bdr w:val="none" w:sz="0" w:space="0" w:color="auto"/>
          <w:lang w:val="es-ES"/>
        </w:rPr>
        <w:t>No constan diligenci</w:t>
      </w:r>
      <w:r w:rsidR="003B5895" w:rsidRPr="002A35D9">
        <w:rPr>
          <w:rFonts w:asciiTheme="majorHAnsi" w:hAnsiTheme="majorHAnsi"/>
          <w:sz w:val="20"/>
          <w:szCs w:val="20"/>
          <w:bdr w:val="none" w:sz="0" w:space="0" w:color="auto"/>
          <w:lang w:val="es-ES"/>
        </w:rPr>
        <w:t>a alguna</w:t>
      </w:r>
      <w:r w:rsidRPr="002A35D9">
        <w:rPr>
          <w:rFonts w:asciiTheme="majorHAnsi" w:hAnsiTheme="majorHAnsi"/>
          <w:sz w:val="20"/>
          <w:szCs w:val="20"/>
          <w:bdr w:val="none" w:sz="0" w:space="0" w:color="auto"/>
          <w:lang w:val="es-ES"/>
        </w:rPr>
        <w:t xml:space="preserve"> realizadas por el Estado para brindar protección a los familiares de la presunta víctima por las amenazas denunciadas. </w:t>
      </w:r>
    </w:p>
    <w:p w14:paraId="13F311C0" w14:textId="77777777" w:rsidR="00180FAA" w:rsidRPr="001B2E71" w:rsidRDefault="00180FAA" w:rsidP="001B2E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lang w:val="es-VE"/>
        </w:rPr>
      </w:pPr>
    </w:p>
    <w:p w14:paraId="6EFCA0AE" w14:textId="77777777" w:rsidR="002D3E0D" w:rsidRPr="009569DD" w:rsidRDefault="002D3E0D" w:rsidP="002E18FD">
      <w:pPr>
        <w:pStyle w:val="Heading1"/>
        <w:numPr>
          <w:ilvl w:val="0"/>
          <w:numId w:val="55"/>
        </w:numPr>
        <w:spacing w:before="0"/>
        <w:ind w:left="0" w:firstLine="0"/>
        <w:jc w:val="both"/>
        <w:rPr>
          <w:rFonts w:ascii="Cambria" w:hAnsi="Cambria"/>
          <w:color w:val="000000" w:themeColor="text1"/>
          <w:sz w:val="20"/>
          <w:szCs w:val="20"/>
          <w:lang w:val="es-ES"/>
        </w:rPr>
      </w:pPr>
      <w:bookmarkStart w:id="13" w:name="_Toc5359029"/>
      <w:r w:rsidRPr="009569DD">
        <w:rPr>
          <w:rFonts w:ascii="Cambria" w:hAnsi="Cambria"/>
          <w:color w:val="000000" w:themeColor="text1"/>
          <w:sz w:val="20"/>
          <w:szCs w:val="20"/>
          <w:lang w:val="es-ES"/>
        </w:rPr>
        <w:t>ANÁLISIS DE DERECHO</w:t>
      </w:r>
      <w:bookmarkEnd w:id="13"/>
    </w:p>
    <w:p w14:paraId="6CAD1A4F" w14:textId="77777777" w:rsidR="002D3E0D" w:rsidRPr="00EE23B2" w:rsidRDefault="002D3E0D" w:rsidP="002D3E0D">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lang w:val="es-CO"/>
        </w:rPr>
      </w:pPr>
      <w:bookmarkStart w:id="14" w:name="_Toc423514425"/>
      <w:bookmarkStart w:id="15" w:name="_Toc441166737"/>
      <w:bookmarkStart w:id="16" w:name="_Toc477355361"/>
      <w:bookmarkStart w:id="17" w:name="_Toc519601825"/>
    </w:p>
    <w:p w14:paraId="47D74681" w14:textId="77777777" w:rsidR="0056056C" w:rsidRPr="00A347DA" w:rsidRDefault="0056056C" w:rsidP="002E18FD">
      <w:pPr>
        <w:pStyle w:val="Heading2"/>
        <w:keepNext w:val="0"/>
        <w:numPr>
          <w:ilvl w:val="0"/>
          <w:numId w:val="58"/>
        </w:numPr>
        <w:pBdr>
          <w:top w:val="nil"/>
          <w:left w:val="nil"/>
          <w:bottom w:val="nil"/>
          <w:right w:val="nil"/>
          <w:between w:val="nil"/>
          <w:bar w:val="nil"/>
        </w:pBdr>
        <w:spacing w:before="0" w:after="0"/>
        <w:ind w:left="630" w:hanging="540"/>
        <w:jc w:val="both"/>
        <w:rPr>
          <w:rFonts w:ascii="Cambria" w:hAnsi="Cambria"/>
          <w:i w:val="0"/>
          <w:sz w:val="20"/>
          <w:szCs w:val="20"/>
          <w:lang w:val="es-VE"/>
        </w:rPr>
      </w:pPr>
      <w:bookmarkStart w:id="18" w:name="_Toc1985289"/>
      <w:bookmarkStart w:id="19" w:name="_Toc5359030"/>
      <w:bookmarkEnd w:id="14"/>
      <w:bookmarkEnd w:id="15"/>
      <w:bookmarkEnd w:id="16"/>
      <w:bookmarkEnd w:id="17"/>
      <w:r w:rsidRPr="00152E74">
        <w:rPr>
          <w:rFonts w:ascii="Cambria" w:hAnsi="Cambria"/>
          <w:i w:val="0"/>
          <w:sz w:val="20"/>
          <w:szCs w:val="20"/>
          <w:lang w:val="es-VE"/>
        </w:rPr>
        <w:t>Derechos al reconocimiento de la personalidad jurídica, a la libertad personal, a la integridad personal, a la vida, a las garantías judiciales y</w:t>
      </w:r>
      <w:r>
        <w:rPr>
          <w:rFonts w:ascii="Cambria" w:hAnsi="Cambria"/>
          <w:i w:val="0"/>
          <w:sz w:val="20"/>
          <w:szCs w:val="20"/>
          <w:lang w:val="es-VE"/>
        </w:rPr>
        <w:t xml:space="preserve"> a</w:t>
      </w:r>
      <w:r w:rsidRPr="00152E74">
        <w:rPr>
          <w:rFonts w:ascii="Cambria" w:hAnsi="Cambria"/>
          <w:i w:val="0"/>
          <w:sz w:val="20"/>
          <w:szCs w:val="20"/>
          <w:lang w:val="es-VE"/>
        </w:rPr>
        <w:t xml:space="preserve"> la protección judicial (Artículos 3, 7, 5, </w:t>
      </w:r>
      <w:r>
        <w:rPr>
          <w:rFonts w:ascii="Cambria" w:hAnsi="Cambria"/>
          <w:i w:val="0"/>
          <w:sz w:val="20"/>
          <w:szCs w:val="20"/>
          <w:lang w:val="es-VE"/>
        </w:rPr>
        <w:t xml:space="preserve">y </w:t>
      </w:r>
      <w:r w:rsidRPr="00152E74">
        <w:rPr>
          <w:rFonts w:ascii="Cambria" w:hAnsi="Cambria"/>
          <w:i w:val="0"/>
          <w:sz w:val="20"/>
          <w:szCs w:val="20"/>
          <w:lang w:val="es-VE"/>
        </w:rPr>
        <w:t>4, de la Convención Americana) en relación con la obligación de respetar y garantizar los derechos (artículo 1.1 del mismo instrumento</w:t>
      </w:r>
      <w:r w:rsidRPr="00152E74">
        <w:rPr>
          <w:rStyle w:val="FootnoteReference"/>
          <w:rFonts w:ascii="Cambria" w:hAnsi="Cambria"/>
          <w:i w:val="0"/>
          <w:sz w:val="20"/>
          <w:szCs w:val="20"/>
          <w:lang w:val="es-VE"/>
        </w:rPr>
        <w:footnoteReference w:id="51"/>
      </w:r>
      <w:r w:rsidRPr="00152E74">
        <w:rPr>
          <w:rFonts w:ascii="Cambria" w:hAnsi="Cambria"/>
          <w:i w:val="0"/>
          <w:sz w:val="20"/>
          <w:szCs w:val="20"/>
          <w:lang w:val="es-VE"/>
        </w:rPr>
        <w:t>); y artículo I</w:t>
      </w:r>
      <w:r>
        <w:rPr>
          <w:rFonts w:ascii="Cambria" w:hAnsi="Cambria"/>
          <w:i w:val="0"/>
          <w:sz w:val="20"/>
          <w:szCs w:val="20"/>
          <w:lang w:val="es-VE"/>
        </w:rPr>
        <w:t xml:space="preserve"> </w:t>
      </w:r>
      <w:r w:rsidRPr="00152E74">
        <w:rPr>
          <w:rFonts w:ascii="Cambria" w:hAnsi="Cambria"/>
          <w:i w:val="0"/>
          <w:sz w:val="20"/>
          <w:szCs w:val="20"/>
          <w:lang w:val="es-VE"/>
        </w:rPr>
        <w:t xml:space="preserve">a) </w:t>
      </w:r>
      <w:r w:rsidRPr="00152E74">
        <w:rPr>
          <w:rStyle w:val="FootnoteReference"/>
          <w:rFonts w:ascii="Cambria" w:hAnsi="Cambria"/>
          <w:i w:val="0"/>
          <w:sz w:val="20"/>
          <w:szCs w:val="20"/>
          <w:lang w:val="es-VE"/>
        </w:rPr>
        <w:footnoteReference w:id="52"/>
      </w:r>
      <w:r w:rsidRPr="00152E74">
        <w:rPr>
          <w:rFonts w:ascii="Cambria" w:hAnsi="Cambria"/>
          <w:i w:val="0"/>
          <w:sz w:val="20"/>
          <w:szCs w:val="20"/>
          <w:lang w:val="es-VE"/>
        </w:rPr>
        <w:t xml:space="preserve"> de la CIDFP</w:t>
      </w:r>
      <w:bookmarkEnd w:id="18"/>
      <w:bookmarkEnd w:id="19"/>
    </w:p>
    <w:p w14:paraId="28B89BCE" w14:textId="77777777" w:rsidR="002D3E0D" w:rsidRPr="0056056C" w:rsidRDefault="002D3E0D" w:rsidP="002D3E0D">
      <w:pPr>
        <w:pStyle w:val="p1"/>
        <w:jc w:val="both"/>
        <w:rPr>
          <w:rFonts w:ascii="Cambria" w:hAnsi="Cambria"/>
          <w:sz w:val="20"/>
          <w:szCs w:val="20"/>
          <w:lang w:val="es-VE"/>
        </w:rPr>
      </w:pPr>
    </w:p>
    <w:p w14:paraId="4D3DF89D" w14:textId="77777777" w:rsidR="002E18FD" w:rsidRPr="005E6B01" w:rsidRDefault="006C522F"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152E74">
        <w:rPr>
          <w:rFonts w:ascii="Cambria" w:hAnsi="Cambria"/>
          <w:sz w:val="20"/>
          <w:szCs w:val="20"/>
          <w:lang w:val="es-CO"/>
        </w:rPr>
        <w:t xml:space="preserve">La jurisprudencia constante del Sistema Interamericano en casos de desaparición forzada de personas, ha indicado que constituye un hecho ilícito que genera una violación múltiple y continuada de varios derechos </w:t>
      </w:r>
      <w:r w:rsidRPr="00152E74">
        <w:rPr>
          <w:rFonts w:ascii="Cambria" w:hAnsi="Cambria" w:cs="Calibri"/>
          <w:color w:val="000000"/>
          <w:sz w:val="20"/>
          <w:szCs w:val="20"/>
          <w:lang w:val="es-ES"/>
        </w:rPr>
        <w:t>protegidos</w:t>
      </w:r>
      <w:r w:rsidRPr="00152E74">
        <w:rPr>
          <w:rFonts w:ascii="Cambria" w:hAnsi="Cambria"/>
          <w:sz w:val="20"/>
          <w:szCs w:val="20"/>
          <w:lang w:val="es-CO"/>
        </w:rPr>
        <w:t xml:space="preserve"> por la Convención Americana y coloca a la</w:t>
      </w:r>
      <w:r>
        <w:rPr>
          <w:rFonts w:ascii="Cambria" w:hAnsi="Cambria"/>
          <w:sz w:val="20"/>
          <w:szCs w:val="20"/>
          <w:lang w:val="es-CO"/>
        </w:rPr>
        <w:t>s</w:t>
      </w:r>
      <w:r w:rsidRPr="00152E74">
        <w:rPr>
          <w:rFonts w:ascii="Cambria" w:hAnsi="Cambria"/>
          <w:sz w:val="20"/>
          <w:szCs w:val="20"/>
          <w:lang w:val="es-CO"/>
        </w:rPr>
        <w:t xml:space="preserve"> víctima</w:t>
      </w:r>
      <w:r>
        <w:rPr>
          <w:rFonts w:ascii="Cambria" w:hAnsi="Cambria"/>
          <w:sz w:val="20"/>
          <w:szCs w:val="20"/>
          <w:lang w:val="es-CO"/>
        </w:rPr>
        <w:t>s</w:t>
      </w:r>
      <w:r w:rsidRPr="00152E74">
        <w:rPr>
          <w:rFonts w:ascii="Cambria" w:hAnsi="Cambria"/>
          <w:sz w:val="20"/>
          <w:szCs w:val="20"/>
          <w:lang w:val="es-CO"/>
        </w:rPr>
        <w:t xml:space="preserve"> en un estado de completa indefensión, acarreando otras violaciones conexas</w:t>
      </w:r>
      <w:r w:rsidRPr="00152E74">
        <w:rPr>
          <w:rFonts w:ascii="Cambria" w:hAnsi="Cambria"/>
          <w:sz w:val="20"/>
          <w:szCs w:val="20"/>
          <w:vertAlign w:val="superscript"/>
          <w:lang w:val="es-CO"/>
        </w:rPr>
        <w:footnoteReference w:id="53"/>
      </w:r>
      <w:r w:rsidRPr="00152E74">
        <w:rPr>
          <w:rFonts w:ascii="Cambria" w:hAnsi="Cambria"/>
          <w:sz w:val="20"/>
          <w:szCs w:val="20"/>
          <w:lang w:val="es-CO"/>
        </w:rPr>
        <w:t xml:space="preserve">. </w:t>
      </w:r>
    </w:p>
    <w:p w14:paraId="5D778383" w14:textId="77777777" w:rsidR="002E18FD" w:rsidRDefault="006C522F"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sz w:val="20"/>
          <w:szCs w:val="20"/>
          <w:lang w:val="es-ES_tradnl"/>
        </w:rPr>
        <w:lastRenderedPageBreak/>
        <w:t xml:space="preserve">De acuerdo con su jurisprudencia consolidada, la Comisión considera que la desaparición forzada es una violación de derechos humanos compleja que continúa en el tiempo hasta tanto el paradero de la víctima o de </w:t>
      </w:r>
      <w:r w:rsidRPr="002E18FD">
        <w:rPr>
          <w:rFonts w:ascii="Cambria" w:eastAsia="Times New Roman" w:hAnsi="Cambria"/>
          <w:spacing w:val="-3"/>
          <w:sz w:val="20"/>
          <w:szCs w:val="20"/>
          <w:lang w:val="es-CR"/>
        </w:rPr>
        <w:t>sus</w:t>
      </w:r>
      <w:r w:rsidRPr="002E18FD">
        <w:rPr>
          <w:rFonts w:ascii="Cambria" w:hAnsi="Cambria"/>
          <w:sz w:val="20"/>
          <w:szCs w:val="20"/>
          <w:lang w:val="es-ES_tradnl"/>
        </w:rPr>
        <w:t xml:space="preserve"> restos continúa desconocido. La desaparición como tal sólo cesa cuando aparece la víctima o sus restos son ubicados</w:t>
      </w:r>
      <w:r w:rsidRPr="00152E74">
        <w:rPr>
          <w:rStyle w:val="FootnoteReference"/>
          <w:rFonts w:ascii="Cambria" w:hAnsi="Cambria"/>
          <w:sz w:val="20"/>
          <w:szCs w:val="20"/>
          <w:lang w:val="es-ES_tradnl"/>
        </w:rPr>
        <w:footnoteReference w:id="54"/>
      </w:r>
      <w:r w:rsidRPr="002E18FD">
        <w:rPr>
          <w:rFonts w:ascii="Cambria" w:hAnsi="Cambria"/>
          <w:sz w:val="20"/>
          <w:szCs w:val="20"/>
          <w:lang w:val="es-ES_tradnl"/>
        </w:rPr>
        <w:t xml:space="preserve">, </w:t>
      </w:r>
      <w:r w:rsidRPr="002E18FD">
        <w:rPr>
          <w:rFonts w:ascii="Cambria" w:hAnsi="Cambria" w:cs="Times"/>
          <w:sz w:val="20"/>
          <w:szCs w:val="20"/>
          <w:lang w:val="es-US" w:eastAsia="es-CR"/>
        </w:rPr>
        <w:t>de modo que se determine con certeza su identidad</w:t>
      </w:r>
      <w:r w:rsidRPr="00152E74">
        <w:rPr>
          <w:rFonts w:ascii="Cambria" w:hAnsi="Cambria"/>
          <w:spacing w:val="-2"/>
          <w:sz w:val="20"/>
          <w:szCs w:val="20"/>
          <w:vertAlign w:val="superscript"/>
          <w:lang w:eastAsia="es-CR"/>
        </w:rPr>
        <w:footnoteReference w:id="55"/>
      </w:r>
      <w:r w:rsidRPr="002E18FD">
        <w:rPr>
          <w:rFonts w:ascii="Cambria" w:hAnsi="Cambria"/>
          <w:sz w:val="20"/>
          <w:szCs w:val="20"/>
          <w:lang w:val="es-US" w:eastAsia="es-CR"/>
        </w:rPr>
        <w:t>.</w:t>
      </w:r>
    </w:p>
    <w:p w14:paraId="4CFD28AF" w14:textId="77777777" w:rsidR="002E18FD" w:rsidRDefault="002E18FD" w:rsidP="002E18FD">
      <w:pPr>
        <w:pStyle w:val="ListParagraph"/>
        <w:rPr>
          <w:rFonts w:eastAsia="Times New Roman"/>
          <w:sz w:val="20"/>
          <w:szCs w:val="20"/>
          <w:lang w:val="es-CR"/>
        </w:rPr>
      </w:pPr>
    </w:p>
    <w:p w14:paraId="270E913A" w14:textId="77777777" w:rsidR="002E18FD" w:rsidRDefault="006C522F"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eastAsia="Times New Roman" w:hAnsi="Cambria"/>
          <w:sz w:val="20"/>
          <w:szCs w:val="20"/>
          <w:lang w:val="es-CR"/>
        </w:rPr>
        <w:t>Respecto a los derechos vulnerados,</w:t>
      </w:r>
      <w:r w:rsidRPr="002E18FD">
        <w:rPr>
          <w:rFonts w:ascii="Cambria" w:eastAsia="Times New Roman" w:hAnsi="Cambria"/>
          <w:sz w:val="20"/>
          <w:szCs w:val="20"/>
          <w:lang w:val="es-VE"/>
        </w:rPr>
        <w:t xml:space="preserve"> </w:t>
      </w:r>
      <w:r w:rsidRPr="002E18FD">
        <w:rPr>
          <w:rFonts w:ascii="Cambria" w:eastAsia="Times New Roman" w:hAnsi="Cambria"/>
          <w:sz w:val="20"/>
          <w:szCs w:val="20"/>
          <w:lang w:val="es-CR"/>
        </w:rPr>
        <w:t xml:space="preserve">la desaparición forzada vulnera el derecho a la libertad personal y </w:t>
      </w:r>
      <w:r w:rsidRPr="002E18FD">
        <w:rPr>
          <w:rFonts w:ascii="Cambria" w:hAnsi="Cambria"/>
          <w:sz w:val="20"/>
          <w:szCs w:val="20"/>
          <w:lang w:val="es-ES_tradnl"/>
        </w:rPr>
        <w:t>coloca</w:t>
      </w:r>
      <w:r w:rsidRPr="002E18FD">
        <w:rPr>
          <w:rFonts w:ascii="Cambria" w:eastAsia="Times New Roman" w:hAnsi="Cambria"/>
          <w:sz w:val="20"/>
          <w:szCs w:val="20"/>
          <w:lang w:val="es-CR"/>
        </w:rPr>
        <w:t xml:space="preserve"> a la víctima </w:t>
      </w:r>
      <w:r w:rsidRPr="002E18FD">
        <w:rPr>
          <w:rFonts w:ascii="Cambria" w:eastAsia="Times New Roman" w:hAnsi="Cambria"/>
          <w:sz w:val="20"/>
          <w:szCs w:val="20"/>
          <w:lang w:val="es-VE"/>
        </w:rPr>
        <w:t xml:space="preserve">en una grave situación de riesgo de sufrir daños irreparables a sus derechos a la integridad personal y a la vida. </w:t>
      </w:r>
      <w:r w:rsidRPr="002E18FD">
        <w:rPr>
          <w:rFonts w:ascii="Cambria" w:eastAsia="Times New Roman" w:hAnsi="Cambria"/>
          <w:sz w:val="20"/>
          <w:szCs w:val="20"/>
          <w:lang w:val="es-ES"/>
        </w:rPr>
        <w:t xml:space="preserve">La Corte ha indicado que la desaparición forzada viola el derecho a la integridad personal puesto que </w:t>
      </w:r>
      <w:r w:rsidRPr="002E18FD">
        <w:rPr>
          <w:rFonts w:ascii="Cambria" w:eastAsia="Times New Roman" w:hAnsi="Cambria"/>
          <w:sz w:val="20"/>
          <w:szCs w:val="20"/>
          <w:lang w:val="es-VE"/>
        </w:rPr>
        <w:t>“el solo hecho del aislamiento prolongado y de la incomunicación coactiva, representa un tratamiento cruel e inhumano”</w:t>
      </w:r>
      <w:r w:rsidRPr="00152E74">
        <w:rPr>
          <w:rFonts w:ascii="Cambria" w:eastAsia="Times New Roman" w:hAnsi="Cambria"/>
          <w:sz w:val="20"/>
          <w:szCs w:val="20"/>
          <w:vertAlign w:val="superscript"/>
        </w:rPr>
        <w:footnoteReference w:id="56"/>
      </w:r>
      <w:r w:rsidRPr="002E18FD">
        <w:rPr>
          <w:rFonts w:ascii="Cambria" w:eastAsia="Times New Roman" w:hAnsi="Cambria"/>
          <w:sz w:val="20"/>
          <w:szCs w:val="20"/>
          <w:lang w:val="es-VE"/>
        </w:rPr>
        <w:t xml:space="preserve">. La Comisión y la Corte </w:t>
      </w:r>
      <w:r w:rsidRPr="002E18FD">
        <w:rPr>
          <w:rFonts w:ascii="Cambria" w:hAnsi="Cambria"/>
          <w:sz w:val="20"/>
          <w:szCs w:val="20"/>
          <w:lang w:val="es-US"/>
        </w:rPr>
        <w:t>han establecido que resulta evidente que las víctimas de esta práctica se ven vulneradas en su integridad personal en todas sus dimensiones</w:t>
      </w:r>
      <w:r w:rsidRPr="00152E74">
        <w:rPr>
          <w:rStyle w:val="FootnoteReference"/>
          <w:rFonts w:ascii="Cambria" w:hAnsi="Cambria"/>
          <w:sz w:val="20"/>
          <w:szCs w:val="20"/>
        </w:rPr>
        <w:footnoteReference w:id="57"/>
      </w:r>
      <w:r w:rsidRPr="002E18FD">
        <w:rPr>
          <w:rFonts w:ascii="Cambria" w:hAnsi="Cambria"/>
          <w:sz w:val="20"/>
          <w:szCs w:val="20"/>
          <w:lang w:val="es-US"/>
        </w:rPr>
        <w:t xml:space="preserve">. </w:t>
      </w:r>
      <w:r w:rsidRPr="002E18FD">
        <w:rPr>
          <w:rFonts w:ascii="Cambria" w:eastAsia="Times New Roman" w:hAnsi="Cambria"/>
          <w:sz w:val="20"/>
          <w:szCs w:val="20"/>
          <w:lang w:val="es-VE"/>
        </w:rPr>
        <w:t xml:space="preserve">Asimismo, la Corte ha manifestado que </w:t>
      </w:r>
      <w:r w:rsidRPr="002E18FD">
        <w:rPr>
          <w:rFonts w:ascii="Cambria" w:eastAsia="Times New Roman" w:hAnsi="Cambria"/>
          <w:sz w:val="20"/>
          <w:szCs w:val="20"/>
          <w:lang w:val="es-ES"/>
        </w:rPr>
        <w:t xml:space="preserve">aún en el supuesto de que no puedan demostrarse los hechos de torturas o de privación de la vida de la persona víctima de desaparición en un caso concreto, </w:t>
      </w:r>
      <w:r w:rsidRPr="002E18FD">
        <w:rPr>
          <w:rFonts w:ascii="Cambria" w:eastAsia="Times New Roman" w:hAnsi="Cambria"/>
          <w:sz w:val="20"/>
          <w:szCs w:val="20"/>
          <w:lang w:val="es-VE"/>
        </w:rPr>
        <w:t xml:space="preserve">el sometimiento de detenidos a agentes estatales o </w:t>
      </w:r>
      <w:r w:rsidRPr="002E18FD">
        <w:rPr>
          <w:rFonts w:ascii="Cambria" w:eastAsia="Times New Roman" w:hAnsi="Cambria"/>
          <w:sz w:val="20"/>
          <w:szCs w:val="20"/>
          <w:lang w:val="es-ES"/>
        </w:rPr>
        <w:t>particulares que actúen con su aquiescencia o tolerancia que impunemente practiquen la tortura y el asesinato representa, por sí mismo, una infracción a los derechos a la integridad personal y a la vida</w:t>
      </w:r>
      <w:r w:rsidRPr="00152E74">
        <w:rPr>
          <w:rFonts w:ascii="Cambria" w:eastAsia="Times New Roman" w:hAnsi="Cambria"/>
          <w:sz w:val="20"/>
          <w:szCs w:val="20"/>
          <w:vertAlign w:val="superscript"/>
        </w:rPr>
        <w:footnoteReference w:id="58"/>
      </w:r>
      <w:r w:rsidRPr="002E18FD">
        <w:rPr>
          <w:rFonts w:ascii="Cambria" w:eastAsia="Times New Roman" w:hAnsi="Cambria"/>
          <w:sz w:val="20"/>
          <w:szCs w:val="20"/>
          <w:lang w:val="es-VE"/>
        </w:rPr>
        <w:t>.</w:t>
      </w:r>
    </w:p>
    <w:p w14:paraId="74E614C4" w14:textId="77777777" w:rsidR="002E18FD" w:rsidRDefault="002E18FD" w:rsidP="002E18FD">
      <w:pPr>
        <w:pStyle w:val="ListParagraph"/>
        <w:rPr>
          <w:rFonts w:cs="Univers"/>
          <w:sz w:val="20"/>
          <w:szCs w:val="20"/>
          <w:lang w:val="es-MX"/>
        </w:rPr>
      </w:pPr>
    </w:p>
    <w:p w14:paraId="39B793F9" w14:textId="77777777" w:rsidR="002E18FD" w:rsidRDefault="006C522F"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cs="Univers"/>
          <w:sz w:val="20"/>
          <w:szCs w:val="20"/>
          <w:lang w:val="es-MX"/>
        </w:rPr>
        <w:t>De acuerdo a la jurisprudencia de ambos órganos del sistema interamericano, la</w:t>
      </w:r>
      <w:r w:rsidRPr="002E18FD">
        <w:rPr>
          <w:rFonts w:ascii="Cambria" w:hAnsi="Cambria"/>
          <w:sz w:val="20"/>
          <w:szCs w:val="20"/>
          <w:lang w:val="es-ES_tradnl"/>
        </w:rPr>
        <w:t xml:space="preserve"> práctica de desapariciones ha implicado con frecuencia la ejecución de los detenidos, en secreto y sin fórmula de juicio, seguida del ocultamiento del </w:t>
      </w:r>
      <w:r w:rsidRPr="002E18FD">
        <w:rPr>
          <w:rFonts w:ascii="Cambria" w:hAnsi="Cambria" w:cs="Univers"/>
          <w:sz w:val="20"/>
          <w:szCs w:val="20"/>
          <w:lang w:val="es-MX"/>
        </w:rPr>
        <w:t>cadáver</w:t>
      </w:r>
      <w:r w:rsidRPr="002E18FD">
        <w:rPr>
          <w:rFonts w:ascii="Cambria" w:hAnsi="Cambria"/>
          <w:sz w:val="20"/>
          <w:szCs w:val="20"/>
          <w:lang w:val="es-ES_tradnl"/>
        </w:rPr>
        <w:t xml:space="preserve"> con el objeto de borrar toda huella material del crimen y de procurar la impunidad absoluta, lo que significa una brutal violación del derecho a la vida, reconocido en el artículo 4 de la Convención</w:t>
      </w:r>
      <w:r w:rsidRPr="00152E74">
        <w:rPr>
          <w:rStyle w:val="FootnoteReference"/>
          <w:rFonts w:ascii="Cambria" w:hAnsi="Cambria"/>
          <w:sz w:val="20"/>
          <w:szCs w:val="20"/>
        </w:rPr>
        <w:footnoteReference w:id="59"/>
      </w:r>
      <w:r w:rsidRPr="002E18FD">
        <w:rPr>
          <w:rFonts w:ascii="Cambria" w:hAnsi="Cambria"/>
          <w:sz w:val="20"/>
          <w:szCs w:val="20"/>
          <w:lang w:val="es-ES_tradnl"/>
        </w:rPr>
        <w:t>. La jurisprudencia también ha establecido que el hecho de que una persona esté desaparecida durante un largo lapso de tiempo y en un contexto de violencia es un indicio suficiente para concluir que la persona fue privada de su vida</w:t>
      </w:r>
      <w:r w:rsidRPr="00152E74">
        <w:rPr>
          <w:rStyle w:val="FootnoteReference"/>
          <w:rFonts w:ascii="Cambria" w:hAnsi="Cambria"/>
          <w:spacing w:val="-3"/>
          <w:sz w:val="20"/>
          <w:szCs w:val="20"/>
          <w:lang w:val="es-ES_tradnl"/>
        </w:rPr>
        <w:footnoteReference w:id="60"/>
      </w:r>
      <w:r w:rsidRPr="002E18FD">
        <w:rPr>
          <w:rFonts w:ascii="Cambria" w:hAnsi="Cambria"/>
          <w:sz w:val="20"/>
          <w:szCs w:val="20"/>
          <w:lang w:val="es-ES_tradnl"/>
        </w:rPr>
        <w:t xml:space="preserve">. </w:t>
      </w:r>
    </w:p>
    <w:p w14:paraId="52B4792B" w14:textId="77777777" w:rsidR="002E18FD" w:rsidRDefault="002E18FD" w:rsidP="002E18FD">
      <w:pPr>
        <w:pStyle w:val="ListParagraph"/>
        <w:rPr>
          <w:sz w:val="20"/>
          <w:szCs w:val="20"/>
          <w:lang w:val="es-CO"/>
        </w:rPr>
      </w:pPr>
    </w:p>
    <w:p w14:paraId="70994BEC" w14:textId="77777777" w:rsidR="002E18FD" w:rsidRDefault="006C522F"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sz w:val="20"/>
          <w:szCs w:val="20"/>
          <w:lang w:val="es-CO"/>
        </w:rPr>
        <w:t xml:space="preserve">Adicionalmente, la Comisión ha señalado de manera consistente que en casos de desaparición </w:t>
      </w:r>
      <w:r w:rsidRPr="002E18FD">
        <w:rPr>
          <w:rFonts w:ascii="Cambria" w:hAnsi="Cambria" w:cs="Univers"/>
          <w:sz w:val="20"/>
          <w:szCs w:val="20"/>
          <w:lang w:val="es-MX"/>
        </w:rPr>
        <w:t>forzada</w:t>
      </w:r>
      <w:r w:rsidRPr="002E18FD">
        <w:rPr>
          <w:rFonts w:ascii="Cambria" w:hAnsi="Cambria"/>
          <w:sz w:val="20"/>
          <w:szCs w:val="20"/>
          <w:lang w:val="es-CO"/>
        </w:rPr>
        <w:t>, atendiendo al carácter múltiple y complejo de esta grave violación de derechos humanos, su ejecución genera la vulneración específica del derecho al reconocimiento de la personalidad jurídica</w:t>
      </w:r>
      <w:r w:rsidRPr="00152E74">
        <w:rPr>
          <w:rStyle w:val="FootnoteReference"/>
          <w:rFonts w:ascii="Cambria" w:hAnsi="Cambria"/>
          <w:sz w:val="20"/>
          <w:szCs w:val="20"/>
          <w:lang w:bidi="te-IN"/>
        </w:rPr>
        <w:footnoteReference w:id="61"/>
      </w:r>
      <w:r w:rsidRPr="002E18FD">
        <w:rPr>
          <w:rFonts w:ascii="Cambria" w:hAnsi="Cambria"/>
          <w:sz w:val="20"/>
          <w:szCs w:val="20"/>
          <w:lang w:val="es-CO"/>
        </w:rPr>
        <w:t>. Así lo ha reconocido también la Corte Interamericana</w:t>
      </w:r>
      <w:r w:rsidRPr="00152E74">
        <w:rPr>
          <w:rFonts w:ascii="Cambria" w:eastAsia="Times New Roman" w:hAnsi="Cambria"/>
          <w:sz w:val="20"/>
          <w:szCs w:val="20"/>
          <w:vertAlign w:val="superscript"/>
        </w:rPr>
        <w:footnoteReference w:id="62"/>
      </w:r>
      <w:r w:rsidRPr="002E18FD">
        <w:rPr>
          <w:rFonts w:ascii="Cambria" w:hAnsi="Cambria"/>
          <w:sz w:val="20"/>
          <w:szCs w:val="20"/>
          <w:lang w:val="es-CO"/>
        </w:rPr>
        <w:t xml:space="preserve">. </w:t>
      </w:r>
      <w:r w:rsidRPr="002E18FD">
        <w:rPr>
          <w:rFonts w:ascii="Cambria" w:eastAsia="Times New Roman" w:hAnsi="Cambria"/>
          <w:sz w:val="20"/>
          <w:szCs w:val="20"/>
          <w:lang w:val="es-VE"/>
        </w:rPr>
        <w:t xml:space="preserve">Ello se debe a que además de que la persona desaparecida </w:t>
      </w:r>
      <w:r w:rsidRPr="002E18FD">
        <w:rPr>
          <w:rFonts w:ascii="Cambria" w:eastAsia="Times New Roman" w:hAnsi="Cambria"/>
          <w:sz w:val="20"/>
          <w:szCs w:val="20"/>
          <w:lang w:val="es-ES"/>
        </w:rPr>
        <w:t xml:space="preserve">no puede continuar gozando y ejerciendo los derechos de los cuales es titular, la desaparición forzada busca </w:t>
      </w:r>
      <w:r w:rsidRPr="002E18FD">
        <w:rPr>
          <w:rFonts w:ascii="Cambria" w:eastAsia="Times New Roman" w:hAnsi="Cambria"/>
          <w:sz w:val="20"/>
          <w:szCs w:val="20"/>
          <w:lang w:val="es-VE"/>
        </w:rPr>
        <w:t>“</w:t>
      </w:r>
      <w:r w:rsidRPr="002E18FD">
        <w:rPr>
          <w:rFonts w:ascii="Cambria" w:eastAsia="Times New Roman" w:hAnsi="Cambria"/>
          <w:sz w:val="20"/>
          <w:szCs w:val="20"/>
          <w:lang w:val="es-ES"/>
        </w:rPr>
        <w:t xml:space="preserve">no sólo una de las más graves formas de sustracción de una persona de todo ámbito del ordenamiento jurídico, sino también negar </w:t>
      </w:r>
      <w:r w:rsidRPr="002E18FD">
        <w:rPr>
          <w:rFonts w:ascii="Cambria" w:eastAsia="Times New Roman" w:hAnsi="Cambria" w:cs="Verdana"/>
          <w:sz w:val="20"/>
          <w:szCs w:val="20"/>
          <w:lang w:val="es-VE"/>
        </w:rPr>
        <w:t xml:space="preserve">su existencia misma y dejarla en una suerte de limbo o situación de indeterminación jurídica </w:t>
      </w:r>
      <w:r w:rsidRPr="002E18FD">
        <w:rPr>
          <w:rFonts w:ascii="Cambria" w:eastAsia="Times New Roman" w:hAnsi="Cambria" w:cs="Verdana"/>
          <w:sz w:val="20"/>
          <w:szCs w:val="20"/>
          <w:lang w:val="es-VE"/>
        </w:rPr>
        <w:lastRenderedPageBreak/>
        <w:t>ante la sociedad y el Estado”</w:t>
      </w:r>
      <w:r w:rsidRPr="00152E74">
        <w:rPr>
          <w:rFonts w:ascii="Cambria" w:eastAsia="Times New Roman" w:hAnsi="Cambria" w:cs="Verdana"/>
          <w:sz w:val="20"/>
          <w:szCs w:val="20"/>
          <w:vertAlign w:val="superscript"/>
        </w:rPr>
        <w:footnoteReference w:id="63"/>
      </w:r>
      <w:r w:rsidRPr="002E18FD">
        <w:rPr>
          <w:rFonts w:ascii="Cambria" w:eastAsia="Times New Roman" w:hAnsi="Cambria" w:cs="Verdana"/>
          <w:sz w:val="20"/>
          <w:szCs w:val="20"/>
          <w:lang w:val="es-VE"/>
        </w:rPr>
        <w:t xml:space="preserve">. La Comisión considera que la desaparición forzada también implica una violación de los derechos a las garantías judiciales y protección judicial respecto de la víctima desaparecida, en cuanto a la falta de acciones de búsqueda de su paradero mediante investigaciones eficientes y a la imposibilidad de que se interpongan recursos en su favor ante la negativa del Estado del hecho de que se encuentra bajo su custodia. </w:t>
      </w:r>
    </w:p>
    <w:p w14:paraId="44028CC1"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CO"/>
        </w:rPr>
      </w:pPr>
    </w:p>
    <w:p w14:paraId="30DE90DF" w14:textId="77777777" w:rsidR="002E18FD" w:rsidRDefault="006C522F"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eastAsia="Times New Roman" w:hAnsi="Cambria"/>
          <w:sz w:val="20"/>
          <w:szCs w:val="20"/>
          <w:lang w:val="es-ES" w:eastAsia="es-ES"/>
        </w:rPr>
        <w:t>Los elementos concurrentes y constitutivos para determinar que en un caso ocurrió una desaparición forzada son:</w:t>
      </w:r>
      <w:r w:rsidRPr="002E18FD">
        <w:rPr>
          <w:rFonts w:ascii="Cambria" w:eastAsia="Times New Roman" w:hAnsi="Cambria"/>
          <w:sz w:val="20"/>
          <w:szCs w:val="20"/>
          <w:lang w:val="es-VE"/>
        </w:rPr>
        <w:t xml:space="preserve"> i) la</w:t>
      </w:r>
      <w:r w:rsidRPr="002E18FD">
        <w:rPr>
          <w:rFonts w:ascii="Cambria" w:eastAsia="Times New Roman" w:hAnsi="Cambria"/>
          <w:b/>
          <w:sz w:val="20"/>
          <w:szCs w:val="20"/>
          <w:lang w:val="es-VE"/>
        </w:rPr>
        <w:t xml:space="preserve"> </w:t>
      </w:r>
      <w:r w:rsidRPr="002E18FD">
        <w:rPr>
          <w:rFonts w:ascii="Cambria" w:eastAsia="Times New Roman" w:hAnsi="Cambria"/>
          <w:sz w:val="20"/>
          <w:szCs w:val="20"/>
          <w:lang w:val="es-VE"/>
        </w:rPr>
        <w:t>privación de la libertad; ii) la intervención directa de agentes estatales o la autorización, apoyo o aquiescencia de éstos; y iii) la negativa de reconocer la detención o de revelar la suerte o paradero de la persona desaparecida</w:t>
      </w:r>
      <w:r w:rsidRPr="00152E74">
        <w:rPr>
          <w:rFonts w:ascii="Cambria" w:eastAsia="Times New Roman" w:hAnsi="Cambria"/>
          <w:sz w:val="20"/>
          <w:szCs w:val="20"/>
          <w:vertAlign w:val="superscript"/>
        </w:rPr>
        <w:footnoteReference w:id="64"/>
      </w:r>
      <w:r w:rsidRPr="002E18FD">
        <w:rPr>
          <w:rFonts w:ascii="Cambria" w:eastAsia="Times New Roman" w:hAnsi="Cambria"/>
          <w:sz w:val="20"/>
          <w:szCs w:val="20"/>
          <w:lang w:val="es-VE"/>
        </w:rPr>
        <w:t>.</w:t>
      </w:r>
    </w:p>
    <w:p w14:paraId="65687CCC" w14:textId="77777777" w:rsidR="002E18FD" w:rsidRDefault="002E18FD" w:rsidP="002E18FD">
      <w:pPr>
        <w:pStyle w:val="ListParagraph"/>
        <w:rPr>
          <w:rFonts w:eastAsia="Times New Roman"/>
          <w:sz w:val="20"/>
          <w:szCs w:val="20"/>
          <w:lang w:val="es-ES"/>
        </w:rPr>
      </w:pPr>
    </w:p>
    <w:p w14:paraId="74888A61" w14:textId="77777777" w:rsidR="002E18FD" w:rsidRDefault="002D3E0D"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eastAsia="Times New Roman" w:hAnsi="Cambria"/>
          <w:sz w:val="20"/>
          <w:szCs w:val="20"/>
          <w:lang w:val="es-ES" w:eastAsia="es-ES"/>
        </w:rPr>
        <w:t>A continuación, la Comisión determinará si lo sucedido a Fredy Marcelo Núñez constituyó una desaparición forzada.</w:t>
      </w:r>
    </w:p>
    <w:p w14:paraId="35319723" w14:textId="77777777" w:rsidR="002E18FD" w:rsidRDefault="002E18FD" w:rsidP="002E18FD">
      <w:pPr>
        <w:pStyle w:val="ListParagraph"/>
        <w:rPr>
          <w:sz w:val="20"/>
          <w:szCs w:val="20"/>
          <w:lang w:val="es-CO"/>
        </w:rPr>
      </w:pPr>
    </w:p>
    <w:p w14:paraId="4A7FE2C5" w14:textId="77777777" w:rsidR="002E18FD" w:rsidRDefault="002D3E0D"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sz w:val="20"/>
          <w:szCs w:val="20"/>
          <w:lang w:val="es-CO"/>
        </w:rPr>
        <w:t>En cuanto al primer elemento, referido a la privación de libertad, la Comisión hace notar que no existe controversia respecto a que la presunta víctima fue detenida el 15 de julio de 2001 por miembros de la Policía luego de un incidente que surgió en el Salón de billares “Latino</w:t>
      </w:r>
      <w:r w:rsidR="00124918" w:rsidRPr="002E18FD">
        <w:rPr>
          <w:rFonts w:ascii="Cambria" w:hAnsi="Cambria"/>
          <w:sz w:val="20"/>
          <w:szCs w:val="20"/>
          <w:lang w:val="es-CO"/>
        </w:rPr>
        <w:t>s</w:t>
      </w:r>
      <w:r w:rsidRPr="002E18FD">
        <w:rPr>
          <w:rFonts w:ascii="Cambria" w:hAnsi="Cambria"/>
          <w:sz w:val="20"/>
          <w:szCs w:val="20"/>
          <w:lang w:val="es-CO"/>
        </w:rPr>
        <w:t>” ubicado en el Cantón Quero. Igualmente, no existe controversia en cuanto a que ese mismo día, la presunta víctima fue extraída de la cárcel</w:t>
      </w:r>
      <w:r w:rsidR="00206A96" w:rsidRPr="002E18FD">
        <w:rPr>
          <w:rFonts w:ascii="Cambria" w:hAnsi="Cambria"/>
          <w:sz w:val="20"/>
          <w:szCs w:val="20"/>
          <w:lang w:val="es-CO"/>
        </w:rPr>
        <w:t xml:space="preserve"> </w:t>
      </w:r>
      <w:r w:rsidRPr="002E18FD">
        <w:rPr>
          <w:rFonts w:ascii="Cambria" w:hAnsi="Cambria"/>
          <w:sz w:val="20"/>
          <w:szCs w:val="20"/>
          <w:lang w:val="es-CO"/>
        </w:rPr>
        <w:t xml:space="preserve">donde se encontraba </w:t>
      </w:r>
      <w:r w:rsidR="00124918" w:rsidRPr="002E18FD">
        <w:rPr>
          <w:rFonts w:ascii="Cambria" w:hAnsi="Cambria"/>
          <w:sz w:val="20"/>
          <w:szCs w:val="20"/>
          <w:lang w:val="es-CO"/>
        </w:rPr>
        <w:t xml:space="preserve">detenida por </w:t>
      </w:r>
      <w:r w:rsidR="00131AA5" w:rsidRPr="002E18FD">
        <w:rPr>
          <w:rFonts w:ascii="Cambria" w:hAnsi="Cambria"/>
          <w:sz w:val="20"/>
          <w:szCs w:val="20"/>
          <w:lang w:val="es-CO"/>
        </w:rPr>
        <w:t xml:space="preserve">unos </w:t>
      </w:r>
      <w:r w:rsidR="00D32184" w:rsidRPr="002E18FD">
        <w:rPr>
          <w:rFonts w:ascii="Cambria" w:hAnsi="Cambria"/>
          <w:sz w:val="20"/>
          <w:szCs w:val="20"/>
          <w:lang w:val="es-CO"/>
        </w:rPr>
        <w:t>400</w:t>
      </w:r>
      <w:r w:rsidRPr="002E18FD">
        <w:rPr>
          <w:rFonts w:ascii="Cambria" w:hAnsi="Cambria"/>
          <w:sz w:val="20"/>
          <w:szCs w:val="20"/>
          <w:lang w:val="es-CO"/>
        </w:rPr>
        <w:t xml:space="preserve"> miembros de la comunidad, conducida a la comunidad</w:t>
      </w:r>
      <w:r w:rsidR="00206A96" w:rsidRPr="002E18FD">
        <w:rPr>
          <w:rFonts w:ascii="Cambria" w:hAnsi="Cambria"/>
          <w:sz w:val="20"/>
          <w:szCs w:val="20"/>
          <w:lang w:val="es-CO"/>
        </w:rPr>
        <w:t xml:space="preserve"> Puñachisag, luego a la comunidad</w:t>
      </w:r>
      <w:r w:rsidRPr="002E18FD">
        <w:rPr>
          <w:rFonts w:ascii="Cambria" w:hAnsi="Cambria"/>
          <w:sz w:val="20"/>
          <w:szCs w:val="20"/>
          <w:lang w:val="es-CO"/>
        </w:rPr>
        <w:t xml:space="preserve"> Shausi</w:t>
      </w:r>
      <w:r w:rsidR="007F4900" w:rsidRPr="002E18FD">
        <w:rPr>
          <w:rFonts w:ascii="Cambria" w:hAnsi="Cambria"/>
          <w:sz w:val="20"/>
          <w:szCs w:val="20"/>
          <w:lang w:val="es-CO"/>
        </w:rPr>
        <w:t xml:space="preserve">, donde existen versiones que indican que fue golpeado y quemado, así como que habría sido introducido a un vehículo. En todo caso, desde entonces se desconoce su paradero. </w:t>
      </w:r>
      <w:r w:rsidRPr="002E18FD">
        <w:rPr>
          <w:rFonts w:ascii="Cambria" w:hAnsi="Cambria"/>
          <w:sz w:val="20"/>
          <w:szCs w:val="20"/>
          <w:lang w:val="es-CO"/>
        </w:rPr>
        <w:t xml:space="preserve">En virtud de lo anterior, la Comisión estima que se encuentra probada la privación de libertad de </w:t>
      </w:r>
      <w:r w:rsidR="009C7690" w:rsidRPr="002E18FD">
        <w:rPr>
          <w:rFonts w:ascii="Cambria" w:hAnsi="Cambria"/>
          <w:sz w:val="20"/>
          <w:szCs w:val="20"/>
          <w:lang w:val="es-CO"/>
        </w:rPr>
        <w:t>Fredy Núñez</w:t>
      </w:r>
      <w:r w:rsidRPr="002E18FD">
        <w:rPr>
          <w:rFonts w:ascii="Cambria" w:hAnsi="Cambria"/>
          <w:sz w:val="20"/>
          <w:szCs w:val="20"/>
          <w:lang w:val="es-CO"/>
        </w:rPr>
        <w:t>.</w:t>
      </w:r>
    </w:p>
    <w:p w14:paraId="272B7D3B" w14:textId="77777777" w:rsidR="002E18FD" w:rsidRDefault="002E18FD" w:rsidP="002E18FD">
      <w:pPr>
        <w:pStyle w:val="ListParagraph"/>
        <w:rPr>
          <w:sz w:val="20"/>
          <w:szCs w:val="20"/>
          <w:lang w:val="es-CO"/>
        </w:rPr>
      </w:pPr>
    </w:p>
    <w:p w14:paraId="4A6FF5DB" w14:textId="77777777" w:rsidR="002E18FD" w:rsidRDefault="002D3E0D"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sz w:val="20"/>
          <w:szCs w:val="20"/>
          <w:lang w:val="es-CO"/>
        </w:rPr>
        <w:t>Con respecto al segundo elemento, referido a la intervención directa de agentes o aquiescencia de estos,</w:t>
      </w:r>
      <w:r w:rsidR="00206A96" w:rsidRPr="002E18FD">
        <w:rPr>
          <w:rFonts w:ascii="Cambria" w:hAnsi="Cambria"/>
          <w:sz w:val="20"/>
          <w:szCs w:val="20"/>
          <w:lang w:val="es-CO"/>
        </w:rPr>
        <w:t xml:space="preserve"> </w:t>
      </w:r>
      <w:r w:rsidRPr="002E18FD">
        <w:rPr>
          <w:rFonts w:ascii="Cambria" w:hAnsi="Cambria"/>
          <w:sz w:val="20"/>
          <w:szCs w:val="20"/>
          <w:lang w:val="es-CO"/>
        </w:rPr>
        <w:t>la Comisión subraya que no existe controversia respecto a que fueron miembros de las Juntas del Campesinado quienes extrajeron a la presunta víctima de la cárcel</w:t>
      </w:r>
      <w:r w:rsidR="00A01075" w:rsidRPr="002E18FD">
        <w:rPr>
          <w:rFonts w:ascii="Cambria" w:hAnsi="Cambria"/>
          <w:sz w:val="20"/>
          <w:szCs w:val="20"/>
          <w:lang w:val="es-CO"/>
        </w:rPr>
        <w:t>. Esta autoría no solamente se desprende de diversas pruebas testimoniales y de los informes policiales, sino que fue reconocida por la propia Junta, como se indicó en la sección de hechos probados.</w:t>
      </w:r>
      <w:r w:rsidR="001A6CD1" w:rsidRPr="002E18FD">
        <w:rPr>
          <w:rFonts w:ascii="Cambria" w:hAnsi="Cambria"/>
          <w:sz w:val="20"/>
          <w:szCs w:val="20"/>
          <w:lang w:val="es-CO"/>
        </w:rPr>
        <w:t xml:space="preserve"> </w:t>
      </w:r>
      <w:r w:rsidRPr="002E18FD">
        <w:rPr>
          <w:rFonts w:ascii="Cambria" w:hAnsi="Cambria"/>
          <w:sz w:val="20"/>
          <w:szCs w:val="20"/>
          <w:lang w:val="es-CO"/>
        </w:rPr>
        <w:t>La Comisión hace notar que existen una serie de elementos que comprueban que las Juntas del Campesinado actuaban bajo</w:t>
      </w:r>
      <w:r w:rsidR="00965D82" w:rsidRPr="002E18FD">
        <w:rPr>
          <w:rFonts w:ascii="Cambria" w:hAnsi="Cambria"/>
          <w:sz w:val="20"/>
          <w:szCs w:val="20"/>
          <w:lang w:val="es-CO"/>
        </w:rPr>
        <w:t xml:space="preserve"> la</w:t>
      </w:r>
      <w:r w:rsidRPr="002E18FD">
        <w:rPr>
          <w:rFonts w:ascii="Cambria" w:hAnsi="Cambria"/>
          <w:sz w:val="20"/>
          <w:szCs w:val="20"/>
          <w:lang w:val="es-CO"/>
        </w:rPr>
        <w:t xml:space="preserve"> aquiescencia del Estado.</w:t>
      </w:r>
    </w:p>
    <w:p w14:paraId="4437BFF4" w14:textId="77777777" w:rsidR="002E18FD" w:rsidRDefault="002E18FD" w:rsidP="002E18FD">
      <w:pPr>
        <w:pStyle w:val="ListParagraph"/>
        <w:rPr>
          <w:sz w:val="20"/>
          <w:szCs w:val="20"/>
          <w:lang w:val="es-CO"/>
        </w:rPr>
      </w:pPr>
    </w:p>
    <w:p w14:paraId="29CBD4F9" w14:textId="77777777" w:rsidR="002E18FD" w:rsidRDefault="008B5384"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sz w:val="20"/>
          <w:szCs w:val="20"/>
          <w:lang w:val="es-CO"/>
        </w:rPr>
        <w:t>En primer lugar, la CIDH recuerda el contexto referido, según el cual organismos nacionales e internacionales han indicado que las Juntas de Defensa del Campesinado han asumido funciones de autoridades públicas y existen acusaciones de graves violaciones de derechos humanos en su contra</w:t>
      </w:r>
      <w:r w:rsidR="00F7068E" w:rsidRPr="002E18FD">
        <w:rPr>
          <w:rFonts w:ascii="Cambria" w:hAnsi="Cambria"/>
          <w:sz w:val="20"/>
          <w:szCs w:val="20"/>
          <w:lang w:val="es-CO"/>
        </w:rPr>
        <w:t xml:space="preserve">. En efecto, esta situación ha llevado a que se exhorte </w:t>
      </w:r>
      <w:r w:rsidR="00831A19" w:rsidRPr="002E18FD">
        <w:rPr>
          <w:rFonts w:ascii="Cambria" w:hAnsi="Cambria"/>
          <w:sz w:val="20"/>
          <w:szCs w:val="20"/>
          <w:lang w:val="es-CO"/>
        </w:rPr>
        <w:t>al Estado a evitar que dichas Juntas se conviertan en agentes paramilitares.</w:t>
      </w:r>
      <w:r w:rsidR="0034380D" w:rsidRPr="002E18FD">
        <w:rPr>
          <w:rFonts w:ascii="Cambria" w:hAnsi="Cambria"/>
          <w:sz w:val="20"/>
          <w:szCs w:val="20"/>
          <w:lang w:val="es-CO"/>
        </w:rPr>
        <w:t xml:space="preserve"> Del expediente resulta evidente que el Estado estaba, al momento de los hechos, en pleno conocimiento del funcionamiento de las Juntas de Defensa del Campesinado</w:t>
      </w:r>
      <w:r w:rsidR="00F625D9" w:rsidRPr="002E18FD">
        <w:rPr>
          <w:rFonts w:ascii="Cambria" w:hAnsi="Cambria"/>
          <w:sz w:val="20"/>
          <w:szCs w:val="20"/>
          <w:lang w:val="es-CO"/>
        </w:rPr>
        <w:t xml:space="preserve"> y</w:t>
      </w:r>
      <w:r w:rsidR="0034380D" w:rsidRPr="002E18FD">
        <w:rPr>
          <w:rFonts w:ascii="Cambria" w:hAnsi="Cambria"/>
          <w:sz w:val="20"/>
          <w:szCs w:val="20"/>
          <w:lang w:val="es-CO"/>
        </w:rPr>
        <w:t xml:space="preserve"> de su rol e</w:t>
      </w:r>
      <w:r w:rsidR="00A61E19">
        <w:rPr>
          <w:rFonts w:ascii="Cambria" w:hAnsi="Cambria"/>
          <w:sz w:val="20"/>
          <w:szCs w:val="20"/>
          <w:lang w:val="es-CO"/>
        </w:rPr>
        <w:t>n funciones que les corresponde</w:t>
      </w:r>
      <w:r w:rsidR="0034380D" w:rsidRPr="002E18FD">
        <w:rPr>
          <w:rFonts w:ascii="Cambria" w:hAnsi="Cambria"/>
          <w:sz w:val="20"/>
          <w:szCs w:val="20"/>
          <w:lang w:val="es-CO"/>
        </w:rPr>
        <w:t xml:space="preserve"> a autoridades públicas</w:t>
      </w:r>
      <w:r w:rsidR="00F625D9" w:rsidRPr="002E18FD">
        <w:rPr>
          <w:rFonts w:ascii="Cambria" w:hAnsi="Cambria"/>
          <w:sz w:val="20"/>
          <w:szCs w:val="20"/>
          <w:lang w:val="es-CO"/>
        </w:rPr>
        <w:t xml:space="preserve">. </w:t>
      </w:r>
      <w:r w:rsidR="00CE64C7" w:rsidRPr="002E18FD">
        <w:rPr>
          <w:rFonts w:ascii="Cambria" w:hAnsi="Cambria"/>
          <w:sz w:val="20"/>
          <w:szCs w:val="20"/>
          <w:lang w:val="es-CO"/>
        </w:rPr>
        <w:t xml:space="preserve">No consta información alguna en el expediente en la cual el Estado explique las razones de legitimidad de las Juntas del Campesinado en el cumplimiento de funciones públicas, ni mucho menos información sobre medidas dirigidas a erradicar tal situación. </w:t>
      </w:r>
      <w:r w:rsidR="00D32A10" w:rsidRPr="002E18FD">
        <w:rPr>
          <w:rFonts w:ascii="Cambria" w:hAnsi="Cambria"/>
          <w:sz w:val="20"/>
          <w:szCs w:val="20"/>
          <w:lang w:val="es-CO"/>
        </w:rPr>
        <w:t xml:space="preserve">De esta manera, la Comisión considera acreditado que al momento del inicio de ejecución de la desaparición de Fredy Núñez, las Juntas del Campesinado actuaban con pleno conocimiento del Estado y bajo su tolerancia y aquiescencia. </w:t>
      </w:r>
    </w:p>
    <w:p w14:paraId="0BB62C6D"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CO"/>
        </w:rPr>
      </w:pPr>
    </w:p>
    <w:p w14:paraId="66D30E83" w14:textId="77777777" w:rsidR="002E18FD" w:rsidRDefault="001D1129"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sz w:val="20"/>
          <w:szCs w:val="20"/>
          <w:lang w:val="es-CO"/>
        </w:rPr>
        <w:t>Además, s</w:t>
      </w:r>
      <w:r w:rsidR="0020097B" w:rsidRPr="002E18FD">
        <w:rPr>
          <w:rFonts w:ascii="Cambria" w:hAnsi="Cambria"/>
          <w:sz w:val="20"/>
          <w:szCs w:val="20"/>
          <w:lang w:val="es-CO"/>
        </w:rPr>
        <w:t>egún se desprende del contexto, los funcionario</w:t>
      </w:r>
      <w:r w:rsidR="00206A96" w:rsidRPr="002E18FD">
        <w:rPr>
          <w:rFonts w:ascii="Cambria" w:hAnsi="Cambria"/>
          <w:sz w:val="20"/>
          <w:szCs w:val="20"/>
          <w:lang w:val="es-CO"/>
        </w:rPr>
        <w:t>s</w:t>
      </w:r>
      <w:r w:rsidR="0020097B" w:rsidRPr="002E18FD">
        <w:rPr>
          <w:rFonts w:ascii="Cambria" w:hAnsi="Cambria"/>
          <w:sz w:val="20"/>
          <w:szCs w:val="20"/>
          <w:lang w:val="es-CO"/>
        </w:rPr>
        <w:t xml:space="preserve"> estatales rara vez responden con eficacia las denuncias sobre actividades de las juntas. El Estado mismo reconoció en un informe al Comité de Derechos Humanos en 2015 que todos los procesos</w:t>
      </w:r>
      <w:r w:rsidR="00206A96" w:rsidRPr="002E18FD">
        <w:rPr>
          <w:rFonts w:ascii="Cambria" w:hAnsi="Cambria"/>
          <w:sz w:val="20"/>
          <w:szCs w:val="20"/>
          <w:lang w:val="es-CO"/>
        </w:rPr>
        <w:t xml:space="preserve"> </w:t>
      </w:r>
      <w:r w:rsidR="0020097B" w:rsidRPr="002E18FD">
        <w:rPr>
          <w:rFonts w:ascii="Cambria" w:hAnsi="Cambria"/>
          <w:sz w:val="20"/>
          <w:szCs w:val="20"/>
          <w:lang w:val="es-CO"/>
        </w:rPr>
        <w:t xml:space="preserve">judiciales contra miembros de las juntas por violaciones de derechos humanos en Tungurahua, </w:t>
      </w:r>
      <w:r w:rsidR="00DD2F83" w:rsidRPr="002E18FD">
        <w:rPr>
          <w:rFonts w:ascii="Cambria" w:hAnsi="Cambria"/>
          <w:sz w:val="20"/>
          <w:szCs w:val="20"/>
          <w:lang w:val="es-CO"/>
        </w:rPr>
        <w:t>Chimborazao y Bolí</w:t>
      </w:r>
      <w:r w:rsidR="00A61E19">
        <w:rPr>
          <w:rFonts w:ascii="Cambria" w:hAnsi="Cambria"/>
          <w:sz w:val="20"/>
          <w:szCs w:val="20"/>
          <w:lang w:val="es-CO"/>
        </w:rPr>
        <w:t>var han culminado con des</w:t>
      </w:r>
      <w:r w:rsidR="00DD2F83" w:rsidRPr="002E18FD">
        <w:rPr>
          <w:rFonts w:ascii="Cambria" w:hAnsi="Cambria"/>
          <w:sz w:val="20"/>
          <w:szCs w:val="20"/>
          <w:lang w:val="es-CO"/>
        </w:rPr>
        <w:t xml:space="preserve">estimaciones o sobreseimientos, </w:t>
      </w:r>
      <w:r w:rsidR="00D8295A" w:rsidRPr="002E18FD">
        <w:rPr>
          <w:rFonts w:ascii="Cambria" w:hAnsi="Cambria"/>
          <w:sz w:val="20"/>
          <w:szCs w:val="20"/>
          <w:lang w:val="es-CO"/>
        </w:rPr>
        <w:t>por lo que indicó que está tomando medidas para fortalece</w:t>
      </w:r>
      <w:r w:rsidR="00206A96" w:rsidRPr="002E18FD">
        <w:rPr>
          <w:rFonts w:ascii="Cambria" w:hAnsi="Cambria"/>
          <w:sz w:val="20"/>
          <w:szCs w:val="20"/>
          <w:lang w:val="es-CO"/>
        </w:rPr>
        <w:t xml:space="preserve">r los procesos de investigación. </w:t>
      </w:r>
      <w:r w:rsidR="00A61E19">
        <w:rPr>
          <w:rFonts w:ascii="Cambria" w:hAnsi="Cambria"/>
          <w:sz w:val="20"/>
          <w:szCs w:val="20"/>
          <w:lang w:val="es-CO"/>
        </w:rPr>
        <w:t>Esto</w:t>
      </w:r>
      <w:r w:rsidR="00453EAF" w:rsidRPr="002E18FD">
        <w:rPr>
          <w:rFonts w:ascii="Cambria" w:hAnsi="Cambria"/>
          <w:sz w:val="20"/>
          <w:szCs w:val="20"/>
          <w:lang w:val="es-CO"/>
        </w:rPr>
        <w:t xml:space="preserve"> constituye otro elemento que fortalece la conclusión sobre aquiescencia del Estado. </w:t>
      </w:r>
    </w:p>
    <w:p w14:paraId="49E0AB47" w14:textId="77777777" w:rsidR="002E18FD" w:rsidRDefault="002E18FD" w:rsidP="002E18FD">
      <w:pPr>
        <w:pStyle w:val="ListParagraph"/>
        <w:rPr>
          <w:sz w:val="20"/>
          <w:szCs w:val="20"/>
          <w:lang w:val="es-CO"/>
        </w:rPr>
      </w:pPr>
    </w:p>
    <w:p w14:paraId="4B17AE04" w14:textId="77777777" w:rsidR="002E18FD" w:rsidRDefault="00667886"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sz w:val="20"/>
          <w:szCs w:val="20"/>
          <w:lang w:val="es-CO"/>
        </w:rPr>
        <w:t xml:space="preserve">En cuanto al tercer elemento, relacionado con la negativa de </w:t>
      </w:r>
      <w:r w:rsidR="00315C3A" w:rsidRPr="002E18FD">
        <w:rPr>
          <w:rFonts w:ascii="Cambria" w:hAnsi="Cambria"/>
          <w:sz w:val="20"/>
          <w:szCs w:val="20"/>
          <w:lang w:val="es-CO"/>
        </w:rPr>
        <w:t>reconocer la detención o de revelar la suerte o paradero de la presunta víctima, la Comisión hace not</w:t>
      </w:r>
      <w:r w:rsidR="00C81646" w:rsidRPr="002E18FD">
        <w:rPr>
          <w:rFonts w:ascii="Cambria" w:hAnsi="Cambria"/>
          <w:sz w:val="20"/>
          <w:szCs w:val="20"/>
          <w:lang w:val="es-CO"/>
        </w:rPr>
        <w:t xml:space="preserve">ar que </w:t>
      </w:r>
      <w:r w:rsidR="003626CE" w:rsidRPr="002E18FD">
        <w:rPr>
          <w:rFonts w:ascii="Cambria" w:hAnsi="Cambria"/>
          <w:sz w:val="20"/>
          <w:szCs w:val="20"/>
          <w:lang w:val="es-CO"/>
        </w:rPr>
        <w:t>las personas que secuestraron a Fredy Núñez si bien reconocieron que dicha persona fue sustraída de la cárcel, no brindaron información sobre su destino o paradero, limitándose a indicar que se había fugado de un Calabozo. E</w:t>
      </w:r>
      <w:r w:rsidR="00C81646" w:rsidRPr="002E18FD">
        <w:rPr>
          <w:rFonts w:ascii="Cambria" w:hAnsi="Cambria"/>
          <w:sz w:val="20"/>
          <w:szCs w:val="20"/>
          <w:lang w:val="es-CO"/>
        </w:rPr>
        <w:t>l Estado a través de su</w:t>
      </w:r>
      <w:r w:rsidR="00315C3A" w:rsidRPr="002E18FD">
        <w:rPr>
          <w:rFonts w:ascii="Cambria" w:hAnsi="Cambria"/>
          <w:sz w:val="20"/>
          <w:szCs w:val="20"/>
          <w:lang w:val="es-CO"/>
        </w:rPr>
        <w:t xml:space="preserve"> falta de actuación diligente permitió el encubrimiento del p</w:t>
      </w:r>
      <w:r w:rsidR="00A61E19">
        <w:rPr>
          <w:rFonts w:ascii="Cambria" w:hAnsi="Cambria"/>
          <w:sz w:val="20"/>
          <w:szCs w:val="20"/>
          <w:lang w:val="es-CO"/>
        </w:rPr>
        <w:t xml:space="preserve">aradero de la presunta víctima. </w:t>
      </w:r>
      <w:r w:rsidR="00315C3A" w:rsidRPr="002E18FD">
        <w:rPr>
          <w:rFonts w:ascii="Cambria" w:hAnsi="Cambria"/>
          <w:sz w:val="20"/>
          <w:szCs w:val="20"/>
          <w:lang w:val="es-CO"/>
        </w:rPr>
        <w:t>Especí</w:t>
      </w:r>
      <w:r w:rsidR="00C81646" w:rsidRPr="002E18FD">
        <w:rPr>
          <w:rFonts w:ascii="Cambria" w:hAnsi="Cambria"/>
          <w:sz w:val="20"/>
          <w:szCs w:val="20"/>
          <w:lang w:val="es-CO"/>
        </w:rPr>
        <w:t>ficamente, la Comisión hace notar que pese a que miembros de las Juntas del Campesinado reconocieron que la presunta víctima luego de ser sustraida de la cárcel y conducida a una comunidad, fue llevada a un Calabozo de dichas juntas, no realizó diligencia alguna en dicho lugar o en otros para determinar su paradero. Adicionalmente, la Comisión hace notar las faltas a la debida diligencia que se ana</w:t>
      </w:r>
      <w:r w:rsidR="00206A96" w:rsidRPr="002E18FD">
        <w:rPr>
          <w:rFonts w:ascii="Cambria" w:hAnsi="Cambria"/>
          <w:sz w:val="20"/>
          <w:szCs w:val="20"/>
          <w:lang w:val="es-CO"/>
        </w:rPr>
        <w:t>lizarán en la sección posterior</w:t>
      </w:r>
      <w:r w:rsidR="00C81646" w:rsidRPr="002E18FD">
        <w:rPr>
          <w:rFonts w:ascii="Cambria" w:hAnsi="Cambria"/>
          <w:sz w:val="20"/>
          <w:szCs w:val="20"/>
          <w:lang w:val="es-CO"/>
        </w:rPr>
        <w:t xml:space="preserve">, pero que demuestran en su conjunto que el proceso no estaba dirigido a determinar el paradero de la presunta víctima, sino </w:t>
      </w:r>
      <w:r w:rsidR="00B20FEB" w:rsidRPr="002E18FD">
        <w:rPr>
          <w:rFonts w:ascii="Cambria" w:hAnsi="Cambria"/>
          <w:sz w:val="20"/>
          <w:szCs w:val="20"/>
          <w:lang w:val="es-CO"/>
        </w:rPr>
        <w:t xml:space="preserve">que más bien contribuyó a permitir la </w:t>
      </w:r>
      <w:r w:rsidR="00C81646" w:rsidRPr="002E18FD">
        <w:rPr>
          <w:rFonts w:ascii="Cambria" w:hAnsi="Cambria"/>
          <w:sz w:val="20"/>
          <w:szCs w:val="20"/>
          <w:lang w:val="es-CO"/>
        </w:rPr>
        <w:t>perpet</w:t>
      </w:r>
      <w:r w:rsidR="00B20FEB" w:rsidRPr="002E18FD">
        <w:rPr>
          <w:rFonts w:ascii="Cambria" w:hAnsi="Cambria"/>
          <w:sz w:val="20"/>
          <w:szCs w:val="20"/>
          <w:lang w:val="es-CO"/>
        </w:rPr>
        <w:t>uac</w:t>
      </w:r>
      <w:r w:rsidR="00C81646" w:rsidRPr="002E18FD">
        <w:rPr>
          <w:rFonts w:ascii="Cambria" w:hAnsi="Cambria"/>
          <w:sz w:val="20"/>
          <w:szCs w:val="20"/>
          <w:lang w:val="es-CO"/>
        </w:rPr>
        <w:t>ión de una grave violación de derechos humanos por parte de las Juntas del Campesinado.</w:t>
      </w:r>
    </w:p>
    <w:p w14:paraId="667BA685"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CO"/>
        </w:rPr>
      </w:pPr>
    </w:p>
    <w:p w14:paraId="30B018B4" w14:textId="77777777" w:rsidR="00315C3A" w:rsidRPr="002E18FD" w:rsidRDefault="00F82C29"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CO"/>
        </w:rPr>
      </w:pPr>
      <w:r w:rsidRPr="002E18FD">
        <w:rPr>
          <w:rFonts w:ascii="Cambria" w:hAnsi="Cambria"/>
          <w:sz w:val="20"/>
          <w:szCs w:val="20"/>
          <w:lang w:val="es-CO"/>
        </w:rPr>
        <w:t>Conforme a lo expuesto, la Comisión concluye que Fredy Marcelo Nuñez fue víctima de desaparición forzada a pa</w:t>
      </w:r>
      <w:r w:rsidR="00C61744" w:rsidRPr="002E18FD">
        <w:rPr>
          <w:rFonts w:ascii="Cambria" w:hAnsi="Cambria"/>
          <w:sz w:val="20"/>
          <w:szCs w:val="20"/>
          <w:lang w:val="es-CO"/>
        </w:rPr>
        <w:t>rtir del 15 de julio de 2001</w:t>
      </w:r>
      <w:r w:rsidRPr="002E18FD">
        <w:rPr>
          <w:rFonts w:ascii="Cambria" w:hAnsi="Cambria"/>
          <w:sz w:val="20"/>
          <w:szCs w:val="20"/>
          <w:lang w:val="es-CO"/>
        </w:rPr>
        <w:t>, por lo que el Estado ecuatoriano, violó en su perjuicio, los derechos establecidos en los artículos 3, 4.1, 5.1, 5.2 y 7 de la Convención Americana, en relación con el artículo 1.1 del mismo instrumento. Igualmente, el Estado violó el artículos 1.a) de la Convención Interamericana sobre Desaparición Forzada de Personas.</w:t>
      </w:r>
    </w:p>
    <w:p w14:paraId="6EB089CE" w14:textId="77777777" w:rsidR="002D3E0D" w:rsidRDefault="002D3E0D" w:rsidP="0065556E">
      <w:pPr>
        <w:pStyle w:val="p1"/>
        <w:jc w:val="both"/>
        <w:rPr>
          <w:rFonts w:asciiTheme="majorHAnsi" w:hAnsiTheme="majorHAnsi"/>
          <w:sz w:val="18"/>
          <w:szCs w:val="18"/>
          <w:lang w:val="es-ES"/>
        </w:rPr>
      </w:pPr>
    </w:p>
    <w:p w14:paraId="05A38A91" w14:textId="77777777" w:rsidR="00CB6CA4" w:rsidRPr="00152E74" w:rsidRDefault="00CB6CA4" w:rsidP="002E18FD">
      <w:pPr>
        <w:pStyle w:val="Heading2"/>
        <w:keepNext w:val="0"/>
        <w:numPr>
          <w:ilvl w:val="0"/>
          <w:numId w:val="58"/>
        </w:numPr>
        <w:pBdr>
          <w:top w:val="nil"/>
          <w:left w:val="nil"/>
          <w:bottom w:val="nil"/>
          <w:right w:val="nil"/>
          <w:between w:val="nil"/>
          <w:bar w:val="nil"/>
        </w:pBdr>
        <w:spacing w:before="0" w:after="0"/>
        <w:ind w:left="630" w:hanging="630"/>
        <w:jc w:val="both"/>
        <w:rPr>
          <w:rFonts w:ascii="Cambria" w:hAnsi="Cambria"/>
          <w:i w:val="0"/>
          <w:sz w:val="20"/>
          <w:szCs w:val="20"/>
          <w:lang w:val="es-VE"/>
        </w:rPr>
      </w:pPr>
      <w:bookmarkStart w:id="20" w:name="_Toc1985290"/>
      <w:bookmarkStart w:id="21" w:name="_Toc5359031"/>
      <w:r w:rsidRPr="00152E74">
        <w:rPr>
          <w:rFonts w:ascii="Cambria" w:hAnsi="Cambria"/>
          <w:i w:val="0"/>
          <w:sz w:val="20"/>
          <w:szCs w:val="20"/>
          <w:lang w:val="es-VE"/>
        </w:rPr>
        <w:t>Derecho a las garantías y la protección judicial (artículos 8.1 y 25.1 de la Convención Americana sobre Derechos Humanos) en relación con la obligación de respetar los derechos humanos y el deber de adoptar disposiciones de derecho interno (artículos 1.1 y 2 del mencionado instrumento) y los artículos I.b y III</w:t>
      </w:r>
      <w:r w:rsidRPr="00152E74">
        <w:rPr>
          <w:rStyle w:val="FootnoteReference"/>
          <w:rFonts w:ascii="Cambria" w:hAnsi="Cambria"/>
          <w:i w:val="0"/>
          <w:sz w:val="20"/>
          <w:szCs w:val="20"/>
          <w:lang w:val="es-VE"/>
        </w:rPr>
        <w:footnoteReference w:id="65"/>
      </w:r>
      <w:r w:rsidRPr="00152E74">
        <w:rPr>
          <w:rFonts w:ascii="Cambria" w:hAnsi="Cambria"/>
          <w:i w:val="0"/>
          <w:sz w:val="20"/>
          <w:szCs w:val="20"/>
          <w:lang w:val="es-VE"/>
        </w:rPr>
        <w:t xml:space="preserve"> de la CIDFP</w:t>
      </w:r>
      <w:bookmarkEnd w:id="20"/>
      <w:bookmarkEnd w:id="21"/>
      <w:r w:rsidRPr="00152E74">
        <w:rPr>
          <w:rFonts w:ascii="Cambria" w:hAnsi="Cambria"/>
          <w:i w:val="0"/>
          <w:sz w:val="20"/>
          <w:szCs w:val="20"/>
          <w:lang w:val="es-VE"/>
        </w:rPr>
        <w:t xml:space="preserve"> </w:t>
      </w:r>
    </w:p>
    <w:p w14:paraId="6E079159" w14:textId="77777777" w:rsidR="00CB6CA4" w:rsidRPr="00152E74" w:rsidRDefault="00CB6CA4" w:rsidP="00CB6CA4">
      <w:pPr>
        <w:tabs>
          <w:tab w:val="left" w:pos="1440"/>
        </w:tabs>
        <w:ind w:left="720"/>
        <w:jc w:val="both"/>
        <w:rPr>
          <w:rFonts w:ascii="Cambria" w:hAnsi="Cambria"/>
          <w:sz w:val="20"/>
          <w:szCs w:val="20"/>
          <w:lang w:val="es-VE"/>
        </w:rPr>
      </w:pPr>
    </w:p>
    <w:p w14:paraId="335FF7C6" w14:textId="77777777" w:rsidR="002E18FD" w:rsidRDefault="00CB6CA4"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152E74">
        <w:rPr>
          <w:rFonts w:ascii="Cambria" w:eastAsia="Times New Roman" w:hAnsi="Cambria"/>
          <w:sz w:val="20"/>
          <w:szCs w:val="20"/>
          <w:lang w:val="es-ES" w:eastAsia="es-ES"/>
        </w:rPr>
        <w:t xml:space="preserve">De la jurisprudencia interamericana resulta que, cuando se trata de la denuncia de la desaparición de una persona, existe un vínculo inescindible entre la respuesta estatal y la protección de la vida e integridad de la persona que se denuncia desaparecida. La naturaleza inmediata y exhaustiva de la respuesta </w:t>
      </w:r>
      <w:r w:rsidRPr="00152E74">
        <w:rPr>
          <w:rFonts w:ascii="Cambria" w:hAnsi="Cambria"/>
          <w:sz w:val="20"/>
          <w:szCs w:val="20"/>
          <w:lang w:val="es-ES"/>
        </w:rPr>
        <w:t>estatal</w:t>
      </w:r>
      <w:r w:rsidRPr="00152E74">
        <w:rPr>
          <w:rFonts w:ascii="Cambria" w:eastAsia="Times New Roman" w:hAnsi="Cambria"/>
          <w:sz w:val="20"/>
          <w:szCs w:val="20"/>
          <w:lang w:val="es-ES" w:eastAsia="es-ES"/>
        </w:rPr>
        <w:t xml:space="preserve"> es independiente de si se trata de una posible desaparición a manos de particulares o a manos de agentes estatales. La Comisión reitera que cuando haya motivos razonables para sospechar que una persona ha sido sometida a desaparición, es imprescindible la actuación pronta e inmediata de las autoridades fiscales y judiciales ordenando medidas oportunas y necesarias dirigidas a la determinación del paradero de la víctima o el lugar donde pueda encontrarse privada de libertad</w:t>
      </w:r>
      <w:r w:rsidRPr="00152E74">
        <w:rPr>
          <w:rFonts w:ascii="Cambria" w:eastAsia="Times New Roman" w:hAnsi="Cambria"/>
          <w:sz w:val="20"/>
          <w:szCs w:val="20"/>
          <w:vertAlign w:val="superscript"/>
          <w:lang w:val="es-ES" w:eastAsia="es-ES"/>
        </w:rPr>
        <w:footnoteReference w:id="66"/>
      </w:r>
      <w:r w:rsidRPr="00152E74">
        <w:rPr>
          <w:rFonts w:ascii="Cambria" w:eastAsia="Times New Roman" w:hAnsi="Cambria"/>
          <w:sz w:val="20"/>
          <w:szCs w:val="20"/>
          <w:lang w:val="es-ES" w:eastAsia="es-ES"/>
        </w:rPr>
        <w:t xml:space="preserve">. </w:t>
      </w:r>
    </w:p>
    <w:p w14:paraId="03B124E6"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ES"/>
        </w:rPr>
      </w:pPr>
    </w:p>
    <w:p w14:paraId="3DE14759" w14:textId="77777777" w:rsidR="002E18FD" w:rsidRDefault="00CB6CA4"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E18FD">
        <w:rPr>
          <w:rFonts w:ascii="Cambria" w:hAnsi="Cambria"/>
          <w:spacing w:val="-2"/>
          <w:sz w:val="20"/>
          <w:szCs w:val="20"/>
          <w:lang w:val="es-CR"/>
        </w:rPr>
        <w:t xml:space="preserve">La Corte ha expresado que los Estados están obligados a proveer recursos judiciales efectivos a las víctimas de </w:t>
      </w:r>
      <w:r w:rsidRPr="002E18FD">
        <w:rPr>
          <w:rFonts w:ascii="Cambria" w:eastAsia="Times New Roman" w:hAnsi="Cambria"/>
          <w:sz w:val="20"/>
          <w:szCs w:val="20"/>
          <w:lang w:val="es-ES" w:eastAsia="es-ES"/>
        </w:rPr>
        <w:t>violaciones</w:t>
      </w:r>
      <w:r w:rsidRPr="002E18FD">
        <w:rPr>
          <w:rFonts w:ascii="Cambria" w:hAnsi="Cambria"/>
          <w:spacing w:val="-2"/>
          <w:sz w:val="20"/>
          <w:szCs w:val="20"/>
          <w:lang w:val="es-CR"/>
        </w:rPr>
        <w:t xml:space="preserve">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152E74">
        <w:rPr>
          <w:rFonts w:ascii="Cambria" w:hAnsi="Cambria"/>
          <w:spacing w:val="-2"/>
          <w:sz w:val="20"/>
          <w:szCs w:val="20"/>
          <w:vertAlign w:val="superscript"/>
          <w:lang w:val="es-CR"/>
        </w:rPr>
        <w:footnoteReference w:id="67"/>
      </w:r>
      <w:r w:rsidRPr="002E18FD">
        <w:rPr>
          <w:rFonts w:ascii="Cambria" w:hAnsi="Cambria"/>
          <w:spacing w:val="-2"/>
          <w:sz w:val="20"/>
          <w:szCs w:val="20"/>
          <w:lang w:val="es-CR"/>
        </w:rPr>
        <w:t>.</w:t>
      </w:r>
    </w:p>
    <w:p w14:paraId="067AF93A" w14:textId="77777777" w:rsidR="002E18FD" w:rsidRDefault="002E18FD" w:rsidP="002E18FD">
      <w:pPr>
        <w:pStyle w:val="ListParagraph"/>
        <w:rPr>
          <w:spacing w:val="-2"/>
          <w:sz w:val="20"/>
          <w:szCs w:val="20"/>
          <w:lang w:val="es-CR"/>
        </w:rPr>
      </w:pPr>
    </w:p>
    <w:p w14:paraId="36B7DC05" w14:textId="77777777" w:rsidR="002E18FD" w:rsidRDefault="00CB6CA4"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E18FD">
        <w:rPr>
          <w:rFonts w:ascii="Cambria" w:hAnsi="Cambria"/>
          <w:spacing w:val="-2"/>
          <w:sz w:val="20"/>
          <w:szCs w:val="20"/>
          <w:lang w:val="es-CR"/>
        </w:rPr>
        <w:t xml:space="preserve">Así la Corte ha señalado que la obligación de investigar implica que una vez que las autoridades estatales tengan conocimiento del hecho, </w:t>
      </w:r>
      <w:r w:rsidRPr="002E18FD">
        <w:rPr>
          <w:rFonts w:ascii="Cambria" w:hAnsi="Cambria"/>
          <w:bCs/>
          <w:spacing w:val="-2"/>
          <w:sz w:val="20"/>
          <w:szCs w:val="20"/>
          <w:lang w:val="es-CR"/>
        </w:rPr>
        <w:t>deben</w:t>
      </w:r>
      <w:r w:rsidRPr="002E18FD">
        <w:rPr>
          <w:rFonts w:ascii="Cambria" w:hAnsi="Cambria"/>
          <w:spacing w:val="-2"/>
          <w:sz w:val="20"/>
          <w:szCs w:val="20"/>
          <w:lang w:val="es-CR"/>
        </w:rPr>
        <w:t xml:space="preserve"> iniciar</w:t>
      </w:r>
      <w:r w:rsidRPr="002E18FD">
        <w:rPr>
          <w:rFonts w:ascii="Cambria" w:hAnsi="Cambria"/>
          <w:i/>
          <w:spacing w:val="-2"/>
          <w:sz w:val="20"/>
          <w:szCs w:val="20"/>
          <w:lang w:val="es-CR"/>
        </w:rPr>
        <w:t xml:space="preserve"> ex officio</w:t>
      </w:r>
      <w:r w:rsidRPr="002E18FD">
        <w:rPr>
          <w:rFonts w:ascii="Cambria" w:hAnsi="Cambria"/>
          <w:spacing w:val="-2"/>
          <w:sz w:val="20"/>
          <w:szCs w:val="20"/>
          <w:lang w:val="es-CR"/>
        </w:rPr>
        <w:t xml:space="preserve"> y sin dilación, una investigación seria, imparcial y efectiva por todos los medios legales disponibles y orientada a la determinación de la verdad y a la persecución, </w:t>
      </w:r>
      <w:r w:rsidRPr="002E18FD">
        <w:rPr>
          <w:rFonts w:ascii="Cambria" w:hAnsi="Cambria"/>
          <w:spacing w:val="-2"/>
          <w:sz w:val="20"/>
          <w:szCs w:val="20"/>
          <w:lang w:val="es-CR"/>
        </w:rPr>
        <w:lastRenderedPageBreak/>
        <w:t>captura, enjuiciamiento y eventual castigo de todos los autores de los hechos</w:t>
      </w:r>
      <w:r w:rsidRPr="00152E74">
        <w:rPr>
          <w:rFonts w:ascii="Cambria" w:hAnsi="Cambria"/>
          <w:spacing w:val="-2"/>
          <w:sz w:val="20"/>
          <w:szCs w:val="20"/>
          <w:vertAlign w:val="superscript"/>
          <w:lang w:val="es-CR"/>
        </w:rPr>
        <w:footnoteReference w:id="68"/>
      </w:r>
      <w:r w:rsidRPr="002E18FD">
        <w:rPr>
          <w:rFonts w:ascii="Cambria" w:hAnsi="Cambria"/>
          <w:spacing w:val="-2"/>
          <w:sz w:val="20"/>
          <w:szCs w:val="20"/>
          <w:lang w:val="es-CR"/>
        </w:rPr>
        <w:t>, especialmente cuando están o puedan estar involucrados agentes estatales</w:t>
      </w:r>
      <w:r w:rsidRPr="00152E74">
        <w:rPr>
          <w:rFonts w:ascii="Cambria" w:hAnsi="Cambria"/>
          <w:spacing w:val="-2"/>
          <w:sz w:val="20"/>
          <w:szCs w:val="20"/>
          <w:vertAlign w:val="superscript"/>
          <w:lang w:val="es-CR"/>
        </w:rPr>
        <w:footnoteReference w:id="69"/>
      </w:r>
      <w:r w:rsidRPr="002E18FD">
        <w:rPr>
          <w:rFonts w:ascii="Cambria" w:hAnsi="Cambria"/>
          <w:spacing w:val="-2"/>
          <w:sz w:val="20"/>
          <w:szCs w:val="20"/>
          <w:lang w:val="es-CR"/>
        </w:rPr>
        <w:t>. Este deber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152E74">
        <w:rPr>
          <w:rFonts w:ascii="Cambria" w:hAnsi="Cambria"/>
          <w:spacing w:val="-2"/>
          <w:sz w:val="20"/>
          <w:szCs w:val="20"/>
          <w:vertAlign w:val="superscript"/>
          <w:lang w:val="es-CR"/>
        </w:rPr>
        <w:footnoteReference w:id="70"/>
      </w:r>
      <w:r w:rsidRPr="002E18FD">
        <w:rPr>
          <w:rFonts w:ascii="Cambria" w:hAnsi="Cambria"/>
          <w:spacing w:val="-2"/>
          <w:sz w:val="20"/>
          <w:szCs w:val="20"/>
          <w:lang w:val="es-CR"/>
        </w:rPr>
        <w:t>. La obligación del Estado de investigar debe cumplirse diligentemente para evitar la impunidad y que este tipo de hechos vuelvan a repetirse</w:t>
      </w:r>
      <w:r w:rsidRPr="00152E74">
        <w:rPr>
          <w:rFonts w:ascii="Cambria" w:hAnsi="Cambria"/>
          <w:spacing w:val="-2"/>
          <w:sz w:val="20"/>
          <w:szCs w:val="20"/>
          <w:vertAlign w:val="superscript"/>
          <w:lang w:val="es-CR"/>
        </w:rPr>
        <w:footnoteReference w:id="71"/>
      </w:r>
      <w:r w:rsidRPr="002E18FD">
        <w:rPr>
          <w:rFonts w:ascii="Cambria" w:hAnsi="Cambria"/>
          <w:spacing w:val="-2"/>
          <w:sz w:val="20"/>
          <w:szCs w:val="20"/>
          <w:lang w:val="es-CR"/>
        </w:rPr>
        <w:t xml:space="preserve">. </w:t>
      </w:r>
    </w:p>
    <w:p w14:paraId="46807D43" w14:textId="77777777" w:rsidR="002E18FD" w:rsidRDefault="002E18FD" w:rsidP="002E18FD">
      <w:pPr>
        <w:pStyle w:val="ListParagraph"/>
        <w:rPr>
          <w:rFonts w:cs="Arial"/>
          <w:sz w:val="20"/>
          <w:szCs w:val="20"/>
          <w:lang w:val="es-VE"/>
        </w:rPr>
      </w:pPr>
    </w:p>
    <w:p w14:paraId="4A525E30" w14:textId="77777777" w:rsidR="002E18FD" w:rsidRDefault="00CB6CA4"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E18FD">
        <w:rPr>
          <w:rFonts w:ascii="Cambria" w:hAnsi="Cambria" w:cs="Arial"/>
          <w:sz w:val="20"/>
          <w:szCs w:val="20"/>
          <w:lang w:val="es-VE"/>
        </w:rPr>
        <w:t>Además, en cuanto a la debida diligencia durante el desarrollo de la investigación, la Corte Interamericana ha establecido que “cada acto estatal que conforma el proceso investigativo, así como la investigación en su totalidad, debe estar orientado hacia una finalidad específica, la determinación de la verdad y la investigación, persecución, captura, enjuiciamiento y, en su caso, la sanción de los responsables de los hechos”</w:t>
      </w:r>
      <w:r w:rsidRPr="00152E74">
        <w:rPr>
          <w:rStyle w:val="FootnoteReference"/>
          <w:rFonts w:ascii="Cambria" w:hAnsi="Cambria"/>
          <w:sz w:val="20"/>
          <w:szCs w:val="20"/>
        </w:rPr>
        <w:footnoteReference w:id="72"/>
      </w:r>
      <w:r w:rsidRPr="002E18FD">
        <w:rPr>
          <w:rFonts w:ascii="Cambria" w:hAnsi="Cambria" w:cs="Arial"/>
          <w:sz w:val="20"/>
          <w:szCs w:val="20"/>
          <w:lang w:val="es-VE"/>
        </w:rPr>
        <w:t xml:space="preserve">. A </w:t>
      </w:r>
      <w:r w:rsidRPr="002E18FD">
        <w:rPr>
          <w:rFonts w:ascii="Cambria" w:hAnsi="Cambria"/>
          <w:sz w:val="20"/>
          <w:szCs w:val="20"/>
          <w:lang w:val="es-MX"/>
        </w:rPr>
        <w:t xml:space="preserve">ese respecto, el Estado tiene que </w:t>
      </w:r>
      <w:r w:rsidRPr="002E18FD">
        <w:rPr>
          <w:rFonts w:ascii="Cambria" w:hAnsi="Cambria"/>
          <w:spacing w:val="-2"/>
          <w:sz w:val="20"/>
          <w:szCs w:val="20"/>
          <w:lang w:val="es-MX"/>
        </w:rPr>
        <w:t>demostrar que ha realizado una investigación inmediata, exhaustiva, seria e imparcial</w:t>
      </w:r>
      <w:r w:rsidRPr="00152E74">
        <w:rPr>
          <w:rStyle w:val="FootnoteReference"/>
          <w:rFonts w:ascii="Cambria" w:hAnsi="Cambria"/>
          <w:sz w:val="20"/>
          <w:szCs w:val="20"/>
          <w:lang w:val="es-ES"/>
        </w:rPr>
        <w:footnoteReference w:id="73"/>
      </w:r>
      <w:r w:rsidRPr="002E18FD">
        <w:rPr>
          <w:rFonts w:ascii="Cambria" w:hAnsi="Cambria"/>
          <w:spacing w:val="-2"/>
          <w:sz w:val="20"/>
          <w:szCs w:val="20"/>
          <w:lang w:val="es-MX"/>
        </w:rPr>
        <w:t>,</w:t>
      </w:r>
      <w:r w:rsidRPr="002E18FD">
        <w:rPr>
          <w:rFonts w:ascii="Cambria" w:hAnsi="Cambria"/>
          <w:sz w:val="20"/>
          <w:szCs w:val="20"/>
          <w:lang w:val="es-MX"/>
        </w:rPr>
        <w:t xml:space="preserve"> la cual debe estar orientada a explorar </w:t>
      </w:r>
      <w:r w:rsidRPr="002E18FD">
        <w:rPr>
          <w:rFonts w:ascii="Cambria" w:hAnsi="Cambria"/>
          <w:sz w:val="20"/>
          <w:szCs w:val="20"/>
          <w:lang w:val="es-ES"/>
        </w:rPr>
        <w:t>todas</w:t>
      </w:r>
      <w:r w:rsidRPr="002E18FD">
        <w:rPr>
          <w:rFonts w:ascii="Cambria" w:hAnsi="Cambria"/>
          <w:sz w:val="20"/>
          <w:szCs w:val="20"/>
          <w:lang w:val="es-MX"/>
        </w:rPr>
        <w:t xml:space="preserve"> las líneas investigativas posibles</w:t>
      </w:r>
      <w:r w:rsidRPr="00152E74">
        <w:rPr>
          <w:rStyle w:val="FootnoteReference"/>
          <w:rFonts w:ascii="Cambria" w:hAnsi="Cambria" w:cs="Arial"/>
          <w:sz w:val="20"/>
          <w:szCs w:val="20"/>
          <w:lang w:val="es-ES"/>
        </w:rPr>
        <w:footnoteReference w:id="74"/>
      </w:r>
      <w:r w:rsidRPr="002E18FD">
        <w:rPr>
          <w:rFonts w:ascii="Cambria" w:hAnsi="Cambria"/>
          <w:sz w:val="20"/>
          <w:szCs w:val="20"/>
          <w:lang w:val="es-MX"/>
        </w:rPr>
        <w:t>. E</w:t>
      </w:r>
      <w:r w:rsidRPr="002E18FD">
        <w:rPr>
          <w:rFonts w:ascii="Cambria" w:hAnsi="Cambria"/>
          <w:sz w:val="20"/>
          <w:szCs w:val="20"/>
          <w:lang w:val="es-CO"/>
        </w:rPr>
        <w:t>l Estado puede ser responsable por no “ordenar, practicar o valorar pruebas” que pueden ser fundamentales para el debido esclarecimiento de los hechos</w:t>
      </w:r>
      <w:r w:rsidRPr="00152E74">
        <w:rPr>
          <w:rStyle w:val="FootnoteReference"/>
          <w:rFonts w:ascii="Cambria" w:hAnsi="Cambria"/>
          <w:sz w:val="20"/>
          <w:szCs w:val="20"/>
          <w:lang w:val="es-CO"/>
        </w:rPr>
        <w:footnoteReference w:id="75"/>
      </w:r>
      <w:r w:rsidRPr="002E18FD">
        <w:rPr>
          <w:rFonts w:ascii="Cambria" w:hAnsi="Cambria"/>
          <w:sz w:val="20"/>
          <w:szCs w:val="20"/>
          <w:lang w:val="es-CO"/>
        </w:rPr>
        <w:t>.</w:t>
      </w:r>
    </w:p>
    <w:p w14:paraId="54F43206" w14:textId="77777777" w:rsidR="002E18FD" w:rsidRDefault="002E18FD" w:rsidP="002E18FD">
      <w:pPr>
        <w:pStyle w:val="ListParagraph"/>
        <w:rPr>
          <w:rFonts w:eastAsia="Times New Roman"/>
          <w:sz w:val="20"/>
          <w:szCs w:val="20"/>
          <w:lang w:val="es-ES"/>
        </w:rPr>
      </w:pPr>
    </w:p>
    <w:p w14:paraId="3730012C" w14:textId="77777777" w:rsidR="00874468" w:rsidRPr="002E18FD" w:rsidRDefault="00CB6CA4"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
        </w:rPr>
      </w:pPr>
      <w:r w:rsidRPr="002E18FD">
        <w:rPr>
          <w:rFonts w:ascii="Cambria" w:eastAsia="Times New Roman" w:hAnsi="Cambria"/>
          <w:sz w:val="20"/>
          <w:szCs w:val="20"/>
          <w:lang w:val="es-ES" w:eastAsia="es-ES"/>
        </w:rPr>
        <w:t xml:space="preserve">Por otra parte, el artículo 8.1 de la Convención Americana establece, como uno de los elementos del debido </w:t>
      </w:r>
      <w:r w:rsidRPr="002E18FD">
        <w:rPr>
          <w:rFonts w:ascii="Cambria" w:hAnsi="Cambria" w:cs="Arial"/>
          <w:sz w:val="20"/>
          <w:szCs w:val="20"/>
          <w:lang w:val="es-VE"/>
        </w:rPr>
        <w:t>proceso</w:t>
      </w:r>
      <w:r w:rsidRPr="002E18FD">
        <w:rPr>
          <w:rFonts w:ascii="Cambria" w:eastAsia="Times New Roman" w:hAnsi="Cambria"/>
          <w:sz w:val="20"/>
          <w:szCs w:val="20"/>
          <w:lang w:val="es-ES" w:eastAsia="es-ES"/>
        </w:rPr>
        <w:t>, que los tribunales decidan los casos sometidos a su conocimiento en un plazo razonable. Según los términos de dicha norma, la Comisión tomará en consideración, a la luz de las circunstancias concretas del caso, los elementos que los órganos del sistema interamericano han tomado en cuenta, a saber: i) la complejidad del asunto; ii) la actividad procesal del interesado; y iii) la conducta de las autoridades judiciales; y iv) afectación generada en la situación jurídica de la persona involucrada en el proceso</w:t>
      </w:r>
      <w:r w:rsidRPr="00152E74">
        <w:rPr>
          <w:rFonts w:ascii="Cambria" w:eastAsia="Times New Roman" w:hAnsi="Cambria"/>
          <w:sz w:val="20"/>
          <w:szCs w:val="20"/>
          <w:vertAlign w:val="superscript"/>
          <w:lang w:val="es-ES" w:eastAsia="es-ES"/>
        </w:rPr>
        <w:footnoteReference w:id="76"/>
      </w:r>
      <w:r w:rsidRPr="002E18FD">
        <w:rPr>
          <w:rFonts w:ascii="Cambria" w:eastAsia="Times New Roman" w:hAnsi="Cambria"/>
          <w:sz w:val="20"/>
          <w:szCs w:val="20"/>
          <w:lang w:val="es-ES" w:eastAsia="es-ES"/>
        </w:rPr>
        <w:t>. La Corte Interamericana ha establecido que una demora prolongada puede llegar a constituir por sí misma una violación de las garantías judiciales</w:t>
      </w:r>
      <w:r w:rsidRPr="00152E74">
        <w:rPr>
          <w:rFonts w:ascii="Cambria" w:eastAsia="Times New Roman" w:hAnsi="Cambria"/>
          <w:sz w:val="20"/>
          <w:szCs w:val="20"/>
          <w:vertAlign w:val="superscript"/>
          <w:lang w:val="es-ES" w:eastAsia="es-ES"/>
        </w:rPr>
        <w:footnoteReference w:id="77"/>
      </w:r>
      <w:r w:rsidRPr="002E18FD">
        <w:rPr>
          <w:rFonts w:ascii="Cambria" w:eastAsia="Times New Roman" w:hAnsi="Cambria"/>
          <w:sz w:val="20"/>
          <w:szCs w:val="20"/>
          <w:lang w:val="es-ES" w:eastAsia="es-ES"/>
        </w:rPr>
        <w:t>, por lo cual, corresponde al Estado exponer y probar la razón por la cual se ha requerido más tiempo del razonable para dictar sentencia definitiva en un caso particular</w:t>
      </w:r>
      <w:r w:rsidRPr="00152E74">
        <w:rPr>
          <w:rFonts w:ascii="Cambria" w:eastAsia="Times New Roman" w:hAnsi="Cambria"/>
          <w:sz w:val="20"/>
          <w:szCs w:val="20"/>
          <w:vertAlign w:val="superscript"/>
          <w:lang w:val="es-ES" w:eastAsia="es-ES"/>
        </w:rPr>
        <w:footnoteReference w:id="78"/>
      </w:r>
      <w:r w:rsidRPr="002E18FD">
        <w:rPr>
          <w:rFonts w:ascii="Cambria" w:eastAsia="Times New Roman" w:hAnsi="Cambria"/>
          <w:sz w:val="20"/>
          <w:szCs w:val="20"/>
          <w:lang w:val="es-ES" w:eastAsia="es-ES"/>
        </w:rPr>
        <w:t>.</w:t>
      </w:r>
    </w:p>
    <w:p w14:paraId="47A9CB87" w14:textId="77777777" w:rsidR="00874468" w:rsidRDefault="00874468" w:rsidP="002E18FD">
      <w:pPr>
        <w:pStyle w:val="Heading3"/>
        <w:numPr>
          <w:ilvl w:val="0"/>
          <w:numId w:val="60"/>
        </w:numPr>
        <w:ind w:left="630" w:hanging="630"/>
        <w:rPr>
          <w:rFonts w:ascii="Cambria" w:eastAsia="Calibri" w:hAnsi="Cambria"/>
          <w:sz w:val="20"/>
          <w:szCs w:val="20"/>
          <w:lang w:val="es-ES"/>
        </w:rPr>
      </w:pPr>
      <w:bookmarkStart w:id="22" w:name="_Toc1985291"/>
      <w:bookmarkStart w:id="23" w:name="_Toc5359032"/>
      <w:r w:rsidRPr="00757849">
        <w:rPr>
          <w:rFonts w:ascii="Cambria" w:eastAsia="Calibri" w:hAnsi="Cambria"/>
          <w:sz w:val="20"/>
          <w:szCs w:val="20"/>
          <w:lang w:val="es-ES"/>
        </w:rPr>
        <w:lastRenderedPageBreak/>
        <w:t>La diligencia en la investigación</w:t>
      </w:r>
      <w:bookmarkEnd w:id="22"/>
      <w:bookmarkEnd w:id="23"/>
      <w:r w:rsidRPr="00757849">
        <w:rPr>
          <w:rFonts w:ascii="Cambria" w:eastAsia="Calibri" w:hAnsi="Cambria"/>
          <w:sz w:val="20"/>
          <w:szCs w:val="20"/>
          <w:lang w:val="es-ES"/>
        </w:rPr>
        <w:t xml:space="preserve"> </w:t>
      </w:r>
    </w:p>
    <w:p w14:paraId="57F1CC03" w14:textId="77777777" w:rsidR="00E35793" w:rsidRPr="00E35793" w:rsidRDefault="00E35793" w:rsidP="00E35793">
      <w:pPr>
        <w:rPr>
          <w:lang w:val="es-ES"/>
        </w:rPr>
      </w:pPr>
    </w:p>
    <w:p w14:paraId="722C845A" w14:textId="77777777" w:rsidR="002E18FD" w:rsidRDefault="0087446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ES"/>
        </w:rPr>
      </w:pPr>
      <w:r w:rsidRPr="002E18FD">
        <w:rPr>
          <w:rFonts w:ascii="Cambria" w:eastAsia="Times New Roman" w:hAnsi="Cambria"/>
          <w:sz w:val="20"/>
          <w:szCs w:val="20"/>
          <w:lang w:val="es-ES" w:eastAsia="es-ES"/>
        </w:rPr>
        <w:t>La</w:t>
      </w:r>
      <w:r>
        <w:rPr>
          <w:rFonts w:ascii="Cambria" w:eastAsia="Calibri" w:hAnsi="Cambria"/>
          <w:sz w:val="20"/>
          <w:szCs w:val="20"/>
          <w:lang w:val="es-ES"/>
        </w:rPr>
        <w:t xml:space="preserve"> Comisi</w:t>
      </w:r>
      <w:r>
        <w:rPr>
          <w:rFonts w:ascii="Cambria" w:eastAsia="Calibri" w:hAnsi="Cambria"/>
          <w:sz w:val="20"/>
          <w:szCs w:val="20"/>
          <w:lang w:val="es-VE"/>
        </w:rPr>
        <w:t>ón rec</w:t>
      </w:r>
      <w:r w:rsidR="00D65276">
        <w:rPr>
          <w:rFonts w:ascii="Cambria" w:eastAsia="Calibri" w:hAnsi="Cambria"/>
          <w:sz w:val="20"/>
          <w:szCs w:val="20"/>
          <w:lang w:val="es-VE"/>
        </w:rPr>
        <w:t xml:space="preserve">uerda que en el presente caso, la presunta víctima fue secuestrada de la cárcel donde se encontraba detenida el 15 de </w:t>
      </w:r>
      <w:r w:rsidR="00353B1B">
        <w:rPr>
          <w:rFonts w:ascii="Cambria" w:eastAsia="Calibri" w:hAnsi="Cambria"/>
          <w:sz w:val="20"/>
          <w:szCs w:val="20"/>
          <w:lang w:val="es-VE"/>
        </w:rPr>
        <w:t xml:space="preserve">julio de 2001. Igualmente, los familiares presentaron al menos dos denuncias por su desaparición. </w:t>
      </w:r>
    </w:p>
    <w:p w14:paraId="30DE54CD"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lang w:val="es-ES"/>
        </w:rPr>
      </w:pPr>
    </w:p>
    <w:p w14:paraId="5C6809B9" w14:textId="77777777" w:rsidR="002E18FD" w:rsidRDefault="00353B1B"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ES"/>
        </w:rPr>
      </w:pPr>
      <w:r w:rsidRPr="002E18FD">
        <w:rPr>
          <w:rFonts w:ascii="Cambria" w:eastAsia="Calibri" w:hAnsi="Cambria"/>
          <w:sz w:val="20"/>
          <w:szCs w:val="20"/>
          <w:lang w:val="es-ES"/>
        </w:rPr>
        <w:t xml:space="preserve">La CIDH </w:t>
      </w:r>
      <w:r w:rsidR="00012A1E" w:rsidRPr="002E18FD">
        <w:rPr>
          <w:rFonts w:ascii="Cambria" w:eastAsia="Calibri" w:hAnsi="Cambria"/>
          <w:sz w:val="20"/>
          <w:szCs w:val="20"/>
          <w:lang w:val="es-ES"/>
        </w:rPr>
        <w:t>hace notar en primer lugar que dichos hechos no activaron una búsqueda inmediata para dar con el paradero de la presunta víctima ni tampoco una investigación</w:t>
      </w:r>
      <w:r w:rsidR="002042C0" w:rsidRPr="002E18FD">
        <w:rPr>
          <w:rFonts w:ascii="Cambria" w:eastAsia="Calibri" w:hAnsi="Cambria"/>
          <w:sz w:val="20"/>
          <w:szCs w:val="20"/>
          <w:lang w:val="es-ES"/>
        </w:rPr>
        <w:t xml:space="preserve">, </w:t>
      </w:r>
      <w:r w:rsidR="002042C0" w:rsidRPr="002E18FD">
        <w:rPr>
          <w:rFonts w:ascii="Cambria" w:eastAsia="Calibri" w:hAnsi="Cambria"/>
          <w:sz w:val="20"/>
          <w:szCs w:val="20"/>
          <w:lang w:val="es-VE"/>
        </w:rPr>
        <w:t>no obstante los indicios de que podía tratarse de una desaparición forzada, lo que exige una respuesta expedita y exhaustiva en las primeras horas tras el conocimiento de la situación.</w:t>
      </w:r>
      <w:r w:rsidR="00E35793" w:rsidRPr="002E18FD">
        <w:rPr>
          <w:rFonts w:ascii="Cambria" w:eastAsia="Calibri" w:hAnsi="Cambria"/>
          <w:sz w:val="20"/>
          <w:szCs w:val="20"/>
          <w:lang w:val="es-ES"/>
        </w:rPr>
        <w:t xml:space="preserve"> </w:t>
      </w:r>
      <w:r w:rsidR="00BF2234" w:rsidRPr="002E18FD">
        <w:rPr>
          <w:rFonts w:ascii="Cambria" w:eastAsia="Calibri" w:hAnsi="Cambria"/>
          <w:sz w:val="20"/>
          <w:szCs w:val="20"/>
          <w:lang w:val="es-ES"/>
        </w:rPr>
        <w:t>En el primer informe policial de los hechos, emitido un mes después de estos se identifica como tarea pendiente “tratar de ubicar a la presunta víctima</w:t>
      </w:r>
      <w:r w:rsidR="009B5153" w:rsidRPr="002E18FD">
        <w:rPr>
          <w:rFonts w:ascii="Cambria" w:eastAsia="Calibri" w:hAnsi="Cambria"/>
          <w:sz w:val="20"/>
          <w:szCs w:val="20"/>
          <w:lang w:val="es-ES"/>
        </w:rPr>
        <w:t>”</w:t>
      </w:r>
      <w:r w:rsidR="00BF2234" w:rsidRPr="002E18FD">
        <w:rPr>
          <w:rFonts w:ascii="Cambria" w:eastAsia="Calibri" w:hAnsi="Cambria"/>
          <w:sz w:val="20"/>
          <w:szCs w:val="20"/>
          <w:lang w:val="es-ES"/>
        </w:rPr>
        <w:t xml:space="preserve">. Asimismo, </w:t>
      </w:r>
      <w:r w:rsidR="00834D24" w:rsidRPr="002E18FD">
        <w:rPr>
          <w:rFonts w:ascii="Cambria" w:eastAsia="Calibri" w:hAnsi="Cambria"/>
          <w:sz w:val="20"/>
          <w:szCs w:val="20"/>
          <w:lang w:val="es-ES"/>
        </w:rPr>
        <w:t>s</w:t>
      </w:r>
      <w:r w:rsidR="00012A1E" w:rsidRPr="002E18FD">
        <w:rPr>
          <w:rFonts w:ascii="Cambria" w:eastAsia="Calibri" w:hAnsi="Cambria"/>
          <w:sz w:val="20"/>
          <w:szCs w:val="20"/>
          <w:lang w:val="es-ES"/>
        </w:rPr>
        <w:t>egún consta en el expediente, la investigación penal se inició más de un mes después de los hechos, en agosto de 2001, a solicitud del Inspector General de la Policía.</w:t>
      </w:r>
      <w:r w:rsidR="002042C0" w:rsidRPr="002E18FD">
        <w:rPr>
          <w:rFonts w:ascii="Cambria" w:eastAsia="Calibri" w:hAnsi="Cambria"/>
          <w:sz w:val="20"/>
          <w:szCs w:val="20"/>
          <w:lang w:val="es-ES"/>
        </w:rPr>
        <w:t xml:space="preserve"> </w:t>
      </w:r>
    </w:p>
    <w:p w14:paraId="1E49E277" w14:textId="77777777" w:rsidR="002E18FD" w:rsidRDefault="002E18FD" w:rsidP="002E18FD">
      <w:pPr>
        <w:pStyle w:val="ListParagraph"/>
        <w:rPr>
          <w:rFonts w:eastAsia="Calibri"/>
          <w:sz w:val="20"/>
          <w:szCs w:val="20"/>
          <w:lang w:val="es-ES"/>
        </w:rPr>
      </w:pPr>
    </w:p>
    <w:p w14:paraId="1381A40F" w14:textId="77777777" w:rsidR="00012A1E" w:rsidRPr="002E18FD" w:rsidRDefault="002E18FD"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ES"/>
        </w:rPr>
      </w:pPr>
      <w:r w:rsidRPr="002E18FD">
        <w:rPr>
          <w:rFonts w:ascii="Cambria" w:eastAsia="Calibri" w:hAnsi="Cambria"/>
          <w:sz w:val="20"/>
          <w:szCs w:val="20"/>
          <w:lang w:val="es-ES"/>
        </w:rPr>
        <w:t>La</w:t>
      </w:r>
      <w:r w:rsidR="00012A1E" w:rsidRPr="002E18FD">
        <w:rPr>
          <w:rFonts w:ascii="Cambria" w:eastAsia="Calibri" w:hAnsi="Cambria"/>
          <w:sz w:val="20"/>
          <w:szCs w:val="20"/>
          <w:lang w:val="es-ES"/>
        </w:rPr>
        <w:t xml:space="preserve"> CIDH </w:t>
      </w:r>
      <w:r w:rsidR="008E3053" w:rsidRPr="002E18FD">
        <w:rPr>
          <w:rFonts w:ascii="Cambria" w:eastAsia="Calibri" w:hAnsi="Cambria"/>
          <w:sz w:val="20"/>
          <w:szCs w:val="20"/>
          <w:lang w:val="es-ES"/>
        </w:rPr>
        <w:t>hace notar adicionalmente que el Estado omitió realizar las diligencias más mínimas para ubicar el paradero de la presunta víctima e identificar a los responsables. En particular</w:t>
      </w:r>
      <w:r w:rsidR="00834D24" w:rsidRPr="002E18FD">
        <w:rPr>
          <w:rFonts w:ascii="Cambria" w:eastAsia="Calibri" w:hAnsi="Cambria"/>
          <w:sz w:val="20"/>
          <w:szCs w:val="20"/>
          <w:lang w:val="es-ES"/>
        </w:rPr>
        <w:t>:</w:t>
      </w:r>
    </w:p>
    <w:p w14:paraId="6F7F8918"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lang w:val="es-ES"/>
        </w:rPr>
      </w:pPr>
    </w:p>
    <w:p w14:paraId="0ABB6006" w14:textId="77777777" w:rsidR="00834D24" w:rsidRDefault="008E3053" w:rsidP="0065163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eastAsia="Calibri" w:hAnsi="Cambria"/>
          <w:sz w:val="20"/>
          <w:szCs w:val="20"/>
          <w:lang w:val="es-ES"/>
        </w:rPr>
      </w:pPr>
      <w:r>
        <w:rPr>
          <w:rFonts w:ascii="Cambria" w:eastAsia="Calibri" w:hAnsi="Cambria"/>
          <w:sz w:val="20"/>
          <w:szCs w:val="20"/>
          <w:lang w:val="es-ES"/>
        </w:rPr>
        <w:t>-</w:t>
      </w:r>
      <w:r w:rsidR="00834D24">
        <w:rPr>
          <w:rFonts w:ascii="Cambria" w:eastAsia="Calibri" w:hAnsi="Cambria"/>
          <w:sz w:val="20"/>
          <w:szCs w:val="20"/>
          <w:lang w:val="es-ES"/>
        </w:rPr>
        <w:t xml:space="preserve">No consta ni una sola diligencia de búsqueda para dar con el paradero de la presunta víctima. </w:t>
      </w:r>
    </w:p>
    <w:p w14:paraId="515F74DC" w14:textId="77777777" w:rsidR="008E3053" w:rsidRDefault="00834D24" w:rsidP="0065163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eastAsia="Calibri" w:hAnsi="Cambria"/>
          <w:sz w:val="20"/>
          <w:szCs w:val="20"/>
          <w:lang w:val="es-ES"/>
        </w:rPr>
      </w:pPr>
      <w:r>
        <w:rPr>
          <w:rFonts w:ascii="Cambria" w:eastAsia="Calibri" w:hAnsi="Cambria"/>
          <w:sz w:val="20"/>
          <w:szCs w:val="20"/>
          <w:lang w:val="es-ES"/>
        </w:rPr>
        <w:t>-</w:t>
      </w:r>
      <w:r w:rsidR="008E3053">
        <w:rPr>
          <w:rFonts w:ascii="Cambria" w:eastAsia="Calibri" w:hAnsi="Cambria"/>
          <w:sz w:val="20"/>
          <w:szCs w:val="20"/>
          <w:lang w:val="es-ES"/>
        </w:rPr>
        <w:t xml:space="preserve">El reconocimiento de la cárcel donde la presunta víctima fue extraída se realizó nueve meses después </w:t>
      </w:r>
      <w:r>
        <w:rPr>
          <w:rFonts w:ascii="Cambria" w:eastAsia="Calibri" w:hAnsi="Cambria"/>
          <w:sz w:val="20"/>
          <w:szCs w:val="20"/>
          <w:lang w:val="es-ES"/>
        </w:rPr>
        <w:t>de los hechos, por lo que no se encontraron daños materiales ni se pudo determinar el uso de la fuerza en el momento en que fue retirada de la cárcel</w:t>
      </w:r>
      <w:r w:rsidR="00C318A4">
        <w:rPr>
          <w:rFonts w:ascii="Cambria" w:eastAsia="Calibri" w:hAnsi="Cambria"/>
          <w:sz w:val="20"/>
          <w:szCs w:val="20"/>
          <w:lang w:val="es-ES"/>
        </w:rPr>
        <w:t>.</w:t>
      </w:r>
    </w:p>
    <w:p w14:paraId="5612FBFB" w14:textId="77777777" w:rsidR="00834D24" w:rsidRDefault="00834D24" w:rsidP="0065163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eastAsia="Calibri" w:hAnsi="Cambria"/>
          <w:sz w:val="20"/>
          <w:szCs w:val="20"/>
          <w:lang w:val="es-ES"/>
        </w:rPr>
      </w:pPr>
      <w:r>
        <w:rPr>
          <w:rFonts w:ascii="Cambria" w:eastAsia="Calibri" w:hAnsi="Cambria"/>
          <w:sz w:val="20"/>
          <w:szCs w:val="20"/>
          <w:lang w:val="es-ES"/>
        </w:rPr>
        <w:t xml:space="preserve">-No consta que el Estado haya realizado una inspección en los Calabozos de las Juntas del Campesinado, pese a que la Centra de Juntas informó que la presunta víctima fue llevada a dicho lugar, pero que haciendo uso de la fuerza se fugó del mismo. </w:t>
      </w:r>
    </w:p>
    <w:p w14:paraId="3159A0C7" w14:textId="77777777" w:rsidR="00A65698" w:rsidRDefault="00834D24" w:rsidP="0065163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eastAsia="Calibri" w:hAnsi="Cambria"/>
          <w:sz w:val="20"/>
          <w:szCs w:val="20"/>
          <w:lang w:val="es-ES"/>
        </w:rPr>
      </w:pPr>
      <w:r>
        <w:rPr>
          <w:rFonts w:ascii="Cambria" w:eastAsia="Calibri" w:hAnsi="Cambria"/>
          <w:sz w:val="20"/>
          <w:szCs w:val="20"/>
          <w:lang w:val="es-ES"/>
        </w:rPr>
        <w:t>-No consta que por este hecho, los miembros de las Juntas hayan sido sometidos a proceso penal</w:t>
      </w:r>
      <w:r w:rsidR="0063270C">
        <w:rPr>
          <w:rFonts w:ascii="Cambria" w:eastAsia="Calibri" w:hAnsi="Cambria"/>
          <w:sz w:val="20"/>
          <w:szCs w:val="20"/>
          <w:lang w:val="es-ES"/>
        </w:rPr>
        <w:t xml:space="preserve">, no obstante reconocieron explícitamente haberse llevado al señor Núñez y haberlo detenido en un calabozo. </w:t>
      </w:r>
    </w:p>
    <w:p w14:paraId="5679CEE7" w14:textId="77777777" w:rsidR="00834D24" w:rsidRDefault="00834D24" w:rsidP="0065556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720"/>
        <w:jc w:val="both"/>
        <w:rPr>
          <w:rFonts w:ascii="Cambria" w:eastAsia="Calibri" w:hAnsi="Cambria"/>
          <w:sz w:val="20"/>
          <w:szCs w:val="20"/>
          <w:lang w:val="es-ES"/>
        </w:rPr>
      </w:pPr>
    </w:p>
    <w:p w14:paraId="1A03613E" w14:textId="77777777" w:rsidR="002E18FD" w:rsidRDefault="00834D24"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VE"/>
        </w:rPr>
      </w:pPr>
      <w:r>
        <w:rPr>
          <w:rFonts w:ascii="Cambria" w:eastAsia="Calibri" w:hAnsi="Cambria"/>
          <w:sz w:val="20"/>
          <w:szCs w:val="20"/>
          <w:lang w:val="es-ES"/>
        </w:rPr>
        <w:t>Adicionalmente, la Comisión subraya las faltas a la debida diligencia que quedaron demostradas en la decisión de sobreseimiento</w:t>
      </w:r>
      <w:r w:rsidR="00A65698">
        <w:rPr>
          <w:rFonts w:ascii="Cambria" w:eastAsia="Calibri" w:hAnsi="Cambria"/>
          <w:sz w:val="20"/>
          <w:szCs w:val="20"/>
          <w:lang w:val="es-ES"/>
        </w:rPr>
        <w:t xml:space="preserve"> provisional</w:t>
      </w:r>
      <w:r>
        <w:rPr>
          <w:rFonts w:ascii="Cambria" w:eastAsia="Calibri" w:hAnsi="Cambria"/>
          <w:sz w:val="20"/>
          <w:szCs w:val="20"/>
          <w:lang w:val="es-ES"/>
        </w:rPr>
        <w:t>. Según se indicó en</w:t>
      </w:r>
      <w:r w:rsidR="00A65698">
        <w:rPr>
          <w:rFonts w:ascii="Cambria" w:eastAsia="Calibri" w:hAnsi="Cambria"/>
          <w:sz w:val="20"/>
          <w:szCs w:val="20"/>
          <w:lang w:val="es-ES"/>
        </w:rPr>
        <w:t xml:space="preserve"> tal resolución, la prueba obtenida durante la etapa indagatoria no cumplió con la Ley Orgánica del Ministerio Público porque no consta que se haya citado</w:t>
      </w:r>
      <w:r w:rsidR="00E35793">
        <w:rPr>
          <w:rFonts w:ascii="Cambria" w:eastAsia="Calibri" w:hAnsi="Cambria"/>
          <w:sz w:val="20"/>
          <w:szCs w:val="20"/>
          <w:lang w:val="es-ES"/>
        </w:rPr>
        <w:t xml:space="preserve"> </w:t>
      </w:r>
      <w:r w:rsidR="00A65698">
        <w:rPr>
          <w:rFonts w:ascii="Cambria" w:eastAsia="Calibri" w:hAnsi="Cambria"/>
          <w:sz w:val="20"/>
          <w:szCs w:val="20"/>
          <w:lang w:val="es-ES"/>
        </w:rPr>
        <w:t>a los imputados para la intervención en el momento de la recepción.</w:t>
      </w:r>
      <w:r w:rsidR="00E35793">
        <w:rPr>
          <w:rFonts w:ascii="Cambria" w:eastAsia="Calibri" w:hAnsi="Cambria"/>
          <w:sz w:val="20"/>
          <w:szCs w:val="20"/>
          <w:lang w:val="es-ES"/>
        </w:rPr>
        <w:t xml:space="preserve"> </w:t>
      </w:r>
      <w:r w:rsidR="00E749DA">
        <w:rPr>
          <w:rFonts w:ascii="Cambria" w:eastAsia="Calibri" w:hAnsi="Cambria"/>
          <w:sz w:val="20"/>
          <w:szCs w:val="20"/>
          <w:lang w:val="es-ES"/>
        </w:rPr>
        <w:t xml:space="preserve">Esta omisión, que impidió considerar la prueba practicada, resulta plenamente atribuible al Estado. Además, más allá de dejar constancia de esta situación, no se dispone medida alguna para </w:t>
      </w:r>
      <w:r w:rsidR="002C4E24">
        <w:rPr>
          <w:rFonts w:ascii="Cambria" w:eastAsia="Calibri" w:hAnsi="Cambria"/>
          <w:sz w:val="20"/>
          <w:szCs w:val="20"/>
          <w:lang w:val="es-ES"/>
        </w:rPr>
        <w:t>subsanar</w:t>
      </w:r>
      <w:r w:rsidR="00E749DA">
        <w:rPr>
          <w:rFonts w:ascii="Cambria" w:eastAsia="Calibri" w:hAnsi="Cambria"/>
          <w:sz w:val="20"/>
          <w:szCs w:val="20"/>
          <w:lang w:val="es-ES"/>
        </w:rPr>
        <w:t xml:space="preserve"> las omisiones referidas y reconducir el proceso, de manera que fuera posible el esclarecimiento de los hechos y la sanción de los responsables. </w:t>
      </w:r>
      <w:r w:rsidR="00A65698">
        <w:rPr>
          <w:rFonts w:ascii="Cambria" w:eastAsia="Calibri" w:hAnsi="Cambria"/>
          <w:sz w:val="20"/>
          <w:szCs w:val="20"/>
          <w:lang w:val="es-ES"/>
        </w:rPr>
        <w:t xml:space="preserve">Asimismo, hizo notar que en la etapa de instrucción no se incorporó ninguna evidencia. </w:t>
      </w:r>
    </w:p>
    <w:p w14:paraId="0EB63B87"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lang w:val="es-VE"/>
        </w:rPr>
      </w:pPr>
    </w:p>
    <w:p w14:paraId="00165FC5" w14:textId="77777777" w:rsidR="002E18FD" w:rsidRDefault="00A6569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VE"/>
        </w:rPr>
      </w:pPr>
      <w:r w:rsidRPr="002E18FD">
        <w:rPr>
          <w:rFonts w:ascii="Cambria" w:eastAsia="Calibri" w:hAnsi="Cambria"/>
          <w:sz w:val="20"/>
          <w:szCs w:val="20"/>
          <w:lang w:val="es-VE"/>
        </w:rPr>
        <w:t>Finalmente, la CIDH hace notar que pese a la información del Jefe de la P</w:t>
      </w:r>
      <w:r w:rsidR="002E18FD">
        <w:rPr>
          <w:rFonts w:ascii="Cambria" w:eastAsia="Calibri" w:hAnsi="Cambria"/>
          <w:sz w:val="20"/>
          <w:szCs w:val="20"/>
          <w:lang w:val="es-VE"/>
        </w:rPr>
        <w:t>olicía de 15 de octubre de 2004</w:t>
      </w:r>
      <w:r w:rsidRPr="002E18FD">
        <w:rPr>
          <w:rFonts w:ascii="Cambria" w:eastAsia="Calibri" w:hAnsi="Cambria"/>
          <w:sz w:val="20"/>
          <w:szCs w:val="20"/>
          <w:lang w:val="es-VE"/>
        </w:rPr>
        <w:t>, según la cual continuan con las investigaciones para dar con el paradero de la presunta víctima, el 18 de octubre de 2004 el Juzgado Cuarto de lo Penal informó que a partir de la decisión de sobreseimiento provisional, no se ha recibidio ninguna diligencia por parte de la fiscalía. Lo anterior demuestra que no se activó ninguna vía para revertir la decisión de sobreseimiento provisional</w:t>
      </w:r>
      <w:r w:rsidR="00E008F5" w:rsidRPr="002E18FD">
        <w:rPr>
          <w:rFonts w:ascii="Cambria" w:eastAsia="Calibri" w:hAnsi="Cambria"/>
          <w:sz w:val="20"/>
          <w:szCs w:val="20"/>
          <w:lang w:val="es-VE"/>
        </w:rPr>
        <w:t xml:space="preserve"> a pesar de las omisiones ya constatadas</w:t>
      </w:r>
      <w:r w:rsidR="003A53FF" w:rsidRPr="002E18FD">
        <w:rPr>
          <w:rFonts w:ascii="Cambria" w:eastAsia="Calibri" w:hAnsi="Cambria"/>
          <w:sz w:val="20"/>
          <w:szCs w:val="20"/>
          <w:lang w:val="es-VE"/>
        </w:rPr>
        <w:t>.</w:t>
      </w:r>
      <w:r w:rsidRPr="002E18FD">
        <w:rPr>
          <w:rFonts w:ascii="Cambria" w:eastAsia="Calibri" w:hAnsi="Cambria"/>
          <w:sz w:val="20"/>
          <w:szCs w:val="20"/>
          <w:lang w:val="es-VE"/>
        </w:rPr>
        <w:t xml:space="preserve"> </w:t>
      </w:r>
    </w:p>
    <w:p w14:paraId="7564C51B" w14:textId="77777777" w:rsidR="002E18FD" w:rsidRDefault="002E18FD" w:rsidP="002E18FD">
      <w:pPr>
        <w:pStyle w:val="ListParagraph"/>
        <w:rPr>
          <w:rFonts w:eastAsia="Calibri"/>
          <w:sz w:val="20"/>
          <w:szCs w:val="20"/>
          <w:lang w:val="es-ES"/>
        </w:rPr>
      </w:pPr>
    </w:p>
    <w:p w14:paraId="35EA9406" w14:textId="77777777" w:rsidR="00874468" w:rsidRPr="004C5074" w:rsidRDefault="0087446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sz w:val="20"/>
          <w:szCs w:val="20"/>
          <w:lang w:val="es-VE"/>
        </w:rPr>
      </w:pPr>
      <w:r w:rsidRPr="002E18FD">
        <w:rPr>
          <w:rFonts w:ascii="Cambria" w:eastAsia="Calibri" w:hAnsi="Cambria"/>
          <w:sz w:val="20"/>
          <w:szCs w:val="20"/>
          <w:lang w:val="es-ES"/>
        </w:rPr>
        <w:t>Todos los anteriores elementos, tomados en su conjunto, permiten concluir que el Estado no ha investigado los hechos del presente caso con la debida diligencia, en violación de los derechos establecidos en los artículos 8.1 y 25.1 de la Convención American</w:t>
      </w:r>
      <w:r w:rsidR="004C5074">
        <w:rPr>
          <w:rFonts w:ascii="Cambria" w:eastAsia="Calibri" w:hAnsi="Cambria"/>
          <w:sz w:val="20"/>
          <w:szCs w:val="20"/>
          <w:lang w:val="es-ES"/>
        </w:rPr>
        <w:t>a en relación con el artículo</w:t>
      </w:r>
      <w:r w:rsidRPr="002E18FD">
        <w:rPr>
          <w:rFonts w:ascii="Cambria" w:eastAsia="Calibri" w:hAnsi="Cambria"/>
          <w:sz w:val="20"/>
          <w:szCs w:val="20"/>
          <w:lang w:val="es-ES"/>
        </w:rPr>
        <w:t xml:space="preserve"> 1.1 del mismo instrumento, así como el artículo I.b) de la Convención Interamericana sobre Desaparición Forzada de Personas, en perjuicio de </w:t>
      </w:r>
      <w:r w:rsidR="00E978F6" w:rsidRPr="002E18FD">
        <w:rPr>
          <w:rFonts w:ascii="Cambria" w:eastAsia="Calibri" w:hAnsi="Cambria"/>
          <w:sz w:val="20"/>
          <w:szCs w:val="20"/>
          <w:lang w:val="es-ES"/>
        </w:rPr>
        <w:t xml:space="preserve">Fredy Marcelo </w:t>
      </w:r>
      <w:r w:rsidR="00E35793" w:rsidRPr="002E18FD">
        <w:rPr>
          <w:rFonts w:ascii="Cambria" w:eastAsia="Calibri" w:hAnsi="Cambria"/>
          <w:sz w:val="20"/>
          <w:szCs w:val="20"/>
          <w:lang w:val="es-ES"/>
        </w:rPr>
        <w:t>Núñez</w:t>
      </w:r>
      <w:r w:rsidRPr="002E18FD">
        <w:rPr>
          <w:rFonts w:ascii="Cambria" w:eastAsia="Calibri" w:hAnsi="Cambria"/>
          <w:sz w:val="20"/>
          <w:szCs w:val="20"/>
          <w:lang w:val="es-ES"/>
        </w:rPr>
        <w:t xml:space="preserve">, así como de sus familiares. </w:t>
      </w:r>
    </w:p>
    <w:p w14:paraId="033D6AFF" w14:textId="77777777" w:rsidR="004C5074" w:rsidRDefault="004C5074" w:rsidP="004C507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cs="Cambria"/>
          <w:color w:val="000000"/>
          <w:sz w:val="20"/>
          <w:szCs w:val="20"/>
          <w:u w:color="000000"/>
          <w:lang w:val="es-VE" w:eastAsia="es-ES"/>
        </w:rPr>
      </w:pPr>
    </w:p>
    <w:p w14:paraId="663E70AE" w14:textId="77777777" w:rsidR="004C5074" w:rsidRPr="002E18FD" w:rsidRDefault="004C5074" w:rsidP="004C507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sz w:val="20"/>
          <w:szCs w:val="20"/>
          <w:lang w:val="es-VE"/>
        </w:rPr>
      </w:pPr>
    </w:p>
    <w:p w14:paraId="0475BE53" w14:textId="77777777" w:rsidR="00874468" w:rsidRPr="00A53A51" w:rsidRDefault="00874468" w:rsidP="002E18FD">
      <w:pPr>
        <w:pStyle w:val="Heading3"/>
        <w:numPr>
          <w:ilvl w:val="0"/>
          <w:numId w:val="60"/>
        </w:numPr>
        <w:ind w:left="630" w:hanging="540"/>
        <w:rPr>
          <w:rFonts w:ascii="Cambria" w:eastAsia="Arial Unicode MS" w:hAnsi="Cambria"/>
          <w:b w:val="0"/>
          <w:sz w:val="20"/>
          <w:szCs w:val="20"/>
          <w:lang w:val="es-ES"/>
        </w:rPr>
      </w:pPr>
      <w:bookmarkStart w:id="24" w:name="_Toc1985292"/>
      <w:bookmarkStart w:id="25" w:name="_Toc5359033"/>
      <w:r w:rsidRPr="00A53A51">
        <w:rPr>
          <w:rFonts w:ascii="Cambria" w:hAnsi="Cambria"/>
          <w:sz w:val="20"/>
          <w:szCs w:val="20"/>
          <w:lang w:val="es-ES"/>
        </w:rPr>
        <w:lastRenderedPageBreak/>
        <w:t>El plazo razonable</w:t>
      </w:r>
      <w:bookmarkEnd w:id="24"/>
      <w:bookmarkEnd w:id="25"/>
    </w:p>
    <w:p w14:paraId="34132AFA" w14:textId="77777777" w:rsidR="00874468" w:rsidRDefault="00874468" w:rsidP="0087446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lang w:val="es-ES"/>
        </w:rPr>
      </w:pPr>
    </w:p>
    <w:p w14:paraId="5E6494D5" w14:textId="77777777" w:rsidR="002E18FD" w:rsidRDefault="0087446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lang w:val="es-ES"/>
        </w:rPr>
      </w:pPr>
      <w:r>
        <w:rPr>
          <w:rFonts w:ascii="Cambria" w:eastAsia="Calibri" w:hAnsi="Cambria"/>
          <w:sz w:val="20"/>
          <w:szCs w:val="20"/>
          <w:lang w:val="es-ES"/>
        </w:rPr>
        <w:t>La Comisión analizará a continuación si el Estado cumplió con realizar la investigación de los hechos del presente caso en un plazo razonable, tomando en cuenta los elementos indicados con anterioridad.</w:t>
      </w:r>
    </w:p>
    <w:p w14:paraId="53AE8B51"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eastAsia="Calibri"/>
          <w:sz w:val="20"/>
          <w:szCs w:val="20"/>
          <w:lang w:val="es-ES"/>
        </w:rPr>
      </w:pPr>
    </w:p>
    <w:p w14:paraId="6A237764" w14:textId="77777777" w:rsidR="002E18FD" w:rsidRDefault="0087446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lang w:val="es-ES"/>
        </w:rPr>
      </w:pPr>
      <w:r w:rsidRPr="002E18FD">
        <w:rPr>
          <w:rFonts w:ascii="Cambria" w:eastAsia="Calibri" w:hAnsi="Cambria"/>
          <w:sz w:val="20"/>
          <w:szCs w:val="20"/>
          <w:lang w:val="es-ES"/>
        </w:rPr>
        <w:t xml:space="preserve">La CIDH hace notar que desde que el Estado tomó conocimiento de los hechos </w:t>
      </w:r>
      <w:r w:rsidR="00EA1433" w:rsidRPr="002E18FD">
        <w:rPr>
          <w:rFonts w:ascii="Cambria" w:eastAsia="Calibri" w:hAnsi="Cambria"/>
          <w:sz w:val="20"/>
          <w:szCs w:val="20"/>
          <w:lang w:val="es-ES"/>
        </w:rPr>
        <w:t xml:space="preserve">mediante la </w:t>
      </w:r>
      <w:r w:rsidR="000E53F0" w:rsidRPr="002E18FD">
        <w:rPr>
          <w:rFonts w:ascii="Cambria" w:eastAsia="Calibri" w:hAnsi="Cambria"/>
          <w:sz w:val="20"/>
          <w:szCs w:val="20"/>
          <w:lang w:val="es-ES"/>
        </w:rPr>
        <w:t xml:space="preserve">sustracción </w:t>
      </w:r>
      <w:r w:rsidR="00EA1433" w:rsidRPr="002E18FD">
        <w:rPr>
          <w:rFonts w:ascii="Cambria" w:eastAsia="Calibri" w:hAnsi="Cambria"/>
          <w:sz w:val="20"/>
          <w:szCs w:val="20"/>
          <w:lang w:val="es-ES"/>
        </w:rPr>
        <w:t>de la cárcel donde la presunta víctima se encontrab</w:t>
      </w:r>
      <w:r w:rsidR="00D65276" w:rsidRPr="002E18FD">
        <w:rPr>
          <w:rFonts w:ascii="Cambria" w:eastAsia="Calibri" w:hAnsi="Cambria"/>
          <w:sz w:val="20"/>
          <w:szCs w:val="20"/>
          <w:lang w:val="es-ES"/>
        </w:rPr>
        <w:t xml:space="preserve">a detenida, han pasado más de 17 años. </w:t>
      </w:r>
    </w:p>
    <w:p w14:paraId="6DA836C7" w14:textId="77777777" w:rsidR="002E18FD" w:rsidRDefault="002E18FD" w:rsidP="002E18FD">
      <w:pPr>
        <w:pStyle w:val="ListParagraph"/>
        <w:rPr>
          <w:rFonts w:eastAsia="Calibri"/>
          <w:sz w:val="20"/>
          <w:szCs w:val="20"/>
          <w:lang w:val="es-ES"/>
        </w:rPr>
      </w:pPr>
    </w:p>
    <w:p w14:paraId="694A6F5F" w14:textId="77777777" w:rsidR="002E18FD" w:rsidRDefault="0087446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lang w:val="es-ES"/>
        </w:rPr>
      </w:pPr>
      <w:r w:rsidRPr="002E18FD">
        <w:rPr>
          <w:rFonts w:ascii="Cambria" w:eastAsia="Calibri" w:hAnsi="Cambria"/>
          <w:sz w:val="20"/>
          <w:szCs w:val="20"/>
          <w:lang w:val="es-ES"/>
        </w:rPr>
        <w:t>En cuanto al primer elemento, el caso puede entenderse, en principio, complejo</w:t>
      </w:r>
      <w:r w:rsidR="00D65276" w:rsidRPr="002E18FD">
        <w:rPr>
          <w:rFonts w:ascii="Cambria" w:eastAsia="Calibri" w:hAnsi="Cambria"/>
          <w:sz w:val="20"/>
          <w:szCs w:val="20"/>
          <w:lang w:val="es-ES"/>
        </w:rPr>
        <w:t>, tomando en cuenta las circunstancias de los hechos y el número de personas involucradas</w:t>
      </w:r>
      <w:r w:rsidRPr="002E18FD">
        <w:rPr>
          <w:rFonts w:ascii="Cambria" w:eastAsia="Calibri" w:hAnsi="Cambria"/>
          <w:sz w:val="20"/>
          <w:szCs w:val="20"/>
          <w:lang w:val="es-ES"/>
        </w:rPr>
        <w:t>.</w:t>
      </w:r>
      <w:r w:rsidR="00E35793" w:rsidRPr="002E18FD">
        <w:rPr>
          <w:rFonts w:ascii="Cambria" w:eastAsia="Calibri" w:hAnsi="Cambria"/>
          <w:sz w:val="20"/>
          <w:szCs w:val="20"/>
          <w:lang w:val="es-ES"/>
        </w:rPr>
        <w:t xml:space="preserve"> </w:t>
      </w:r>
      <w:r w:rsidRPr="002E18FD">
        <w:rPr>
          <w:rFonts w:ascii="Cambria" w:eastAsia="Calibri" w:hAnsi="Cambria"/>
          <w:sz w:val="20"/>
          <w:szCs w:val="20"/>
          <w:lang w:val="es-ES"/>
        </w:rPr>
        <w:t xml:space="preserve">No obstante, la Comisión recuerda que aún en casos </w:t>
      </w:r>
      <w:r w:rsidRPr="002E18FD">
        <w:rPr>
          <w:rFonts w:ascii="Cambria" w:hAnsi="Cambria"/>
          <w:sz w:val="20"/>
          <w:szCs w:val="20"/>
          <w:lang w:val="es-ES_tradnl"/>
        </w:rPr>
        <w:t>que puedan considerarse complejos por su propia naturaleza, resulta necesario que el Estado en cuestión argumente específicamente las razones por las cuales la complejidad ha afectado concretamente las investigaciones. La Comisión considera que ello no ha sucedido en el presente caso.</w:t>
      </w:r>
      <w:r w:rsidR="00E35793" w:rsidRPr="002E18FD">
        <w:rPr>
          <w:rFonts w:ascii="Cambria" w:hAnsi="Cambria"/>
          <w:sz w:val="20"/>
          <w:szCs w:val="20"/>
          <w:lang w:val="es-ES_tradnl"/>
        </w:rPr>
        <w:t xml:space="preserve"> </w:t>
      </w:r>
      <w:r w:rsidRPr="002E18FD">
        <w:rPr>
          <w:rFonts w:ascii="Cambria" w:hAnsi="Cambria"/>
          <w:sz w:val="20"/>
          <w:szCs w:val="20"/>
          <w:lang w:val="es-ES_tradnl"/>
        </w:rPr>
        <w:t xml:space="preserve">La Comisión considera que no fue la complejidad la que ha provocado que a la fecha no se haya identificado a los responsables de los hechos, esclarecido los hechos o impuesto las sanciones respectivas. Por el contrario, como fue descrito en la sección anterior, la investigación no ha sido realizada con la debida diligencia </w:t>
      </w:r>
      <w:r w:rsidR="005A3D8C" w:rsidRPr="002E18FD">
        <w:rPr>
          <w:rFonts w:ascii="Cambria" w:hAnsi="Cambria"/>
          <w:sz w:val="20"/>
          <w:szCs w:val="20"/>
          <w:lang w:val="es-ES_tradnl"/>
        </w:rPr>
        <w:t xml:space="preserve">ni </w:t>
      </w:r>
      <w:r w:rsidRPr="002E18FD">
        <w:rPr>
          <w:rFonts w:ascii="Cambria" w:hAnsi="Cambria"/>
          <w:sz w:val="20"/>
          <w:szCs w:val="20"/>
          <w:lang w:val="es-ES_tradnl"/>
        </w:rPr>
        <w:t xml:space="preserve">orientada a la averiguación de la verdad de los hechos, pese a los indicios que han sido aportados al expediente sobre posibles autores de los hechos, los cuales no han sido objeto de un seguimiento adecuado. </w:t>
      </w:r>
    </w:p>
    <w:p w14:paraId="679F6BBF" w14:textId="77777777" w:rsidR="002E18FD" w:rsidRDefault="002E18FD" w:rsidP="002E18FD">
      <w:pPr>
        <w:pStyle w:val="ListParagraph"/>
        <w:rPr>
          <w:sz w:val="20"/>
          <w:szCs w:val="20"/>
          <w:lang w:val="es-ES_tradnl"/>
        </w:rPr>
      </w:pPr>
    </w:p>
    <w:p w14:paraId="69F56F3A" w14:textId="77777777" w:rsidR="002E18FD" w:rsidRDefault="0087446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lang w:val="es-ES"/>
        </w:rPr>
      </w:pPr>
      <w:r w:rsidRPr="002E18FD">
        <w:rPr>
          <w:rFonts w:ascii="Cambria" w:hAnsi="Cambria"/>
          <w:sz w:val="20"/>
          <w:szCs w:val="20"/>
          <w:lang w:val="es-ES_tradnl"/>
        </w:rPr>
        <w:t xml:space="preserve">Con respecto al segundo elemento relacionado con la actividad procesal del interesado, la Comisión subraya que los familiares de la presunta víctima denunciaron los hechos más de una vez ante las autoridades estatales pertinentes, por lo que correspondía al Estado impulsar adecuadamente las investigaciones. </w:t>
      </w:r>
    </w:p>
    <w:p w14:paraId="07B8F30B" w14:textId="77777777" w:rsidR="002E18FD" w:rsidRDefault="002E18FD" w:rsidP="002E18FD">
      <w:pPr>
        <w:pStyle w:val="ListParagraph"/>
        <w:rPr>
          <w:sz w:val="20"/>
          <w:szCs w:val="20"/>
          <w:lang w:val="es-ES_tradnl"/>
        </w:rPr>
      </w:pPr>
    </w:p>
    <w:p w14:paraId="5D50A0D8" w14:textId="77777777" w:rsidR="002E18FD" w:rsidRDefault="0087446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lang w:val="es-ES"/>
        </w:rPr>
      </w:pPr>
      <w:r w:rsidRPr="002E18FD">
        <w:rPr>
          <w:rFonts w:ascii="Cambria" w:hAnsi="Cambria"/>
          <w:sz w:val="20"/>
          <w:szCs w:val="20"/>
          <w:lang w:val="es-ES_tradnl"/>
        </w:rPr>
        <w:t xml:space="preserve">En cuanto a la actuación de las autoridades estatales, la Comisión reitera las falencias descritas en la sección relativa a debida diligencia. La Comisión subraya los periodos de inactividad no justificados adecuadamente por parte del Estado, inmediatamente después de la desaparición, así como en el marco de la investigación, así como las escasas diligencias realizadas para determinar el paradero de la presunta víctima, </w:t>
      </w:r>
      <w:r w:rsidR="00797306" w:rsidRPr="002E18FD">
        <w:rPr>
          <w:rFonts w:ascii="Cambria" w:hAnsi="Cambria"/>
          <w:sz w:val="20"/>
          <w:szCs w:val="20"/>
          <w:lang w:val="es-ES_tradnl"/>
        </w:rPr>
        <w:t>e identificar,</w:t>
      </w:r>
      <w:r w:rsidRPr="002E18FD">
        <w:rPr>
          <w:rFonts w:ascii="Cambria" w:hAnsi="Cambria"/>
          <w:sz w:val="20"/>
          <w:szCs w:val="20"/>
          <w:lang w:val="es-ES_tradnl"/>
        </w:rPr>
        <w:t xml:space="preserve"> juzgar y sancionar a todos los responsables de los hechos.</w:t>
      </w:r>
    </w:p>
    <w:p w14:paraId="793772FB" w14:textId="77777777" w:rsidR="002E18FD" w:rsidRDefault="002E18FD" w:rsidP="002E18FD">
      <w:pPr>
        <w:pStyle w:val="ListParagraph"/>
        <w:rPr>
          <w:sz w:val="20"/>
          <w:szCs w:val="20"/>
          <w:lang w:val="es-ES"/>
        </w:rPr>
      </w:pPr>
    </w:p>
    <w:p w14:paraId="5F42F254" w14:textId="77777777" w:rsidR="00874468" w:rsidRPr="002E18FD" w:rsidRDefault="00874468"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eastAsia="Calibri"/>
          <w:sz w:val="20"/>
          <w:szCs w:val="20"/>
          <w:lang w:val="es-ES"/>
        </w:rPr>
      </w:pPr>
      <w:r w:rsidRPr="002E18FD">
        <w:rPr>
          <w:rFonts w:ascii="Cambria" w:hAnsi="Cambria"/>
          <w:sz w:val="20"/>
          <w:szCs w:val="20"/>
          <w:lang w:val="es-ES"/>
        </w:rPr>
        <w:t xml:space="preserve">En virtud de los anteriores consideraciones, la Comisión concluye que el Estado ha incumplido la garantía de plazo razonable en la investigación de los hechos del presente caso, en violación de los derechos establecidos en los </w:t>
      </w:r>
      <w:r w:rsidRPr="002E18FD">
        <w:rPr>
          <w:rFonts w:ascii="Cambria" w:hAnsi="Cambria"/>
          <w:sz w:val="20"/>
          <w:szCs w:val="20"/>
          <w:lang w:val="es-ES_tradnl"/>
        </w:rPr>
        <w:t xml:space="preserve">artículos 8.1 y 25.1 de </w:t>
      </w:r>
      <w:r w:rsidRPr="002E18FD">
        <w:rPr>
          <w:rFonts w:ascii="Cambria" w:eastAsia="Times New Roman" w:hAnsi="Cambria"/>
          <w:sz w:val="20"/>
          <w:szCs w:val="20"/>
          <w:lang w:val="es-ES" w:eastAsia="es-ES"/>
        </w:rPr>
        <w:t>la</w:t>
      </w:r>
      <w:r w:rsidRPr="002E18FD">
        <w:rPr>
          <w:rFonts w:ascii="Cambria" w:hAnsi="Cambria"/>
          <w:sz w:val="20"/>
          <w:szCs w:val="20"/>
          <w:lang w:val="es-ES_tradnl"/>
        </w:rPr>
        <w:t xml:space="preserve"> Convención Americana en relación con el artículo 1.1 del mismo instrumento, y el artículo I.b) de la </w:t>
      </w:r>
      <w:r w:rsidRPr="002E18FD">
        <w:rPr>
          <w:rFonts w:ascii="Cambria" w:eastAsia="Calibri" w:hAnsi="Cambria"/>
          <w:sz w:val="20"/>
          <w:szCs w:val="20"/>
          <w:lang w:val="es-ES"/>
        </w:rPr>
        <w:t xml:space="preserve">Convención Interamericana sobre Desaparición Forzada de Personas en perjuicio de </w:t>
      </w:r>
      <w:r w:rsidR="00D65276" w:rsidRPr="002E18FD">
        <w:rPr>
          <w:rFonts w:ascii="Cambria" w:eastAsia="Calibri" w:hAnsi="Cambria"/>
          <w:sz w:val="20"/>
          <w:szCs w:val="20"/>
          <w:lang w:val="es-ES"/>
        </w:rPr>
        <w:t xml:space="preserve">Fredy Marcelo </w:t>
      </w:r>
      <w:r w:rsidR="00E35793" w:rsidRPr="002E18FD">
        <w:rPr>
          <w:rFonts w:ascii="Cambria" w:eastAsia="Calibri" w:hAnsi="Cambria"/>
          <w:sz w:val="20"/>
          <w:szCs w:val="20"/>
          <w:lang w:val="es-ES"/>
        </w:rPr>
        <w:t>Núñez</w:t>
      </w:r>
      <w:r w:rsidRPr="002E18FD">
        <w:rPr>
          <w:rFonts w:ascii="Cambria" w:eastAsia="Calibri" w:hAnsi="Cambria"/>
          <w:sz w:val="20"/>
          <w:szCs w:val="20"/>
          <w:lang w:val="es-ES"/>
        </w:rPr>
        <w:t xml:space="preserve"> y sus familiares. </w:t>
      </w:r>
    </w:p>
    <w:p w14:paraId="26577721" w14:textId="77777777" w:rsidR="00874468" w:rsidRDefault="00874468" w:rsidP="009F1C3B">
      <w:pPr>
        <w:pStyle w:val="p1"/>
        <w:ind w:left="720"/>
        <w:jc w:val="both"/>
        <w:rPr>
          <w:rFonts w:asciiTheme="majorHAnsi" w:hAnsiTheme="majorHAnsi"/>
          <w:sz w:val="18"/>
          <w:szCs w:val="18"/>
          <w:lang w:val="es-ES"/>
        </w:rPr>
      </w:pPr>
    </w:p>
    <w:p w14:paraId="0481F513" w14:textId="77777777" w:rsidR="002158B3" w:rsidRPr="00407C72" w:rsidRDefault="002158B3" w:rsidP="002E18FD">
      <w:pPr>
        <w:pStyle w:val="Heading2"/>
        <w:keepNext w:val="0"/>
        <w:numPr>
          <w:ilvl w:val="0"/>
          <w:numId w:val="58"/>
        </w:numPr>
        <w:pBdr>
          <w:top w:val="nil"/>
          <w:left w:val="nil"/>
          <w:bottom w:val="nil"/>
          <w:right w:val="nil"/>
          <w:between w:val="nil"/>
          <w:bar w:val="nil"/>
        </w:pBdr>
        <w:tabs>
          <w:tab w:val="left" w:pos="630"/>
        </w:tabs>
        <w:spacing w:before="0" w:after="0"/>
        <w:ind w:left="0" w:firstLine="0"/>
        <w:jc w:val="both"/>
        <w:rPr>
          <w:rFonts w:ascii="Cambria" w:hAnsi="Cambria"/>
          <w:i w:val="0"/>
          <w:sz w:val="20"/>
          <w:szCs w:val="20"/>
          <w:lang w:val="es-VE"/>
        </w:rPr>
      </w:pPr>
      <w:bookmarkStart w:id="26" w:name="_Toc423514427"/>
      <w:bookmarkStart w:id="27" w:name="_Toc441166739"/>
      <w:bookmarkStart w:id="28" w:name="_Toc477355363"/>
      <w:bookmarkStart w:id="29" w:name="_Toc519601831"/>
      <w:bookmarkStart w:id="30" w:name="_Toc1985293"/>
      <w:bookmarkStart w:id="31" w:name="_Toc5359034"/>
      <w:r w:rsidRPr="00152E74">
        <w:rPr>
          <w:rFonts w:ascii="Cambria" w:hAnsi="Cambria"/>
          <w:i w:val="0"/>
          <w:sz w:val="20"/>
          <w:szCs w:val="20"/>
          <w:lang w:val="es-VE"/>
        </w:rPr>
        <w:t>Derecho a la integridad personal de los familiares (artículo 5 en relación con el artículo 1.1 de la Convención Americana)</w:t>
      </w:r>
      <w:bookmarkEnd w:id="26"/>
      <w:bookmarkEnd w:id="27"/>
      <w:bookmarkEnd w:id="28"/>
      <w:bookmarkEnd w:id="29"/>
      <w:bookmarkEnd w:id="30"/>
      <w:bookmarkEnd w:id="31"/>
    </w:p>
    <w:p w14:paraId="08A38357" w14:textId="77777777" w:rsidR="00481A51" w:rsidRDefault="00407C72" w:rsidP="002E18FD">
      <w:pPr>
        <w:pStyle w:val="Heading3"/>
        <w:numPr>
          <w:ilvl w:val="1"/>
          <w:numId w:val="54"/>
        </w:numPr>
        <w:ind w:left="630" w:hanging="630"/>
        <w:rPr>
          <w:rFonts w:asciiTheme="majorHAnsi" w:hAnsiTheme="majorHAnsi"/>
          <w:sz w:val="20"/>
          <w:szCs w:val="20"/>
          <w:lang w:val="es-CO"/>
        </w:rPr>
      </w:pPr>
      <w:bookmarkStart w:id="32" w:name="_Toc5359035"/>
      <w:r w:rsidRPr="00407C72">
        <w:rPr>
          <w:rFonts w:asciiTheme="majorHAnsi" w:hAnsiTheme="majorHAnsi"/>
          <w:sz w:val="20"/>
          <w:szCs w:val="20"/>
          <w:lang w:val="es-CO"/>
        </w:rPr>
        <w:t>Derecho a la integridad personal como consecuencia de la desaparición forzada</w:t>
      </w:r>
      <w:bookmarkEnd w:id="32"/>
      <w:r w:rsidRPr="00407C72">
        <w:rPr>
          <w:rFonts w:asciiTheme="majorHAnsi" w:hAnsiTheme="majorHAnsi"/>
          <w:sz w:val="20"/>
          <w:szCs w:val="20"/>
          <w:lang w:val="es-CO"/>
        </w:rPr>
        <w:t xml:space="preserve"> </w:t>
      </w:r>
    </w:p>
    <w:p w14:paraId="03F2653E" w14:textId="77777777" w:rsidR="002E18FD" w:rsidRPr="002E18FD" w:rsidRDefault="002E18FD" w:rsidP="002E18FD">
      <w:pPr>
        <w:rPr>
          <w:lang w:val="es-CO"/>
        </w:rPr>
      </w:pPr>
    </w:p>
    <w:p w14:paraId="0522BDB0" w14:textId="77777777" w:rsidR="002E18FD" w:rsidRPr="002E18FD" w:rsidRDefault="002158B3"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val="es-ES" w:eastAsia="es-ES"/>
        </w:rPr>
      </w:pPr>
      <w:r w:rsidRPr="00152E74">
        <w:rPr>
          <w:rFonts w:ascii="Cambria" w:eastAsia="Times New Roman" w:hAnsi="Cambria"/>
          <w:sz w:val="20"/>
          <w:szCs w:val="20"/>
          <w:lang w:val="es-ES" w:eastAsia="es-ES"/>
        </w:rPr>
        <w:t xml:space="preserve">El derecho a la integridad personal, consagrado en el artículo 5.1 de la Convención Americana, </w:t>
      </w:r>
      <w:r w:rsidRPr="002E18FD">
        <w:rPr>
          <w:rFonts w:ascii="Cambria" w:hAnsi="Cambria"/>
          <w:sz w:val="20"/>
          <w:szCs w:val="20"/>
          <w:lang w:val="es-ES"/>
        </w:rPr>
        <w:t>establece</w:t>
      </w:r>
      <w:r w:rsidRPr="00152E74">
        <w:rPr>
          <w:rFonts w:ascii="Cambria" w:eastAsia="Times New Roman" w:hAnsi="Cambria"/>
          <w:sz w:val="20"/>
          <w:szCs w:val="20"/>
          <w:lang w:val="es-ES" w:eastAsia="es-ES"/>
        </w:rPr>
        <w:t xml:space="preserve"> que “toda persona tiene derecho a que se respete su integridad física, psíquica y moral.</w:t>
      </w:r>
      <w:r w:rsidR="00E35793">
        <w:rPr>
          <w:rFonts w:ascii="Cambria" w:eastAsia="Times New Roman" w:hAnsi="Cambria"/>
          <w:sz w:val="20"/>
          <w:szCs w:val="20"/>
          <w:lang w:val="es-ES" w:eastAsia="es-ES"/>
        </w:rPr>
        <w:t xml:space="preserve"> </w:t>
      </w:r>
      <w:r w:rsidRPr="00E35793">
        <w:rPr>
          <w:rFonts w:ascii="Cambria" w:hAnsi="Cambria"/>
          <w:sz w:val="20"/>
          <w:szCs w:val="20"/>
          <w:lang w:val="es-ES"/>
        </w:rPr>
        <w:t xml:space="preserve">Con respecto de los familiares de víctimas de ciertas violaciones de derechos humanos, la Comisión y la </w:t>
      </w:r>
      <w:r w:rsidRPr="00E35793">
        <w:rPr>
          <w:rFonts w:ascii="Cambria" w:eastAsia="Times New Roman" w:hAnsi="Cambria"/>
          <w:sz w:val="20"/>
          <w:szCs w:val="20"/>
          <w:lang w:val="es-ES" w:eastAsia="es-ES"/>
        </w:rPr>
        <w:t>Corte</w:t>
      </w:r>
      <w:r w:rsidRPr="00E35793">
        <w:rPr>
          <w:rFonts w:ascii="Cambria" w:hAnsi="Cambria"/>
          <w:sz w:val="20"/>
          <w:szCs w:val="20"/>
          <w:lang w:val="es-ES"/>
        </w:rPr>
        <w:t xml:space="preserve"> han indicado que éstos pueden ser considerados, a su vez, como víctimas</w:t>
      </w:r>
      <w:r w:rsidRPr="00152E74">
        <w:rPr>
          <w:rFonts w:ascii="Cambria" w:hAnsi="Cambria"/>
          <w:bCs/>
          <w:sz w:val="20"/>
          <w:szCs w:val="20"/>
          <w:vertAlign w:val="superscript"/>
          <w:lang w:val="es-VE"/>
        </w:rPr>
        <w:footnoteReference w:id="79"/>
      </w:r>
      <w:r w:rsidRPr="00E35793">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152E74">
        <w:rPr>
          <w:rStyle w:val="FootnoteReference"/>
          <w:rFonts w:ascii="Cambria" w:hAnsi="Cambria"/>
          <w:sz w:val="20"/>
          <w:szCs w:val="20"/>
        </w:rPr>
        <w:footnoteReference w:id="80"/>
      </w:r>
      <w:r w:rsidRPr="00E35793">
        <w:rPr>
          <w:rFonts w:ascii="Cambria" w:hAnsi="Cambria"/>
          <w:sz w:val="20"/>
          <w:szCs w:val="20"/>
          <w:lang w:val="es-ES"/>
        </w:rPr>
        <w:t>.</w:t>
      </w:r>
    </w:p>
    <w:p w14:paraId="20D3CB54"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Times New Roman" w:hAnsi="Cambria"/>
          <w:sz w:val="20"/>
          <w:szCs w:val="20"/>
          <w:lang w:val="es-ES" w:eastAsia="es-ES"/>
        </w:rPr>
      </w:pPr>
    </w:p>
    <w:p w14:paraId="782C0671" w14:textId="77777777" w:rsidR="002E18FD" w:rsidRDefault="002158B3"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val="es-ES" w:eastAsia="es-ES"/>
        </w:rPr>
      </w:pPr>
      <w:r w:rsidRPr="002E18FD">
        <w:rPr>
          <w:rFonts w:ascii="Cambria" w:hAnsi="Cambria"/>
          <w:sz w:val="20"/>
          <w:szCs w:val="20"/>
          <w:lang w:val="es-ES"/>
        </w:rPr>
        <w:lastRenderedPageBreak/>
        <w:t>La</w:t>
      </w:r>
      <w:r w:rsidRPr="002E18FD">
        <w:rPr>
          <w:rFonts w:ascii="Cambria" w:hAnsi="Cambria" w:cs="Verdana"/>
          <w:sz w:val="20"/>
          <w:szCs w:val="20"/>
          <w:lang w:val="es-VE"/>
        </w:rPr>
        <w:t xml:space="preserve"> Comisión nota que, conforme a la jurisprudencia de la Corte, “en casos que involucran la desaparición forzada de personas, es posible entender que la violación del derecho a la integridad psíquica y moral de los familiares de las víctimas es una consecuencia directa, precisamente, de ese fenómeno, que les causa un severo </w:t>
      </w:r>
      <w:r w:rsidRPr="002E18FD">
        <w:rPr>
          <w:rFonts w:ascii="Cambria" w:hAnsi="Cambria"/>
          <w:sz w:val="20"/>
          <w:szCs w:val="20"/>
          <w:lang w:val="es-VE"/>
        </w:rPr>
        <w:t>sufrimiento</w:t>
      </w:r>
      <w:r w:rsidRPr="002E18FD">
        <w:rPr>
          <w:rFonts w:ascii="Cambria" w:hAnsi="Cambria" w:cs="Verdana"/>
          <w:sz w:val="20"/>
          <w:szCs w:val="20"/>
          <w:lang w:val="es-VE"/>
        </w:rPr>
        <w:t xml:space="preserve"> por el hecho mismo, que se acrecienta, entre otros factores, por la constante negativa de las autoridades </w:t>
      </w:r>
      <w:r w:rsidRPr="002E18FD">
        <w:rPr>
          <w:rFonts w:ascii="Cambria" w:eastAsia="Times New Roman" w:hAnsi="Cambria"/>
          <w:sz w:val="20"/>
          <w:szCs w:val="20"/>
          <w:lang w:val="es-ES" w:eastAsia="es-ES"/>
        </w:rPr>
        <w:t>estatales</w:t>
      </w:r>
      <w:r w:rsidRPr="002E18FD">
        <w:rPr>
          <w:rFonts w:ascii="Cambria" w:hAnsi="Cambria" w:cs="Verdana"/>
          <w:sz w:val="20"/>
          <w:szCs w:val="20"/>
          <w:lang w:val="es-VE"/>
        </w:rPr>
        <w:t xml:space="preserve"> de proporcionar información acerca del paradero de la víctima o de iniciar una investigación eficaz para lograr el esclarecimiento de lo sucedido”</w:t>
      </w:r>
      <w:r w:rsidRPr="00152E74">
        <w:rPr>
          <w:rFonts w:ascii="Cambria" w:hAnsi="Cambria" w:cs="Verdana"/>
          <w:sz w:val="20"/>
          <w:szCs w:val="20"/>
          <w:vertAlign w:val="superscript"/>
          <w:lang w:val="es-VE"/>
        </w:rPr>
        <w:footnoteReference w:id="81"/>
      </w:r>
      <w:r w:rsidRPr="002E18FD">
        <w:rPr>
          <w:rFonts w:ascii="Cambria" w:hAnsi="Cambria" w:cs="Verdana"/>
          <w:sz w:val="20"/>
          <w:szCs w:val="20"/>
          <w:lang w:val="es-VE"/>
        </w:rPr>
        <w:t>.</w:t>
      </w:r>
    </w:p>
    <w:p w14:paraId="4C000E58"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Times New Roman" w:hAnsi="Cambria"/>
          <w:sz w:val="20"/>
          <w:szCs w:val="20"/>
          <w:lang w:val="es-ES" w:eastAsia="es-ES"/>
        </w:rPr>
      </w:pPr>
    </w:p>
    <w:p w14:paraId="39331206" w14:textId="77777777" w:rsidR="002E18FD" w:rsidRDefault="002158B3"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val="es-ES" w:eastAsia="es-ES"/>
        </w:rPr>
      </w:pPr>
      <w:r w:rsidRPr="002E18FD">
        <w:rPr>
          <w:rFonts w:ascii="Cambria" w:eastAsia="Cambria" w:hAnsi="Cambria" w:cs="Verdana"/>
          <w:color w:val="000000"/>
          <w:sz w:val="20"/>
          <w:szCs w:val="20"/>
          <w:u w:color="000000"/>
          <w:lang w:val="es-ES" w:eastAsia="es-ES"/>
        </w:rPr>
        <w:t xml:space="preserve">En el presente caso, la Comisión considera que el sólo hecho de la desaparición forzada de la víctima, ha generado un profundo sentimiento de dolor, angustia e incertidumbre en sus familiares, el cual se ha </w:t>
      </w:r>
      <w:r w:rsidRPr="002E18FD">
        <w:rPr>
          <w:rFonts w:ascii="Cambria" w:hAnsi="Cambria" w:cs="Verdana"/>
          <w:sz w:val="20"/>
          <w:szCs w:val="20"/>
          <w:lang w:val="es-VE"/>
        </w:rPr>
        <w:t>venido</w:t>
      </w:r>
      <w:r w:rsidRPr="002E18FD">
        <w:rPr>
          <w:rFonts w:ascii="Cambria" w:eastAsia="Cambria" w:hAnsi="Cambria" w:cs="Verdana"/>
          <w:color w:val="000000"/>
          <w:sz w:val="20"/>
          <w:szCs w:val="20"/>
          <w:u w:color="000000"/>
          <w:lang w:val="es-ES" w:eastAsia="es-ES"/>
        </w:rPr>
        <w:t xml:space="preserve"> profundizando por las violaciones declaradas en la sección anterior, incluyendo su larga búsqueda de justicia, y la ausencia de esclarecimiento sobre lo ocurrido con su ser querido. </w:t>
      </w:r>
    </w:p>
    <w:p w14:paraId="774731AA" w14:textId="77777777" w:rsidR="002E18FD" w:rsidRDefault="002E18FD" w:rsidP="002E18FD">
      <w:pPr>
        <w:pStyle w:val="ListParagraph"/>
        <w:rPr>
          <w:rFonts w:cs="Verdana"/>
          <w:sz w:val="20"/>
          <w:szCs w:val="20"/>
          <w:lang w:val="es-ES"/>
        </w:rPr>
      </w:pPr>
    </w:p>
    <w:p w14:paraId="01493D86" w14:textId="77777777" w:rsidR="002E18FD" w:rsidRDefault="0065556E"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val="es-ES" w:eastAsia="es-ES"/>
        </w:rPr>
      </w:pPr>
      <w:r w:rsidRPr="002E18FD">
        <w:rPr>
          <w:rFonts w:ascii="Cambria" w:eastAsia="Cambria" w:hAnsi="Cambria" w:cs="Verdana"/>
          <w:color w:val="000000"/>
          <w:sz w:val="20"/>
          <w:szCs w:val="20"/>
          <w:u w:color="000000"/>
          <w:lang w:val="es-ES" w:eastAsia="es-ES"/>
        </w:rPr>
        <w:t xml:space="preserve">Adicionalmente, la Comisión hace notar que según consta en </w:t>
      </w:r>
      <w:r w:rsidR="000F5180" w:rsidRPr="002E18FD">
        <w:rPr>
          <w:rFonts w:ascii="Cambria" w:eastAsia="Cambria" w:hAnsi="Cambria" w:cs="Verdana"/>
          <w:color w:val="000000"/>
          <w:sz w:val="20"/>
          <w:szCs w:val="20"/>
          <w:u w:color="000000"/>
          <w:lang w:val="es-ES" w:eastAsia="es-ES"/>
        </w:rPr>
        <w:t>informes policiales y declaraciones testimoniales,</w:t>
      </w:r>
      <w:r w:rsidR="00E35793" w:rsidRPr="002E18FD">
        <w:rPr>
          <w:rFonts w:ascii="Cambria" w:eastAsia="Cambria" w:hAnsi="Cambria" w:cs="Verdana"/>
          <w:color w:val="000000"/>
          <w:sz w:val="20"/>
          <w:szCs w:val="20"/>
          <w:u w:color="000000"/>
          <w:lang w:val="es-ES" w:eastAsia="es-ES"/>
        </w:rPr>
        <w:t xml:space="preserve"> </w:t>
      </w:r>
      <w:r w:rsidR="000F5180" w:rsidRPr="002E18FD">
        <w:rPr>
          <w:rFonts w:ascii="Cambria" w:eastAsia="Cambria" w:hAnsi="Cambria" w:cs="Verdana"/>
          <w:color w:val="000000"/>
          <w:sz w:val="20"/>
          <w:szCs w:val="20"/>
          <w:u w:color="000000"/>
          <w:lang w:val="es-ES" w:eastAsia="es-ES"/>
        </w:rPr>
        <w:t xml:space="preserve">como consecuencia de su búsqueda de justicia, los padres de la presunta víctima, Gregoria Naranjo y Sixto </w:t>
      </w:r>
      <w:r w:rsidR="00E35793" w:rsidRPr="002E18FD">
        <w:rPr>
          <w:rFonts w:ascii="Cambria" w:eastAsia="Cambria" w:hAnsi="Cambria" w:cs="Verdana"/>
          <w:color w:val="000000"/>
          <w:sz w:val="20"/>
          <w:szCs w:val="20"/>
          <w:u w:color="000000"/>
          <w:lang w:val="es-ES" w:eastAsia="es-ES"/>
        </w:rPr>
        <w:t>Núñez</w:t>
      </w:r>
      <w:r w:rsidR="000F5180" w:rsidRPr="002E18FD">
        <w:rPr>
          <w:rFonts w:ascii="Cambria" w:eastAsia="Cambria" w:hAnsi="Cambria" w:cs="Verdana"/>
          <w:color w:val="000000"/>
          <w:sz w:val="20"/>
          <w:szCs w:val="20"/>
          <w:u w:color="000000"/>
          <w:lang w:val="es-ES" w:eastAsia="es-ES"/>
        </w:rPr>
        <w:t xml:space="preserve">, han recibido amenazas para obligarles que abandonen sus propiedades o quemarían sus bienes y sus vidas estarían en peligro, sin que conste diligencia alguna realizada por el Estado para brindarles protección. </w:t>
      </w:r>
    </w:p>
    <w:p w14:paraId="71C9ED68" w14:textId="77777777" w:rsidR="002E18FD" w:rsidRDefault="002E18FD" w:rsidP="002E18FD">
      <w:pPr>
        <w:pStyle w:val="ListParagraph"/>
        <w:rPr>
          <w:rFonts w:cs="Verdana"/>
          <w:sz w:val="20"/>
          <w:szCs w:val="20"/>
          <w:lang w:val="es-VE"/>
        </w:rPr>
      </w:pPr>
    </w:p>
    <w:p w14:paraId="6AA5A3AB" w14:textId="77777777" w:rsidR="00481A51" w:rsidRPr="002E18FD" w:rsidRDefault="002158B3"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Times New Roman" w:hAnsi="Cambria"/>
          <w:sz w:val="20"/>
          <w:szCs w:val="20"/>
          <w:lang w:val="es-ES" w:eastAsia="es-ES"/>
        </w:rPr>
      </w:pPr>
      <w:r w:rsidRPr="002E18FD">
        <w:rPr>
          <w:rFonts w:ascii="Cambria" w:hAnsi="Cambria" w:cs="Verdana"/>
          <w:sz w:val="20"/>
          <w:szCs w:val="20"/>
          <w:lang w:val="es-VE"/>
        </w:rPr>
        <w:t xml:space="preserve">En virtud de las anteriores consideraciones, la Comisión concluye que el Estado es responsable por la violación del derecho a la integridad psíquica y moral establecido en el artículo 5.1 de la Convención Americana en relación </w:t>
      </w:r>
      <w:r w:rsidRPr="002E18FD">
        <w:rPr>
          <w:rFonts w:ascii="Cambria" w:eastAsia="Cambria" w:hAnsi="Cambria" w:cs="Verdana"/>
          <w:color w:val="000000"/>
          <w:sz w:val="20"/>
          <w:szCs w:val="20"/>
          <w:u w:color="000000"/>
          <w:lang w:val="es-ES" w:eastAsia="es-ES"/>
        </w:rPr>
        <w:t>con</w:t>
      </w:r>
      <w:r w:rsidRPr="002E18FD">
        <w:rPr>
          <w:rFonts w:ascii="Cambria" w:hAnsi="Cambria" w:cs="Verdana"/>
          <w:sz w:val="20"/>
          <w:szCs w:val="20"/>
          <w:lang w:val="es-VE"/>
        </w:rPr>
        <w:t xml:space="preserve"> las obligaciones establecidas en el artículo 1.1 del mismo instrumento, en perjuicio de los familiares de </w:t>
      </w:r>
      <w:r w:rsidR="0063461E" w:rsidRPr="002E18FD">
        <w:rPr>
          <w:rFonts w:ascii="Cambria" w:hAnsi="Cambria" w:cs="Verdana"/>
          <w:sz w:val="20"/>
          <w:szCs w:val="20"/>
          <w:lang w:val="es-VE"/>
        </w:rPr>
        <w:t>Fredy Marcelo Núñez Naranjo identificado</w:t>
      </w:r>
      <w:r w:rsidRPr="002E18FD">
        <w:rPr>
          <w:rFonts w:ascii="Cambria" w:hAnsi="Cambria" w:cs="Verdana"/>
          <w:sz w:val="20"/>
          <w:szCs w:val="20"/>
          <w:lang w:val="es-VE"/>
        </w:rPr>
        <w:t>s en el presente informe.</w:t>
      </w:r>
    </w:p>
    <w:p w14:paraId="6F84CA49" w14:textId="77777777" w:rsidR="00481A51" w:rsidRDefault="00B7056E" w:rsidP="002E18FD">
      <w:pPr>
        <w:pStyle w:val="Heading3"/>
        <w:numPr>
          <w:ilvl w:val="0"/>
          <w:numId w:val="61"/>
        </w:numPr>
        <w:ind w:left="630" w:hanging="630"/>
        <w:rPr>
          <w:rFonts w:asciiTheme="majorHAnsi" w:hAnsiTheme="majorHAnsi"/>
          <w:sz w:val="20"/>
          <w:szCs w:val="20"/>
          <w:lang w:val="es-CO"/>
        </w:rPr>
      </w:pPr>
      <w:bookmarkStart w:id="33" w:name="_Toc5359036"/>
      <w:r>
        <w:rPr>
          <w:rFonts w:asciiTheme="majorHAnsi" w:hAnsiTheme="majorHAnsi"/>
          <w:sz w:val="20"/>
          <w:szCs w:val="20"/>
          <w:lang w:val="es-CO"/>
        </w:rPr>
        <w:t>Respecto de los hechos en cuanto a</w:t>
      </w:r>
      <w:r w:rsidR="00E35793">
        <w:rPr>
          <w:rFonts w:asciiTheme="majorHAnsi" w:hAnsiTheme="majorHAnsi"/>
          <w:sz w:val="20"/>
          <w:szCs w:val="20"/>
          <w:lang w:val="es-CO"/>
        </w:rPr>
        <w:t xml:space="preserve"> </w:t>
      </w:r>
      <w:r w:rsidR="00481A51">
        <w:rPr>
          <w:rFonts w:asciiTheme="majorHAnsi" w:hAnsiTheme="majorHAnsi"/>
          <w:sz w:val="20"/>
          <w:szCs w:val="20"/>
          <w:lang w:val="es-CO"/>
        </w:rPr>
        <w:t xml:space="preserve">Gregoria Naranjo y Marcia </w:t>
      </w:r>
      <w:r w:rsidR="00481A51" w:rsidRPr="00643B45">
        <w:rPr>
          <w:rFonts w:asciiTheme="majorHAnsi" w:hAnsiTheme="majorHAnsi"/>
          <w:sz w:val="20"/>
          <w:szCs w:val="20"/>
          <w:lang w:val="es-ES"/>
        </w:rPr>
        <w:t>Núñez</w:t>
      </w:r>
      <w:bookmarkEnd w:id="33"/>
    </w:p>
    <w:p w14:paraId="54513353" w14:textId="77777777" w:rsidR="00407C72" w:rsidRDefault="00407C72" w:rsidP="00407C7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Times New Roman" w:hAnsi="Cambria"/>
          <w:sz w:val="20"/>
          <w:szCs w:val="20"/>
          <w:lang w:val="es-ES" w:eastAsia="es-ES"/>
        </w:rPr>
      </w:pPr>
    </w:p>
    <w:p w14:paraId="4A2AEB11" w14:textId="77777777" w:rsidR="002E18FD" w:rsidRDefault="006350DA"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VE"/>
        </w:rPr>
      </w:pPr>
      <w:r>
        <w:rPr>
          <w:rFonts w:asciiTheme="majorHAnsi" w:hAnsiTheme="majorHAnsi"/>
          <w:sz w:val="20"/>
          <w:szCs w:val="20"/>
          <w:lang w:val="es-VE"/>
        </w:rPr>
        <w:t>La Comisión recuerda que el 15 de julio de 2001 cuando la presunta víctima fue sustraída de</w:t>
      </w:r>
      <w:r w:rsidR="00492044">
        <w:rPr>
          <w:rFonts w:asciiTheme="majorHAnsi" w:hAnsiTheme="majorHAnsi"/>
          <w:sz w:val="20"/>
          <w:szCs w:val="20"/>
          <w:lang w:val="es-VE"/>
        </w:rPr>
        <w:t xml:space="preserve"> </w:t>
      </w:r>
      <w:r>
        <w:rPr>
          <w:rFonts w:asciiTheme="majorHAnsi" w:hAnsiTheme="majorHAnsi"/>
          <w:sz w:val="20"/>
          <w:szCs w:val="20"/>
          <w:lang w:val="es-VE"/>
        </w:rPr>
        <w:t xml:space="preserve">la cárcel </w:t>
      </w:r>
      <w:r w:rsidRPr="002E18FD">
        <w:rPr>
          <w:rFonts w:ascii="Cambria" w:hAnsi="Cambria" w:cs="Verdana"/>
          <w:sz w:val="20"/>
          <w:szCs w:val="20"/>
          <w:lang w:val="es-VE"/>
        </w:rPr>
        <w:t>donde</w:t>
      </w:r>
      <w:r>
        <w:rPr>
          <w:rFonts w:asciiTheme="majorHAnsi" w:hAnsiTheme="majorHAnsi"/>
          <w:sz w:val="20"/>
          <w:szCs w:val="20"/>
          <w:lang w:val="es-VE"/>
        </w:rPr>
        <w:t xml:space="preserve"> se encontraba privada de libertad fue conducida junto a su madre Gregoria Naranjo y su hermana Marcia Núñez </w:t>
      </w:r>
      <w:r w:rsidR="00142EE4">
        <w:rPr>
          <w:rFonts w:asciiTheme="majorHAnsi" w:hAnsiTheme="majorHAnsi"/>
          <w:sz w:val="20"/>
          <w:szCs w:val="20"/>
          <w:lang w:val="es-VE"/>
        </w:rPr>
        <w:t xml:space="preserve">a la Comunidad </w:t>
      </w:r>
      <w:r w:rsidR="00C647A8">
        <w:rPr>
          <w:rFonts w:asciiTheme="majorHAnsi" w:hAnsiTheme="majorHAnsi"/>
          <w:sz w:val="20"/>
          <w:szCs w:val="20"/>
          <w:lang w:val="es-VE"/>
        </w:rPr>
        <w:t xml:space="preserve">Puñachisag </w:t>
      </w:r>
      <w:r w:rsidR="00F00741">
        <w:rPr>
          <w:rFonts w:asciiTheme="majorHAnsi" w:hAnsiTheme="majorHAnsi"/>
          <w:sz w:val="20"/>
          <w:szCs w:val="20"/>
          <w:lang w:val="es-VE"/>
        </w:rPr>
        <w:t xml:space="preserve">en donde según información que consta en la propia declaración del padre de la presunta víctima, el informe policial de 16 de agosto de 2001 y la indagación previa del fiscal, dichas personas fueron sometidas a </w:t>
      </w:r>
      <w:r w:rsidR="00E515D4">
        <w:rPr>
          <w:rFonts w:asciiTheme="majorHAnsi" w:hAnsiTheme="majorHAnsi"/>
          <w:sz w:val="20"/>
          <w:szCs w:val="20"/>
          <w:lang w:val="es-VE"/>
        </w:rPr>
        <w:t>“</w:t>
      </w:r>
      <w:r w:rsidR="00F00741">
        <w:rPr>
          <w:rFonts w:asciiTheme="majorHAnsi" w:hAnsiTheme="majorHAnsi"/>
          <w:sz w:val="20"/>
          <w:szCs w:val="20"/>
          <w:lang w:val="es-VE"/>
        </w:rPr>
        <w:t>flagelaciones</w:t>
      </w:r>
      <w:r w:rsidR="00E515D4">
        <w:rPr>
          <w:rFonts w:asciiTheme="majorHAnsi" w:hAnsiTheme="majorHAnsi"/>
          <w:sz w:val="20"/>
          <w:szCs w:val="20"/>
          <w:lang w:val="es-VE"/>
        </w:rPr>
        <w:t>”</w:t>
      </w:r>
      <w:r w:rsidR="00F00741">
        <w:rPr>
          <w:rFonts w:asciiTheme="majorHAnsi" w:hAnsiTheme="majorHAnsi"/>
          <w:sz w:val="20"/>
          <w:szCs w:val="20"/>
          <w:lang w:val="es-VE"/>
        </w:rPr>
        <w:t xml:space="preserve"> y malos tratos.</w:t>
      </w:r>
      <w:r w:rsidR="00E35793">
        <w:rPr>
          <w:rFonts w:asciiTheme="majorHAnsi" w:hAnsiTheme="majorHAnsi"/>
          <w:sz w:val="20"/>
          <w:szCs w:val="20"/>
          <w:lang w:val="es-VE"/>
        </w:rPr>
        <w:t xml:space="preserve"> </w:t>
      </w:r>
      <w:r w:rsidR="00D11493">
        <w:rPr>
          <w:rFonts w:asciiTheme="majorHAnsi" w:hAnsiTheme="majorHAnsi"/>
          <w:sz w:val="20"/>
          <w:szCs w:val="20"/>
          <w:lang w:val="es-VE"/>
        </w:rPr>
        <w:t xml:space="preserve">Pese a lo anterior, no consta que el Estado haya realizado investigación para identificar a los responsables de dichos malos tratos. </w:t>
      </w:r>
    </w:p>
    <w:p w14:paraId="6B88C4F0" w14:textId="77777777" w:rsidR="002E18FD" w:rsidRDefault="002E18FD" w:rsidP="002E18F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lang w:val="es-VE"/>
        </w:rPr>
      </w:pPr>
    </w:p>
    <w:p w14:paraId="78F81C40" w14:textId="77777777" w:rsidR="002E18FD" w:rsidRDefault="00D11493"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VE"/>
        </w:rPr>
      </w:pPr>
      <w:r w:rsidRPr="002E18FD">
        <w:rPr>
          <w:rFonts w:asciiTheme="majorHAnsi" w:hAnsiTheme="majorHAnsi"/>
          <w:sz w:val="20"/>
          <w:szCs w:val="20"/>
          <w:lang w:val="es-VE"/>
        </w:rPr>
        <w:t xml:space="preserve">Sobre este aspecto, </w:t>
      </w:r>
      <w:r w:rsidRPr="002E18FD">
        <w:rPr>
          <w:rFonts w:ascii="Cambria" w:hAnsi="Cambria" w:cs="Verdana"/>
          <w:sz w:val="20"/>
          <w:szCs w:val="20"/>
          <w:lang w:val="es-VE"/>
        </w:rPr>
        <w:t>l</w:t>
      </w:r>
      <w:r w:rsidR="000B3BBC" w:rsidRPr="002E18FD">
        <w:rPr>
          <w:rFonts w:ascii="Cambria" w:hAnsi="Cambria" w:cs="Verdana"/>
          <w:sz w:val="20"/>
          <w:szCs w:val="20"/>
          <w:lang w:val="es-VE"/>
        </w:rPr>
        <w:t>a</w:t>
      </w:r>
      <w:r w:rsidR="000B3BBC" w:rsidRPr="002E18FD">
        <w:rPr>
          <w:rFonts w:asciiTheme="majorHAnsi" w:hAnsiTheme="majorHAnsi"/>
          <w:sz w:val="20"/>
          <w:szCs w:val="20"/>
          <w:lang w:val="es-VE"/>
        </w:rPr>
        <w:t xml:space="preserve"> Comisión recuerda que cuando exist</w:t>
      </w:r>
      <w:r w:rsidR="00AC7EF4" w:rsidRPr="002E18FD">
        <w:rPr>
          <w:rFonts w:asciiTheme="majorHAnsi" w:hAnsiTheme="majorHAnsi"/>
          <w:sz w:val="20"/>
          <w:szCs w:val="20"/>
          <w:lang w:val="es-VE"/>
        </w:rPr>
        <w:t xml:space="preserve">e denuncia o razón fundada </w:t>
      </w:r>
      <w:r w:rsidR="000B3BBC" w:rsidRPr="002E18FD">
        <w:rPr>
          <w:rFonts w:ascii="Cambria" w:eastAsia="Times New Roman" w:hAnsi="Cambria"/>
          <w:sz w:val="20"/>
          <w:szCs w:val="20"/>
          <w:lang w:val="es-ES"/>
        </w:rPr>
        <w:t xml:space="preserve">para creer que se ha cometido un acto de tortura, existe una obligación estatal de iniciar de oficio e inmediatamente una investigación efectiva que permita identificar, juzgar y sancionar a los </w:t>
      </w:r>
      <w:r w:rsidR="000B3BBC" w:rsidRPr="002E18FD">
        <w:rPr>
          <w:rFonts w:ascii="Cambria" w:eastAsia="Times New Roman" w:hAnsi="Cambria"/>
          <w:sz w:val="20"/>
          <w:szCs w:val="20"/>
          <w:lang w:val="es-ES_tradnl"/>
        </w:rPr>
        <w:t>responsables</w:t>
      </w:r>
      <w:r w:rsidR="000B3BBC" w:rsidRPr="002E18FD">
        <w:rPr>
          <w:rFonts w:ascii="Cambria" w:eastAsia="Times New Roman" w:hAnsi="Cambria"/>
          <w:sz w:val="20"/>
          <w:szCs w:val="20"/>
          <w:lang w:val="es-ES"/>
        </w:rPr>
        <w:t>, conforme a la obligación general de garantizar a toda persona bajo su jurisdicción los derechos humanos consagrados en la Convención, establecida en el artículo 1.1. de la misma en conjunto con el derecho a la integridad personal</w:t>
      </w:r>
      <w:r w:rsidR="000B3BBC" w:rsidRPr="007F3D68">
        <w:rPr>
          <w:rFonts w:ascii="Cambria" w:eastAsia="Times New Roman" w:hAnsi="Cambria"/>
          <w:sz w:val="20"/>
          <w:szCs w:val="20"/>
          <w:vertAlign w:val="superscript"/>
          <w:lang w:val="es-ES"/>
        </w:rPr>
        <w:footnoteReference w:id="82"/>
      </w:r>
      <w:r w:rsidR="000B3BBC" w:rsidRPr="002E18FD">
        <w:rPr>
          <w:rFonts w:ascii="Cambria" w:eastAsia="Times New Roman" w:hAnsi="Cambria"/>
          <w:sz w:val="20"/>
          <w:szCs w:val="20"/>
          <w:lang w:val="es-ES"/>
        </w:rPr>
        <w:t>.</w:t>
      </w:r>
    </w:p>
    <w:p w14:paraId="6160C732" w14:textId="77777777" w:rsidR="002E18FD" w:rsidRDefault="002E18FD" w:rsidP="002E18FD">
      <w:pPr>
        <w:pStyle w:val="ListParagraph"/>
        <w:rPr>
          <w:rFonts w:cs="Verdana"/>
          <w:sz w:val="20"/>
          <w:szCs w:val="20"/>
          <w:lang w:val="es-VE"/>
        </w:rPr>
      </w:pPr>
    </w:p>
    <w:p w14:paraId="58C6C46B" w14:textId="77777777" w:rsidR="00481A51" w:rsidRPr="002E18FD" w:rsidRDefault="00D2168D"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lang w:val="es-VE"/>
        </w:rPr>
      </w:pPr>
      <w:r w:rsidRPr="002E18FD">
        <w:rPr>
          <w:rFonts w:ascii="Cambria" w:hAnsi="Cambria" w:cs="Verdana"/>
          <w:sz w:val="20"/>
          <w:szCs w:val="20"/>
          <w:lang w:val="es-VE"/>
        </w:rPr>
        <w:t>En virtud de las anteriores consideraciones, la Comisión concluye que en el Estado es responsable por la violación</w:t>
      </w:r>
      <w:r w:rsidR="00D22A34" w:rsidRPr="002E18FD">
        <w:rPr>
          <w:rFonts w:ascii="Cambria" w:hAnsi="Cambria" w:cs="Verdana"/>
          <w:sz w:val="20"/>
          <w:szCs w:val="20"/>
          <w:lang w:val="es-VE"/>
        </w:rPr>
        <w:t xml:space="preserve"> de los derechos </w:t>
      </w:r>
      <w:r w:rsidRPr="002E18FD">
        <w:rPr>
          <w:rFonts w:ascii="Cambria" w:hAnsi="Cambria" w:cs="Verdana"/>
          <w:sz w:val="20"/>
          <w:szCs w:val="20"/>
          <w:lang w:val="es-VE"/>
        </w:rPr>
        <w:t xml:space="preserve">a las garantías judiciales y protección judicial establecidos en los artículos 8.1 y 25.1 de la Convención Americana en relación </w:t>
      </w:r>
      <w:r w:rsidRPr="002E18FD">
        <w:rPr>
          <w:rFonts w:ascii="Cambria" w:eastAsia="Cambria" w:hAnsi="Cambria" w:cs="Verdana"/>
          <w:color w:val="000000"/>
          <w:sz w:val="20"/>
          <w:szCs w:val="20"/>
          <w:u w:color="000000"/>
          <w:lang w:val="es-ES" w:eastAsia="es-ES"/>
        </w:rPr>
        <w:t>con</w:t>
      </w:r>
      <w:r w:rsidR="00D26002" w:rsidRPr="002E18FD">
        <w:rPr>
          <w:rFonts w:ascii="Cambria" w:eastAsia="Cambria" w:hAnsi="Cambria" w:cs="Verdana"/>
          <w:color w:val="000000"/>
          <w:sz w:val="20"/>
          <w:szCs w:val="20"/>
          <w:u w:color="000000"/>
          <w:lang w:val="es-ES" w:eastAsia="es-ES"/>
        </w:rPr>
        <w:t xml:space="preserve"> el derecho a la integridad personal establecido en el artículo 5.1 así como con</w:t>
      </w:r>
      <w:r w:rsidRPr="002E18FD">
        <w:rPr>
          <w:rFonts w:ascii="Cambria" w:hAnsi="Cambria" w:cs="Verdana"/>
          <w:sz w:val="20"/>
          <w:szCs w:val="20"/>
          <w:lang w:val="es-VE"/>
        </w:rPr>
        <w:t xml:space="preserve"> las obligaciones establecidas en el artículo 1.1 del mismo instrumento, en perjuicio de Gregoria Naranjo y Marcia Núñez. </w:t>
      </w:r>
    </w:p>
    <w:p w14:paraId="5C6A355B" w14:textId="77777777" w:rsidR="00E35859" w:rsidRPr="00D2168D" w:rsidRDefault="00E35859" w:rsidP="00E3585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14:paraId="718DC0E4" w14:textId="77777777" w:rsidR="002158B3" w:rsidRPr="00152E74" w:rsidRDefault="002158B3" w:rsidP="002E18FD">
      <w:pPr>
        <w:pStyle w:val="Heading1"/>
        <w:numPr>
          <w:ilvl w:val="0"/>
          <w:numId w:val="55"/>
        </w:numPr>
        <w:tabs>
          <w:tab w:val="left" w:pos="0"/>
          <w:tab w:val="left" w:pos="540"/>
        </w:tabs>
        <w:spacing w:before="0"/>
        <w:ind w:left="0" w:firstLine="0"/>
        <w:jc w:val="both"/>
        <w:rPr>
          <w:rFonts w:ascii="Cambria" w:hAnsi="Cambria"/>
          <w:color w:val="auto"/>
          <w:sz w:val="20"/>
          <w:szCs w:val="20"/>
          <w:lang w:val="es-ES_tradnl"/>
        </w:rPr>
      </w:pPr>
      <w:bookmarkStart w:id="34" w:name="_Toc519601832"/>
      <w:bookmarkStart w:id="35" w:name="_Toc1985294"/>
      <w:bookmarkStart w:id="36" w:name="_Toc5359037"/>
      <w:r w:rsidRPr="004E01CC">
        <w:rPr>
          <w:rFonts w:ascii="Cambria" w:hAnsi="Cambria"/>
          <w:color w:val="000000" w:themeColor="text1"/>
          <w:sz w:val="20"/>
          <w:szCs w:val="20"/>
          <w:lang w:val="es-ES"/>
        </w:rPr>
        <w:lastRenderedPageBreak/>
        <w:t>CONCLUSIONES</w:t>
      </w:r>
      <w:r w:rsidRPr="00152E74">
        <w:rPr>
          <w:rFonts w:ascii="Cambria" w:hAnsi="Cambria"/>
          <w:color w:val="auto"/>
          <w:sz w:val="20"/>
          <w:szCs w:val="20"/>
          <w:lang w:val="es-ES_tradnl"/>
        </w:rPr>
        <w:t xml:space="preserve"> Y RECOMENDACIONES</w:t>
      </w:r>
      <w:bookmarkEnd w:id="34"/>
      <w:bookmarkEnd w:id="35"/>
      <w:bookmarkEnd w:id="36"/>
      <w:r w:rsidRPr="00152E74">
        <w:rPr>
          <w:rFonts w:ascii="Cambria" w:hAnsi="Cambria"/>
          <w:color w:val="auto"/>
          <w:sz w:val="20"/>
          <w:szCs w:val="20"/>
          <w:lang w:val="es-ES_tradnl"/>
        </w:rPr>
        <w:t xml:space="preserve"> </w:t>
      </w:r>
    </w:p>
    <w:p w14:paraId="662DED0D" w14:textId="77777777" w:rsidR="002158B3" w:rsidRPr="00152E74" w:rsidRDefault="002158B3" w:rsidP="00E35859">
      <w:pPr>
        <w:suppressAutoHyphens/>
        <w:rPr>
          <w:rFonts w:ascii="Cambria" w:hAnsi="Cambria"/>
          <w:b/>
          <w:sz w:val="20"/>
          <w:szCs w:val="20"/>
          <w:lang w:val="es-ES_tradnl"/>
        </w:rPr>
      </w:pPr>
    </w:p>
    <w:p w14:paraId="0AEC003D" w14:textId="77777777" w:rsidR="002158B3" w:rsidRPr="00152E74" w:rsidRDefault="002158B3" w:rsidP="002E18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s="Verdana"/>
          <w:sz w:val="20"/>
          <w:szCs w:val="20"/>
          <w:lang w:val="es-VE"/>
        </w:rPr>
      </w:pPr>
      <w:r w:rsidRPr="00152E74">
        <w:rPr>
          <w:rFonts w:ascii="Cambria" w:hAnsi="Cambria" w:cs="Verdana"/>
          <w:sz w:val="20"/>
          <w:szCs w:val="20"/>
          <w:lang w:val="es-VE"/>
        </w:rPr>
        <w:t>La Comi</w:t>
      </w:r>
      <w:r w:rsidR="00E35793">
        <w:rPr>
          <w:rFonts w:ascii="Cambria" w:hAnsi="Cambria" w:cs="Verdana"/>
          <w:sz w:val="20"/>
          <w:szCs w:val="20"/>
          <w:lang w:val="es-VE"/>
        </w:rPr>
        <w:t>sión concluye que el Estado de Ecuador</w:t>
      </w:r>
      <w:r w:rsidRPr="00152E74">
        <w:rPr>
          <w:rFonts w:ascii="Cambria" w:hAnsi="Cambria" w:cs="Verdana"/>
          <w:sz w:val="20"/>
          <w:szCs w:val="20"/>
          <w:lang w:val="es-VE"/>
        </w:rPr>
        <w:t xml:space="preserve"> es responsable por la violación de los derechos al reconocimiento de la personalidad jurídica, a la vida, a la integridad personal, a la libertad person</w:t>
      </w:r>
      <w:r w:rsidR="00E35793">
        <w:rPr>
          <w:rFonts w:ascii="Cambria" w:hAnsi="Cambria" w:cs="Verdana"/>
          <w:sz w:val="20"/>
          <w:szCs w:val="20"/>
          <w:lang w:val="es-VE"/>
        </w:rPr>
        <w:t>al, a las garantías judiciales</w:t>
      </w:r>
      <w:r w:rsidRPr="00152E74">
        <w:rPr>
          <w:rFonts w:ascii="Cambria" w:hAnsi="Cambria" w:cs="Verdana"/>
          <w:sz w:val="20"/>
          <w:szCs w:val="20"/>
          <w:lang w:val="es-VE"/>
        </w:rPr>
        <w:t xml:space="preserve">, y a la protección judicial consagrados en los artículos 3, </w:t>
      </w:r>
      <w:r w:rsidR="00E35793">
        <w:rPr>
          <w:rFonts w:ascii="Cambria" w:hAnsi="Cambria" w:cs="Verdana"/>
          <w:sz w:val="20"/>
          <w:szCs w:val="20"/>
          <w:lang w:val="es-VE"/>
        </w:rPr>
        <w:t>4</w:t>
      </w:r>
      <w:r w:rsidR="009F1023">
        <w:rPr>
          <w:rFonts w:ascii="Cambria" w:hAnsi="Cambria" w:cs="Verdana"/>
          <w:sz w:val="20"/>
          <w:szCs w:val="20"/>
          <w:lang w:val="es-VE"/>
        </w:rPr>
        <w:t>.1</w:t>
      </w:r>
      <w:r w:rsidRPr="00152E74">
        <w:rPr>
          <w:rFonts w:ascii="Cambria" w:hAnsi="Cambria" w:cs="Verdana"/>
          <w:sz w:val="20"/>
          <w:szCs w:val="20"/>
          <w:lang w:val="es-VE"/>
        </w:rPr>
        <w:t>, 5</w:t>
      </w:r>
      <w:r w:rsidR="009F1023">
        <w:rPr>
          <w:rFonts w:ascii="Cambria" w:hAnsi="Cambria" w:cs="Verdana"/>
          <w:sz w:val="20"/>
          <w:szCs w:val="20"/>
          <w:lang w:val="es-VE"/>
        </w:rPr>
        <w:t>.1</w:t>
      </w:r>
      <w:r w:rsidRPr="00152E74">
        <w:rPr>
          <w:rFonts w:ascii="Cambria" w:hAnsi="Cambria" w:cs="Verdana"/>
          <w:sz w:val="20"/>
          <w:szCs w:val="20"/>
          <w:lang w:val="es-VE"/>
        </w:rPr>
        <w:t>,</w:t>
      </w:r>
      <w:r w:rsidR="009F1023">
        <w:rPr>
          <w:rFonts w:ascii="Cambria" w:hAnsi="Cambria" w:cs="Verdana"/>
          <w:sz w:val="20"/>
          <w:szCs w:val="20"/>
          <w:lang w:val="es-VE"/>
        </w:rPr>
        <w:t xml:space="preserve"> 5.2,</w:t>
      </w:r>
      <w:r w:rsidRPr="00152E74">
        <w:rPr>
          <w:rFonts w:ascii="Cambria" w:hAnsi="Cambria" w:cs="Verdana"/>
          <w:sz w:val="20"/>
          <w:szCs w:val="20"/>
          <w:lang w:val="es-VE"/>
        </w:rPr>
        <w:t xml:space="preserve"> </w:t>
      </w:r>
      <w:r w:rsidR="00E35793">
        <w:rPr>
          <w:rFonts w:ascii="Cambria" w:hAnsi="Cambria" w:cs="Verdana"/>
          <w:sz w:val="20"/>
          <w:szCs w:val="20"/>
          <w:lang w:val="es-VE"/>
        </w:rPr>
        <w:t>7,</w:t>
      </w:r>
      <w:r w:rsidRPr="00152E74">
        <w:rPr>
          <w:rFonts w:ascii="Cambria" w:hAnsi="Cambria" w:cs="Verdana"/>
          <w:sz w:val="20"/>
          <w:szCs w:val="20"/>
          <w:lang w:val="es-VE"/>
        </w:rPr>
        <w:t xml:space="preserve"> 8.1 y 25.1 de la Convención Americana, en relación con </w:t>
      </w:r>
      <w:r>
        <w:rPr>
          <w:rFonts w:ascii="Cambria" w:hAnsi="Cambria" w:cs="Verdana"/>
          <w:sz w:val="20"/>
          <w:szCs w:val="20"/>
          <w:lang w:val="es-VE"/>
        </w:rPr>
        <w:t>el</w:t>
      </w:r>
      <w:r w:rsidRPr="00152E74">
        <w:rPr>
          <w:rFonts w:ascii="Cambria" w:hAnsi="Cambria" w:cs="Verdana"/>
          <w:sz w:val="20"/>
          <w:szCs w:val="20"/>
          <w:lang w:val="es-VE"/>
        </w:rPr>
        <w:t xml:space="preserve"> ar</w:t>
      </w:r>
      <w:r>
        <w:rPr>
          <w:rFonts w:ascii="Cambria" w:hAnsi="Cambria" w:cs="Verdana"/>
          <w:sz w:val="20"/>
          <w:szCs w:val="20"/>
          <w:lang w:val="es-VE"/>
        </w:rPr>
        <w:t>tículo</w:t>
      </w:r>
      <w:r w:rsidRPr="00152E74">
        <w:rPr>
          <w:rFonts w:ascii="Cambria" w:hAnsi="Cambria" w:cs="Verdana"/>
          <w:sz w:val="20"/>
          <w:szCs w:val="20"/>
          <w:lang w:val="es-VE"/>
        </w:rPr>
        <w:t xml:space="preserve"> 1.1 del mismo instrumento, así como de los artículos I.a</w:t>
      </w:r>
      <w:r>
        <w:rPr>
          <w:rFonts w:ascii="Cambria" w:hAnsi="Cambria" w:cs="Verdana"/>
          <w:sz w:val="20"/>
          <w:szCs w:val="20"/>
          <w:lang w:val="es-VE"/>
        </w:rPr>
        <w:t>)</w:t>
      </w:r>
      <w:r w:rsidRPr="00152E74">
        <w:rPr>
          <w:rFonts w:ascii="Cambria" w:hAnsi="Cambria" w:cs="Verdana"/>
          <w:sz w:val="20"/>
          <w:szCs w:val="20"/>
          <w:lang w:val="es-VE"/>
        </w:rPr>
        <w:t xml:space="preserve"> y I.b</w:t>
      </w:r>
      <w:r>
        <w:rPr>
          <w:rFonts w:ascii="Cambria" w:hAnsi="Cambria" w:cs="Verdana"/>
          <w:sz w:val="20"/>
          <w:szCs w:val="20"/>
          <w:lang w:val="es-VE"/>
        </w:rPr>
        <w:t>)</w:t>
      </w:r>
      <w:r w:rsidRPr="00152E74">
        <w:rPr>
          <w:rFonts w:ascii="Cambria" w:hAnsi="Cambria" w:cs="Verdana"/>
          <w:sz w:val="20"/>
          <w:szCs w:val="20"/>
          <w:lang w:val="es-VE"/>
        </w:rPr>
        <w:t xml:space="preserve"> de la Convención Interamericana sobre Desaparición Forzada de Personas en perjuicio de las personas que se indican a lo largo del presente informe.</w:t>
      </w:r>
    </w:p>
    <w:p w14:paraId="1AD1E8F2" w14:textId="77777777" w:rsidR="002158B3" w:rsidRPr="00E35793" w:rsidRDefault="002158B3" w:rsidP="002158B3">
      <w:pPr>
        <w:suppressAutoHyphens/>
        <w:jc w:val="both"/>
        <w:rPr>
          <w:rFonts w:ascii="Cambria" w:hAnsi="Cambria"/>
          <w:sz w:val="20"/>
          <w:szCs w:val="20"/>
          <w:lang w:val="es-VE"/>
        </w:rPr>
      </w:pPr>
    </w:p>
    <w:p w14:paraId="01E25C04" w14:textId="77777777" w:rsidR="002158B3" w:rsidRPr="00152E74" w:rsidRDefault="002158B3" w:rsidP="002158B3">
      <w:pPr>
        <w:jc w:val="both"/>
        <w:rPr>
          <w:rFonts w:ascii="Cambria" w:hAnsi="Cambria"/>
          <w:b/>
          <w:sz w:val="20"/>
          <w:szCs w:val="20"/>
          <w:lang w:val="es-ES_tradnl"/>
        </w:rPr>
      </w:pPr>
      <w:r w:rsidRPr="00152E74">
        <w:rPr>
          <w:rFonts w:ascii="Cambria" w:hAnsi="Cambria"/>
          <w:b/>
          <w:sz w:val="20"/>
          <w:szCs w:val="20"/>
          <w:lang w:val="es-ES_tradnl"/>
        </w:rPr>
        <w:t xml:space="preserve">LA COMISIÓN INTERAMERICANA DE DERECHOS HUMANOS, RECOMIENDA AL ESTADO DE </w:t>
      </w:r>
      <w:r>
        <w:rPr>
          <w:rFonts w:ascii="Cambria" w:hAnsi="Cambria"/>
          <w:b/>
          <w:sz w:val="20"/>
          <w:szCs w:val="20"/>
          <w:lang w:val="es-ES_tradnl"/>
        </w:rPr>
        <w:t>ECUADOR</w:t>
      </w:r>
      <w:r w:rsidRPr="00152E74">
        <w:rPr>
          <w:rFonts w:ascii="Cambria" w:hAnsi="Cambria"/>
          <w:b/>
          <w:sz w:val="20"/>
          <w:szCs w:val="20"/>
          <w:lang w:val="es-ES_tradnl"/>
        </w:rPr>
        <w:t>:</w:t>
      </w:r>
    </w:p>
    <w:p w14:paraId="63F0BF98" w14:textId="77777777" w:rsidR="002158B3" w:rsidRPr="00152E74" w:rsidRDefault="002158B3" w:rsidP="002158B3">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lang w:val="es-ES"/>
        </w:rPr>
      </w:pPr>
    </w:p>
    <w:p w14:paraId="25F328A1" w14:textId="77777777" w:rsidR="00EA3843" w:rsidRDefault="002158B3" w:rsidP="00DD5AD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630"/>
        </w:tabs>
        <w:ind w:left="0" w:firstLine="0"/>
        <w:jc w:val="both"/>
        <w:rPr>
          <w:rFonts w:ascii="Cambria" w:hAnsi="Cambria"/>
          <w:sz w:val="20"/>
          <w:szCs w:val="20"/>
          <w:lang w:val="es-ES"/>
        </w:rPr>
      </w:pPr>
      <w:r w:rsidRPr="00152E74">
        <w:rPr>
          <w:rFonts w:ascii="Cambria" w:hAnsi="Cambria"/>
          <w:sz w:val="20"/>
          <w:szCs w:val="20"/>
          <w:lang w:val="es-ES"/>
        </w:rPr>
        <w:t xml:space="preserve">Investigar de manera completa, imparcial y efectiva el paradero de </w:t>
      </w:r>
      <w:r w:rsidR="00FB038C">
        <w:rPr>
          <w:rFonts w:ascii="Cambria" w:hAnsi="Cambria" w:cs="Verdana"/>
          <w:sz w:val="20"/>
          <w:szCs w:val="20"/>
          <w:lang w:val="es-VE"/>
        </w:rPr>
        <w:t>Fred</w:t>
      </w:r>
      <w:r>
        <w:rPr>
          <w:rFonts w:ascii="Cambria" w:hAnsi="Cambria" w:cs="Verdana"/>
          <w:sz w:val="20"/>
          <w:szCs w:val="20"/>
          <w:lang w:val="es-VE"/>
        </w:rPr>
        <w:t>y Marcelo Nuñez</w:t>
      </w:r>
      <w:r w:rsidRPr="00152E74">
        <w:rPr>
          <w:rFonts w:ascii="Cambria" w:eastAsia="Times New Roman" w:hAnsi="Cambria"/>
          <w:sz w:val="20"/>
          <w:szCs w:val="20"/>
          <w:lang w:val="es-ES" w:eastAsia="es-ES"/>
        </w:rPr>
        <w:t xml:space="preserve">, y de ser el caso, </w:t>
      </w:r>
      <w:r w:rsidRPr="00152E74">
        <w:rPr>
          <w:rFonts w:ascii="Cambria" w:hAnsi="Cambria"/>
          <w:sz w:val="20"/>
          <w:szCs w:val="20"/>
          <w:lang w:val="es-ES"/>
        </w:rPr>
        <w:t xml:space="preserve">adoptar las medidas necesarias para identificar y entregar a sus familiares los restos mortales según sus deseos. </w:t>
      </w:r>
    </w:p>
    <w:p w14:paraId="7C6A5D02" w14:textId="77777777" w:rsidR="00DD5AD0" w:rsidRPr="00DD5AD0" w:rsidRDefault="00DD5AD0" w:rsidP="00DD5A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177F2298" w14:textId="77777777" w:rsidR="00EA3843" w:rsidRPr="00152E74" w:rsidRDefault="00EA3843" w:rsidP="00DD5AD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Cambria" w:hAnsi="Cambria"/>
          <w:sz w:val="20"/>
          <w:szCs w:val="20"/>
          <w:lang w:val="es-ES"/>
        </w:rPr>
      </w:pPr>
      <w:r>
        <w:rPr>
          <w:rFonts w:ascii="Cambria" w:hAnsi="Cambria"/>
          <w:sz w:val="20"/>
          <w:szCs w:val="20"/>
          <w:lang w:val="es-ES"/>
        </w:rPr>
        <w:t xml:space="preserve">Investigar las lesiones sufridas por </w:t>
      </w:r>
      <w:r>
        <w:rPr>
          <w:rFonts w:asciiTheme="majorHAnsi" w:hAnsiTheme="majorHAnsi"/>
          <w:sz w:val="20"/>
          <w:szCs w:val="20"/>
          <w:lang w:val="es-CO"/>
        </w:rPr>
        <w:t xml:space="preserve">Gregoria Naranjo y Marcia </w:t>
      </w:r>
      <w:r w:rsidRPr="00643B45">
        <w:rPr>
          <w:rFonts w:asciiTheme="majorHAnsi" w:hAnsiTheme="majorHAnsi"/>
          <w:sz w:val="20"/>
          <w:szCs w:val="20"/>
          <w:lang w:val="es-ES"/>
        </w:rPr>
        <w:t>Núñez</w:t>
      </w:r>
      <w:r>
        <w:rPr>
          <w:rFonts w:asciiTheme="majorHAnsi" w:hAnsiTheme="majorHAnsi"/>
          <w:sz w:val="20"/>
          <w:szCs w:val="20"/>
          <w:lang w:val="es-ES"/>
        </w:rPr>
        <w:t xml:space="preserve"> de manera diligente, efectiva y en un plazo razonable con el objeto de esclarecer los hechos en forma completa, identificar a los autores e imponer las sanciones que correspondan. </w:t>
      </w:r>
    </w:p>
    <w:p w14:paraId="035EE748" w14:textId="77777777" w:rsidR="002158B3" w:rsidRPr="00152E74" w:rsidRDefault="002158B3" w:rsidP="00DD5AD0">
      <w:pPr>
        <w:tabs>
          <w:tab w:val="left" w:pos="630"/>
        </w:tabs>
        <w:jc w:val="both"/>
        <w:rPr>
          <w:rFonts w:ascii="Cambria" w:hAnsi="Cambria"/>
          <w:sz w:val="20"/>
          <w:szCs w:val="20"/>
          <w:lang w:val="es-ES"/>
        </w:rPr>
      </w:pPr>
    </w:p>
    <w:p w14:paraId="6ADB6243" w14:textId="77777777" w:rsidR="002158B3" w:rsidRPr="00152E74" w:rsidRDefault="002158B3" w:rsidP="00DD5AD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Cambria" w:hAnsi="Cambria"/>
          <w:sz w:val="20"/>
          <w:szCs w:val="20"/>
          <w:lang w:val="es-ES"/>
        </w:rPr>
      </w:pPr>
      <w:r w:rsidRPr="00152E74">
        <w:rPr>
          <w:rFonts w:ascii="Cambria" w:hAnsi="Cambria"/>
          <w:sz w:val="20"/>
          <w:szCs w:val="20"/>
          <w:lang w:val="es-ES"/>
        </w:rPr>
        <w:t xml:space="preserve">Llevar a cabo los procedimientos internos relacionados con las violaciones a los derechos humanos declaradas en el presente informe y conducir los procesos correspondientes por el delito de desaparición forzada de </w:t>
      </w:r>
      <w:r w:rsidR="00FB038C">
        <w:rPr>
          <w:rFonts w:ascii="Cambria" w:hAnsi="Cambria" w:cs="Verdana"/>
          <w:sz w:val="20"/>
          <w:szCs w:val="20"/>
          <w:lang w:val="es-VE"/>
        </w:rPr>
        <w:t>Fre</w:t>
      </w:r>
      <w:r>
        <w:rPr>
          <w:rFonts w:ascii="Cambria" w:hAnsi="Cambria" w:cs="Verdana"/>
          <w:sz w:val="20"/>
          <w:szCs w:val="20"/>
          <w:lang w:val="es-VE"/>
        </w:rPr>
        <w:t>dy Marcelo Nuñez</w:t>
      </w:r>
      <w:r w:rsidRPr="00152E74">
        <w:rPr>
          <w:rFonts w:ascii="Cambria" w:hAnsi="Cambria"/>
          <w:sz w:val="20"/>
          <w:szCs w:val="20"/>
          <w:lang w:val="es-ES"/>
        </w:rPr>
        <w:t>, de manera imparcial, efectiva y dentro de un plazo razonable, con el objeto de esclarecer los hechos en forma completa, identificar a todos los responsables e imponer las sanciones que correspondan.</w:t>
      </w:r>
    </w:p>
    <w:p w14:paraId="7D558B83" w14:textId="77777777" w:rsidR="002158B3" w:rsidRPr="00152E74" w:rsidRDefault="002158B3" w:rsidP="00DD5AD0">
      <w:pPr>
        <w:tabs>
          <w:tab w:val="left" w:pos="630"/>
        </w:tabs>
        <w:jc w:val="both"/>
        <w:rPr>
          <w:rFonts w:ascii="Cambria" w:hAnsi="Cambria"/>
          <w:sz w:val="20"/>
          <w:szCs w:val="20"/>
          <w:lang w:val="es-ES"/>
        </w:rPr>
      </w:pPr>
    </w:p>
    <w:p w14:paraId="55D62570" w14:textId="77777777" w:rsidR="002158B3" w:rsidRPr="00152E74" w:rsidRDefault="002158B3" w:rsidP="00DD5AD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0" w:firstLine="0"/>
        <w:jc w:val="both"/>
        <w:rPr>
          <w:rFonts w:ascii="Cambria" w:hAnsi="Cambria"/>
          <w:sz w:val="20"/>
          <w:szCs w:val="20"/>
          <w:lang w:val="es-ES"/>
        </w:rPr>
      </w:pPr>
      <w:r w:rsidRPr="00152E74">
        <w:rPr>
          <w:rFonts w:ascii="Cambria" w:hAnsi="Cambria"/>
          <w:sz w:val="20"/>
          <w:szCs w:val="20"/>
          <w:lang w:val="es-ES"/>
        </w:rPr>
        <w:t>Reparar adecuadamente las violaciones de derechos humanos declaradas en el presente informe tanto en el aspecto material como moral, incluyendo una justa compensación, el establecimiento y difusión de la verdad histórica de los hechos</w:t>
      </w:r>
      <w:r w:rsidR="00DD5AD0">
        <w:rPr>
          <w:rFonts w:ascii="Cambria" w:hAnsi="Cambria"/>
          <w:sz w:val="20"/>
          <w:szCs w:val="20"/>
          <w:lang w:val="es-ES"/>
        </w:rPr>
        <w:t xml:space="preserve"> </w:t>
      </w:r>
      <w:r w:rsidRPr="00152E74">
        <w:rPr>
          <w:rFonts w:ascii="Cambria" w:hAnsi="Cambria"/>
          <w:sz w:val="20"/>
          <w:szCs w:val="20"/>
          <w:lang w:val="es-ES"/>
        </w:rPr>
        <w:t xml:space="preserve">y la implementación de un programa adecuado de atención a sus familiares, en consulta con estos. </w:t>
      </w:r>
    </w:p>
    <w:p w14:paraId="1367157A" w14:textId="77777777" w:rsidR="002158B3" w:rsidRPr="001B2E71" w:rsidRDefault="002158B3" w:rsidP="00DD5AD0">
      <w:pPr>
        <w:tabs>
          <w:tab w:val="left" w:pos="630"/>
        </w:tabs>
        <w:rPr>
          <w:sz w:val="20"/>
          <w:szCs w:val="20"/>
          <w:lang w:val="es-ES"/>
        </w:rPr>
      </w:pPr>
    </w:p>
    <w:p w14:paraId="74AFB059" w14:textId="77777777" w:rsidR="00C113BF" w:rsidRPr="00152E74" w:rsidRDefault="00C113BF" w:rsidP="00DD5AD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630"/>
          <w:tab w:val="num" w:pos="720"/>
          <w:tab w:val="left" w:pos="1134"/>
        </w:tabs>
        <w:suppressAutoHyphens/>
        <w:ind w:left="0" w:firstLine="0"/>
        <w:jc w:val="both"/>
        <w:rPr>
          <w:rFonts w:ascii="Cambria" w:hAnsi="Cambria"/>
          <w:sz w:val="20"/>
          <w:szCs w:val="20"/>
          <w:lang w:val="es-ES"/>
        </w:rPr>
      </w:pPr>
      <w:r w:rsidRPr="00152E74">
        <w:rPr>
          <w:rFonts w:ascii="Cambria" w:hAnsi="Cambria"/>
          <w:sz w:val="20"/>
          <w:szCs w:val="20"/>
          <w:lang w:val="es-ES"/>
        </w:rPr>
        <w:t>Adoptar las medidas de no repetición necesarias para evitar que en el futuro se produzcan hechos similares. Las medidas de no repetición en el presente caso deberán incluir medidas legislativas, administrativas o de otra índole para</w:t>
      </w:r>
      <w:r w:rsidR="000F2B4D">
        <w:rPr>
          <w:rFonts w:ascii="Cambria" w:hAnsi="Cambria"/>
          <w:sz w:val="20"/>
          <w:szCs w:val="20"/>
          <w:lang w:val="es-ES"/>
        </w:rPr>
        <w:t xml:space="preserve"> erradicar las Juntas de Defensa del Campesinado como entidades que ejercen funciones públicas. Asimismo, para</w:t>
      </w:r>
      <w:r w:rsidRPr="00152E74">
        <w:rPr>
          <w:rFonts w:ascii="Cambria" w:hAnsi="Cambria"/>
          <w:sz w:val="20"/>
          <w:szCs w:val="20"/>
          <w:lang w:val="es-ES"/>
        </w:rPr>
        <w:t xml:space="preserve"> que las investigaciones sobre desaparición forzada de personas en</w:t>
      </w:r>
      <w:r w:rsidR="008713B4">
        <w:rPr>
          <w:rFonts w:ascii="Cambria" w:hAnsi="Cambria"/>
          <w:sz w:val="20"/>
          <w:szCs w:val="20"/>
          <w:lang w:val="es-ES"/>
        </w:rPr>
        <w:t xml:space="preserve"> Ecuador</w:t>
      </w:r>
      <w:r>
        <w:rPr>
          <w:rFonts w:ascii="Cambria" w:hAnsi="Cambria"/>
          <w:sz w:val="20"/>
          <w:szCs w:val="20"/>
          <w:lang w:val="es-ES"/>
        </w:rPr>
        <w:t>, incluyendo la investigación y procesos penales, así como los procesos de búsqueda de restos de personas desaparecidas,</w:t>
      </w:r>
      <w:r w:rsidRPr="00152E74">
        <w:rPr>
          <w:rFonts w:ascii="Cambria" w:hAnsi="Cambria"/>
          <w:sz w:val="20"/>
          <w:szCs w:val="20"/>
          <w:lang w:val="es-ES"/>
        </w:rPr>
        <w:t xml:space="preserve"> cumplan con los estándares descritos en el presente informe. </w:t>
      </w:r>
    </w:p>
    <w:p w14:paraId="130D4E08" w14:textId="77777777" w:rsidR="002158B3" w:rsidRPr="00152E74" w:rsidRDefault="002158B3" w:rsidP="002158B3">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highlight w:val="yellow"/>
          <w:lang w:val="es-ES"/>
        </w:rPr>
      </w:pPr>
    </w:p>
    <w:p w14:paraId="00773A97" w14:textId="77777777" w:rsidR="002158B3" w:rsidRDefault="002158B3" w:rsidP="009F1C3B">
      <w:pPr>
        <w:pStyle w:val="p1"/>
        <w:ind w:left="720"/>
        <w:jc w:val="both"/>
        <w:rPr>
          <w:rFonts w:asciiTheme="majorHAnsi" w:hAnsiTheme="majorHAnsi"/>
          <w:sz w:val="18"/>
          <w:szCs w:val="18"/>
          <w:lang w:val="es-ES"/>
        </w:rPr>
      </w:pPr>
    </w:p>
    <w:bookmarkEnd w:id="12"/>
    <w:p w14:paraId="790F5060" w14:textId="77777777" w:rsidR="002D3E0D" w:rsidRPr="00A6003A" w:rsidRDefault="002D3E0D" w:rsidP="00CB6CA4">
      <w:pPr>
        <w:rPr>
          <w:rFonts w:asciiTheme="majorHAnsi" w:hAnsiTheme="majorHAnsi"/>
          <w:sz w:val="18"/>
          <w:szCs w:val="18"/>
          <w:lang w:val="es-CO"/>
        </w:rPr>
      </w:pPr>
    </w:p>
    <w:sectPr w:rsidR="002D3E0D" w:rsidRPr="00A6003A" w:rsidSect="007A4895">
      <w:headerReference w:type="first" r:id="rId17"/>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B5F5" w14:textId="77777777" w:rsidR="00AF7404" w:rsidRDefault="00AF7404">
      <w:r>
        <w:separator/>
      </w:r>
    </w:p>
  </w:endnote>
  <w:endnote w:type="continuationSeparator" w:id="0">
    <w:p w14:paraId="5F65D619" w14:textId="77777777" w:rsidR="00AF7404" w:rsidRDefault="00AF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1C11050" w14:textId="77777777" w:rsidR="00AF7404" w:rsidRPr="00934A2C" w:rsidRDefault="00AF740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5074">
          <w:rPr>
            <w:noProof/>
            <w:sz w:val="16"/>
            <w:szCs w:val="22"/>
          </w:rPr>
          <w:t>15</w:t>
        </w:r>
        <w:r w:rsidRPr="00934A2C">
          <w:rPr>
            <w:noProof/>
            <w:sz w:val="16"/>
            <w:szCs w:val="22"/>
          </w:rPr>
          <w:fldChar w:fldCharType="end"/>
        </w:r>
      </w:p>
    </w:sdtContent>
  </w:sdt>
  <w:p w14:paraId="269BB032" w14:textId="77777777" w:rsidR="00AF7404" w:rsidRDefault="00AF7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6DB1" w14:textId="77777777" w:rsidR="00AF7404" w:rsidRPr="00934A2C" w:rsidRDefault="00AF7404">
    <w:pPr>
      <w:pStyle w:val="Footer"/>
      <w:jc w:val="center"/>
      <w:rPr>
        <w:sz w:val="16"/>
        <w:szCs w:val="22"/>
      </w:rPr>
    </w:pPr>
  </w:p>
  <w:p w14:paraId="2EF7CF42" w14:textId="77777777" w:rsidR="00AF7404" w:rsidRDefault="00AF7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A1FF" w14:textId="77777777" w:rsidR="00AF7404" w:rsidRPr="000F35ED" w:rsidRDefault="00AF740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21F7D6" w14:textId="77777777" w:rsidR="00AF7404" w:rsidRPr="000F35ED" w:rsidRDefault="00AF7404" w:rsidP="000F35ED">
      <w:pPr>
        <w:rPr>
          <w:rFonts w:asciiTheme="majorHAnsi" w:hAnsiTheme="majorHAnsi"/>
          <w:sz w:val="16"/>
          <w:szCs w:val="16"/>
        </w:rPr>
      </w:pPr>
      <w:r w:rsidRPr="000F35ED">
        <w:rPr>
          <w:rFonts w:asciiTheme="majorHAnsi" w:hAnsiTheme="majorHAnsi"/>
          <w:sz w:val="16"/>
          <w:szCs w:val="16"/>
        </w:rPr>
        <w:separator/>
      </w:r>
    </w:p>
    <w:p w14:paraId="032D90B5" w14:textId="77777777" w:rsidR="00AF7404" w:rsidRPr="000F35ED" w:rsidRDefault="00AF740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28290CA" w14:textId="77777777" w:rsidR="00AF7404" w:rsidRPr="000F35ED" w:rsidRDefault="00AF740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0DB3AD"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CIDH, Informe No. 02/10, Petición P1011-03, Admisibilidad Fredy Marcelo Núñez Naranjo y otros, Ecuador, 15 de marzo de 2010, párrs. 6-42. En dicho informe la CIDH declaró la petición admisible en cuanto a la posible violación de los derechos consagrados en los artículos 1(1), 3, 4, 5, 7, 8(1) y 25 de la Convención Americana</w:t>
      </w:r>
      <w:r>
        <w:rPr>
          <w:rFonts w:asciiTheme="majorHAnsi" w:hAnsiTheme="majorHAnsi"/>
          <w:color w:val="000000" w:themeColor="text1"/>
          <w:sz w:val="16"/>
          <w:szCs w:val="16"/>
          <w:lang w:val="es-ES"/>
        </w:rPr>
        <w:t xml:space="preserve"> y respecto del </w:t>
      </w:r>
      <w:r w:rsidRPr="00D139CD">
        <w:rPr>
          <w:rFonts w:asciiTheme="majorHAnsi" w:hAnsiTheme="majorHAnsi"/>
          <w:color w:val="000000" w:themeColor="text1"/>
          <w:sz w:val="16"/>
          <w:szCs w:val="16"/>
          <w:lang w:val="es-ES"/>
        </w:rPr>
        <w:t xml:space="preserve">artículo 1 de la Convención Interamericana sobre Desaparición Forzada de Personas. </w:t>
      </w:r>
    </w:p>
  </w:footnote>
  <w:footnote w:id="3">
    <w:p w14:paraId="29B2DE53" w14:textId="77777777" w:rsidR="00AF7404" w:rsidRPr="00D139CD" w:rsidRDefault="00AF7404" w:rsidP="00C07DEB">
      <w:pPr>
        <w:pStyle w:val="FootnoteText"/>
        <w:spacing w:after="120"/>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w:t>
      </w:r>
      <w:hyperlink r:id="rId1" w:history="1">
        <w:r w:rsidRPr="00D139CD">
          <w:rPr>
            <w:rStyle w:val="Hyperlink"/>
            <w:rFonts w:asciiTheme="majorHAnsi" w:hAnsiTheme="majorHAnsi"/>
            <w:color w:val="000000" w:themeColor="text1"/>
            <w:sz w:val="16"/>
            <w:szCs w:val="16"/>
            <w:u w:val="none"/>
            <w:lang w:val="es-ES"/>
          </w:rPr>
          <w:t>Corte IDH.</w:t>
        </w:r>
        <w:r w:rsidRPr="00D139CD">
          <w:rPr>
            <w:rStyle w:val="Hyperlink"/>
            <w:rFonts w:asciiTheme="majorHAnsi" w:hAnsiTheme="majorHAnsi"/>
            <w:iCs/>
            <w:color w:val="000000" w:themeColor="text1"/>
            <w:sz w:val="16"/>
            <w:szCs w:val="16"/>
            <w:u w:val="none"/>
            <w:lang w:val="es-ES"/>
          </w:rPr>
          <w:t xml:space="preserve"> Caso González Medina y familiares Vs. República Dominicana. </w:t>
        </w:r>
        <w:r w:rsidRPr="00D139CD">
          <w:rPr>
            <w:rStyle w:val="Hyperlink"/>
            <w:rFonts w:asciiTheme="majorHAnsi" w:hAnsiTheme="majorHAnsi"/>
            <w:color w:val="000000" w:themeColor="text1"/>
            <w:sz w:val="16"/>
            <w:szCs w:val="16"/>
            <w:u w:val="none"/>
            <w:lang w:val="es-ES"/>
          </w:rPr>
          <w:t>Excepciones Preliminares, Fondo, Reparaciones y Costas. Sentencia de 27 de febrero de 2012 Serie C No. 240</w:t>
        </w:r>
      </w:hyperlink>
      <w:r w:rsidRPr="00D139CD">
        <w:rPr>
          <w:rFonts w:asciiTheme="majorHAnsi" w:hAnsiTheme="majorHAnsi"/>
          <w:color w:val="000000" w:themeColor="text1"/>
          <w:sz w:val="16"/>
          <w:szCs w:val="16"/>
          <w:lang w:val="es-ES"/>
        </w:rPr>
        <w:t>, párr. 134.</w:t>
      </w:r>
    </w:p>
  </w:footnote>
  <w:footnote w:id="4">
    <w:p w14:paraId="4E07CDF9"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Comité de Derechos Humanos, Examen de los informes presentados por los Estados partes en virtud del artículo 40d el Pacto con arreglo al procedimiento facultativo de presentación de informes, Ecuador, 6 de agosto de 2015, CCPR/C/ECU/6, párr. 164.</w:t>
      </w:r>
    </w:p>
  </w:footnote>
  <w:footnote w:id="5">
    <w:p w14:paraId="1C75AFA9"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Informe del Relator Especial sobre las ejecuciones extrajudiciales, sumarias o arbitrarias, Philip Alston, A/HRC/17/28/Add.2, 9 de mayo de 2011.</w:t>
      </w:r>
    </w:p>
  </w:footnote>
  <w:footnote w:id="6">
    <w:p w14:paraId="69E0B6F1"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Consejo de Derechos Humanos, Informe del Grupo de Trabajo sobre la utilización de mercenarios como medio de violar los derechos humanos y obstaculizar el ejercicio del derecho de los pueblos a la libre determinación, 7 de febrero de 2007, A/HRC/4/42/Add.2, Párr.25. </w:t>
      </w:r>
    </w:p>
  </w:footnote>
  <w:footnote w:id="7">
    <w:p w14:paraId="6CD71F81"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Consejo de Derechos Humanos, Informe del Grupo de Trabajo sobre la utilización de mercenarios como medio de violar los derechos humanos y obstaculizar el ejercicio del derecho de los pueblos a la libre determinación, 7 de febrero de 2007, A/HRC/4/42/Add.2, Párr.53 e).</w:t>
      </w:r>
    </w:p>
  </w:footnote>
  <w:footnote w:id="8">
    <w:p w14:paraId="13E07D8B"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Comité contra la Tortura, Examen de los informes presentados por los Estados parte en virtud del artículo 19 de la Convención, Observaciones finales del Comité contra la Tortura, 7 de diciembre de 2010, párr.19, CAT/C/ECU/CO/4-6.</w:t>
      </w:r>
    </w:p>
  </w:footnote>
  <w:footnote w:id="9">
    <w:p w14:paraId="263D03B5"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Informe del Relator Especial sobre las ejecuciones extrajudiciales, sumarias o arbitrarias, Philip Alston, A/HRC/17/28/Add.2, 9 de mayo de 2011, Párrs. 44, 46, 50-51</w:t>
      </w:r>
      <w:r>
        <w:rPr>
          <w:rFonts w:asciiTheme="majorHAnsi" w:hAnsiTheme="majorHAnsi"/>
          <w:color w:val="000000" w:themeColor="text1"/>
          <w:sz w:val="16"/>
          <w:szCs w:val="16"/>
          <w:lang w:val="es-ES"/>
        </w:rPr>
        <w:t>.</w:t>
      </w:r>
    </w:p>
  </w:footnote>
  <w:footnote w:id="10">
    <w:p w14:paraId="0DC3F1CD"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Comité de Derechos Humanos, Examen de los informes presentados por los Estados partes en virtud del artículo 40d el Pacto con arreglo al procedimiento facultativo de presentación de informes, Ecuador, 6 de agosto de 2015, CCPR/C/ECU/6, párr. 166.</w:t>
      </w:r>
    </w:p>
  </w:footnote>
  <w:footnote w:id="11">
    <w:p w14:paraId="311FFE0B"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Anexo </w:t>
      </w:r>
      <w:r>
        <w:rPr>
          <w:rFonts w:asciiTheme="majorHAnsi" w:hAnsiTheme="majorHAnsi"/>
          <w:color w:val="000000" w:themeColor="text1"/>
          <w:sz w:val="16"/>
          <w:szCs w:val="16"/>
          <w:lang w:val="es-ES"/>
        </w:rPr>
        <w:t>1.</w:t>
      </w:r>
      <w:r w:rsidRPr="00D139CD">
        <w:rPr>
          <w:rFonts w:asciiTheme="majorHAnsi" w:hAnsiTheme="majorHAnsi"/>
          <w:color w:val="000000" w:themeColor="text1"/>
          <w:sz w:val="16"/>
          <w:szCs w:val="16"/>
          <w:lang w:val="es-ES"/>
        </w:rPr>
        <w:t xml:space="preserve"> Acusación particular de Sixto Núñez Naranjo a la jueza cuarta de lo penal, 23 de mayo de 2002. Anexo 3 al escrito de observaciones del peticionario del</w:t>
      </w:r>
      <w:r w:rsidRPr="00D139CD">
        <w:rPr>
          <w:rFonts w:asciiTheme="majorHAnsi" w:hAnsiTheme="majorHAnsi"/>
          <w:color w:val="000000" w:themeColor="text1"/>
          <w:sz w:val="16"/>
          <w:szCs w:val="16"/>
          <w:shd w:val="clear" w:color="auto" w:fill="FFFFFF"/>
          <w:lang w:val="es-ES"/>
        </w:rPr>
        <w:t xml:space="preserve"> 1 de diciembre de 2003. </w:t>
      </w:r>
    </w:p>
  </w:footnote>
  <w:footnote w:id="12">
    <w:p w14:paraId="3361CB28"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Anexo 2.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13">
    <w:p w14:paraId="49BB8B3B"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3</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Informe policial no. 1123-PJT-CP9-2001, 16 de agosto de 2001, que consta en el auto de sobreseimiento provisional de la Jueza Cuarta de lo Penal de Tungurahua, 11 de diciembre de2002. Anexo al escrito de observaciones del Estado de 31 de junio de 2005.</w:t>
      </w:r>
    </w:p>
  </w:footnote>
  <w:footnote w:id="14">
    <w:p w14:paraId="3AD93E23"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15">
    <w:p w14:paraId="3B31872D" w14:textId="77777777" w:rsidR="00AF7404" w:rsidRPr="00D139CD" w:rsidRDefault="00AF7404" w:rsidP="00D139CD">
      <w:pPr>
        <w:pStyle w:val="p1"/>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4.</w:t>
      </w:r>
      <w:r w:rsidRPr="00D139CD">
        <w:rPr>
          <w:rFonts w:asciiTheme="majorHAnsi" w:hAnsiTheme="majorHAnsi"/>
          <w:color w:val="000000" w:themeColor="text1"/>
          <w:sz w:val="16"/>
          <w:szCs w:val="16"/>
          <w:lang w:val="es-ES"/>
        </w:rPr>
        <w:t xml:space="preserve"> Informe efectuado por la Policía Técnica Judicial de Tungurahua (No. 1123-PJT-CP9-2001), que consta en el dictamen fiscal acusatorio (no. 53-2002), emitido por el Agente Fiscal del Distrito de Tungurahua, 8 de mayo de 2002. Anexo al escrito de observaciones del Estado de 31 de junio de 2005.</w:t>
      </w:r>
    </w:p>
  </w:footnote>
  <w:footnote w:id="16">
    <w:p w14:paraId="761BA79B" w14:textId="77777777" w:rsidR="00AF7404" w:rsidRPr="00D139CD" w:rsidRDefault="00AF7404" w:rsidP="00D139CD">
      <w:pPr>
        <w:pStyle w:val="p1"/>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5</w:t>
      </w:r>
      <w:r w:rsidRPr="00D139CD">
        <w:rPr>
          <w:rFonts w:asciiTheme="majorHAnsi" w:hAnsiTheme="majorHAnsi"/>
          <w:color w:val="000000" w:themeColor="text1"/>
          <w:sz w:val="16"/>
          <w:szCs w:val="16"/>
          <w:lang w:val="es-ES"/>
        </w:rPr>
        <w:t>. Informe investigativo ampliatorio de la policía técnica no. 1376-CP9-200</w:t>
      </w:r>
      <w:r>
        <w:rPr>
          <w:rFonts w:asciiTheme="majorHAnsi" w:hAnsiTheme="majorHAnsi"/>
          <w:color w:val="000000" w:themeColor="text1"/>
          <w:sz w:val="16"/>
          <w:szCs w:val="16"/>
          <w:lang w:val="es-ES"/>
        </w:rPr>
        <w:t>1</w:t>
      </w:r>
      <w:r w:rsidRPr="00D139CD">
        <w:rPr>
          <w:rFonts w:asciiTheme="majorHAnsi" w:hAnsiTheme="majorHAnsi"/>
          <w:color w:val="000000" w:themeColor="text1"/>
          <w:sz w:val="16"/>
          <w:szCs w:val="16"/>
          <w:lang w:val="es-ES"/>
        </w:rPr>
        <w:t>, que consta en el dictamen fiscal acusatorio (no. 53-2002), emitido por el Agente Fiscal del Distrito de Tungurahua, 8 de mayo de 2002. Anexo al escrito de observaciones del Estado de 31 de junio de 2005.</w:t>
      </w:r>
    </w:p>
  </w:footnote>
  <w:footnote w:id="17">
    <w:p w14:paraId="1DF9D27B"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3.</w:t>
      </w:r>
      <w:r w:rsidRPr="00D139CD">
        <w:rPr>
          <w:rFonts w:asciiTheme="majorHAnsi" w:hAnsiTheme="majorHAnsi"/>
          <w:color w:val="000000" w:themeColor="text1"/>
          <w:sz w:val="16"/>
          <w:szCs w:val="16"/>
          <w:lang w:val="es-ES"/>
        </w:rPr>
        <w:t xml:space="preserve"> Informe 1123-PJT-CP9-2001, 16 de agosto de 2001, que consta en el oficio 2070-PJT-CP9-2001 emitido por el Jefe de la Policía Judicial de Tungurahua al Ministro Fiscal Distrital de Tungurahua, 17 de agosto de 2001. Anexo 3 al escrito de obs</w:t>
      </w:r>
      <w:r>
        <w:rPr>
          <w:rFonts w:asciiTheme="majorHAnsi" w:hAnsiTheme="majorHAnsi"/>
          <w:color w:val="000000" w:themeColor="text1"/>
          <w:sz w:val="16"/>
          <w:szCs w:val="16"/>
          <w:lang w:val="es-ES"/>
        </w:rPr>
        <w:t>ervaciones del peticionario de 1 de diciembre de 2001.</w:t>
      </w:r>
      <w:r w:rsidRPr="00D139CD">
        <w:rPr>
          <w:rFonts w:asciiTheme="majorHAnsi" w:hAnsiTheme="majorHAnsi"/>
          <w:color w:val="000000" w:themeColor="text1"/>
          <w:sz w:val="16"/>
          <w:szCs w:val="16"/>
          <w:lang w:val="es-ES"/>
        </w:rPr>
        <w:t xml:space="preserve"> </w:t>
      </w:r>
    </w:p>
  </w:footnote>
  <w:footnote w:id="18">
    <w:p w14:paraId="140C8530"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6</w:t>
      </w:r>
      <w:r w:rsidRPr="00D139CD">
        <w:rPr>
          <w:rFonts w:asciiTheme="majorHAnsi" w:hAnsiTheme="majorHAnsi"/>
          <w:color w:val="000000" w:themeColor="text1"/>
          <w:sz w:val="16"/>
          <w:szCs w:val="16"/>
          <w:lang w:val="es-ES"/>
        </w:rPr>
        <w:t>. Versión vertida por parte de Sixto Núñez el 29 de abril de 2002, dentro del Inicio de la indagación previa por parte del agente Fiscal el 21 de noviembre de 2001. Anexo 3 al escrito de observaciones del peticiona</w:t>
      </w:r>
      <w:r>
        <w:rPr>
          <w:rFonts w:asciiTheme="majorHAnsi" w:hAnsiTheme="majorHAnsi"/>
          <w:color w:val="000000" w:themeColor="text1"/>
          <w:sz w:val="16"/>
          <w:szCs w:val="16"/>
          <w:lang w:val="es-ES"/>
        </w:rPr>
        <w:t xml:space="preserve">rio de 01 de diciembre de 2003. </w:t>
      </w:r>
    </w:p>
  </w:footnote>
  <w:footnote w:id="19">
    <w:p w14:paraId="3F5E475F" w14:textId="77777777" w:rsidR="00AF7404" w:rsidRPr="000B3BBC" w:rsidRDefault="00AF7404">
      <w:pPr>
        <w:pStyle w:val="FootnoteText"/>
        <w:rPr>
          <w:rFonts w:asciiTheme="majorHAnsi" w:hAnsiTheme="majorHAnsi"/>
          <w:sz w:val="16"/>
          <w:szCs w:val="16"/>
          <w:lang w:val="es-VE"/>
        </w:rPr>
      </w:pPr>
      <w:r w:rsidRPr="000B3BBC">
        <w:rPr>
          <w:rStyle w:val="FootnoteReference"/>
          <w:rFonts w:asciiTheme="majorHAnsi" w:hAnsiTheme="majorHAnsi"/>
          <w:sz w:val="16"/>
          <w:szCs w:val="16"/>
        </w:rPr>
        <w:footnoteRef/>
      </w:r>
      <w:r w:rsidRPr="000B3BBC">
        <w:rPr>
          <w:rFonts w:asciiTheme="majorHAnsi" w:hAnsiTheme="majorHAnsi"/>
          <w:sz w:val="16"/>
          <w:szCs w:val="16"/>
          <w:lang w:val="es-ES"/>
        </w:rPr>
        <w:t xml:space="preserve"> </w:t>
      </w:r>
      <w:r>
        <w:rPr>
          <w:rFonts w:asciiTheme="majorHAnsi" w:hAnsiTheme="majorHAnsi"/>
          <w:sz w:val="16"/>
          <w:szCs w:val="16"/>
          <w:lang w:val="es-VE"/>
        </w:rPr>
        <w:t>Anexo 7</w:t>
      </w:r>
      <w:r w:rsidRPr="000B3BBC">
        <w:rPr>
          <w:rFonts w:asciiTheme="majorHAnsi" w:hAnsiTheme="majorHAnsi"/>
          <w:sz w:val="16"/>
          <w:szCs w:val="16"/>
          <w:lang w:val="es-VE"/>
        </w:rPr>
        <w:t>. Declaración testimonial de Marcelo Velasco. Anexo 3 de las observaciones del petici</w:t>
      </w:r>
      <w:r>
        <w:rPr>
          <w:rFonts w:asciiTheme="majorHAnsi" w:hAnsiTheme="majorHAnsi"/>
          <w:sz w:val="16"/>
          <w:szCs w:val="16"/>
          <w:lang w:val="es-VE"/>
        </w:rPr>
        <w:t>onario de 1 de diciembre de 2003</w:t>
      </w:r>
      <w:r w:rsidRPr="000B3BBC">
        <w:rPr>
          <w:rFonts w:asciiTheme="majorHAnsi" w:hAnsiTheme="majorHAnsi"/>
          <w:sz w:val="16"/>
          <w:szCs w:val="16"/>
          <w:lang w:val="es-VE"/>
        </w:rPr>
        <w:t xml:space="preserve">. </w:t>
      </w:r>
    </w:p>
  </w:footnote>
  <w:footnote w:id="20">
    <w:p w14:paraId="1EE4E58D"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8</w:t>
      </w:r>
      <w:r w:rsidRPr="00D139CD">
        <w:rPr>
          <w:rFonts w:asciiTheme="majorHAnsi" w:hAnsiTheme="majorHAnsi"/>
          <w:color w:val="000000" w:themeColor="text1"/>
          <w:sz w:val="16"/>
          <w:szCs w:val="16"/>
          <w:lang w:val="es-ES"/>
        </w:rPr>
        <w:t>. Oficio No. 2780–PJT-CP9-2001 del Jefe de la Policía Judicial de Tungurahua al Ministro Fiscal de Tungurahua que contiene el Informe policial no. 1123-PJT-CP9-2001, 19 de octubre de 2001. Anexo al escrito de observaciones del peticionario de 1 diciembre de 2003.</w:t>
      </w:r>
    </w:p>
  </w:footnote>
  <w:footnote w:id="21">
    <w:p w14:paraId="4E470420" w14:textId="77777777" w:rsidR="00AF7404" w:rsidRPr="00D139CD" w:rsidRDefault="00AF7404" w:rsidP="00752826">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9</w:t>
      </w:r>
      <w:r w:rsidRPr="00D139CD">
        <w:rPr>
          <w:rFonts w:asciiTheme="majorHAnsi" w:hAnsiTheme="majorHAnsi"/>
          <w:color w:val="000000" w:themeColor="text1"/>
          <w:sz w:val="16"/>
          <w:szCs w:val="16"/>
          <w:lang w:val="es-ES"/>
        </w:rPr>
        <w:t>. Oficio de la Central de Juntas del Campesinado No. 88CJDCQ-2002 al Ministro fiscal de Tungurahua, 30 de junio de 2002. Anexo al escrito de obs</w:t>
      </w:r>
      <w:r>
        <w:rPr>
          <w:rFonts w:asciiTheme="majorHAnsi" w:hAnsiTheme="majorHAnsi"/>
          <w:color w:val="000000" w:themeColor="text1"/>
          <w:sz w:val="16"/>
          <w:szCs w:val="16"/>
          <w:lang w:val="es-ES"/>
        </w:rPr>
        <w:t>ervaciones del peticionario de 1 de diciembre de 2003</w:t>
      </w:r>
      <w:r w:rsidRPr="00D139CD">
        <w:rPr>
          <w:rFonts w:asciiTheme="majorHAnsi" w:hAnsiTheme="majorHAnsi"/>
          <w:color w:val="000000" w:themeColor="text1"/>
          <w:sz w:val="16"/>
          <w:szCs w:val="16"/>
          <w:lang w:val="es-ES"/>
        </w:rPr>
        <w:t>.</w:t>
      </w:r>
    </w:p>
  </w:footnote>
  <w:footnote w:id="22">
    <w:p w14:paraId="1576186B"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10</w:t>
      </w:r>
      <w:r w:rsidRPr="00D139CD">
        <w:rPr>
          <w:rFonts w:asciiTheme="majorHAnsi" w:hAnsiTheme="majorHAnsi"/>
          <w:color w:val="000000" w:themeColor="text1"/>
          <w:sz w:val="16"/>
          <w:szCs w:val="16"/>
          <w:lang w:val="es-ES"/>
        </w:rPr>
        <w:t>. Denuncia presentada por Sixto Núñez, que consta en el auto de sobreseimiento provisional de la Jueza Cuarta de lo Penal de Tungurahua, 11 de diciembre de 2002. Anexo al escrito de observaciones del Estado de 31 de junio de 2005.</w:t>
      </w:r>
    </w:p>
  </w:footnote>
  <w:footnote w:id="23">
    <w:p w14:paraId="6E937DB6"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6</w:t>
      </w:r>
      <w:r w:rsidRPr="00D139CD">
        <w:rPr>
          <w:rFonts w:asciiTheme="majorHAnsi" w:hAnsiTheme="majorHAnsi"/>
          <w:color w:val="000000" w:themeColor="text1"/>
          <w:sz w:val="16"/>
          <w:szCs w:val="16"/>
          <w:lang w:val="es-ES"/>
        </w:rPr>
        <w:t>. Versión vertida por parte de Sixto Núñez el 29 de abril de 2002, dentro del Inicio de la indagación previa por parte del agente Fiscal el 21 de noviembre de 2001. Anexo 3 al escrito de obs</w:t>
      </w:r>
      <w:r>
        <w:rPr>
          <w:rFonts w:asciiTheme="majorHAnsi" w:hAnsiTheme="majorHAnsi"/>
          <w:color w:val="000000" w:themeColor="text1"/>
          <w:sz w:val="16"/>
          <w:szCs w:val="16"/>
          <w:lang w:val="es-ES"/>
        </w:rPr>
        <w:t>ervaciones del peticionario de 1 de diciembre de 2003</w:t>
      </w:r>
      <w:r w:rsidRPr="00D139CD">
        <w:rPr>
          <w:rFonts w:asciiTheme="majorHAnsi" w:hAnsiTheme="majorHAnsi"/>
          <w:color w:val="000000" w:themeColor="text1"/>
          <w:sz w:val="16"/>
          <w:szCs w:val="16"/>
          <w:lang w:val="es-ES"/>
        </w:rPr>
        <w:t xml:space="preserve">. </w:t>
      </w:r>
    </w:p>
  </w:footnote>
  <w:footnote w:id="24">
    <w:p w14:paraId="2B4A9BD7"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4.</w:t>
      </w:r>
      <w:r w:rsidRPr="00D139CD">
        <w:rPr>
          <w:rFonts w:asciiTheme="majorHAnsi" w:hAnsiTheme="majorHAnsi"/>
          <w:color w:val="000000" w:themeColor="text1"/>
          <w:sz w:val="16"/>
          <w:szCs w:val="16"/>
          <w:lang w:val="es-ES"/>
        </w:rPr>
        <w:t xml:space="preserve"> Informe 1123-PJT-CP9-2001, 16 de agosto de 2001, que consta en el oficio 2070-PJT-CP9-2001 emitido por el Jefe de la Policía Judicial de Tungurahua al Ministro Fiscal Distrital de Tungurahua, 17 de agosto de 2001. Anexo 3 al escrito de obs</w:t>
      </w:r>
      <w:r>
        <w:rPr>
          <w:rFonts w:asciiTheme="majorHAnsi" w:hAnsiTheme="majorHAnsi"/>
          <w:color w:val="000000" w:themeColor="text1"/>
          <w:sz w:val="16"/>
          <w:szCs w:val="16"/>
          <w:lang w:val="es-ES"/>
        </w:rPr>
        <w:t>ervaciones del peticionario de 1 de diciembre de 2003</w:t>
      </w:r>
      <w:r w:rsidRPr="00D139CD">
        <w:rPr>
          <w:rFonts w:asciiTheme="majorHAnsi" w:hAnsiTheme="majorHAnsi"/>
          <w:color w:val="000000" w:themeColor="text1"/>
          <w:sz w:val="16"/>
          <w:szCs w:val="16"/>
          <w:lang w:val="es-ES"/>
        </w:rPr>
        <w:t>.</w:t>
      </w:r>
    </w:p>
  </w:footnote>
  <w:footnote w:id="25">
    <w:p w14:paraId="68495029"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26">
    <w:p w14:paraId="5F95128E"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27">
    <w:p w14:paraId="74F5AD5F"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60704A">
        <w:rPr>
          <w:rFonts w:asciiTheme="majorHAnsi" w:hAnsiTheme="majorHAnsi"/>
          <w:color w:val="000000" w:themeColor="text1"/>
          <w:sz w:val="16"/>
          <w:szCs w:val="16"/>
          <w:lang w:val="pt-BR"/>
        </w:rPr>
        <w:t xml:space="preserve"> </w:t>
      </w:r>
      <w:r>
        <w:rPr>
          <w:rFonts w:asciiTheme="majorHAnsi" w:hAnsiTheme="majorHAnsi"/>
          <w:color w:val="000000" w:themeColor="text1"/>
          <w:sz w:val="16"/>
          <w:szCs w:val="16"/>
          <w:lang w:val="pt-BR"/>
        </w:rPr>
        <w:t xml:space="preserve">Anexo 2. </w:t>
      </w:r>
      <w:r w:rsidRPr="0060704A">
        <w:rPr>
          <w:rFonts w:asciiTheme="majorHAnsi" w:hAnsiTheme="majorHAnsi"/>
          <w:color w:val="000000" w:themeColor="text1"/>
          <w:sz w:val="16"/>
          <w:szCs w:val="16"/>
          <w:lang w:val="pt-BR"/>
        </w:rPr>
        <w:t xml:space="preserve">Informe policial no. 1123-PJT-CP9-2001, 17 de agosto de 2001. </w:t>
      </w:r>
      <w:r w:rsidRPr="00D139CD">
        <w:rPr>
          <w:rFonts w:asciiTheme="majorHAnsi" w:hAnsiTheme="majorHAnsi"/>
          <w:color w:val="000000" w:themeColor="text1"/>
          <w:sz w:val="16"/>
          <w:szCs w:val="16"/>
          <w:lang w:val="es-ES"/>
        </w:rPr>
        <w:t>Anexo al escrito de observaciones del peticionario de 1 diciembre de 2003.</w:t>
      </w:r>
    </w:p>
  </w:footnote>
  <w:footnote w:id="28">
    <w:p w14:paraId="100902E9"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29">
    <w:p w14:paraId="44C15F9D"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30">
    <w:p w14:paraId="497DE200"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31">
    <w:p w14:paraId="7D53FD47"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32">
    <w:p w14:paraId="1A28807C"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al escrito de observaciones del peticionario de 1 diciembre de 2003.</w:t>
      </w:r>
    </w:p>
  </w:footnote>
  <w:footnote w:id="33">
    <w:p w14:paraId="1ED5D9E9"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10</w:t>
      </w:r>
      <w:r w:rsidRPr="00D139CD">
        <w:rPr>
          <w:rFonts w:asciiTheme="majorHAnsi" w:hAnsiTheme="majorHAnsi"/>
          <w:color w:val="000000" w:themeColor="text1"/>
          <w:sz w:val="16"/>
          <w:szCs w:val="16"/>
          <w:lang w:val="es-ES"/>
        </w:rPr>
        <w:t>. Denuncia presentada por Sixto Núñez, que consta en el auto de sobreseimiento provisional de la Jueza Cuarta de lo Penal de Tungurahua, 11 de diciembre de 2002. Anexo al escrito de observaciones del Estado de 31 de junio de 2005.</w:t>
      </w:r>
    </w:p>
  </w:footnote>
  <w:footnote w:id="34">
    <w:p w14:paraId="0D15705A"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3 al escrito de observaciones del peticionario de 1 diciembre de 2003.</w:t>
      </w:r>
    </w:p>
  </w:footnote>
  <w:footnote w:id="35">
    <w:p w14:paraId="0A83E2B9"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2</w:t>
      </w:r>
      <w:r w:rsidRPr="00D139CD">
        <w:rPr>
          <w:rFonts w:asciiTheme="majorHAnsi" w:hAnsiTheme="majorHAnsi"/>
          <w:color w:val="000000" w:themeColor="text1"/>
          <w:sz w:val="16"/>
          <w:szCs w:val="16"/>
          <w:lang w:val="es-ES"/>
        </w:rPr>
        <w:t>.</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Oficio No. 2070–PJT-CP9-2001 del Jefe de la Policía Judicial de Tungurahua al Ministro Fiscal de Tungurahua que contiene el Informe policial no. 1123-PJT-CP9-2001, 17 de agosto de 2001. Anexo 3 al escrito de observaciones del peticionario de 1 diciembre de 2003.</w:t>
      </w:r>
    </w:p>
  </w:footnote>
  <w:footnote w:id="36">
    <w:p w14:paraId="009D8543"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Pr>
          <w:rFonts w:asciiTheme="majorHAnsi" w:hAnsiTheme="majorHAnsi"/>
          <w:color w:val="000000" w:themeColor="text1"/>
          <w:sz w:val="16"/>
          <w:szCs w:val="16"/>
          <w:lang w:val="es-ES"/>
        </w:rPr>
        <w:t xml:space="preserve"> Anexo 11</w:t>
      </w:r>
      <w:r w:rsidRPr="00D139CD">
        <w:rPr>
          <w:rFonts w:asciiTheme="majorHAnsi" w:hAnsiTheme="majorHAnsi"/>
          <w:color w:val="000000" w:themeColor="text1"/>
          <w:sz w:val="16"/>
          <w:szCs w:val="16"/>
          <w:lang w:val="es-ES"/>
        </w:rPr>
        <w:t>. Reconocimiento de las instalaciones de la policía nacional del cantón Quero efectuado por el Agente Fiscal del Distrito de Tungurahua, 16 abril de 2002. Anexo 3 al escrito de observaciones del peticionario de 1 diciembre de 2003.</w:t>
      </w:r>
    </w:p>
  </w:footnote>
  <w:footnote w:id="37">
    <w:p w14:paraId="360E1BB4"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w:t>
      </w:r>
      <w:r>
        <w:rPr>
          <w:rFonts w:asciiTheme="majorHAnsi" w:hAnsiTheme="majorHAnsi"/>
          <w:bCs/>
          <w:color w:val="000000" w:themeColor="text1"/>
          <w:sz w:val="16"/>
          <w:szCs w:val="16"/>
          <w:lang w:val="es-ES"/>
        </w:rPr>
        <w:t>Anexo 12</w:t>
      </w:r>
      <w:r w:rsidRPr="00D139CD">
        <w:rPr>
          <w:rFonts w:asciiTheme="majorHAnsi" w:hAnsiTheme="majorHAnsi"/>
          <w:bCs/>
          <w:color w:val="000000" w:themeColor="text1"/>
          <w:sz w:val="16"/>
          <w:szCs w:val="16"/>
          <w:lang w:val="es-ES"/>
        </w:rPr>
        <w:t>. Dictamen fiscal acusatorio No. 53-2002, por Agente Fiscal de Distrito de Tungurahua, 08 de mayo de 2002. Anexo al escrito de observaciones del Estado de 31 de junio de 2005.</w:t>
      </w:r>
    </w:p>
  </w:footnote>
  <w:footnote w:id="38">
    <w:p w14:paraId="5649A35B" w14:textId="77777777" w:rsidR="00AF7404" w:rsidRPr="00D139CD" w:rsidRDefault="00AF7404" w:rsidP="00D139CD">
      <w:pPr>
        <w:pStyle w:val="p1"/>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AF4A2C">
        <w:rPr>
          <w:rFonts w:asciiTheme="majorHAnsi" w:hAnsiTheme="majorHAnsi"/>
          <w:color w:val="000000" w:themeColor="text1"/>
          <w:sz w:val="16"/>
          <w:szCs w:val="16"/>
          <w:lang w:val="es-ES"/>
        </w:rPr>
        <w:t xml:space="preserve"> Anexo 13</w:t>
      </w:r>
      <w:r w:rsidRPr="00D139CD">
        <w:rPr>
          <w:rFonts w:asciiTheme="majorHAnsi" w:hAnsiTheme="majorHAnsi"/>
          <w:color w:val="000000" w:themeColor="text1"/>
          <w:sz w:val="16"/>
          <w:szCs w:val="16"/>
          <w:lang w:val="es-ES"/>
        </w:rPr>
        <w:t>. Resolución del Juzgado Cuarto de lo penal de Tungurahua, 10 de mayo de 2002. Anexo 3 al escrito de observaciones del peticionario de 1 diciembre de 2003.</w:t>
      </w:r>
    </w:p>
  </w:footnote>
  <w:footnote w:id="39">
    <w:p w14:paraId="620CACA1"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AF4A2C">
        <w:rPr>
          <w:rFonts w:asciiTheme="majorHAnsi" w:hAnsiTheme="majorHAnsi"/>
          <w:color w:val="000000" w:themeColor="text1"/>
          <w:sz w:val="16"/>
          <w:szCs w:val="16"/>
          <w:lang w:val="es-ES"/>
        </w:rPr>
        <w:t xml:space="preserve"> Anexo 9</w:t>
      </w:r>
      <w:r w:rsidRPr="00D139CD">
        <w:rPr>
          <w:rFonts w:asciiTheme="majorHAnsi" w:hAnsiTheme="majorHAnsi"/>
          <w:color w:val="000000" w:themeColor="text1"/>
          <w:sz w:val="16"/>
          <w:szCs w:val="16"/>
          <w:lang w:val="es-ES"/>
        </w:rPr>
        <w:t>. Oficio de la Central de Juntas del Campesinado No. 88CJDCQ-2002 al Ministro fiscal de Tungurahua, 30 de junio de 2002. Anexo al escrito de observaciones del peticio</w:t>
      </w:r>
      <w:r>
        <w:rPr>
          <w:rFonts w:asciiTheme="majorHAnsi" w:hAnsiTheme="majorHAnsi"/>
          <w:color w:val="000000" w:themeColor="text1"/>
          <w:sz w:val="16"/>
          <w:szCs w:val="16"/>
          <w:lang w:val="es-ES"/>
        </w:rPr>
        <w:t>nario de 01 de diciembre de 2003</w:t>
      </w:r>
      <w:r w:rsidRPr="00D139CD">
        <w:rPr>
          <w:rFonts w:asciiTheme="majorHAnsi" w:hAnsiTheme="majorHAnsi"/>
          <w:color w:val="000000" w:themeColor="text1"/>
          <w:sz w:val="16"/>
          <w:szCs w:val="16"/>
          <w:lang w:val="es-ES"/>
        </w:rPr>
        <w:t>.</w:t>
      </w:r>
    </w:p>
  </w:footnote>
  <w:footnote w:id="40">
    <w:p w14:paraId="1B477CC6"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AF4A2C">
        <w:rPr>
          <w:rFonts w:asciiTheme="majorHAnsi" w:hAnsiTheme="majorHAnsi"/>
          <w:color w:val="000000" w:themeColor="text1"/>
          <w:sz w:val="16"/>
          <w:szCs w:val="16"/>
          <w:lang w:val="es-ES"/>
        </w:rPr>
        <w:t xml:space="preserve"> Anexo 14</w:t>
      </w:r>
      <w:r w:rsidRPr="00D139CD">
        <w:rPr>
          <w:rFonts w:asciiTheme="majorHAnsi" w:hAnsiTheme="majorHAnsi"/>
          <w:color w:val="000000" w:themeColor="text1"/>
          <w:sz w:val="16"/>
          <w:szCs w:val="16"/>
          <w:lang w:val="es-ES"/>
        </w:rPr>
        <w:t>. Recurso de amparo de libertad en contra de la Jueza Cuarta de lo penal de Tungurahua ante la Corte superior de Tungurahua de 11 de julio 2002. Anexo 1 al escrito de observaciones del peticionario de 01 de diciembre de 200</w:t>
      </w:r>
      <w:r>
        <w:rPr>
          <w:rFonts w:asciiTheme="majorHAnsi" w:hAnsiTheme="majorHAnsi"/>
          <w:color w:val="000000" w:themeColor="text1"/>
          <w:sz w:val="16"/>
          <w:szCs w:val="16"/>
          <w:lang w:val="es-ES"/>
        </w:rPr>
        <w:t>3</w:t>
      </w:r>
      <w:r w:rsidRPr="00D139CD">
        <w:rPr>
          <w:rFonts w:asciiTheme="majorHAnsi" w:hAnsiTheme="majorHAnsi"/>
          <w:color w:val="000000" w:themeColor="text1"/>
          <w:sz w:val="16"/>
          <w:szCs w:val="16"/>
          <w:lang w:val="es-ES"/>
        </w:rPr>
        <w:t>.</w:t>
      </w:r>
    </w:p>
  </w:footnote>
  <w:footnote w:id="41">
    <w:p w14:paraId="208A7B11"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AF4A2C">
        <w:rPr>
          <w:rFonts w:asciiTheme="majorHAnsi" w:hAnsiTheme="majorHAnsi"/>
          <w:color w:val="000000" w:themeColor="text1"/>
          <w:sz w:val="16"/>
          <w:szCs w:val="16"/>
          <w:lang w:val="es-ES"/>
        </w:rPr>
        <w:t xml:space="preserve"> Anexo 14</w:t>
      </w:r>
      <w:r w:rsidRPr="00D139CD">
        <w:rPr>
          <w:rFonts w:asciiTheme="majorHAnsi" w:hAnsiTheme="majorHAnsi"/>
          <w:color w:val="000000" w:themeColor="text1"/>
          <w:sz w:val="16"/>
          <w:szCs w:val="16"/>
          <w:lang w:val="es-ES"/>
        </w:rPr>
        <w:t>. Recurso de amparo de libertad en contra de la Jueza Cuarta de lo pen</w:t>
      </w:r>
      <w:r w:rsidR="00AF4A2C">
        <w:rPr>
          <w:rFonts w:asciiTheme="majorHAnsi" w:hAnsiTheme="majorHAnsi"/>
          <w:color w:val="000000" w:themeColor="text1"/>
          <w:sz w:val="16"/>
          <w:szCs w:val="16"/>
          <w:lang w:val="es-ES"/>
        </w:rPr>
        <w:t>al de Tungurahua ante la Corte S</w:t>
      </w:r>
      <w:r w:rsidRPr="00D139CD">
        <w:rPr>
          <w:rFonts w:asciiTheme="majorHAnsi" w:hAnsiTheme="majorHAnsi"/>
          <w:color w:val="000000" w:themeColor="text1"/>
          <w:sz w:val="16"/>
          <w:szCs w:val="16"/>
          <w:lang w:val="es-ES"/>
        </w:rPr>
        <w:t>uperior de Tungurahua de 11 de julio 2002. Anexo 1 al escrito de obs</w:t>
      </w:r>
      <w:r>
        <w:rPr>
          <w:rFonts w:asciiTheme="majorHAnsi" w:hAnsiTheme="majorHAnsi"/>
          <w:color w:val="000000" w:themeColor="text1"/>
          <w:sz w:val="16"/>
          <w:szCs w:val="16"/>
          <w:lang w:val="es-ES"/>
        </w:rPr>
        <w:t>ervaciones del peticionario de 1 de diciembre de 2003</w:t>
      </w:r>
      <w:r w:rsidRPr="00D139CD">
        <w:rPr>
          <w:rFonts w:asciiTheme="majorHAnsi" w:hAnsiTheme="majorHAnsi"/>
          <w:color w:val="000000" w:themeColor="text1"/>
          <w:sz w:val="16"/>
          <w:szCs w:val="16"/>
          <w:lang w:val="es-ES"/>
        </w:rPr>
        <w:t>.</w:t>
      </w:r>
    </w:p>
  </w:footnote>
  <w:footnote w:id="42">
    <w:p w14:paraId="7BA00B6C"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AF4A2C">
        <w:rPr>
          <w:rFonts w:asciiTheme="majorHAnsi" w:hAnsiTheme="majorHAnsi"/>
          <w:color w:val="000000" w:themeColor="text1"/>
          <w:sz w:val="16"/>
          <w:szCs w:val="16"/>
          <w:lang w:val="es-ES"/>
        </w:rPr>
        <w:t xml:space="preserve"> Anexo 15</w:t>
      </w:r>
      <w:r w:rsidRPr="00D139CD">
        <w:rPr>
          <w:rFonts w:asciiTheme="majorHAnsi" w:hAnsiTheme="majorHAnsi"/>
          <w:color w:val="000000" w:themeColor="text1"/>
          <w:sz w:val="16"/>
          <w:szCs w:val="16"/>
          <w:lang w:val="es-ES"/>
        </w:rPr>
        <w:t xml:space="preserve">. Informe del Juzgado cuarto de lo penal de Tungurahua a la Corte Superior de Justicia de Tungurahua, 17 julio de 2002. Anexo 1 al escrito de las observaciones de los </w:t>
      </w:r>
      <w:r w:rsidRPr="00D139CD">
        <w:rPr>
          <w:rFonts w:asciiTheme="majorHAnsi" w:hAnsiTheme="majorHAnsi"/>
          <w:color w:val="000000" w:themeColor="text1"/>
          <w:sz w:val="16"/>
          <w:szCs w:val="16"/>
          <w:shd w:val="clear" w:color="auto" w:fill="FFFFFF"/>
          <w:lang w:val="es-ES"/>
        </w:rPr>
        <w:t xml:space="preserve">peticionarios </w:t>
      </w:r>
      <w:r>
        <w:rPr>
          <w:rFonts w:asciiTheme="majorHAnsi" w:hAnsiTheme="majorHAnsi"/>
          <w:color w:val="000000" w:themeColor="text1"/>
          <w:sz w:val="16"/>
          <w:szCs w:val="16"/>
          <w:lang w:val="es-ES"/>
        </w:rPr>
        <w:t>de 1 de diciembre de 2003</w:t>
      </w:r>
      <w:r w:rsidRPr="00D139CD">
        <w:rPr>
          <w:rFonts w:asciiTheme="majorHAnsi" w:hAnsiTheme="majorHAnsi"/>
          <w:color w:val="000000" w:themeColor="text1"/>
          <w:sz w:val="16"/>
          <w:szCs w:val="16"/>
          <w:lang w:val="es-ES"/>
        </w:rPr>
        <w:t>.</w:t>
      </w:r>
    </w:p>
  </w:footnote>
  <w:footnote w:id="43">
    <w:p w14:paraId="45E31CAE"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AF4A2C">
        <w:rPr>
          <w:rFonts w:asciiTheme="majorHAnsi" w:hAnsiTheme="majorHAnsi"/>
          <w:color w:val="000000" w:themeColor="text1"/>
          <w:sz w:val="16"/>
          <w:szCs w:val="16"/>
          <w:lang w:val="es-ES"/>
        </w:rPr>
        <w:t xml:space="preserve"> Anexo 16</w:t>
      </w:r>
      <w:r w:rsidRPr="00D139CD">
        <w:rPr>
          <w:rFonts w:asciiTheme="majorHAnsi" w:hAnsiTheme="majorHAnsi"/>
          <w:color w:val="000000" w:themeColor="text1"/>
          <w:sz w:val="16"/>
          <w:szCs w:val="16"/>
          <w:lang w:val="es-ES"/>
        </w:rPr>
        <w:t>. Resolución del trámite de Amparo Constitucional emitido por la segunda sala de la Corte Superior de Justicia de Tungurahua, 31 de julio de 2002. Anexo 1 al escrito de obs</w:t>
      </w:r>
      <w:r>
        <w:rPr>
          <w:rFonts w:asciiTheme="majorHAnsi" w:hAnsiTheme="majorHAnsi"/>
          <w:color w:val="000000" w:themeColor="text1"/>
          <w:sz w:val="16"/>
          <w:szCs w:val="16"/>
          <w:lang w:val="es-ES"/>
        </w:rPr>
        <w:t>ervaciones del peticionario de 1 de diciembre de 2003</w:t>
      </w:r>
      <w:r w:rsidRPr="00D139CD">
        <w:rPr>
          <w:rFonts w:asciiTheme="majorHAnsi" w:hAnsiTheme="majorHAnsi"/>
          <w:color w:val="000000" w:themeColor="text1"/>
          <w:sz w:val="16"/>
          <w:szCs w:val="16"/>
          <w:lang w:val="es-ES"/>
        </w:rPr>
        <w:t>.</w:t>
      </w:r>
    </w:p>
  </w:footnote>
  <w:footnote w:id="44">
    <w:p w14:paraId="34D00F29"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636D82">
        <w:rPr>
          <w:rFonts w:asciiTheme="majorHAnsi" w:hAnsiTheme="majorHAnsi"/>
          <w:color w:val="000000" w:themeColor="text1"/>
          <w:sz w:val="16"/>
          <w:szCs w:val="16"/>
          <w:lang w:val="es-ES"/>
        </w:rPr>
        <w:t xml:space="preserve"> Anexo 17</w:t>
      </w:r>
      <w:r w:rsidRPr="00D139CD">
        <w:rPr>
          <w:rFonts w:asciiTheme="majorHAnsi" w:hAnsiTheme="majorHAnsi"/>
          <w:color w:val="000000" w:themeColor="text1"/>
          <w:sz w:val="16"/>
          <w:szCs w:val="16"/>
          <w:lang w:val="es-ES"/>
        </w:rPr>
        <w:t xml:space="preserve">. Acta de audiencia preliminar del Juzgado Cuarto de lo </w:t>
      </w:r>
      <w:r w:rsidR="00636D82">
        <w:rPr>
          <w:rFonts w:asciiTheme="majorHAnsi" w:hAnsiTheme="majorHAnsi"/>
          <w:color w:val="000000" w:themeColor="text1"/>
          <w:sz w:val="16"/>
          <w:szCs w:val="16"/>
          <w:lang w:val="es-ES"/>
        </w:rPr>
        <w:t>P</w:t>
      </w:r>
      <w:r w:rsidRPr="00D139CD">
        <w:rPr>
          <w:rFonts w:asciiTheme="majorHAnsi" w:hAnsiTheme="majorHAnsi"/>
          <w:color w:val="000000" w:themeColor="text1"/>
          <w:sz w:val="16"/>
          <w:szCs w:val="16"/>
          <w:lang w:val="es-ES"/>
        </w:rPr>
        <w:t>enal de Tungurahua Suplente,</w:t>
      </w:r>
      <w:r w:rsidR="00636D82">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 xml:space="preserve">10 de diciembre de 2002. Anexo 4 al escrito de observaciones de los </w:t>
      </w:r>
      <w:r w:rsidRPr="00D139CD">
        <w:rPr>
          <w:rFonts w:asciiTheme="majorHAnsi" w:hAnsiTheme="majorHAnsi"/>
          <w:color w:val="000000" w:themeColor="text1"/>
          <w:sz w:val="16"/>
          <w:szCs w:val="16"/>
          <w:shd w:val="clear" w:color="auto" w:fill="FFFFFF"/>
          <w:lang w:val="es-ES"/>
        </w:rPr>
        <w:t xml:space="preserve">peticionarios </w:t>
      </w:r>
      <w:r>
        <w:rPr>
          <w:rFonts w:asciiTheme="majorHAnsi" w:hAnsiTheme="majorHAnsi"/>
          <w:color w:val="000000" w:themeColor="text1"/>
          <w:sz w:val="16"/>
          <w:szCs w:val="16"/>
          <w:lang w:val="es-ES"/>
        </w:rPr>
        <w:t>de 1 de diciembre de 2003</w:t>
      </w:r>
      <w:r w:rsidRPr="00D139CD">
        <w:rPr>
          <w:rFonts w:asciiTheme="majorHAnsi" w:hAnsiTheme="majorHAnsi"/>
          <w:color w:val="000000" w:themeColor="text1"/>
          <w:sz w:val="16"/>
          <w:szCs w:val="16"/>
          <w:lang w:val="es-ES"/>
        </w:rPr>
        <w:t>.</w:t>
      </w:r>
    </w:p>
  </w:footnote>
  <w:footnote w:id="45">
    <w:p w14:paraId="2CE26A78" w14:textId="77777777" w:rsidR="00AF7404" w:rsidRPr="00D139CD" w:rsidRDefault="00AF7404" w:rsidP="00D139CD">
      <w:pPr>
        <w:pStyle w:val="p1"/>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w:t>
      </w:r>
      <w:r w:rsidR="00636D82">
        <w:rPr>
          <w:rFonts w:asciiTheme="majorHAnsi" w:hAnsiTheme="majorHAnsi"/>
          <w:bCs/>
          <w:color w:val="000000" w:themeColor="text1"/>
          <w:sz w:val="16"/>
          <w:szCs w:val="16"/>
          <w:lang w:val="es-ES"/>
        </w:rPr>
        <w:t>Anexo 18.</w:t>
      </w:r>
      <w:r w:rsidRPr="00D139CD">
        <w:rPr>
          <w:rFonts w:asciiTheme="majorHAnsi" w:hAnsiTheme="majorHAnsi"/>
          <w:bCs/>
          <w:color w:val="000000" w:themeColor="text1"/>
          <w:sz w:val="16"/>
          <w:szCs w:val="16"/>
          <w:lang w:val="es-ES"/>
        </w:rPr>
        <w:t xml:space="preserve"> Auto de sobreseimiento provisional por la Jueza Cuarta de lo Penal de Tungurahua, 11 de diciembre de 2002. </w:t>
      </w:r>
      <w:r w:rsidRPr="00D139CD">
        <w:rPr>
          <w:rFonts w:asciiTheme="majorHAnsi" w:hAnsiTheme="majorHAnsi"/>
          <w:color w:val="000000" w:themeColor="text1"/>
          <w:sz w:val="16"/>
          <w:szCs w:val="16"/>
          <w:lang w:val="es-ES"/>
        </w:rPr>
        <w:t xml:space="preserve">Anexo 4 al escrito de observaciones de los </w:t>
      </w:r>
      <w:r w:rsidRPr="00D139CD">
        <w:rPr>
          <w:rFonts w:asciiTheme="majorHAnsi" w:hAnsiTheme="majorHAnsi"/>
          <w:color w:val="000000" w:themeColor="text1"/>
          <w:sz w:val="16"/>
          <w:szCs w:val="16"/>
          <w:shd w:val="clear" w:color="auto" w:fill="FFFFFF"/>
          <w:lang w:val="es-ES"/>
        </w:rPr>
        <w:t xml:space="preserve">peticionarios </w:t>
      </w:r>
      <w:r>
        <w:rPr>
          <w:rFonts w:asciiTheme="majorHAnsi" w:hAnsiTheme="majorHAnsi"/>
          <w:color w:val="000000" w:themeColor="text1"/>
          <w:sz w:val="16"/>
          <w:szCs w:val="16"/>
          <w:lang w:val="es-ES"/>
        </w:rPr>
        <w:t>de 1 de diciembre de 2003</w:t>
      </w:r>
      <w:r w:rsidRPr="00D139CD">
        <w:rPr>
          <w:rFonts w:asciiTheme="majorHAnsi" w:hAnsiTheme="majorHAnsi"/>
          <w:color w:val="000000" w:themeColor="text1"/>
          <w:sz w:val="16"/>
          <w:szCs w:val="16"/>
          <w:lang w:val="es-ES"/>
        </w:rPr>
        <w:t>.</w:t>
      </w:r>
    </w:p>
  </w:footnote>
  <w:footnote w:id="46">
    <w:p w14:paraId="051B3784"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636D82">
        <w:rPr>
          <w:rFonts w:asciiTheme="majorHAnsi" w:hAnsiTheme="majorHAnsi"/>
          <w:color w:val="000000" w:themeColor="text1"/>
          <w:sz w:val="16"/>
          <w:szCs w:val="16"/>
          <w:lang w:val="es-ES"/>
        </w:rPr>
        <w:t xml:space="preserve"> Anexo 19</w:t>
      </w:r>
      <w:r w:rsidRPr="00D139CD">
        <w:rPr>
          <w:rFonts w:asciiTheme="majorHAnsi" w:hAnsiTheme="majorHAnsi"/>
          <w:color w:val="000000" w:themeColor="text1"/>
          <w:sz w:val="16"/>
          <w:szCs w:val="16"/>
          <w:lang w:val="es-ES"/>
        </w:rPr>
        <w:t>. Oficio No. 3585-CP9-2004 del jefe de la Policía Judicial de Tungurahua, 15 octubre de 2004. Anexo al escrito del peticionario de 3 de noviembre de 2004.</w:t>
      </w:r>
    </w:p>
  </w:footnote>
  <w:footnote w:id="47">
    <w:p w14:paraId="002D8618"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Anex</w:t>
      </w:r>
      <w:r w:rsidR="005E6B01">
        <w:rPr>
          <w:rFonts w:asciiTheme="majorHAnsi" w:hAnsiTheme="majorHAnsi"/>
          <w:color w:val="000000" w:themeColor="text1"/>
          <w:sz w:val="16"/>
          <w:szCs w:val="16"/>
          <w:lang w:val="es-ES"/>
        </w:rPr>
        <w:t>o 20</w:t>
      </w:r>
      <w:r w:rsidRPr="00D139CD">
        <w:rPr>
          <w:rFonts w:asciiTheme="majorHAnsi" w:hAnsiTheme="majorHAnsi"/>
          <w:color w:val="000000" w:themeColor="text1"/>
          <w:sz w:val="16"/>
          <w:szCs w:val="16"/>
          <w:lang w:val="es-ES"/>
        </w:rPr>
        <w:t>. Resolución del Juzgado Cuarto de lo Penal de Tungurahua Suplente, 18 de octubre 2004. Anexo al escrito del peticionario de 3 de noviembre de 2004.</w:t>
      </w:r>
    </w:p>
  </w:footnote>
  <w:footnote w:id="48">
    <w:p w14:paraId="6D7DF09A" w14:textId="77777777" w:rsidR="00AF7404" w:rsidRPr="00D139CD" w:rsidRDefault="00AF7404" w:rsidP="0065556E">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Ver por ejemplo, informe investigativo policial no. 1123-PJT-CP9-2001 e informe investigativo ampliatorio policial no. 1376-CP9-2001, de 16 de agosto de 2001 y 18 de octubre de 2001 respectivamente. Anexo 3 al escrito de las observaciones del </w:t>
      </w:r>
      <w:r w:rsidRPr="00D139CD">
        <w:rPr>
          <w:rFonts w:asciiTheme="majorHAnsi" w:hAnsiTheme="majorHAnsi"/>
          <w:color w:val="000000" w:themeColor="text1"/>
          <w:sz w:val="16"/>
          <w:szCs w:val="16"/>
          <w:shd w:val="clear" w:color="auto" w:fill="FFFFFF"/>
          <w:lang w:val="es-ES"/>
        </w:rPr>
        <w:t xml:space="preserve">peticionario del </w:t>
      </w:r>
      <w:r>
        <w:rPr>
          <w:rFonts w:asciiTheme="majorHAnsi" w:hAnsiTheme="majorHAnsi"/>
          <w:color w:val="000000" w:themeColor="text1"/>
          <w:sz w:val="16"/>
          <w:szCs w:val="16"/>
          <w:lang w:val="es-ES"/>
        </w:rPr>
        <w:t>1 de diciembre de 2003</w:t>
      </w:r>
      <w:r w:rsidRPr="00D139CD">
        <w:rPr>
          <w:rFonts w:asciiTheme="majorHAnsi" w:hAnsiTheme="majorHAnsi"/>
          <w:color w:val="000000" w:themeColor="text1"/>
          <w:sz w:val="16"/>
          <w:szCs w:val="16"/>
          <w:lang w:val="es-ES"/>
        </w:rPr>
        <w:t>.</w:t>
      </w:r>
    </w:p>
  </w:footnote>
  <w:footnote w:id="49">
    <w:p w14:paraId="13843265" w14:textId="77777777" w:rsidR="00AF7404" w:rsidRPr="00D139CD" w:rsidRDefault="00AF7404" w:rsidP="0065556E">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5E6B01">
        <w:rPr>
          <w:rFonts w:asciiTheme="majorHAnsi" w:hAnsiTheme="majorHAnsi"/>
          <w:color w:val="000000" w:themeColor="text1"/>
          <w:sz w:val="16"/>
          <w:szCs w:val="16"/>
          <w:lang w:val="es-ES"/>
        </w:rPr>
        <w:t xml:space="preserve"> Anexo 8</w:t>
      </w:r>
      <w:r w:rsidRPr="00D139CD">
        <w:rPr>
          <w:rFonts w:asciiTheme="majorHAnsi" w:hAnsiTheme="majorHAnsi"/>
          <w:color w:val="000000" w:themeColor="text1"/>
          <w:sz w:val="16"/>
          <w:szCs w:val="16"/>
          <w:lang w:val="es-ES"/>
        </w:rPr>
        <w:t>. Oficio No. 2780–PJT-CP9-2001 del Jefe de la Policía Judicial de Tungurahua al Ministro Fiscal de Tungurahua que contiene el Informe policial no. 1123-PJT-CP9-2001, 19 de octubre de 2001. Anexo al escrito de observaciones del peticionario de 1 diciembre de 2003.</w:t>
      </w:r>
    </w:p>
  </w:footnote>
  <w:footnote w:id="50">
    <w:p w14:paraId="518E0483" w14:textId="77777777" w:rsidR="00AF7404" w:rsidRPr="00D139CD" w:rsidRDefault="00AF7404" w:rsidP="0065556E">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005E6B01">
        <w:rPr>
          <w:rFonts w:asciiTheme="majorHAnsi" w:hAnsiTheme="majorHAnsi"/>
          <w:color w:val="000000" w:themeColor="text1"/>
          <w:sz w:val="16"/>
          <w:szCs w:val="16"/>
          <w:lang w:val="es-ES"/>
        </w:rPr>
        <w:t xml:space="preserve"> Anexo 8</w:t>
      </w:r>
      <w:r w:rsidRPr="00D139CD">
        <w:rPr>
          <w:rFonts w:asciiTheme="majorHAnsi" w:hAnsiTheme="majorHAnsi"/>
          <w:color w:val="000000" w:themeColor="text1"/>
          <w:sz w:val="16"/>
          <w:szCs w:val="16"/>
          <w:lang w:val="es-ES"/>
        </w:rPr>
        <w:t>. Oficio No. 2780–PJT-CP9-2001 del Jefe de la Policía Judicial de Tungurahua al Ministro Fiscal de Tungurahua que contiene el Informe policial no. 1123-PJT-CP9-2001, 19 de octubre de 2001. Anexo al escrito de observaciones del peticionario de 1 diciembre de 2003.</w:t>
      </w:r>
    </w:p>
  </w:footnote>
  <w:footnote w:id="51">
    <w:p w14:paraId="504FFBCB" w14:textId="77777777" w:rsidR="00AF7404" w:rsidRPr="0087668C" w:rsidRDefault="00AF7404" w:rsidP="0056056C">
      <w:pPr>
        <w:pStyle w:val="FootnoteText"/>
        <w:jc w:val="both"/>
        <w:rPr>
          <w:rFonts w:ascii="Cambria" w:hAnsi="Cambria"/>
          <w:sz w:val="16"/>
          <w:szCs w:val="16"/>
          <w:lang w:val="es-US"/>
        </w:rPr>
      </w:pPr>
      <w:r w:rsidRPr="0087668C">
        <w:rPr>
          <w:rStyle w:val="FootnoteReference"/>
          <w:rFonts w:ascii="Cambria" w:hAnsi="Cambria"/>
          <w:sz w:val="16"/>
          <w:szCs w:val="16"/>
        </w:rPr>
        <w:footnoteRef/>
      </w:r>
      <w:r w:rsidRPr="0087668C">
        <w:rPr>
          <w:rFonts w:ascii="Cambria" w:hAnsi="Cambria"/>
          <w:sz w:val="16"/>
          <w:szCs w:val="16"/>
          <w:lang w:val="es-US"/>
        </w:rPr>
        <w:t xml:space="preserve"> Los artículos de la Convención Americana referidos en el título arriba establecen lo siguiente:</w:t>
      </w:r>
    </w:p>
    <w:p w14:paraId="277B6B4C" w14:textId="77777777" w:rsidR="00AF7404" w:rsidRPr="0087668C" w:rsidRDefault="00AF7404" w:rsidP="0056056C">
      <w:pPr>
        <w:tabs>
          <w:tab w:val="left" w:pos="1440"/>
        </w:tabs>
        <w:jc w:val="both"/>
        <w:rPr>
          <w:rFonts w:ascii="Cambria" w:eastAsia="Times New Roman" w:hAnsi="Cambria"/>
          <w:sz w:val="16"/>
          <w:szCs w:val="16"/>
          <w:lang w:val="es-ES"/>
        </w:rPr>
      </w:pPr>
      <w:r w:rsidRPr="0087668C">
        <w:rPr>
          <w:rFonts w:ascii="Cambria" w:hAnsi="Cambria"/>
          <w:sz w:val="16"/>
          <w:szCs w:val="16"/>
          <w:lang w:val="es-CO"/>
        </w:rPr>
        <w:t xml:space="preserve">Artículo 3. Derecho al Reconocimiento de la Personalidad Jurídica: </w:t>
      </w:r>
      <w:r w:rsidRPr="0087668C">
        <w:rPr>
          <w:rFonts w:ascii="Cambria" w:eastAsia="Times New Roman" w:hAnsi="Cambria"/>
          <w:sz w:val="16"/>
          <w:szCs w:val="16"/>
          <w:lang w:val="es-ES"/>
        </w:rPr>
        <w:t xml:space="preserve">Toda persona tiene derecho al reconocimiento de su personalidad jurídica. </w:t>
      </w:r>
    </w:p>
    <w:p w14:paraId="44D00033" w14:textId="77777777" w:rsidR="00AF7404" w:rsidRPr="0087668C" w:rsidRDefault="00AF7404" w:rsidP="005605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lang w:val="es-ES" w:eastAsia="es-ES"/>
        </w:rPr>
      </w:pPr>
      <w:r w:rsidRPr="0087668C">
        <w:rPr>
          <w:rFonts w:ascii="Cambria" w:eastAsia="Times New Roman" w:hAnsi="Cambria"/>
          <w:sz w:val="16"/>
          <w:szCs w:val="16"/>
          <w:lang w:val="es-ES" w:eastAsia="es-ES"/>
        </w:rPr>
        <w:t>Artículo 4. Derecho a la Vida. 1. Toda persona tiene derecho a que se respete su vida. Este derecho estará protegido por la ley y, en general, a partir del momento de la concepción. Nadie puede ser privado de la vida arbitrariamente.</w:t>
      </w:r>
    </w:p>
    <w:p w14:paraId="7AA48A34" w14:textId="77777777" w:rsidR="00AF7404" w:rsidRPr="0087668C" w:rsidRDefault="00AF7404" w:rsidP="005605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lang w:val="es-ES" w:eastAsia="es-ES"/>
        </w:rPr>
      </w:pPr>
      <w:r w:rsidRPr="0087668C">
        <w:rPr>
          <w:rFonts w:ascii="Cambria" w:eastAsia="Times New Roman" w:hAnsi="Cambria"/>
          <w:sz w:val="16"/>
          <w:szCs w:val="16"/>
          <w:lang w:val="es-ES" w:eastAsia="es-ES"/>
        </w:rPr>
        <w:t>Artículo 5. Derecho a la Integridad Personal.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p w14:paraId="1556D964" w14:textId="77777777" w:rsidR="00AF7404" w:rsidRPr="0087668C" w:rsidRDefault="00AF7404" w:rsidP="0056056C">
      <w:pPr>
        <w:jc w:val="both"/>
        <w:rPr>
          <w:rFonts w:ascii="Cambria" w:eastAsia="Times New Roman" w:hAnsi="Cambria"/>
          <w:sz w:val="16"/>
          <w:szCs w:val="16"/>
          <w:lang w:val="es-ES" w:eastAsia="es-ES"/>
        </w:rPr>
      </w:pPr>
      <w:r w:rsidRPr="0087668C">
        <w:rPr>
          <w:rFonts w:ascii="Cambria" w:eastAsia="Times New Roman" w:hAnsi="Cambria"/>
          <w:sz w:val="16"/>
          <w:szCs w:val="16"/>
          <w:lang w:val="es-ES" w:eastAsia="es-ES"/>
        </w:rPr>
        <w:t xml:space="preserve">Artículo 7. Derecho a la Libertad Personal: 1.Toda persona tiene derecho a la libertad y a la seguridad personales. </w:t>
      </w:r>
    </w:p>
    <w:p w14:paraId="3FDE8567" w14:textId="77777777" w:rsidR="00AF7404" w:rsidRPr="0087668C" w:rsidRDefault="00AF7404" w:rsidP="0056056C">
      <w:pPr>
        <w:jc w:val="both"/>
        <w:rPr>
          <w:rFonts w:ascii="Cambria" w:eastAsia="Times New Roman" w:hAnsi="Cambria"/>
          <w:sz w:val="16"/>
          <w:szCs w:val="16"/>
          <w:lang w:val="es-ES" w:eastAsia="es-ES"/>
        </w:rPr>
      </w:pPr>
      <w:r w:rsidRPr="0087668C">
        <w:rPr>
          <w:rFonts w:ascii="Cambria" w:hAnsi="Cambria"/>
          <w:sz w:val="16"/>
          <w:szCs w:val="16"/>
          <w:lang w:val="es-US"/>
        </w:rPr>
        <w:t xml:space="preserve">Artículo 8. Garantías Judiciales. 1. </w:t>
      </w:r>
      <w:r w:rsidRPr="0087668C">
        <w:rPr>
          <w:rFonts w:ascii="Cambria" w:eastAsia="Times New Roman" w:hAnsi="Cambria"/>
          <w:sz w:val="16"/>
          <w:szCs w:val="16"/>
          <w:lang w:val="es-ES" w:eastAsia="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56B0A379" w14:textId="77777777" w:rsidR="00AF7404" w:rsidRPr="0087668C" w:rsidRDefault="00AF7404" w:rsidP="0056056C">
      <w:pPr>
        <w:jc w:val="both"/>
        <w:rPr>
          <w:rFonts w:ascii="Cambria" w:eastAsia="Times New Roman" w:hAnsi="Cambria"/>
          <w:sz w:val="16"/>
          <w:szCs w:val="16"/>
          <w:lang w:val="es-ES"/>
        </w:rPr>
      </w:pPr>
      <w:r w:rsidRPr="0087668C">
        <w:rPr>
          <w:rFonts w:ascii="Cambria" w:hAnsi="Cambria"/>
          <w:sz w:val="16"/>
          <w:szCs w:val="16"/>
          <w:lang w:val="es-US"/>
        </w:rPr>
        <w:t xml:space="preserve">Artículo </w:t>
      </w:r>
      <w:r w:rsidRPr="0087668C">
        <w:rPr>
          <w:rFonts w:ascii="Cambria" w:hAnsi="Cambria"/>
          <w:spacing w:val="-2"/>
          <w:sz w:val="16"/>
          <w:szCs w:val="16"/>
          <w:lang w:val="es-US"/>
        </w:rPr>
        <w:t>25</w:t>
      </w:r>
      <w:r w:rsidRPr="0087668C">
        <w:rPr>
          <w:rFonts w:ascii="Cambria" w:hAnsi="Cambria"/>
          <w:sz w:val="16"/>
          <w:szCs w:val="16"/>
          <w:lang w:val="es-US"/>
        </w:rPr>
        <w:t xml:space="preserve">. Protección Judicial. 1. </w:t>
      </w:r>
      <w:r w:rsidRPr="0087668C">
        <w:rPr>
          <w:rFonts w:ascii="Cambria" w:eastAsia="Times New Roman" w:hAnsi="Cambri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517C37BE" w14:textId="77777777" w:rsidR="00AF7404" w:rsidRPr="0087668C" w:rsidRDefault="00AF7404" w:rsidP="0056056C">
      <w:pPr>
        <w:jc w:val="both"/>
        <w:rPr>
          <w:rFonts w:ascii="Cambria" w:hAnsi="Cambria"/>
          <w:sz w:val="16"/>
          <w:szCs w:val="16"/>
          <w:lang w:val="es-US"/>
        </w:rPr>
      </w:pPr>
      <w:r w:rsidRPr="0087668C">
        <w:rPr>
          <w:rFonts w:ascii="Cambria" w:eastAsia="Times New Roman" w:hAnsi="Cambria"/>
          <w:sz w:val="16"/>
          <w:szCs w:val="16"/>
          <w:lang w:val="es-ES" w:eastAsia="es-ES"/>
        </w:rPr>
        <w:t>Artículo 1.1.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52">
    <w:p w14:paraId="2573453F" w14:textId="77777777" w:rsidR="00AF7404" w:rsidRPr="0087668C" w:rsidRDefault="00AF7404" w:rsidP="0056056C">
      <w:pPr>
        <w:pStyle w:val="FootnoteText"/>
        <w:jc w:val="both"/>
        <w:rPr>
          <w:rFonts w:ascii="Cambria" w:hAnsi="Cambria"/>
          <w:sz w:val="16"/>
          <w:szCs w:val="16"/>
          <w:lang w:val="es-US"/>
        </w:rPr>
      </w:pPr>
      <w:r w:rsidRPr="0087668C">
        <w:rPr>
          <w:rStyle w:val="FootnoteReference"/>
          <w:rFonts w:ascii="Cambria" w:hAnsi="Cambria"/>
          <w:sz w:val="16"/>
          <w:szCs w:val="16"/>
        </w:rPr>
        <w:footnoteRef/>
      </w:r>
      <w:r w:rsidRPr="0087668C">
        <w:rPr>
          <w:rFonts w:ascii="Cambria" w:hAnsi="Cambria"/>
          <w:sz w:val="16"/>
          <w:szCs w:val="16"/>
          <w:lang w:val="es-US"/>
        </w:rPr>
        <w:t xml:space="preserve"> Dichos artículos establecen lo siguiente: </w:t>
      </w:r>
    </w:p>
    <w:p w14:paraId="523457D4" w14:textId="77777777" w:rsidR="00AF7404" w:rsidRPr="0087668C" w:rsidRDefault="00AF7404" w:rsidP="0056056C">
      <w:pPr>
        <w:pStyle w:val="FootnoteText"/>
        <w:jc w:val="both"/>
        <w:rPr>
          <w:rFonts w:ascii="Cambria" w:eastAsia="Times New Roman" w:hAnsi="Cambria"/>
          <w:sz w:val="16"/>
          <w:szCs w:val="16"/>
          <w:lang w:val="es-ES"/>
        </w:rPr>
      </w:pPr>
      <w:r w:rsidRPr="0087668C">
        <w:rPr>
          <w:rFonts w:ascii="Cambria" w:eastAsia="Times New Roman" w:hAnsi="Cambria"/>
          <w:sz w:val="16"/>
          <w:szCs w:val="16"/>
          <w:lang w:val="es-ES"/>
        </w:rPr>
        <w:t xml:space="preserve">Artículo I. Los Estados partes en esta Convención se comprometen a: a) No practicar, no permitir, ni tolerar la desaparición forzada de personas, ni aun en estado de emergencia, excepción o suspensión de garantías individuales; b) Sancionar en el ámbito de su jurisdicción a los autores, cómplices y encubridores del delito de desaparición forzada de personas, así como la tentativa de comisión del mismo. </w:t>
      </w:r>
    </w:p>
  </w:footnote>
  <w:footnote w:id="53">
    <w:p w14:paraId="3D1A46F8" w14:textId="77777777" w:rsidR="00AF7404" w:rsidRPr="0087668C" w:rsidRDefault="00AF7404" w:rsidP="006C522F">
      <w:pPr>
        <w:tabs>
          <w:tab w:val="left" w:pos="360"/>
        </w:tabs>
        <w:jc w:val="both"/>
        <w:rPr>
          <w:rFonts w:ascii="Cambria" w:hAnsi="Cambria"/>
          <w:sz w:val="16"/>
          <w:szCs w:val="16"/>
          <w:lang w:val="es-ES_tradnl"/>
        </w:rPr>
      </w:pPr>
      <w:r w:rsidRPr="0087668C">
        <w:rPr>
          <w:rStyle w:val="FootnoteReference"/>
          <w:rFonts w:ascii="Cambria" w:hAnsi="Cambria"/>
          <w:sz w:val="16"/>
          <w:szCs w:val="16"/>
        </w:rPr>
        <w:footnoteRef/>
      </w:r>
      <w:r w:rsidRPr="0087668C">
        <w:rPr>
          <w:rFonts w:ascii="Cambria" w:hAnsi="Cambria"/>
          <w:sz w:val="16"/>
          <w:szCs w:val="16"/>
          <w:lang w:val="es-CO"/>
        </w:rPr>
        <w:t xml:space="preserve"> </w:t>
      </w:r>
      <w:r w:rsidRPr="0087668C">
        <w:rPr>
          <w:rFonts w:ascii="Cambria" w:hAnsi="Cambria"/>
          <w:sz w:val="16"/>
          <w:szCs w:val="16"/>
          <w:lang w:val="es-ES_tradnl"/>
        </w:rPr>
        <w:t xml:space="preserve">CIDH. Informe 101/01. Caso 10.247 y otros. Ejecuciones extrajudiciales y desapariciones forzadas de personas. Perú. 10 de octubre de 2001. Párr. 178; </w:t>
      </w:r>
      <w:r w:rsidRPr="0087668C">
        <w:rPr>
          <w:rFonts w:ascii="Cambria" w:hAnsi="Cambria"/>
          <w:sz w:val="16"/>
          <w:szCs w:val="16"/>
          <w:lang w:val="de-DE"/>
        </w:rPr>
        <w:t xml:space="preserve">CIDH. Demanda ante la Corte Interamericana, Caso No. 11.324, Narciso González y otros, República Domincana, 2 de mayo de 2010, párr. 103; CIDH. Demanda ante la Corte Interamericana, Caso No. 12.517, Gregoria Herminia Contreras y otros, El Salvador, 28 de junio de 2010, párr. 131; </w:t>
      </w:r>
      <w:r w:rsidRPr="0087668C">
        <w:rPr>
          <w:rFonts w:ascii="Cambria" w:hAnsi="Cambria"/>
          <w:sz w:val="16"/>
          <w:szCs w:val="16"/>
          <w:lang w:val="es-ES_tradnl"/>
        </w:rPr>
        <w:t xml:space="preserve">Corte IDH, </w:t>
      </w:r>
      <w:r w:rsidRPr="0087668C">
        <w:rPr>
          <w:rFonts w:ascii="Cambria" w:hAnsi="Cambria"/>
          <w:iCs/>
          <w:sz w:val="16"/>
          <w:szCs w:val="16"/>
          <w:lang w:val="es-ES_tradnl"/>
        </w:rPr>
        <w:t>Caso Goiburú y otros</w:t>
      </w:r>
      <w:r w:rsidRPr="0087668C">
        <w:rPr>
          <w:rFonts w:ascii="Cambria" w:hAnsi="Cambria"/>
          <w:sz w:val="16"/>
          <w:szCs w:val="16"/>
          <w:lang w:val="es-ES_tradnl"/>
        </w:rPr>
        <w:t xml:space="preserve">. Sentencia sobre Fondo, Reparaciones y Costas. Sentencia de 22 de septiembre de 2006. Serie C No. 153. Párr. </w:t>
      </w:r>
      <w:r w:rsidRPr="0087668C">
        <w:rPr>
          <w:rFonts w:ascii="Cambria" w:hAnsi="Cambria"/>
          <w:sz w:val="16"/>
          <w:szCs w:val="16"/>
          <w:lang w:val="es-CO"/>
        </w:rPr>
        <w:t xml:space="preserve">82; </w:t>
      </w:r>
      <w:r w:rsidRPr="0087668C">
        <w:rPr>
          <w:rFonts w:ascii="Cambria" w:hAnsi="Cambria"/>
          <w:sz w:val="16"/>
          <w:szCs w:val="16"/>
          <w:lang w:val="es-ES_tradnl"/>
        </w:rPr>
        <w:t xml:space="preserve">Corte IDH, </w:t>
      </w:r>
      <w:r w:rsidRPr="0087668C">
        <w:rPr>
          <w:rFonts w:ascii="Cambria" w:hAnsi="Cambria"/>
          <w:iCs/>
          <w:sz w:val="16"/>
          <w:szCs w:val="16"/>
          <w:lang w:val="es-ES_tradnl"/>
        </w:rPr>
        <w:t>Caso Gómez Palomino</w:t>
      </w:r>
      <w:r w:rsidRPr="0087668C">
        <w:rPr>
          <w:rFonts w:ascii="Cambria" w:hAnsi="Cambria"/>
          <w:sz w:val="16"/>
          <w:szCs w:val="16"/>
          <w:lang w:val="es-ES_tradnl"/>
        </w:rPr>
        <w:t xml:space="preserve">. Sentencia de 22 de noviembre de 2005. Serie C No. 136. </w:t>
      </w:r>
      <w:r w:rsidRPr="0087668C">
        <w:rPr>
          <w:rFonts w:ascii="Cambria" w:hAnsi="Cambria"/>
          <w:sz w:val="16"/>
          <w:szCs w:val="16"/>
          <w:lang w:val="es-CO"/>
        </w:rPr>
        <w:t xml:space="preserve">Párr. 92; </w:t>
      </w:r>
      <w:r w:rsidRPr="0087668C">
        <w:rPr>
          <w:rFonts w:ascii="Cambria" w:hAnsi="Cambria"/>
          <w:sz w:val="16"/>
          <w:szCs w:val="16"/>
          <w:lang w:val="es-ES_tradnl"/>
        </w:rPr>
        <w:t>Corte I.D.H.,</w:t>
      </w:r>
      <w:r w:rsidRPr="0087668C">
        <w:rPr>
          <w:rFonts w:ascii="Cambria" w:hAnsi="Cambria"/>
          <w:sz w:val="16"/>
          <w:szCs w:val="16"/>
          <w:lang w:val="es-CO"/>
        </w:rPr>
        <w:t xml:space="preserve"> </w:t>
      </w:r>
      <w:r w:rsidRPr="0087668C">
        <w:rPr>
          <w:rFonts w:ascii="Cambria" w:hAnsi="Cambria"/>
          <w:noProof/>
          <w:sz w:val="16"/>
          <w:szCs w:val="16"/>
          <w:lang w:val="es-CO"/>
        </w:rPr>
        <w:t xml:space="preserve">Caso de las Hermanas Serrano Cruz. Excepciones preliminares. </w:t>
      </w:r>
      <w:r w:rsidRPr="0087668C">
        <w:rPr>
          <w:rFonts w:ascii="Cambria" w:hAnsi="Cambria"/>
          <w:sz w:val="16"/>
          <w:szCs w:val="16"/>
          <w:lang w:val="es-CO"/>
        </w:rPr>
        <w:t xml:space="preserve">Sentencia de 23 de noviembre de 2004. </w:t>
      </w:r>
      <w:r w:rsidRPr="0087668C">
        <w:rPr>
          <w:rFonts w:ascii="Cambria" w:hAnsi="Cambria"/>
          <w:sz w:val="16"/>
          <w:szCs w:val="16"/>
          <w:lang w:val="es-ES_tradnl"/>
        </w:rPr>
        <w:t>Serie C No. 118</w:t>
      </w:r>
      <w:r w:rsidRPr="0087668C">
        <w:rPr>
          <w:rFonts w:ascii="Cambria" w:hAnsi="Cambria"/>
          <w:noProof/>
          <w:sz w:val="16"/>
          <w:szCs w:val="16"/>
          <w:lang w:val="es-ES_tradnl"/>
        </w:rPr>
        <w:t xml:space="preserve">, Párrs. 100 a 106; Corte IDH., </w:t>
      </w:r>
      <w:r w:rsidRPr="0087668C">
        <w:rPr>
          <w:rFonts w:ascii="Cambria" w:hAnsi="Cambria"/>
          <w:sz w:val="16"/>
          <w:szCs w:val="16"/>
          <w:lang w:val="es-ES_tradnl"/>
        </w:rPr>
        <w:t xml:space="preserve">Caso Molina Theissen. </w:t>
      </w:r>
      <w:r w:rsidRPr="0087668C">
        <w:rPr>
          <w:rFonts w:ascii="Cambria" w:hAnsi="Cambria"/>
          <w:noProof/>
          <w:sz w:val="16"/>
          <w:szCs w:val="16"/>
          <w:lang w:val="es-ES_tradnl"/>
        </w:rPr>
        <w:t xml:space="preserve">Reparaciones (art. 63.1 Convención Americana sobre Derechos Humanos). </w:t>
      </w:r>
      <w:r w:rsidRPr="0087668C">
        <w:rPr>
          <w:rFonts w:ascii="Cambria" w:hAnsi="Cambria"/>
          <w:sz w:val="16"/>
          <w:szCs w:val="16"/>
          <w:lang w:val="es-ES_tradnl"/>
        </w:rPr>
        <w:t xml:space="preserve">Sentencia de 3 de julio de 2004, Serie C No. 108, Párr. 41. </w:t>
      </w:r>
    </w:p>
  </w:footnote>
  <w:footnote w:id="54">
    <w:p w14:paraId="34216199" w14:textId="77777777" w:rsidR="00AF7404" w:rsidRPr="0087668C" w:rsidRDefault="00AF7404" w:rsidP="006C522F">
      <w:pPr>
        <w:pStyle w:val="FootnoteText"/>
        <w:jc w:val="both"/>
        <w:rPr>
          <w:rFonts w:ascii="Cambria" w:hAnsi="Cambria"/>
          <w:sz w:val="16"/>
          <w:szCs w:val="16"/>
          <w:lang w:val="es-CO"/>
        </w:rPr>
      </w:pPr>
      <w:r w:rsidRPr="0087668C">
        <w:rPr>
          <w:rStyle w:val="FootnoteReference"/>
          <w:rFonts w:ascii="Cambria" w:hAnsi="Cambria"/>
          <w:sz w:val="16"/>
          <w:szCs w:val="16"/>
        </w:rPr>
        <w:footnoteRef/>
      </w:r>
      <w:r w:rsidRPr="0087668C">
        <w:rPr>
          <w:rFonts w:ascii="Cambria" w:hAnsi="Cambria"/>
          <w:sz w:val="16"/>
          <w:szCs w:val="16"/>
          <w:lang w:val="es-CO"/>
        </w:rPr>
        <w:t xml:space="preserve"> </w:t>
      </w:r>
      <w:r w:rsidRPr="0087668C">
        <w:rPr>
          <w:rFonts w:ascii="Cambria" w:hAnsi="Cambria"/>
          <w:sz w:val="16"/>
          <w:szCs w:val="16"/>
          <w:lang w:val="de-DE"/>
        </w:rPr>
        <w:t>CIDH. Demanda ante la Corte Interamericana, Caso No. 12.529, Rainer Ibsen Cárdenas y José Luis Ibsen Peña, Bolivia, Mayo 12, 2009, párr. 106.</w:t>
      </w:r>
    </w:p>
  </w:footnote>
  <w:footnote w:id="55">
    <w:p w14:paraId="7FAA0BAF" w14:textId="77777777" w:rsidR="00AF7404" w:rsidRPr="0087668C" w:rsidRDefault="00AF7404" w:rsidP="006C522F">
      <w:pPr>
        <w:pStyle w:val="FootnoteText"/>
        <w:tabs>
          <w:tab w:val="left" w:pos="450"/>
        </w:tabs>
        <w:contextualSpacing/>
        <w:jc w:val="both"/>
        <w:rPr>
          <w:rFonts w:ascii="Cambria" w:hAnsi="Cambria"/>
          <w:spacing w:val="-4"/>
          <w:sz w:val="16"/>
          <w:szCs w:val="16"/>
          <w:lang w:val="es-PR"/>
        </w:rPr>
      </w:pPr>
      <w:r w:rsidRPr="0087668C">
        <w:rPr>
          <w:rStyle w:val="FootnoteReference"/>
          <w:rFonts w:ascii="Cambria" w:hAnsi="Cambria"/>
          <w:sz w:val="16"/>
          <w:szCs w:val="16"/>
          <w:lang w:val="es-PR"/>
        </w:rPr>
        <w:footnoteRef/>
      </w:r>
      <w:r w:rsidRPr="0087668C">
        <w:rPr>
          <w:rFonts w:ascii="Cambria" w:hAnsi="Cambria"/>
          <w:spacing w:val="-4"/>
          <w:sz w:val="16"/>
          <w:szCs w:val="16"/>
          <w:lang w:val="es-PR"/>
        </w:rPr>
        <w:t xml:space="preserve"> Caso Velásquez Rodríguez Vs. Honduras. Fondo, supra, </w:t>
      </w:r>
      <w:r w:rsidRPr="0087668C">
        <w:rPr>
          <w:rFonts w:ascii="Cambria" w:hAnsi="Cambria"/>
          <w:noProof/>
          <w:spacing w:val="-4"/>
          <w:sz w:val="16"/>
          <w:szCs w:val="16"/>
          <w:lang w:val="es-PR"/>
        </w:rPr>
        <w:t xml:space="preserve">párrs. 155 a 157, y </w:t>
      </w:r>
      <w:r w:rsidRPr="0087668C">
        <w:rPr>
          <w:rFonts w:ascii="Cambria" w:hAnsi="Cambria"/>
          <w:spacing w:val="-4"/>
          <w:sz w:val="16"/>
          <w:szCs w:val="16"/>
          <w:lang w:val="es-PR"/>
        </w:rPr>
        <w:t>Caso Osorio Rivera y Familiares Vs. Perú, supra, párr. 31.</w:t>
      </w:r>
    </w:p>
  </w:footnote>
  <w:footnote w:id="56">
    <w:p w14:paraId="398F485D" w14:textId="77777777" w:rsidR="00AF7404" w:rsidRPr="0087668C" w:rsidRDefault="00AF7404" w:rsidP="006C522F">
      <w:pPr>
        <w:pStyle w:val="FootnoteText"/>
        <w:tabs>
          <w:tab w:val="left" w:pos="720"/>
        </w:tabs>
        <w:jc w:val="both"/>
        <w:rPr>
          <w:rFonts w:ascii="Cambria" w:hAnsi="Cambria"/>
          <w:sz w:val="16"/>
          <w:szCs w:val="16"/>
          <w:highlight w:val="red"/>
          <w:lang w:val="es-ES_tradnl"/>
        </w:rPr>
      </w:pPr>
      <w:r w:rsidRPr="0087668C">
        <w:rPr>
          <w:rStyle w:val="FootnoteReference"/>
          <w:rFonts w:ascii="Cambria" w:hAnsi="Cambria"/>
          <w:sz w:val="16"/>
          <w:szCs w:val="16"/>
        </w:rPr>
        <w:footnoteRef/>
      </w:r>
      <w:r w:rsidRPr="0087668C">
        <w:rPr>
          <w:rFonts w:ascii="Cambria" w:hAnsi="Cambria"/>
          <w:sz w:val="16"/>
          <w:szCs w:val="16"/>
          <w:lang w:val="es-ES_tradnl"/>
        </w:rPr>
        <w:t xml:space="preserve"> Corte IDH. Caso Chaparro Álvarez y Lapo Iñiguez Vs. Ecuador. Excepciones Preliminares, Fondo, Reparaciones y Costas. Sentencia de 21 de noviembre de 2007. Serie C No. 170, párr. 171; y Caso Anzualdo Castro Vs. Perú. Excepción Preliminar, Fondo, Reparaciones y Costas. Sentencia de 22 de septiembre de 2009. Serie C No. 202, párr. 85. </w:t>
      </w:r>
    </w:p>
  </w:footnote>
  <w:footnote w:id="57">
    <w:p w14:paraId="48D7E124" w14:textId="77777777" w:rsidR="00AF7404" w:rsidRPr="0087668C" w:rsidRDefault="00AF7404" w:rsidP="006C522F">
      <w:pPr>
        <w:pStyle w:val="FootnoteText"/>
        <w:jc w:val="both"/>
        <w:rPr>
          <w:rFonts w:ascii="Cambria" w:hAnsi="Cambria"/>
          <w:sz w:val="16"/>
          <w:szCs w:val="16"/>
          <w:lang w:val="es-MX"/>
        </w:rPr>
      </w:pPr>
      <w:r w:rsidRPr="0087668C">
        <w:rPr>
          <w:rStyle w:val="FootnoteReference"/>
          <w:rFonts w:ascii="Cambria" w:hAnsi="Cambria"/>
          <w:sz w:val="16"/>
          <w:szCs w:val="16"/>
        </w:rPr>
        <w:footnoteRef/>
      </w:r>
      <w:r w:rsidRPr="0087668C">
        <w:rPr>
          <w:rFonts w:ascii="Cambria" w:hAnsi="Cambria"/>
          <w:sz w:val="16"/>
          <w:szCs w:val="16"/>
          <w:lang w:val="es-MX"/>
        </w:rPr>
        <w:t xml:space="preserve"> </w:t>
      </w:r>
      <w:r w:rsidRPr="0087668C">
        <w:rPr>
          <w:rFonts w:ascii="Cambria" w:hAnsi="Cambria"/>
          <w:noProof/>
          <w:sz w:val="16"/>
          <w:szCs w:val="16"/>
          <w:lang w:val="es-ES"/>
        </w:rPr>
        <w:t>Corte IDH. Caso Ticona Estrada y otros Vs. Bolivia. Fondo, Reparaciones y Costas. Sentencia de 27 de noviembre de 2008. Serie C No. 191, párr. 58</w:t>
      </w:r>
      <w:r w:rsidRPr="0087668C">
        <w:rPr>
          <w:rFonts w:ascii="Cambria" w:hAnsi="Cambria"/>
          <w:noProof/>
          <w:color w:val="auto"/>
          <w:sz w:val="16"/>
          <w:szCs w:val="16"/>
          <w:lang w:val="es-ES"/>
        </w:rPr>
        <w:t xml:space="preserve">; y </w:t>
      </w:r>
      <w:r w:rsidRPr="0087668C">
        <w:rPr>
          <w:rFonts w:ascii="Cambria" w:hAnsi="Cambria"/>
          <w:color w:val="auto"/>
          <w:sz w:val="16"/>
          <w:szCs w:val="16"/>
          <w:lang w:val="es-US"/>
        </w:rPr>
        <w:t xml:space="preserve">CIDH, Informe No. </w:t>
      </w:r>
      <w:r w:rsidRPr="0087668C">
        <w:rPr>
          <w:rFonts w:ascii="Cambria" w:hAnsi="Cambria"/>
          <w:color w:val="auto"/>
          <w:sz w:val="16"/>
          <w:szCs w:val="16"/>
          <w:lang w:val="es-ES"/>
        </w:rPr>
        <w:t>5/16, Casos 11.053, 11.054, 12.224, 12.225, y 12.823. Fondo. Perú. 13 de abril de 2016, párr.</w:t>
      </w:r>
      <w:r w:rsidRPr="0087668C">
        <w:rPr>
          <w:rFonts w:ascii="Cambria" w:hAnsi="Cambria"/>
          <w:color w:val="auto"/>
          <w:sz w:val="16"/>
          <w:szCs w:val="16"/>
          <w:lang w:val="es-US"/>
        </w:rPr>
        <w:t xml:space="preserve"> </w:t>
      </w:r>
      <w:r w:rsidRPr="0087668C">
        <w:rPr>
          <w:rFonts w:ascii="Cambria" w:hAnsi="Cambria"/>
          <w:noProof/>
          <w:color w:val="auto"/>
          <w:sz w:val="16"/>
          <w:szCs w:val="16"/>
          <w:lang w:val="es-ES"/>
        </w:rPr>
        <w:t xml:space="preserve">167. </w:t>
      </w:r>
    </w:p>
  </w:footnote>
  <w:footnote w:id="58">
    <w:p w14:paraId="1CE4F540" w14:textId="77777777" w:rsidR="00AF7404" w:rsidRPr="0087668C" w:rsidRDefault="00AF7404" w:rsidP="006C522F">
      <w:pPr>
        <w:pStyle w:val="FootnoteText"/>
        <w:tabs>
          <w:tab w:val="left" w:pos="720"/>
        </w:tabs>
        <w:jc w:val="both"/>
        <w:rPr>
          <w:rFonts w:ascii="Cambria" w:hAnsi="Cambria"/>
          <w:sz w:val="16"/>
          <w:szCs w:val="16"/>
          <w:highlight w:val="red"/>
          <w:lang w:val="es-ES_tradnl"/>
        </w:rPr>
      </w:pPr>
      <w:r w:rsidRPr="0087668C">
        <w:rPr>
          <w:rStyle w:val="FootnoteReference"/>
          <w:rFonts w:ascii="Cambria" w:hAnsi="Cambria"/>
          <w:sz w:val="16"/>
          <w:szCs w:val="16"/>
        </w:rPr>
        <w:footnoteRef/>
      </w:r>
      <w:r w:rsidRPr="0087668C">
        <w:rPr>
          <w:rFonts w:ascii="Cambria" w:hAnsi="Cambria"/>
          <w:sz w:val="16"/>
          <w:szCs w:val="16"/>
          <w:lang w:val="es-VE"/>
        </w:rPr>
        <w:t xml:space="preserve"> Corte IDH. Caso Ticona Estrada Vs. </w:t>
      </w:r>
      <w:r w:rsidRPr="0087668C">
        <w:rPr>
          <w:rFonts w:ascii="Cambria" w:hAnsi="Cambria"/>
          <w:sz w:val="16"/>
          <w:szCs w:val="16"/>
          <w:lang w:val="es-CL"/>
        </w:rPr>
        <w:t xml:space="preserve">Bolivia. Fondo, Reparaciones y Costas. Sentencia de 27 de noviembre de 2008. Serie C No. 191, párr. 59; </w:t>
      </w:r>
      <w:r w:rsidRPr="0087668C">
        <w:rPr>
          <w:rFonts w:ascii="Cambria" w:hAnsi="Cambria"/>
          <w:sz w:val="16"/>
          <w:szCs w:val="16"/>
          <w:lang w:val="es-ES_tradnl"/>
        </w:rPr>
        <w:t xml:space="preserve">Caso Anzualdo Castro Vs. Perú. Excepción Preliminar, Fondo, Reparaciones y Costas. Sentencia de 22 de septiembre de 2009. Serie C No. 202, párr. </w:t>
      </w:r>
      <w:r w:rsidRPr="0087668C">
        <w:rPr>
          <w:rFonts w:ascii="Cambria" w:hAnsi="Cambria"/>
          <w:sz w:val="16"/>
          <w:szCs w:val="16"/>
          <w:lang w:val="es-CL"/>
        </w:rPr>
        <w:t xml:space="preserve">85; y </w:t>
      </w:r>
      <w:r w:rsidRPr="0087668C">
        <w:rPr>
          <w:rFonts w:ascii="Cambria" w:hAnsi="Cambria"/>
          <w:sz w:val="16"/>
          <w:szCs w:val="16"/>
          <w:lang w:val="es-ES_tradnl"/>
        </w:rPr>
        <w:t xml:space="preserve">Caso </w:t>
      </w:r>
      <w:r w:rsidRPr="0087668C">
        <w:rPr>
          <w:rFonts w:ascii="Cambria" w:hAnsi="Cambria"/>
          <w:sz w:val="16"/>
          <w:szCs w:val="16"/>
          <w:lang w:val="es-CR"/>
        </w:rPr>
        <w:t xml:space="preserve">Radilla Pacheco Vs. México. </w:t>
      </w:r>
      <w:r w:rsidRPr="0087668C">
        <w:rPr>
          <w:rFonts w:ascii="Cambria" w:hAnsi="Cambria"/>
          <w:sz w:val="16"/>
          <w:szCs w:val="16"/>
          <w:lang w:val="es-ES_tradnl"/>
        </w:rPr>
        <w:t>Excepciones Preliminares, Fondo, Reparaciones y Costas. Sentencia de 23 de noviembre de 2009. Serie C No. 209</w:t>
      </w:r>
      <w:r w:rsidRPr="0087668C">
        <w:rPr>
          <w:rFonts w:ascii="Cambria" w:hAnsi="Cambria"/>
          <w:sz w:val="16"/>
          <w:szCs w:val="16"/>
          <w:lang w:val="es-CL"/>
        </w:rPr>
        <w:t>, 154.</w:t>
      </w:r>
    </w:p>
  </w:footnote>
  <w:footnote w:id="59">
    <w:p w14:paraId="16A1638E" w14:textId="77777777" w:rsidR="00AF7404" w:rsidRPr="0087668C" w:rsidRDefault="00AF7404" w:rsidP="006C522F">
      <w:pPr>
        <w:tabs>
          <w:tab w:val="left" w:pos="360"/>
          <w:tab w:val="left" w:pos="1080"/>
        </w:tabs>
        <w:jc w:val="both"/>
        <w:rPr>
          <w:rFonts w:ascii="Cambria" w:hAnsi="Cambria"/>
          <w:sz w:val="16"/>
          <w:szCs w:val="16"/>
          <w:highlight w:val="red"/>
          <w:lang w:val="es-ES_tradnl"/>
        </w:rPr>
      </w:pPr>
      <w:r w:rsidRPr="0087668C">
        <w:rPr>
          <w:rStyle w:val="FootnoteReference"/>
          <w:rFonts w:ascii="Cambria" w:hAnsi="Cambria"/>
          <w:sz w:val="16"/>
          <w:szCs w:val="16"/>
        </w:rPr>
        <w:footnoteRef/>
      </w:r>
      <w:r w:rsidRPr="0087668C">
        <w:rPr>
          <w:rFonts w:ascii="Cambria" w:hAnsi="Cambria"/>
          <w:sz w:val="16"/>
          <w:szCs w:val="16"/>
          <w:lang w:val="es-ES_tradnl"/>
        </w:rPr>
        <w:t xml:space="preserve"> </w:t>
      </w:r>
      <w:r w:rsidRPr="0087668C">
        <w:rPr>
          <w:rFonts w:ascii="Cambria" w:hAnsi="Cambria"/>
          <w:color w:val="000000"/>
          <w:sz w:val="16"/>
          <w:szCs w:val="16"/>
          <w:lang w:val="es-ES_tradnl"/>
        </w:rPr>
        <w:t xml:space="preserve">Corte IDH. </w:t>
      </w:r>
      <w:r w:rsidRPr="0087668C">
        <w:rPr>
          <w:rFonts w:ascii="Cambria" w:hAnsi="Cambria"/>
          <w:iCs/>
          <w:color w:val="000000"/>
          <w:sz w:val="16"/>
          <w:szCs w:val="16"/>
          <w:lang w:val="es-ES_tradnl"/>
        </w:rPr>
        <w:t>Caso 19 Comerciantes</w:t>
      </w:r>
      <w:r w:rsidRPr="0087668C">
        <w:rPr>
          <w:rFonts w:ascii="Cambria" w:hAnsi="Cambria"/>
          <w:color w:val="000000"/>
          <w:sz w:val="16"/>
          <w:szCs w:val="16"/>
          <w:lang w:val="es-ES_tradnl"/>
        </w:rPr>
        <w:t>. Sentencia de 5 de julio de 2004. Serie C No. 109, párr.</w:t>
      </w:r>
      <w:r w:rsidRPr="0087668C">
        <w:rPr>
          <w:rFonts w:ascii="Cambria" w:hAnsi="Cambria"/>
          <w:sz w:val="16"/>
          <w:szCs w:val="16"/>
          <w:lang w:val="es-ES_tradnl"/>
        </w:rPr>
        <w:t xml:space="preserve">154; Corte IDH., </w:t>
      </w:r>
      <w:r w:rsidRPr="0087668C">
        <w:rPr>
          <w:rFonts w:ascii="Cambria" w:hAnsi="Cambria"/>
          <w:iCs/>
          <w:sz w:val="16"/>
          <w:szCs w:val="16"/>
          <w:lang w:val="es-ES_tradnl"/>
        </w:rPr>
        <w:t>Caso Bámaca Velásquez.</w:t>
      </w:r>
      <w:r w:rsidRPr="0087668C">
        <w:rPr>
          <w:rFonts w:ascii="Cambria" w:hAnsi="Cambria"/>
          <w:sz w:val="16"/>
          <w:szCs w:val="16"/>
          <w:lang w:val="es-ES_tradnl"/>
        </w:rPr>
        <w:t xml:space="preserve"> Sentencia de 25 de noviembre de 2000. Serie C No. 70, párr.130; y CIDH, Informe No. 44/00. Caso 10.820. Américo Zavala Martínez. Perú. 13 de abril de 2000, párr. 41. </w:t>
      </w:r>
    </w:p>
  </w:footnote>
  <w:footnote w:id="60">
    <w:p w14:paraId="4875071E" w14:textId="77777777" w:rsidR="00AF7404" w:rsidRPr="0087668C" w:rsidRDefault="00AF7404" w:rsidP="006C522F">
      <w:pPr>
        <w:pStyle w:val="FootnoteText"/>
        <w:tabs>
          <w:tab w:val="left" w:pos="-720"/>
          <w:tab w:val="left" w:pos="360"/>
          <w:tab w:val="left" w:pos="1080"/>
        </w:tabs>
        <w:jc w:val="both"/>
        <w:rPr>
          <w:rFonts w:ascii="Cambria" w:hAnsi="Cambria"/>
          <w:sz w:val="16"/>
          <w:szCs w:val="16"/>
          <w:highlight w:val="red"/>
          <w:lang w:val="es-ES_tradnl"/>
        </w:rPr>
      </w:pPr>
      <w:r w:rsidRPr="0087668C">
        <w:rPr>
          <w:rStyle w:val="FootnoteReference"/>
          <w:rFonts w:ascii="Cambria" w:hAnsi="Cambria"/>
          <w:spacing w:val="-2"/>
          <w:sz w:val="16"/>
          <w:szCs w:val="16"/>
          <w:lang w:val="es-ES_tradnl"/>
        </w:rPr>
        <w:footnoteRef/>
      </w:r>
      <w:r w:rsidRPr="0087668C">
        <w:rPr>
          <w:rFonts w:ascii="Cambria" w:hAnsi="Cambria"/>
          <w:spacing w:val="-2"/>
          <w:sz w:val="16"/>
          <w:szCs w:val="16"/>
          <w:lang w:val="es-ES_tradnl"/>
        </w:rPr>
        <w:t xml:space="preserve"> </w:t>
      </w:r>
      <w:r w:rsidRPr="0087668C">
        <w:rPr>
          <w:rFonts w:ascii="Cambria" w:hAnsi="Cambria"/>
          <w:sz w:val="16"/>
          <w:szCs w:val="16"/>
          <w:lang w:val="es-ES_tradnl"/>
        </w:rPr>
        <w:t xml:space="preserve">Corte I.D.H., </w:t>
      </w:r>
      <w:r w:rsidRPr="0087668C">
        <w:rPr>
          <w:rFonts w:ascii="Cambria" w:hAnsi="Cambria"/>
          <w:iCs/>
          <w:sz w:val="16"/>
          <w:szCs w:val="16"/>
          <w:lang w:val="es-ES_tradnl"/>
        </w:rPr>
        <w:t>Caso Velásquez Rodríguez</w:t>
      </w:r>
      <w:r w:rsidRPr="0087668C">
        <w:rPr>
          <w:rFonts w:ascii="Cambria" w:hAnsi="Cambria"/>
          <w:sz w:val="16"/>
          <w:szCs w:val="16"/>
          <w:lang w:val="es-ES_tradnl"/>
        </w:rPr>
        <w:t xml:space="preserve">. Sentencia de 29 de julio de 1988. </w:t>
      </w:r>
      <w:r w:rsidRPr="0087668C">
        <w:rPr>
          <w:rFonts w:ascii="Cambria" w:hAnsi="Cambria"/>
          <w:sz w:val="16"/>
          <w:szCs w:val="16"/>
          <w:lang w:val="es-US"/>
        </w:rPr>
        <w:t>Serie C No. 4</w:t>
      </w:r>
      <w:r w:rsidRPr="0087668C">
        <w:rPr>
          <w:rFonts w:ascii="Cambria" w:hAnsi="Cambria"/>
          <w:spacing w:val="-2"/>
          <w:sz w:val="16"/>
          <w:szCs w:val="16"/>
          <w:lang w:val="es-US"/>
        </w:rPr>
        <w:t xml:space="preserve">, párr. </w:t>
      </w:r>
      <w:r w:rsidRPr="0087668C">
        <w:rPr>
          <w:rFonts w:ascii="Cambria" w:hAnsi="Cambria"/>
          <w:spacing w:val="-2"/>
          <w:sz w:val="16"/>
          <w:szCs w:val="16"/>
          <w:lang w:val="es-AR"/>
        </w:rPr>
        <w:t xml:space="preserve">188; y CIDH. Demanda ante la Corte Interamericana en el caso 12.529. </w:t>
      </w:r>
      <w:r w:rsidRPr="0087668C">
        <w:rPr>
          <w:rFonts w:ascii="Cambria" w:hAnsi="Cambria"/>
          <w:sz w:val="16"/>
          <w:szCs w:val="16"/>
          <w:lang w:val="es-ES"/>
        </w:rPr>
        <w:t xml:space="preserve">Rainer Ibsen Cárdenas y José Luís Ibsen Peña vs. Bolivia. </w:t>
      </w:r>
      <w:r w:rsidRPr="0087668C">
        <w:rPr>
          <w:rFonts w:ascii="Cambria" w:hAnsi="Cambria"/>
          <w:sz w:val="16"/>
          <w:szCs w:val="16"/>
          <w:lang w:val="es-ES_tradnl"/>
        </w:rPr>
        <w:t xml:space="preserve">12 de mayo de 2009, párr. </w:t>
      </w:r>
      <w:r w:rsidRPr="0087668C">
        <w:rPr>
          <w:rFonts w:ascii="Cambria" w:hAnsi="Cambria"/>
          <w:spacing w:val="-2"/>
          <w:sz w:val="16"/>
          <w:szCs w:val="16"/>
          <w:lang w:val="es-AR"/>
        </w:rPr>
        <w:t xml:space="preserve">248. </w:t>
      </w:r>
    </w:p>
  </w:footnote>
  <w:footnote w:id="61">
    <w:p w14:paraId="4C9EDD25" w14:textId="77777777" w:rsidR="00AF7404" w:rsidRPr="0087668C" w:rsidRDefault="00AF7404" w:rsidP="006C522F">
      <w:pPr>
        <w:pStyle w:val="FootnoteText"/>
        <w:jc w:val="both"/>
        <w:rPr>
          <w:rFonts w:ascii="Cambria" w:hAnsi="Cambria"/>
          <w:sz w:val="16"/>
          <w:szCs w:val="16"/>
          <w:highlight w:val="red"/>
          <w:lang w:val="es-ES_tradnl"/>
        </w:rPr>
      </w:pPr>
      <w:r w:rsidRPr="0087668C">
        <w:rPr>
          <w:rStyle w:val="FootnoteReference"/>
          <w:rFonts w:ascii="Cambria" w:hAnsi="Cambria"/>
          <w:sz w:val="16"/>
          <w:szCs w:val="16"/>
        </w:rPr>
        <w:footnoteRef/>
      </w:r>
      <w:r w:rsidRPr="0087668C">
        <w:rPr>
          <w:rFonts w:ascii="Cambria" w:hAnsi="Cambria"/>
          <w:sz w:val="16"/>
          <w:szCs w:val="16"/>
          <w:lang w:val="es-ES_tradnl"/>
        </w:rPr>
        <w:t xml:space="preserve"> CIDH. Demandas ante la Corte Interamericana en los casos: Renato Ticona Estrada y otros (12.527), párrs. 153-165; Rosendo Radilla Pacheco (12.511), párrs. 138-145; Kenneth Ney Anzualdo Castro (11.385), párrs. 167-176; Julia Gómez Lund y otros (11.552), párrs. 208-220; Florencio Chitay Nech (12.599), párrs. 136-146; Rainer Ibsen Cárdenas y José Luís Ibsen Peña (12.529), párrs. 251-262; y Narciso González Medina y otros (11.324), párrs. 138-149.   </w:t>
      </w:r>
    </w:p>
  </w:footnote>
  <w:footnote w:id="62">
    <w:p w14:paraId="0596A6B7" w14:textId="77777777" w:rsidR="00AF7404" w:rsidRPr="0087668C" w:rsidRDefault="00AF7404" w:rsidP="006C522F">
      <w:pPr>
        <w:pStyle w:val="FootnoteText"/>
        <w:jc w:val="both"/>
        <w:rPr>
          <w:rFonts w:ascii="Cambria" w:hAnsi="Cambria"/>
          <w:sz w:val="16"/>
          <w:szCs w:val="16"/>
          <w:highlight w:val="red"/>
          <w:lang w:val="es-ES_tradnl"/>
        </w:rPr>
      </w:pPr>
      <w:r w:rsidRPr="0087668C">
        <w:rPr>
          <w:rStyle w:val="FootnoteReference"/>
          <w:rFonts w:ascii="Cambria" w:hAnsi="Cambria"/>
          <w:sz w:val="16"/>
          <w:szCs w:val="16"/>
        </w:rPr>
        <w:footnoteRef/>
      </w:r>
      <w:r w:rsidRPr="0087668C">
        <w:rPr>
          <w:rFonts w:ascii="Cambria" w:hAnsi="Cambria"/>
          <w:sz w:val="16"/>
          <w:szCs w:val="16"/>
          <w:lang w:val="es-US"/>
        </w:rPr>
        <w:t xml:space="preserve"> Corte IDH. Caso Anzualdo Castro Vs. </w:t>
      </w:r>
      <w:r w:rsidRPr="0087668C">
        <w:rPr>
          <w:rFonts w:ascii="Cambria" w:hAnsi="Cambria"/>
          <w:sz w:val="16"/>
          <w:szCs w:val="16"/>
          <w:lang w:val="es-ES_tradnl"/>
        </w:rPr>
        <w:t xml:space="preserve">Perú. Excepción Preliminar, Fondo, Reparaciones y Costas. Sentencia de 22 de septiembre de 2009. Serie C No. 202, párrs. 91-92; Caso </w:t>
      </w:r>
      <w:r w:rsidRPr="0087668C">
        <w:rPr>
          <w:rFonts w:ascii="Cambria" w:hAnsi="Cambria"/>
          <w:sz w:val="16"/>
          <w:szCs w:val="16"/>
          <w:lang w:val="es-CR"/>
        </w:rPr>
        <w:t xml:space="preserve">Radilla Pacheco Vs. México. </w:t>
      </w:r>
      <w:r w:rsidRPr="0087668C">
        <w:rPr>
          <w:rFonts w:ascii="Cambria" w:hAnsi="Cambria"/>
          <w:sz w:val="16"/>
          <w:szCs w:val="16"/>
          <w:lang w:val="es-ES_tradnl"/>
        </w:rPr>
        <w:t xml:space="preserve">Excepciones Preliminares, Fondo, Reparaciones y Costas. Sentencia de 23 de noviembre de 2009. Serie C No. 209, párr. 157. </w:t>
      </w:r>
    </w:p>
  </w:footnote>
  <w:footnote w:id="63">
    <w:p w14:paraId="7F867EE3" w14:textId="77777777" w:rsidR="00AF7404" w:rsidRPr="0087668C" w:rsidRDefault="00AF7404" w:rsidP="006C522F">
      <w:pPr>
        <w:pStyle w:val="FootnoteText"/>
        <w:tabs>
          <w:tab w:val="left" w:pos="720"/>
        </w:tabs>
        <w:jc w:val="both"/>
        <w:rPr>
          <w:rFonts w:ascii="Cambria" w:hAnsi="Cambria"/>
          <w:sz w:val="16"/>
          <w:szCs w:val="16"/>
          <w:highlight w:val="red"/>
          <w:lang w:val="es-ES_tradnl"/>
        </w:rPr>
      </w:pPr>
      <w:r w:rsidRPr="0087668C">
        <w:rPr>
          <w:rStyle w:val="FootnoteReference"/>
          <w:rFonts w:ascii="Cambria" w:hAnsi="Cambria"/>
          <w:color w:val="auto"/>
          <w:sz w:val="16"/>
          <w:szCs w:val="16"/>
        </w:rPr>
        <w:footnoteRef/>
      </w:r>
      <w:r w:rsidRPr="0087668C">
        <w:rPr>
          <w:rFonts w:ascii="Cambria" w:hAnsi="Cambria"/>
          <w:color w:val="auto"/>
          <w:sz w:val="16"/>
          <w:szCs w:val="16"/>
          <w:lang w:val="es-VE"/>
        </w:rPr>
        <w:t xml:space="preserve"> Corte IDH. Caso Anzualdo Castro Vs. </w:t>
      </w:r>
      <w:r w:rsidRPr="0087668C">
        <w:rPr>
          <w:rFonts w:ascii="Cambria" w:hAnsi="Cambria"/>
          <w:color w:val="auto"/>
          <w:sz w:val="16"/>
          <w:szCs w:val="16"/>
          <w:lang w:val="es-ES_tradnl"/>
        </w:rPr>
        <w:t xml:space="preserve">Perú. Excepción Preliminar, Fondo, Reparaciones y Costas. Sentencia de 22 de septiembre de 2009. Serie C No. 202, párr. </w:t>
      </w:r>
      <w:r w:rsidRPr="0087668C">
        <w:rPr>
          <w:rFonts w:ascii="Cambria" w:hAnsi="Cambria"/>
          <w:color w:val="auto"/>
          <w:sz w:val="16"/>
          <w:szCs w:val="16"/>
          <w:lang w:val="es-VE"/>
        </w:rPr>
        <w:t xml:space="preserve">90. Ver también: </w:t>
      </w:r>
      <w:r w:rsidRPr="0087668C">
        <w:rPr>
          <w:rFonts w:ascii="Cambria" w:hAnsi="Cambria"/>
          <w:color w:val="auto"/>
          <w:sz w:val="16"/>
          <w:szCs w:val="16"/>
          <w:lang w:val="es-US"/>
        </w:rPr>
        <w:t xml:space="preserve">CIDH, Informe No. </w:t>
      </w:r>
      <w:r w:rsidRPr="0087668C">
        <w:rPr>
          <w:rFonts w:ascii="Cambria" w:hAnsi="Cambria"/>
          <w:color w:val="auto"/>
          <w:sz w:val="16"/>
          <w:szCs w:val="16"/>
          <w:lang w:val="es-ES"/>
        </w:rPr>
        <w:t xml:space="preserve">5/16, Casos 11.053, 11.054, 12.224, 12.225, y 12.823. Fondo. Perú. 13 de abril de 2016, párr. </w:t>
      </w:r>
      <w:r w:rsidRPr="0087668C">
        <w:rPr>
          <w:rFonts w:ascii="Cambria" w:hAnsi="Cambria"/>
          <w:color w:val="auto"/>
          <w:sz w:val="16"/>
          <w:szCs w:val="16"/>
          <w:lang w:val="es-VE"/>
        </w:rPr>
        <w:t xml:space="preserve">166. </w:t>
      </w:r>
    </w:p>
  </w:footnote>
  <w:footnote w:id="64">
    <w:p w14:paraId="65BEC472" w14:textId="77777777" w:rsidR="00AF7404" w:rsidRPr="0087668C" w:rsidRDefault="00AF7404" w:rsidP="006C522F">
      <w:pPr>
        <w:pStyle w:val="FootnoteText"/>
        <w:tabs>
          <w:tab w:val="left" w:pos="720"/>
        </w:tabs>
        <w:jc w:val="both"/>
        <w:rPr>
          <w:rFonts w:ascii="Cambria" w:hAnsi="Cambria"/>
          <w:sz w:val="16"/>
          <w:szCs w:val="16"/>
          <w:lang w:val="es-ES_tradnl"/>
        </w:rPr>
      </w:pPr>
      <w:r w:rsidRPr="0087668C">
        <w:rPr>
          <w:rStyle w:val="FootnoteReference"/>
          <w:rFonts w:ascii="Cambria" w:hAnsi="Cambria"/>
          <w:sz w:val="16"/>
          <w:szCs w:val="16"/>
        </w:rPr>
        <w:footnoteRef/>
      </w:r>
      <w:r w:rsidRPr="0087668C">
        <w:rPr>
          <w:rFonts w:ascii="Cambria" w:hAnsi="Cambria"/>
          <w:sz w:val="16"/>
          <w:szCs w:val="16"/>
          <w:lang w:val="es-VE"/>
        </w:rPr>
        <w:t xml:space="preserve"> </w:t>
      </w:r>
      <w:r w:rsidRPr="0087668C">
        <w:rPr>
          <w:rFonts w:ascii="Cambria" w:hAnsi="Cambria"/>
          <w:sz w:val="16"/>
          <w:szCs w:val="16"/>
          <w:lang w:val="es-MX"/>
        </w:rPr>
        <w:t xml:space="preserve">CIDH. Informe No. 111/09. Caso 11.324. </w:t>
      </w:r>
      <w:r w:rsidRPr="0087668C">
        <w:rPr>
          <w:rFonts w:ascii="Cambria" w:hAnsi="Cambria"/>
          <w:sz w:val="16"/>
          <w:szCs w:val="16"/>
          <w:lang w:val="es-CO"/>
        </w:rPr>
        <w:t>Fondo. Narciso González Medina. República Dominicana. 10 de noviembre de 2009. Párr. 130; y</w:t>
      </w:r>
      <w:r w:rsidRPr="0087668C">
        <w:rPr>
          <w:rFonts w:ascii="Cambria" w:hAnsi="Cambria"/>
          <w:sz w:val="16"/>
          <w:szCs w:val="16"/>
          <w:lang w:val="es-MX"/>
        </w:rPr>
        <w:t xml:space="preserve"> Corte I.D.H., </w:t>
      </w:r>
      <w:r w:rsidRPr="0087668C">
        <w:rPr>
          <w:rFonts w:ascii="Cambria" w:hAnsi="Cambria"/>
          <w:bCs/>
          <w:sz w:val="16"/>
          <w:szCs w:val="16"/>
          <w:lang w:val="es-MX"/>
        </w:rPr>
        <w:t xml:space="preserve">Caso Anzualdo Castro Vs. </w:t>
      </w:r>
      <w:r w:rsidRPr="0087668C">
        <w:rPr>
          <w:rFonts w:ascii="Cambria" w:hAnsi="Cambria"/>
          <w:bCs/>
          <w:sz w:val="16"/>
          <w:szCs w:val="16"/>
          <w:lang w:val="es-ES"/>
        </w:rPr>
        <w:t xml:space="preserve">Perú. </w:t>
      </w:r>
      <w:r w:rsidRPr="0087668C">
        <w:rPr>
          <w:rFonts w:ascii="Cambria" w:hAnsi="Cambria"/>
          <w:sz w:val="16"/>
          <w:szCs w:val="16"/>
          <w:lang w:val="es-ES"/>
        </w:rPr>
        <w:t>Excepción Preliminar, Fondo, Reparaciones y Costas. Sentencia de 22 de Septiembre de 2009. Serie C No. 202, párr. 60</w:t>
      </w:r>
      <w:r w:rsidRPr="0087668C">
        <w:rPr>
          <w:rFonts w:ascii="Cambria" w:hAnsi="Cambria"/>
          <w:sz w:val="16"/>
          <w:szCs w:val="16"/>
          <w:lang w:val="es-ES_tradnl"/>
        </w:rPr>
        <w:t>.</w:t>
      </w:r>
    </w:p>
  </w:footnote>
  <w:footnote w:id="65">
    <w:p w14:paraId="62833E86"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Dicho artículo establece que los Estados partes en dicha Convención se comprometen a “sancionar en el ámbito de su jurisdicción a los autores, cómplices y encubridores del delito de desaparición forzada de personas, así como la tentativa de comisión del mismo”. </w:t>
      </w:r>
    </w:p>
  </w:footnote>
  <w:footnote w:id="66">
    <w:p w14:paraId="60029735" w14:textId="77777777" w:rsidR="00AF7404" w:rsidRPr="00D139CD" w:rsidRDefault="00AF7404" w:rsidP="00D139CD">
      <w:pPr>
        <w:tabs>
          <w:tab w:val="left" w:pos="900"/>
          <w:tab w:val="left" w:pos="1080"/>
        </w:tabs>
        <w:autoSpaceDE w:val="0"/>
        <w:autoSpaceDN w:val="0"/>
        <w:adjustRightInd w:val="0"/>
        <w:jc w:val="both"/>
        <w:rPr>
          <w:rFonts w:asciiTheme="majorHAnsi" w:hAnsiTheme="majorHAnsi"/>
          <w:color w:val="000000" w:themeColor="text1"/>
          <w:sz w:val="16"/>
          <w:szCs w:val="16"/>
          <w:lang w:val="es-ES"/>
        </w:rPr>
      </w:pPr>
      <w:r w:rsidRPr="00D139CD">
        <w:rPr>
          <w:rFonts w:asciiTheme="majorHAnsi" w:hAnsiTheme="majorHAnsi"/>
          <w:color w:val="000000" w:themeColor="text1"/>
          <w:sz w:val="16"/>
          <w:szCs w:val="16"/>
          <w:lang w:val="es-ES"/>
        </w:rPr>
        <w:t xml:space="preserve"> </w:t>
      </w: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CIDH. Informe No. 111/09. Caso 11.324. Fondo. Narciso González Medina. República Dominicana. 10 de noviembre de 2009. Párr. 225; Corte IDH. Caso Anzualdo Castro Vs. Perú. Excepción Preliminar, Fondo, Reparaciones y Costas. Sentencia de 22 de Septiembre de 2009. Serie C No. 202, párr. 134; </w:t>
      </w:r>
      <w:r w:rsidRPr="00D139CD">
        <w:rPr>
          <w:rFonts w:asciiTheme="majorHAnsi" w:hAnsiTheme="majorHAnsi"/>
          <w:bCs/>
          <w:color w:val="000000" w:themeColor="text1"/>
          <w:sz w:val="16"/>
          <w:szCs w:val="16"/>
          <w:lang w:val="es-ES"/>
        </w:rPr>
        <w:t xml:space="preserve">Caso Radilla Pacheco Vs. México. </w:t>
      </w:r>
      <w:r w:rsidRPr="00D139CD">
        <w:rPr>
          <w:rFonts w:asciiTheme="majorHAnsi" w:hAnsiTheme="majorHAnsi"/>
          <w:color w:val="000000" w:themeColor="text1"/>
          <w:sz w:val="16"/>
          <w:szCs w:val="16"/>
          <w:lang w:val="es-ES"/>
        </w:rPr>
        <w:t xml:space="preserve">Excepciones Preliminares, Fondo, Reparaciones y Costas. Sentencia de 23 de Noviembre de 2009. Serie C No. 209, párr. 221, </w:t>
      </w:r>
      <w:r w:rsidRPr="00D139CD">
        <w:rPr>
          <w:rFonts w:asciiTheme="majorHAnsi" w:hAnsiTheme="majorHAnsi"/>
          <w:bCs/>
          <w:color w:val="000000" w:themeColor="text1"/>
          <w:sz w:val="16"/>
          <w:szCs w:val="16"/>
          <w:lang w:val="es-ES"/>
        </w:rPr>
        <w:t xml:space="preserve">Caso Ibsen Cárdenas e Ibsen Peña Vs. Bolivia. </w:t>
      </w:r>
      <w:r w:rsidRPr="00D139CD">
        <w:rPr>
          <w:rFonts w:asciiTheme="majorHAnsi" w:hAnsiTheme="majorHAnsi"/>
          <w:color w:val="000000" w:themeColor="text1"/>
          <w:sz w:val="16"/>
          <w:szCs w:val="16"/>
          <w:lang w:val="es-ES"/>
        </w:rPr>
        <w:t xml:space="preserve">Fondo, Reparaciones y Costas. Sentencia de 1 de septiembre de 2010. Serie C No. 217, párr. 167. Ver también Asunto Natera Balboa. Medida Provisionales respecto de Venezuela. Resolución de la Corte de 1 de febrero de 2010, Considerando decimotercero, y Asunto Guerrero Larez. Medidas Provisionales respecto de Venezuela. Resolución de la Corte de 29 de agosto de 2013. Considerando sexto. </w:t>
      </w:r>
    </w:p>
  </w:footnote>
  <w:footnote w:id="67">
    <w:p w14:paraId="5E6FC81C"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Corte IDH. Caso Velásquez Rodríguez Vs Honduras. Excepciones Preliminares. Sentencia de 26 de junio de 1987. Serie C No. 1, párr. 91; Caso </w:t>
      </w:r>
      <w:r w:rsidRPr="00D139CD">
        <w:rPr>
          <w:rStyle w:val="Strong"/>
          <w:rFonts w:asciiTheme="majorHAnsi" w:hAnsiTheme="majorHAnsi"/>
          <w:b w:val="0"/>
          <w:color w:val="000000" w:themeColor="text1"/>
          <w:sz w:val="16"/>
          <w:szCs w:val="16"/>
          <w:lang w:val="es-ES"/>
        </w:rPr>
        <w:t>Gutiérrez y Familia Vs. Argentina. Fondo, Reparaciones y Costas. Sentencia de 25 de noviembre de 2013. Serie C No. 271,</w:t>
      </w:r>
      <w:r>
        <w:rPr>
          <w:rStyle w:val="Strong"/>
          <w:rFonts w:asciiTheme="majorHAnsi" w:hAnsiTheme="majorHAnsi"/>
          <w:b w:val="0"/>
          <w:color w:val="000000" w:themeColor="text1"/>
          <w:sz w:val="16"/>
          <w:szCs w:val="16"/>
          <w:lang w:val="es-ES"/>
        </w:rPr>
        <w:t xml:space="preserve"> </w:t>
      </w:r>
      <w:r w:rsidRPr="00D139CD">
        <w:rPr>
          <w:rFonts w:asciiTheme="majorHAnsi" w:hAnsiTheme="majorHAnsi"/>
          <w:color w:val="000000" w:themeColor="text1"/>
          <w:sz w:val="16"/>
          <w:szCs w:val="16"/>
          <w:lang w:val="es-ES"/>
        </w:rPr>
        <w:t>párr. 97; y Caso Hermanos Landaeta Mejías y otros Vs. Venezuela. Excepciones</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 xml:space="preserve">Preliminares, Fondo, Reparaciones y Costas. Sentencia de 27 de agosto de 2014. Serie C No. 281, párr. 215. </w:t>
      </w:r>
    </w:p>
  </w:footnote>
  <w:footnote w:id="68">
    <w:p w14:paraId="015CBDAE" w14:textId="77777777" w:rsidR="00AF7404" w:rsidRPr="00D139CD" w:rsidRDefault="00AF7404" w:rsidP="00D139CD">
      <w:pPr>
        <w:widowControl w:val="0"/>
        <w:tabs>
          <w:tab w:val="left" w:pos="567"/>
        </w:tabs>
        <w:autoSpaceDE w:val="0"/>
        <w:autoSpaceDN w:val="0"/>
        <w:adjustRightInd w:val="0"/>
        <w:jc w:val="both"/>
        <w:rPr>
          <w:rFonts w:asciiTheme="majorHAnsi" w:hAnsiTheme="majorHAnsi" w:cs="Calibri"/>
          <w:color w:val="000000" w:themeColor="text1"/>
          <w:sz w:val="16"/>
          <w:szCs w:val="16"/>
          <w:lang w:val="es-ES" w:eastAsia="es-ES"/>
        </w:rPr>
      </w:pPr>
      <w:r w:rsidRPr="00D139CD">
        <w:rPr>
          <w:rStyle w:val="FootnoteReference"/>
          <w:rFonts w:asciiTheme="majorHAnsi" w:hAnsiTheme="majorHAnsi"/>
          <w:color w:val="000000" w:themeColor="text1"/>
          <w:spacing w:val="-6"/>
          <w:sz w:val="16"/>
          <w:szCs w:val="16"/>
          <w:lang w:val="es-ES"/>
        </w:rPr>
        <w:footnoteRef/>
      </w:r>
      <w:r w:rsidRPr="00D139CD">
        <w:rPr>
          <w:rFonts w:asciiTheme="majorHAnsi" w:hAnsiTheme="majorHAnsi"/>
          <w:color w:val="000000" w:themeColor="text1"/>
          <w:spacing w:val="-6"/>
          <w:sz w:val="16"/>
          <w:szCs w:val="16"/>
          <w:lang w:val="es-ES"/>
        </w:rPr>
        <w:t xml:space="preserve"> </w:t>
      </w:r>
      <w:r w:rsidRPr="00D139CD">
        <w:rPr>
          <w:rFonts w:asciiTheme="majorHAnsi" w:hAnsiTheme="majorHAnsi" w:cs="Calibri"/>
          <w:color w:val="000000" w:themeColor="text1"/>
          <w:sz w:val="16"/>
          <w:szCs w:val="16"/>
          <w:lang w:val="es-ES" w:eastAsia="es-ES"/>
        </w:rPr>
        <w:t>Corte IDH. Caso</w:t>
      </w:r>
      <w:r>
        <w:rPr>
          <w:rFonts w:asciiTheme="majorHAnsi" w:hAnsiTheme="majorHAnsi" w:cs="Calibri"/>
          <w:color w:val="000000" w:themeColor="text1"/>
          <w:sz w:val="16"/>
          <w:szCs w:val="16"/>
          <w:lang w:val="es-ES" w:eastAsia="es-ES"/>
        </w:rPr>
        <w:t xml:space="preserve"> </w:t>
      </w:r>
      <w:r w:rsidRPr="00D139CD">
        <w:rPr>
          <w:rFonts w:asciiTheme="majorHAnsi" w:hAnsiTheme="majorHAnsi" w:cs="Calibri"/>
          <w:color w:val="000000" w:themeColor="text1"/>
          <w:sz w:val="16"/>
          <w:szCs w:val="16"/>
          <w:lang w:val="es-ES" w:eastAsia="es-ES"/>
        </w:rPr>
        <w:t>Velásquez Rodríguez. Vs. Honduras. Fondo. Sentencia de 29 de julio de 1988. Serie C No. 1, párr. 177;y Caso Veliz Franco y otros Vs. Guatemala. Excepciones Preliminares, Fondo, Reparaciones y Costas. Sentencia de 19 de mayo de 2014. Serie C No. 277, párr. 183.</w:t>
      </w:r>
    </w:p>
  </w:footnote>
  <w:footnote w:id="69">
    <w:p w14:paraId="5DE57814"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Corte IDH. Caso Myrna Mack Chang Vs. Guatemala. Fondo, Reparaciones y Costas. Sentencia de 25 de noviembre de 2003. Serie C No. 101, párr. 156; y Caso de las Comunidades Afrodescendientes Desplazadas de la Cuenca del Río Cacarica (Operación Génesis) Vs. Colombia. Excepciones Preliminares, Fondo, Reparaciones y Costas. Sentencia de 20 de noviembre de 2013. Serie C No. 270, párr. 371.</w:t>
      </w:r>
    </w:p>
  </w:footnote>
  <w:footnote w:id="70">
    <w:p w14:paraId="473C7620" w14:textId="77777777" w:rsidR="00AF7404" w:rsidRPr="00D139CD" w:rsidRDefault="00AF7404" w:rsidP="00D139CD">
      <w:pPr>
        <w:tabs>
          <w:tab w:val="left" w:pos="567"/>
        </w:tabs>
        <w:jc w:val="both"/>
        <w:rPr>
          <w:rFonts w:asciiTheme="majorHAnsi" w:hAnsiTheme="majorHAnsi" w:cs="Calibri"/>
          <w:color w:val="000000" w:themeColor="text1"/>
          <w:sz w:val="16"/>
          <w:szCs w:val="16"/>
          <w:lang w:val="es-ES" w:eastAsia="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s="Calibri"/>
          <w:color w:val="000000" w:themeColor="text1"/>
          <w:sz w:val="16"/>
          <w:szCs w:val="16"/>
          <w:lang w:val="es-ES" w:eastAsia="es-ES"/>
        </w:rPr>
        <w:t xml:space="preserve"> Corte IDH. Caso Velásquez Rodríguez Vs. Honduras. Fondo. Sentencia de 29 de julio de 1988. Serie C No. 1, párr. 177;y Caso Veliz Franco y otros Vs. Guatemala. Excepciones Preliminares. Fondo, Reparaciones y Costas. Sentencia de 19 de mayo de 2014. Serie C No. 277, párr.183.</w:t>
      </w:r>
    </w:p>
  </w:footnote>
  <w:footnote w:id="71">
    <w:p w14:paraId="758C8D47" w14:textId="77777777" w:rsidR="00AF7404" w:rsidRPr="00D139CD" w:rsidRDefault="00AF7404" w:rsidP="00D139CD">
      <w:pPr>
        <w:widowControl w:val="0"/>
        <w:tabs>
          <w:tab w:val="left" w:pos="567"/>
        </w:tabs>
        <w:autoSpaceDE w:val="0"/>
        <w:autoSpaceDN w:val="0"/>
        <w:adjustRightInd w:val="0"/>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Corte IDH. Caso de las Masacres de Ituango vs. Colombia. Sentencia de 1 de julio de 2006, Serie C. No. 148, párr. 319;Caso Veliz Franco </w:t>
      </w:r>
      <w:r w:rsidRPr="00D139CD">
        <w:rPr>
          <w:rFonts w:asciiTheme="majorHAnsi" w:hAnsiTheme="majorHAnsi" w:cs="Verdana"/>
          <w:color w:val="000000" w:themeColor="text1"/>
          <w:sz w:val="16"/>
          <w:szCs w:val="16"/>
          <w:lang w:val="es-ES"/>
        </w:rPr>
        <w:t xml:space="preserve">y otros Vs. Guatemala. Excepciones Preliminares, Fondo, Reparaciones y Costas. Sentencia de 19 de mayo de 2014. Serie C No. 277, párr. 183; y </w:t>
      </w:r>
      <w:r w:rsidRPr="00D139CD">
        <w:rPr>
          <w:rFonts w:asciiTheme="majorHAnsi" w:hAnsiTheme="majorHAnsi"/>
          <w:color w:val="000000" w:themeColor="text1"/>
          <w:sz w:val="16"/>
          <w:szCs w:val="16"/>
          <w:lang w:val="es-ES"/>
        </w:rPr>
        <w:t>Caso Hermanos Landaeta Mejías y otros Vs. Venezuela. Excepciones</w:t>
      </w:r>
      <w:r>
        <w:rPr>
          <w:rFonts w:asciiTheme="majorHAnsi" w:hAnsiTheme="majorHAnsi"/>
          <w:color w:val="000000" w:themeColor="text1"/>
          <w:sz w:val="16"/>
          <w:szCs w:val="16"/>
          <w:lang w:val="es-ES"/>
        </w:rPr>
        <w:t xml:space="preserve"> </w:t>
      </w:r>
      <w:r w:rsidRPr="00D139CD">
        <w:rPr>
          <w:rFonts w:asciiTheme="majorHAnsi" w:hAnsiTheme="majorHAnsi"/>
          <w:color w:val="000000" w:themeColor="text1"/>
          <w:sz w:val="16"/>
          <w:szCs w:val="16"/>
          <w:lang w:val="es-ES"/>
        </w:rPr>
        <w:t xml:space="preserve">Preliminares, Fondo, Reparaciones y Costas. Sentencia de 27 de agosto de 2014. Serie C No. 281, párr., 216. </w:t>
      </w:r>
    </w:p>
  </w:footnote>
  <w:footnote w:id="72">
    <w:p w14:paraId="2C14CCF6"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Corte IDH. Caso Cantoral Huamaní y García Santa Cruz Vs. Perú. Excepción Preliminar, Fondo, Reparaciones y Costas. Sentencia de 10 de julio de 2007. Serie C No. 167, párr. 131.</w:t>
      </w:r>
    </w:p>
  </w:footnote>
  <w:footnote w:id="73">
    <w:p w14:paraId="3507D00F" w14:textId="77777777" w:rsidR="00AF7404" w:rsidRPr="0060704A" w:rsidRDefault="00AF7404" w:rsidP="00D139CD">
      <w:pPr>
        <w:jc w:val="both"/>
        <w:rPr>
          <w:rFonts w:asciiTheme="majorHAnsi" w:hAnsiTheme="majorHAnsi"/>
          <w:color w:val="000000" w:themeColor="text1"/>
          <w:sz w:val="16"/>
          <w:szCs w:val="16"/>
          <w:lang w:val="pt-BR"/>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CIDH. Informe de Fondo, N˚ 55/97, Juan Carlos Abella y Otros (Argentina), 18 de noviembre de 1997, párr. </w:t>
      </w:r>
      <w:r w:rsidRPr="0060704A">
        <w:rPr>
          <w:rFonts w:asciiTheme="majorHAnsi" w:hAnsiTheme="majorHAnsi"/>
          <w:color w:val="000000" w:themeColor="text1"/>
          <w:sz w:val="16"/>
          <w:szCs w:val="16"/>
          <w:lang w:val="pt-BR"/>
        </w:rPr>
        <w:t>412.</w:t>
      </w:r>
    </w:p>
  </w:footnote>
  <w:footnote w:id="74">
    <w:p w14:paraId="07C5AF5C"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60704A">
        <w:rPr>
          <w:rFonts w:asciiTheme="majorHAnsi" w:hAnsiTheme="majorHAnsi"/>
          <w:color w:val="000000" w:themeColor="text1"/>
          <w:sz w:val="16"/>
          <w:szCs w:val="16"/>
          <w:lang w:val="pt-BR"/>
        </w:rPr>
        <w:t xml:space="preserve"> CIDH. Informe No. 25/09 Fondo (Sebastião Camargo Filho) Brasil, 19 de marzo de 2009, párr. </w:t>
      </w:r>
      <w:r w:rsidRPr="00D139CD">
        <w:rPr>
          <w:rFonts w:asciiTheme="majorHAnsi" w:hAnsiTheme="majorHAnsi"/>
          <w:color w:val="000000" w:themeColor="text1"/>
          <w:sz w:val="16"/>
          <w:szCs w:val="16"/>
          <w:lang w:val="es-ES"/>
        </w:rPr>
        <w:t>109. Ver también, CIDH, Acceso a la Justicia para las Mujeres Víctimas de Violencia en las Américas, OEA/Ser. L/V/II. doc.68, 20 de enero de 2007, párr. 41.</w:t>
      </w:r>
    </w:p>
  </w:footnote>
  <w:footnote w:id="75">
    <w:p w14:paraId="45E52314"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Corte IDH. </w:t>
      </w:r>
      <w:r w:rsidRPr="00D139CD">
        <w:rPr>
          <w:rFonts w:asciiTheme="majorHAnsi" w:hAnsiTheme="majorHAnsi"/>
          <w:iCs/>
          <w:color w:val="000000" w:themeColor="text1"/>
          <w:sz w:val="16"/>
          <w:szCs w:val="16"/>
          <w:lang w:val="es-ES"/>
        </w:rPr>
        <w:t>Caso de los “Niños de la Calle” (Villagrán Morales y otros).</w:t>
      </w:r>
      <w:r w:rsidRPr="00D139CD">
        <w:rPr>
          <w:rFonts w:asciiTheme="majorHAnsi" w:hAnsiTheme="majorHAnsi"/>
          <w:color w:val="000000" w:themeColor="text1"/>
          <w:sz w:val="16"/>
          <w:szCs w:val="16"/>
          <w:lang w:val="es-ES"/>
        </w:rPr>
        <w:t xml:space="preserve"> Sentencia de 19 de noviembre de 1999. Serie C No. 63, párr. 230. Ver también, CIDH, Acceso a la Justicia para las Mujeres Víctimas de Violencia en las Américas, OEA/Ser. L/V/II. doc.68, 20 de enero de 2007, párr. 41.</w:t>
      </w:r>
    </w:p>
  </w:footnote>
  <w:footnote w:id="76">
    <w:p w14:paraId="027F9B20"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s="Arial"/>
          <w:color w:val="000000" w:themeColor="text1"/>
          <w:sz w:val="16"/>
          <w:szCs w:val="16"/>
          <w:lang w:val="es-ES"/>
        </w:rPr>
        <w:t xml:space="preserve"> CIDH. Informe No. 111/10, Caso 12.539, Fondo, Sebastián Claus Furlan y familia, Argentina, 21 de octubre de 2010, párr. 100. Corte IDH, </w:t>
      </w:r>
      <w:r w:rsidRPr="00D139CD">
        <w:rPr>
          <w:rFonts w:asciiTheme="majorHAnsi" w:hAnsiTheme="majorHAnsi" w:cs="Arial"/>
          <w:color w:val="000000" w:themeColor="text1"/>
          <w:sz w:val="16"/>
          <w:szCs w:val="16"/>
          <w:shd w:val="clear" w:color="auto" w:fill="FFFFFF"/>
          <w:lang w:val="es-ES"/>
        </w:rPr>
        <w:t>Caso Masacre de Santo Domingo Vs. Colombia. Excepciones Preliminares, Fondo y Reparaciones. Sentencia de 30 de noviembre de 2012. Serie C No. 259,</w:t>
      </w:r>
      <w:r w:rsidRPr="00D139CD">
        <w:rPr>
          <w:rFonts w:asciiTheme="majorHAnsi" w:hAnsiTheme="majorHAnsi" w:cs="Arial"/>
          <w:color w:val="000000" w:themeColor="text1"/>
          <w:sz w:val="16"/>
          <w:szCs w:val="16"/>
          <w:lang w:val="es-ES"/>
        </w:rPr>
        <w:t xml:space="preserve"> párr. 164.</w:t>
      </w:r>
    </w:p>
  </w:footnote>
  <w:footnote w:id="77">
    <w:p w14:paraId="746EBA77"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Corte IDH. </w:t>
      </w:r>
      <w:r w:rsidRPr="00D139CD">
        <w:rPr>
          <w:rFonts w:asciiTheme="majorHAnsi" w:hAnsiTheme="majorHAnsi"/>
          <w:iCs/>
          <w:color w:val="000000" w:themeColor="text1"/>
          <w:sz w:val="16"/>
          <w:szCs w:val="16"/>
          <w:lang w:val="es-ES"/>
        </w:rPr>
        <w:t>Caso García Asto y Ramírez Rojas Vs. Perú</w:t>
      </w:r>
      <w:r w:rsidRPr="00D139CD">
        <w:rPr>
          <w:rFonts w:asciiTheme="majorHAnsi" w:hAnsiTheme="majorHAnsi"/>
          <w:color w:val="000000" w:themeColor="text1"/>
          <w:sz w:val="16"/>
          <w:szCs w:val="16"/>
          <w:lang w:val="es-ES"/>
        </w:rPr>
        <w:t xml:space="preserve">. Sentencia de 25 de noviembre de 2005. Serie C No. 137, párr. 166; </w:t>
      </w:r>
      <w:r w:rsidRPr="00D139CD">
        <w:rPr>
          <w:rFonts w:asciiTheme="majorHAnsi" w:hAnsiTheme="majorHAnsi"/>
          <w:iCs/>
          <w:color w:val="000000" w:themeColor="text1"/>
          <w:sz w:val="16"/>
          <w:szCs w:val="16"/>
          <w:lang w:val="es-ES"/>
        </w:rPr>
        <w:t>Caso Gómez Palomino Vs. Perú</w:t>
      </w:r>
      <w:r w:rsidRPr="00D139CD">
        <w:rPr>
          <w:rFonts w:asciiTheme="majorHAnsi" w:hAnsiTheme="majorHAnsi"/>
          <w:color w:val="000000" w:themeColor="text1"/>
          <w:sz w:val="16"/>
          <w:szCs w:val="16"/>
          <w:lang w:val="es-ES"/>
        </w:rPr>
        <w:t xml:space="preserve">. Sentencia de 22 de noviembre de 2005. Serie C No. 136, párr. 85; </w:t>
      </w:r>
      <w:r w:rsidRPr="00D139CD">
        <w:rPr>
          <w:rFonts w:asciiTheme="majorHAnsi" w:hAnsiTheme="majorHAnsi"/>
          <w:iCs/>
          <w:color w:val="000000" w:themeColor="text1"/>
          <w:sz w:val="16"/>
          <w:szCs w:val="16"/>
          <w:lang w:val="es-ES"/>
        </w:rPr>
        <w:t>Caso de la Comunidad Moiwana Vs. Surinam</w:t>
      </w:r>
      <w:r w:rsidRPr="00D139CD">
        <w:rPr>
          <w:rFonts w:asciiTheme="majorHAnsi" w:hAnsiTheme="majorHAnsi"/>
          <w:color w:val="000000" w:themeColor="text1"/>
          <w:sz w:val="16"/>
          <w:szCs w:val="16"/>
          <w:lang w:val="es-ES"/>
        </w:rPr>
        <w:t>. Sentencia de 15 de junio de 2005. Serie C No. 124, párr. 160.</w:t>
      </w:r>
    </w:p>
  </w:footnote>
  <w:footnote w:id="78">
    <w:p w14:paraId="56F46F00"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Corte IDH. </w:t>
      </w:r>
      <w:r w:rsidRPr="00D139CD">
        <w:rPr>
          <w:rFonts w:asciiTheme="majorHAnsi" w:hAnsiTheme="majorHAnsi"/>
          <w:iCs/>
          <w:color w:val="000000" w:themeColor="text1"/>
          <w:sz w:val="16"/>
          <w:szCs w:val="16"/>
          <w:lang w:val="es-ES"/>
        </w:rPr>
        <w:t>Caso Ricardo Canese Vs. Paraguay</w:t>
      </w:r>
      <w:r w:rsidRPr="00D139CD">
        <w:rPr>
          <w:rFonts w:asciiTheme="majorHAnsi" w:hAnsiTheme="majorHAnsi"/>
          <w:color w:val="000000" w:themeColor="text1"/>
          <w:sz w:val="16"/>
          <w:szCs w:val="16"/>
          <w:lang w:val="es-ES"/>
        </w:rPr>
        <w:t xml:space="preserve">. Sentencia de 31 de agosto de 2004. Serie C No. 111, </w:t>
      </w:r>
      <w:r w:rsidRPr="00D139CD">
        <w:rPr>
          <w:rFonts w:asciiTheme="majorHAnsi" w:hAnsiTheme="majorHAnsi"/>
          <w:color w:val="000000" w:themeColor="text1"/>
          <w:sz w:val="16"/>
          <w:szCs w:val="16"/>
          <w:lang w:val="es-ES"/>
        </w:rPr>
        <w:br/>
        <w:t>párr. 142.</w:t>
      </w:r>
    </w:p>
    <w:p w14:paraId="7A534902" w14:textId="77777777" w:rsidR="00AF7404" w:rsidRPr="00D139CD" w:rsidRDefault="00AF7404" w:rsidP="00D139CD">
      <w:pPr>
        <w:pStyle w:val="FootnoteText"/>
        <w:jc w:val="both"/>
        <w:rPr>
          <w:rFonts w:asciiTheme="majorHAnsi" w:hAnsiTheme="majorHAnsi"/>
          <w:color w:val="000000" w:themeColor="text1"/>
          <w:sz w:val="16"/>
          <w:szCs w:val="16"/>
          <w:lang w:val="es-ES"/>
        </w:rPr>
      </w:pPr>
    </w:p>
    <w:p w14:paraId="6824D526" w14:textId="77777777" w:rsidR="00AF7404" w:rsidRPr="00D139CD" w:rsidRDefault="00AF7404" w:rsidP="00D139CD">
      <w:pPr>
        <w:pStyle w:val="FootnoteText"/>
        <w:jc w:val="both"/>
        <w:rPr>
          <w:rFonts w:asciiTheme="majorHAnsi" w:hAnsiTheme="majorHAnsi"/>
          <w:color w:val="000000" w:themeColor="text1"/>
          <w:sz w:val="16"/>
          <w:szCs w:val="16"/>
          <w:lang w:val="es-ES"/>
        </w:rPr>
      </w:pPr>
    </w:p>
  </w:footnote>
  <w:footnote w:id="79">
    <w:p w14:paraId="681203B8" w14:textId="77777777" w:rsidR="00AF7404" w:rsidRPr="00D139CD" w:rsidRDefault="00AF7404" w:rsidP="00D139CD">
      <w:pPr>
        <w:tabs>
          <w:tab w:val="left" w:pos="900"/>
          <w:tab w:val="left" w:pos="1080"/>
        </w:tabs>
        <w:jc w:val="both"/>
        <w:rPr>
          <w:rFonts w:asciiTheme="majorHAnsi" w:hAnsiTheme="majorHAnsi"/>
          <w:color w:val="000000" w:themeColor="text1"/>
          <w:sz w:val="16"/>
          <w:szCs w:val="16"/>
          <w:lang w:val="es-ES"/>
        </w:rPr>
      </w:pPr>
      <w:r w:rsidRPr="00D139CD">
        <w:rPr>
          <w:rStyle w:val="FootnoteReference"/>
          <w:rFonts w:asciiTheme="majorHAnsi" w:hAnsiTheme="majorHAnsi" w:cs="Arial"/>
          <w:color w:val="000000" w:themeColor="text1"/>
          <w:sz w:val="16"/>
          <w:szCs w:val="16"/>
          <w:lang w:val="es-ES"/>
        </w:rPr>
        <w:footnoteRef/>
      </w:r>
      <w:r w:rsidRPr="00D139CD">
        <w:rPr>
          <w:rFonts w:asciiTheme="majorHAnsi" w:hAnsiTheme="majorHAnsi" w:cs="Arial"/>
          <w:color w:val="000000" w:themeColor="text1"/>
          <w:sz w:val="16"/>
          <w:szCs w:val="16"/>
          <w:lang w:val="es-ES"/>
        </w:rPr>
        <w:t xml:space="preserve"> </w:t>
      </w:r>
      <w:r w:rsidRPr="00D139CD">
        <w:rPr>
          <w:rFonts w:asciiTheme="majorHAnsi" w:hAnsiTheme="majorHAnsi"/>
          <w:color w:val="000000" w:themeColor="text1"/>
          <w:sz w:val="16"/>
          <w:szCs w:val="16"/>
          <w:lang w:val="es-ES"/>
        </w:rPr>
        <w:t xml:space="preserve">CIDH. Informe No. 11/10. Caso 12.488. Fondo. Miembros de la Familia Barrios. Venezuela. 16 de marzo de 2010. 91. CIDH. Informe sobre Terrorismo y Derechos Humanos. Párr. 227; </w:t>
      </w:r>
      <w:r w:rsidRPr="00D139CD">
        <w:rPr>
          <w:rFonts w:asciiTheme="majorHAnsi" w:hAnsiTheme="majorHAnsi" w:cs="Arial"/>
          <w:color w:val="000000" w:themeColor="text1"/>
          <w:sz w:val="16"/>
          <w:szCs w:val="16"/>
          <w:lang w:val="es-ES"/>
        </w:rPr>
        <w:t xml:space="preserve">Corte IDH. </w:t>
      </w:r>
      <w:r w:rsidRPr="00D139CD">
        <w:rPr>
          <w:rFonts w:asciiTheme="majorHAnsi" w:hAnsiTheme="majorHAnsi" w:cs="Arial"/>
          <w:bCs/>
          <w:color w:val="000000" w:themeColor="text1"/>
          <w:sz w:val="16"/>
          <w:szCs w:val="16"/>
          <w:lang w:val="es-ES"/>
        </w:rPr>
        <w:t xml:space="preserve">Caso Cantoral Huamaní y García Santa Cruz Vs. Perú. </w:t>
      </w:r>
      <w:r w:rsidRPr="00D139CD">
        <w:rPr>
          <w:rFonts w:asciiTheme="majorHAnsi" w:hAnsiTheme="majorHAnsi" w:cs="Arial"/>
          <w:color w:val="000000" w:themeColor="text1"/>
          <w:sz w:val="16"/>
          <w:szCs w:val="16"/>
          <w:lang w:val="es-ES"/>
        </w:rPr>
        <w:t xml:space="preserve">Excepción Preliminar, Fondo, Reparaciones y Costas. Sentencia de 10 de julio de 2007. Serie C No. 167. párr. 112; y Caso Bueno Alves Vs. Argentina. Fondo, Reparaciones y Costas. Sentencia de 11 de mayo de 2007. Serie C. No. 164. párr. 102. </w:t>
      </w:r>
    </w:p>
  </w:footnote>
  <w:footnote w:id="80">
    <w:p w14:paraId="16259FC9" w14:textId="77777777" w:rsidR="00AF7404" w:rsidRPr="00D139CD" w:rsidRDefault="00AF7404" w:rsidP="00D139CD">
      <w:pPr>
        <w:tabs>
          <w:tab w:val="left" w:pos="1080"/>
        </w:tabs>
        <w:jc w:val="both"/>
        <w:rPr>
          <w:rFonts w:asciiTheme="majorHAnsi" w:hAnsiTheme="majorHAnsi"/>
          <w:color w:val="000000" w:themeColor="text1"/>
          <w:sz w:val="16"/>
          <w:szCs w:val="16"/>
          <w:lang w:val="es-ES"/>
        </w:rPr>
      </w:pPr>
      <w:r w:rsidRPr="00D139CD">
        <w:rPr>
          <w:rStyle w:val="FootnoteReference"/>
          <w:rFonts w:asciiTheme="majorHAnsi" w:hAnsiTheme="majorHAnsi" w:cs="Arial"/>
          <w:color w:val="000000" w:themeColor="text1"/>
          <w:sz w:val="16"/>
          <w:szCs w:val="16"/>
          <w:lang w:val="es-ES"/>
        </w:rPr>
        <w:footnoteRef/>
      </w:r>
      <w:r w:rsidRPr="00D139CD">
        <w:rPr>
          <w:rFonts w:asciiTheme="majorHAnsi" w:hAnsiTheme="majorHAnsi" w:cs="Arial"/>
          <w:color w:val="000000" w:themeColor="text1"/>
          <w:sz w:val="16"/>
          <w:szCs w:val="16"/>
          <w:lang w:val="es-ES"/>
        </w:rPr>
        <w:t xml:space="preserve"> Corte IDH. Caso Vargas Areco Vs. Paraguay. Sentencia de 26 de septiembre de 2006. Serie C No. 155. párr. 96.</w:t>
      </w:r>
    </w:p>
  </w:footnote>
  <w:footnote w:id="81">
    <w:p w14:paraId="3C6F91C0" w14:textId="77777777" w:rsidR="00AF7404" w:rsidRPr="00D139CD" w:rsidRDefault="00AF7404" w:rsidP="00D139CD">
      <w:pPr>
        <w:pStyle w:val="FootnoteText"/>
        <w:jc w:val="both"/>
        <w:rPr>
          <w:rFonts w:asciiTheme="majorHAnsi" w:hAnsiTheme="majorHAnsi"/>
          <w:color w:val="000000" w:themeColor="text1"/>
          <w:sz w:val="16"/>
          <w:szCs w:val="16"/>
          <w:lang w:val="es-ES"/>
        </w:rPr>
      </w:pPr>
      <w:r w:rsidRPr="00D139CD">
        <w:rPr>
          <w:rStyle w:val="FootnoteReference"/>
          <w:rFonts w:asciiTheme="majorHAnsi" w:hAnsiTheme="majorHAnsi"/>
          <w:color w:val="000000" w:themeColor="text1"/>
          <w:sz w:val="16"/>
          <w:szCs w:val="16"/>
          <w:lang w:val="es-ES"/>
        </w:rPr>
        <w:footnoteRef/>
      </w:r>
      <w:r w:rsidRPr="00D139CD">
        <w:rPr>
          <w:rFonts w:asciiTheme="majorHAnsi" w:hAnsiTheme="majorHAnsi"/>
          <w:color w:val="000000" w:themeColor="text1"/>
          <w:sz w:val="16"/>
          <w:szCs w:val="16"/>
          <w:lang w:val="es-ES"/>
        </w:rPr>
        <w:t xml:space="preserve"> Corte IDH. </w:t>
      </w:r>
      <w:r w:rsidRPr="00D139CD">
        <w:rPr>
          <w:rFonts w:asciiTheme="majorHAnsi" w:hAnsiTheme="majorHAnsi"/>
          <w:iCs/>
          <w:color w:val="000000" w:themeColor="text1"/>
          <w:sz w:val="16"/>
          <w:szCs w:val="16"/>
          <w:lang w:val="es-ES"/>
        </w:rPr>
        <w:t>Caso Blake Vs. Guatemala</w:t>
      </w:r>
      <w:r w:rsidRPr="00D139CD">
        <w:rPr>
          <w:rFonts w:asciiTheme="majorHAnsi" w:hAnsiTheme="majorHAnsi"/>
          <w:color w:val="000000" w:themeColor="text1"/>
          <w:sz w:val="16"/>
          <w:szCs w:val="16"/>
          <w:lang w:val="es-ES"/>
        </w:rPr>
        <w:t xml:space="preserve">. Fondo. Sentencia de 24 de enero de 1998. Serie C No. 36, párr. 114; </w:t>
      </w:r>
      <w:r w:rsidRPr="00D139CD">
        <w:rPr>
          <w:rFonts w:asciiTheme="majorHAnsi" w:hAnsiTheme="majorHAnsi"/>
          <w:iCs/>
          <w:color w:val="000000" w:themeColor="text1"/>
          <w:sz w:val="16"/>
          <w:szCs w:val="16"/>
          <w:lang w:val="es-ES"/>
        </w:rPr>
        <w:t>Caso Ticona Estrada Vs. Bolivia</w:t>
      </w:r>
      <w:r w:rsidRPr="00D139CD">
        <w:rPr>
          <w:rFonts w:asciiTheme="majorHAnsi" w:hAnsiTheme="majorHAnsi"/>
          <w:color w:val="000000" w:themeColor="text1"/>
          <w:sz w:val="16"/>
          <w:szCs w:val="16"/>
          <w:lang w:val="es-ES"/>
        </w:rPr>
        <w:t xml:space="preserve">. Fondo, Reparaciones y Costas. Sentencia de 27 de noviembre de 2008. Serie C No. 191, párr. 87; </w:t>
      </w:r>
      <w:r w:rsidRPr="00D139CD">
        <w:rPr>
          <w:rFonts w:asciiTheme="majorHAnsi" w:hAnsiTheme="majorHAnsi"/>
          <w:iCs/>
          <w:color w:val="000000" w:themeColor="text1"/>
          <w:sz w:val="16"/>
          <w:szCs w:val="16"/>
          <w:lang w:val="es-ES"/>
        </w:rPr>
        <w:t>Caso La Cantuta Vs. Perú</w:t>
      </w:r>
      <w:r w:rsidRPr="00D139CD">
        <w:rPr>
          <w:rFonts w:asciiTheme="majorHAnsi" w:hAnsiTheme="majorHAnsi"/>
          <w:color w:val="000000" w:themeColor="text1"/>
          <w:sz w:val="16"/>
          <w:szCs w:val="16"/>
          <w:lang w:val="es-ES"/>
        </w:rPr>
        <w:t xml:space="preserve">. Fondo, Reparaciones y Costas. Sentencia de 29 de 2006. Serie C No. 162, párr. 123 y </w:t>
      </w:r>
      <w:r w:rsidRPr="00D139CD">
        <w:rPr>
          <w:rFonts w:asciiTheme="majorHAnsi" w:hAnsiTheme="majorHAnsi"/>
          <w:iCs/>
          <w:color w:val="000000" w:themeColor="text1"/>
          <w:sz w:val="16"/>
          <w:szCs w:val="16"/>
          <w:lang w:val="es-ES"/>
        </w:rPr>
        <w:t>Caso Anzualdo Castro Vs. Perú</w:t>
      </w:r>
      <w:r w:rsidRPr="00D139CD">
        <w:rPr>
          <w:rFonts w:asciiTheme="majorHAnsi" w:hAnsiTheme="majorHAnsi"/>
          <w:color w:val="000000" w:themeColor="text1"/>
          <w:sz w:val="16"/>
          <w:szCs w:val="16"/>
          <w:lang w:val="es-ES"/>
        </w:rPr>
        <w:t>, Sentencia de 22 de septiembre de 2009, Serie C No. 202, párr. 105.</w:t>
      </w:r>
    </w:p>
  </w:footnote>
  <w:footnote w:id="82">
    <w:p w14:paraId="1F374147" w14:textId="77777777" w:rsidR="00AF7404" w:rsidRPr="007F3D68" w:rsidRDefault="00AF7404" w:rsidP="00722BB3">
      <w:pPr>
        <w:pStyle w:val="FootnoteText"/>
        <w:spacing w:after="120"/>
        <w:jc w:val="both"/>
        <w:rPr>
          <w:rFonts w:asciiTheme="majorHAnsi" w:hAnsiTheme="majorHAnsi"/>
          <w:sz w:val="16"/>
          <w:szCs w:val="16"/>
          <w:lang w:val="es-ES"/>
        </w:rPr>
      </w:pPr>
      <w:r w:rsidRPr="007F3D68">
        <w:rPr>
          <w:rStyle w:val="FootnoteReference"/>
          <w:rFonts w:asciiTheme="majorHAnsi" w:hAnsiTheme="majorHAnsi"/>
          <w:sz w:val="16"/>
          <w:szCs w:val="16"/>
          <w:lang w:val="es-ES"/>
        </w:rPr>
        <w:footnoteRef/>
      </w:r>
      <w:r w:rsidRPr="007F3D68">
        <w:rPr>
          <w:rFonts w:asciiTheme="majorHAnsi" w:hAnsiTheme="majorHAnsi"/>
          <w:sz w:val="16"/>
          <w:szCs w:val="16"/>
          <w:lang w:val="es-ES"/>
        </w:rPr>
        <w:t xml:space="preserve"> Corte IDH, </w:t>
      </w:r>
      <w:r w:rsidRPr="007F3D68">
        <w:rPr>
          <w:rFonts w:asciiTheme="majorHAnsi" w:hAnsiTheme="majorHAnsi"/>
          <w:bCs/>
          <w:i/>
          <w:sz w:val="16"/>
          <w:szCs w:val="16"/>
          <w:lang w:val="es-ES"/>
        </w:rPr>
        <w:t>Caso Baldeón García</w:t>
      </w:r>
      <w:r w:rsidRPr="007F3D68">
        <w:rPr>
          <w:rFonts w:asciiTheme="majorHAnsi" w:hAnsiTheme="majorHAnsi"/>
          <w:bCs/>
          <w:sz w:val="16"/>
          <w:szCs w:val="16"/>
          <w:lang w:val="es-ES"/>
        </w:rPr>
        <w:t>.</w:t>
      </w:r>
      <w:r w:rsidRPr="007F3D68">
        <w:rPr>
          <w:rFonts w:asciiTheme="majorHAnsi" w:hAnsiTheme="majorHAnsi"/>
          <w:b/>
          <w:bCs/>
          <w:sz w:val="16"/>
          <w:szCs w:val="16"/>
          <w:lang w:val="es-ES"/>
        </w:rPr>
        <w:t xml:space="preserve"> </w:t>
      </w:r>
      <w:r w:rsidRPr="007F3D68">
        <w:rPr>
          <w:rFonts w:asciiTheme="majorHAnsi" w:hAnsiTheme="majorHAnsi"/>
          <w:sz w:val="16"/>
          <w:szCs w:val="16"/>
          <w:lang w:val="es-ES"/>
        </w:rPr>
        <w:t xml:space="preserve">Fondo, Reparaciones y Costas. Sentencia de 6 de abril de 2006. Serie C No. 147, párr. 156; </w:t>
      </w:r>
      <w:r w:rsidRPr="007F3D68">
        <w:rPr>
          <w:rFonts w:asciiTheme="majorHAnsi" w:hAnsiTheme="majorHAnsi"/>
          <w:bCs/>
          <w:i/>
          <w:sz w:val="16"/>
          <w:szCs w:val="16"/>
          <w:lang w:val="es-ES"/>
        </w:rPr>
        <w:t>Caso Gutiérrez Soler</w:t>
      </w:r>
      <w:r w:rsidRPr="007F3D68">
        <w:rPr>
          <w:rFonts w:asciiTheme="majorHAnsi" w:hAnsiTheme="majorHAnsi"/>
          <w:bCs/>
          <w:sz w:val="16"/>
          <w:szCs w:val="16"/>
          <w:lang w:val="es-ES"/>
        </w:rPr>
        <w:t>.</w:t>
      </w:r>
      <w:r w:rsidRPr="007F3D68">
        <w:rPr>
          <w:rFonts w:asciiTheme="majorHAnsi" w:hAnsiTheme="majorHAnsi"/>
          <w:b/>
          <w:bCs/>
          <w:sz w:val="16"/>
          <w:szCs w:val="16"/>
          <w:lang w:val="es-ES"/>
        </w:rPr>
        <w:t xml:space="preserve"> </w:t>
      </w:r>
      <w:r w:rsidRPr="007F3D68">
        <w:rPr>
          <w:rFonts w:asciiTheme="majorHAnsi" w:hAnsiTheme="majorHAnsi"/>
          <w:sz w:val="16"/>
          <w:szCs w:val="16"/>
          <w:lang w:val="es-ES"/>
        </w:rPr>
        <w:t xml:space="preserve">Fondo, Reparaciones y Costas. Sentencia de 12 de septiembre de 2005. Serie C No. 132, párr. 54; </w:t>
      </w:r>
      <w:r w:rsidRPr="007F3D68">
        <w:rPr>
          <w:rFonts w:asciiTheme="majorHAnsi" w:hAnsiTheme="majorHAnsi"/>
          <w:i/>
          <w:sz w:val="16"/>
          <w:szCs w:val="16"/>
          <w:lang w:val="es-ES"/>
        </w:rPr>
        <w:t>Caso Tibi</w:t>
      </w:r>
      <w:r w:rsidRPr="007F3D68">
        <w:rPr>
          <w:rFonts w:asciiTheme="majorHAnsi" w:hAnsiTheme="majorHAnsi"/>
          <w:sz w:val="16"/>
          <w:szCs w:val="16"/>
          <w:lang w:val="es-ES"/>
        </w:rPr>
        <w:t xml:space="preserve">. Sentencia de 7 de septiembre de 2004. Serie C No. 114, párr. 159 y </w:t>
      </w:r>
      <w:r w:rsidRPr="007F3D68">
        <w:rPr>
          <w:rFonts w:asciiTheme="majorHAnsi" w:hAnsiTheme="majorHAnsi"/>
          <w:bCs/>
          <w:sz w:val="16"/>
          <w:szCs w:val="16"/>
          <w:lang w:val="es-ES"/>
        </w:rPr>
        <w:t>Caso Ximenes Lopes.</w:t>
      </w:r>
      <w:r w:rsidRPr="007F3D68">
        <w:rPr>
          <w:rFonts w:asciiTheme="majorHAnsi" w:hAnsiTheme="majorHAnsi"/>
          <w:b/>
          <w:bCs/>
          <w:sz w:val="16"/>
          <w:szCs w:val="16"/>
          <w:lang w:val="es-ES"/>
        </w:rPr>
        <w:t xml:space="preserve"> </w:t>
      </w:r>
      <w:r w:rsidRPr="007F3D68">
        <w:rPr>
          <w:rFonts w:asciiTheme="majorHAnsi" w:hAnsiTheme="majorHAnsi"/>
          <w:sz w:val="16"/>
          <w:szCs w:val="16"/>
          <w:lang w:val="es-ES"/>
        </w:rPr>
        <w:t xml:space="preserve">Fondo, Reparaciones y Costas. Sentencia de 4 de julio de 2006. Serie C No. 149, párr. 148. En el mismo sentido, </w:t>
      </w:r>
      <w:r w:rsidRPr="007F3D68">
        <w:rPr>
          <w:rFonts w:asciiTheme="majorHAnsi" w:hAnsiTheme="majorHAnsi"/>
          <w:i/>
          <w:sz w:val="16"/>
          <w:szCs w:val="16"/>
          <w:lang w:val="es-ES"/>
        </w:rPr>
        <w:t>Eur.C.H.R.</w:t>
      </w:r>
      <w:r w:rsidRPr="007F3D68">
        <w:rPr>
          <w:rFonts w:asciiTheme="majorHAnsi" w:hAnsiTheme="majorHAnsi"/>
          <w:sz w:val="16"/>
          <w:szCs w:val="16"/>
          <w:lang w:val="es-ES"/>
        </w:rPr>
        <w:t xml:space="preserve">, </w:t>
      </w:r>
      <w:r w:rsidRPr="007F3D68">
        <w:rPr>
          <w:rFonts w:asciiTheme="majorHAnsi" w:hAnsiTheme="majorHAnsi"/>
          <w:i/>
          <w:sz w:val="16"/>
          <w:szCs w:val="16"/>
          <w:lang w:val="es-ES"/>
        </w:rPr>
        <w:t xml:space="preserve">Assenov and others v. Bulgaria, </w:t>
      </w:r>
      <w:r w:rsidRPr="007F3D68">
        <w:rPr>
          <w:rFonts w:asciiTheme="majorHAnsi" w:hAnsiTheme="majorHAnsi"/>
          <w:sz w:val="16"/>
          <w:szCs w:val="16"/>
          <w:lang w:val="es-ES"/>
        </w:rPr>
        <w:t xml:space="preserve">no. 90/1997/874/1086, Judgment of 28 October 1998, par. 102 y </w:t>
      </w:r>
      <w:r w:rsidRPr="007F3D68">
        <w:rPr>
          <w:rFonts w:asciiTheme="majorHAnsi" w:hAnsiTheme="majorHAnsi"/>
          <w:i/>
          <w:sz w:val="16"/>
          <w:szCs w:val="16"/>
          <w:lang w:val="es-ES"/>
        </w:rPr>
        <w:t>Eur.C.H.R.</w:t>
      </w:r>
      <w:r w:rsidRPr="007F3D68">
        <w:rPr>
          <w:rFonts w:asciiTheme="majorHAnsi" w:hAnsiTheme="majorHAnsi"/>
          <w:sz w:val="16"/>
          <w:szCs w:val="16"/>
          <w:lang w:val="es-ES"/>
        </w:rPr>
        <w:t xml:space="preserve">, </w:t>
      </w:r>
      <w:r w:rsidRPr="007F3D68">
        <w:rPr>
          <w:rFonts w:asciiTheme="majorHAnsi" w:hAnsiTheme="majorHAnsi"/>
          <w:i/>
          <w:sz w:val="16"/>
          <w:szCs w:val="16"/>
          <w:lang w:val="es-ES"/>
        </w:rPr>
        <w:t xml:space="preserve">Ilhan v. Turkey </w:t>
      </w:r>
      <w:r w:rsidRPr="007F3D68">
        <w:rPr>
          <w:rFonts w:asciiTheme="majorHAnsi" w:hAnsiTheme="majorHAnsi"/>
          <w:sz w:val="16"/>
          <w:szCs w:val="16"/>
          <w:lang w:val="es-ES"/>
        </w:rPr>
        <w:t>[GC]</w:t>
      </w:r>
      <w:r w:rsidRPr="007F3D68">
        <w:rPr>
          <w:rFonts w:asciiTheme="majorHAnsi" w:hAnsiTheme="majorHAnsi"/>
          <w:i/>
          <w:sz w:val="16"/>
          <w:szCs w:val="16"/>
          <w:lang w:val="es-ES"/>
        </w:rPr>
        <w:t xml:space="preserve">, </w:t>
      </w:r>
      <w:r w:rsidRPr="007F3D68">
        <w:rPr>
          <w:rFonts w:asciiTheme="majorHAnsi" w:hAnsiTheme="majorHAnsi"/>
          <w:sz w:val="16"/>
          <w:szCs w:val="16"/>
          <w:lang w:val="es-ES"/>
        </w:rPr>
        <w:t>no. 22277/93, Judgment of 27 June 2000, paras. 89-93.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FD8F" w14:textId="77777777" w:rsidR="00AF7404" w:rsidRDefault="00AF7404" w:rsidP="00EE655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AC913B7" w14:textId="77777777" w:rsidR="00AF7404" w:rsidRDefault="00AF7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7FE6" w14:textId="77777777" w:rsidR="00AF7404" w:rsidRDefault="00AF7404" w:rsidP="00A50FCF">
    <w:pPr>
      <w:pStyle w:val="Header"/>
      <w:tabs>
        <w:tab w:val="clear" w:pos="4320"/>
        <w:tab w:val="clear" w:pos="8640"/>
      </w:tabs>
      <w:jc w:val="center"/>
      <w:rPr>
        <w:sz w:val="22"/>
        <w:szCs w:val="22"/>
      </w:rPr>
    </w:pPr>
    <w:r>
      <w:rPr>
        <w:noProof/>
        <w:sz w:val="22"/>
        <w:szCs w:val="22"/>
      </w:rPr>
      <w:drawing>
        <wp:inline distT="0" distB="0" distL="0" distR="0" wp14:anchorId="2074A6D4" wp14:editId="3630D01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90D70DF" w14:textId="77777777" w:rsidR="00AF7404" w:rsidRPr="00EC7D62" w:rsidRDefault="000A28D7" w:rsidP="00A50FCF">
    <w:pPr>
      <w:pStyle w:val="Header"/>
      <w:tabs>
        <w:tab w:val="clear" w:pos="4320"/>
        <w:tab w:val="clear" w:pos="8640"/>
      </w:tabs>
      <w:jc w:val="center"/>
      <w:rPr>
        <w:sz w:val="22"/>
        <w:szCs w:val="22"/>
      </w:rPr>
    </w:pPr>
    <w:r>
      <w:rPr>
        <w:sz w:val="22"/>
        <w:szCs w:val="22"/>
      </w:rPr>
      <w:pict w14:anchorId="09AB90E5">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8543" w14:textId="77777777" w:rsidR="00AF7404" w:rsidRDefault="00AF7404" w:rsidP="008C5F07">
    <w:pPr>
      <w:pStyle w:val="Header"/>
      <w:tabs>
        <w:tab w:val="clear" w:pos="4320"/>
        <w:tab w:val="clear" w:pos="8640"/>
      </w:tabs>
      <w:jc w:val="center"/>
      <w:rPr>
        <w:sz w:val="22"/>
        <w:szCs w:val="22"/>
      </w:rPr>
    </w:pPr>
    <w:r>
      <w:rPr>
        <w:noProof/>
        <w:sz w:val="22"/>
        <w:szCs w:val="22"/>
      </w:rPr>
      <w:drawing>
        <wp:inline distT="0" distB="0" distL="0" distR="0" wp14:anchorId="15E25DD0" wp14:editId="2835A604">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0B2181B" w14:textId="77777777" w:rsidR="00AF7404" w:rsidRPr="00EC7D62" w:rsidRDefault="000A28D7" w:rsidP="008C5F07">
    <w:pPr>
      <w:pStyle w:val="Header"/>
      <w:tabs>
        <w:tab w:val="clear" w:pos="4320"/>
        <w:tab w:val="clear" w:pos="8640"/>
      </w:tabs>
      <w:jc w:val="center"/>
      <w:rPr>
        <w:sz w:val="22"/>
        <w:szCs w:val="22"/>
      </w:rPr>
    </w:pPr>
    <w:r>
      <w:rPr>
        <w:sz w:val="22"/>
        <w:szCs w:val="22"/>
      </w:rPr>
      <w:pict w14:anchorId="2D2EBCC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7B488C"/>
    <w:multiLevelType w:val="hybridMultilevel"/>
    <w:tmpl w:val="F2AC6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9789D"/>
    <w:multiLevelType w:val="hybridMultilevel"/>
    <w:tmpl w:val="F2AC6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7063D1"/>
    <w:multiLevelType w:val="hybridMultilevel"/>
    <w:tmpl w:val="A732B664"/>
    <w:lvl w:ilvl="0" w:tplc="99DE72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2B586E"/>
    <w:multiLevelType w:val="hybridMultilevel"/>
    <w:tmpl w:val="CBA2851E"/>
    <w:lvl w:ilvl="0" w:tplc="EFA8A028">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E01AD6A6"/>
    <w:lvl w:ilvl="0" w:tplc="0F7E9838">
      <w:start w:val="1"/>
      <w:numFmt w:val="decimal"/>
      <w:lvlText w:val="%1."/>
      <w:lvlJc w:val="left"/>
      <w:pPr>
        <w:ind w:left="1080" w:hanging="360"/>
      </w:pPr>
      <w:rPr>
        <w:rFonts w:asciiTheme="majorHAnsi" w:hAnsiTheme="majorHAnsi" w:hint="default"/>
        <w:b w:val="0"/>
        <w:sz w:val="20"/>
        <w:szCs w:val="20"/>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6BE5E6A"/>
    <w:multiLevelType w:val="hybridMultilevel"/>
    <w:tmpl w:val="C9D20C7E"/>
    <w:lvl w:ilvl="0" w:tplc="B47EC36A">
      <w:start w:val="1"/>
      <w:numFmt w:val="decimal"/>
      <w:lvlText w:val="%1."/>
      <w:lvlJc w:val="left"/>
      <w:pPr>
        <w:tabs>
          <w:tab w:val="num" w:pos="1440"/>
        </w:tabs>
        <w:ind w:left="720" w:firstLine="72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B2B27BE"/>
    <w:multiLevelType w:val="hybridMultilevel"/>
    <w:tmpl w:val="F7ECD692"/>
    <w:lvl w:ilvl="0" w:tplc="5D4CB8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46117393">
    <w:abstractNumId w:val="3"/>
  </w:num>
  <w:num w:numId="2" w16cid:durableId="621350100">
    <w:abstractNumId w:val="6"/>
  </w:num>
  <w:num w:numId="3" w16cid:durableId="1136727182">
    <w:abstractNumId w:val="56"/>
  </w:num>
  <w:num w:numId="4" w16cid:durableId="902376629">
    <w:abstractNumId w:val="24"/>
  </w:num>
  <w:num w:numId="5" w16cid:durableId="2003699417">
    <w:abstractNumId w:val="49"/>
  </w:num>
  <w:num w:numId="6" w16cid:durableId="805971800">
    <w:abstractNumId w:val="29"/>
  </w:num>
  <w:num w:numId="7" w16cid:durableId="764109437">
    <w:abstractNumId w:val="9"/>
  </w:num>
  <w:num w:numId="8" w16cid:durableId="1812864483">
    <w:abstractNumId w:val="20"/>
  </w:num>
  <w:num w:numId="9" w16cid:durableId="2113040573">
    <w:abstractNumId w:val="44"/>
  </w:num>
  <w:num w:numId="10" w16cid:durableId="657458693">
    <w:abstractNumId w:val="0"/>
  </w:num>
  <w:num w:numId="11" w16cid:durableId="1468934927">
    <w:abstractNumId w:val="39"/>
  </w:num>
  <w:num w:numId="12" w16cid:durableId="243302301">
    <w:abstractNumId w:val="40"/>
  </w:num>
  <w:num w:numId="13" w16cid:durableId="1835800097">
    <w:abstractNumId w:val="45"/>
  </w:num>
  <w:num w:numId="14" w16cid:durableId="699666229">
    <w:abstractNumId w:val="1"/>
  </w:num>
  <w:num w:numId="15" w16cid:durableId="928611924">
    <w:abstractNumId w:val="2"/>
  </w:num>
  <w:num w:numId="16" w16cid:durableId="1568415216">
    <w:abstractNumId w:val="10"/>
  </w:num>
  <w:num w:numId="17" w16cid:durableId="1702364897">
    <w:abstractNumId w:val="11"/>
  </w:num>
  <w:num w:numId="18" w16cid:durableId="1701006783">
    <w:abstractNumId w:val="12"/>
  </w:num>
  <w:num w:numId="19" w16cid:durableId="467015664">
    <w:abstractNumId w:val="13"/>
  </w:num>
  <w:num w:numId="20" w16cid:durableId="637150142">
    <w:abstractNumId w:val="14"/>
  </w:num>
  <w:num w:numId="21" w16cid:durableId="956760369">
    <w:abstractNumId w:val="15"/>
  </w:num>
  <w:num w:numId="22" w16cid:durableId="766582655">
    <w:abstractNumId w:val="16"/>
  </w:num>
  <w:num w:numId="23" w16cid:durableId="845553262">
    <w:abstractNumId w:val="17"/>
  </w:num>
  <w:num w:numId="24" w16cid:durableId="1347363920">
    <w:abstractNumId w:val="19"/>
  </w:num>
  <w:num w:numId="25" w16cid:durableId="611668701">
    <w:abstractNumId w:val="21"/>
  </w:num>
  <w:num w:numId="26" w16cid:durableId="2131169950">
    <w:abstractNumId w:val="22"/>
  </w:num>
  <w:num w:numId="27" w16cid:durableId="891844335">
    <w:abstractNumId w:val="25"/>
  </w:num>
  <w:num w:numId="28" w16cid:durableId="222301407">
    <w:abstractNumId w:val="26"/>
  </w:num>
  <w:num w:numId="29" w16cid:durableId="1288970956">
    <w:abstractNumId w:val="27"/>
  </w:num>
  <w:num w:numId="30" w16cid:durableId="683091260">
    <w:abstractNumId w:val="28"/>
  </w:num>
  <w:num w:numId="31" w16cid:durableId="595866792">
    <w:abstractNumId w:val="30"/>
  </w:num>
  <w:num w:numId="32" w16cid:durableId="1283807632">
    <w:abstractNumId w:val="32"/>
  </w:num>
  <w:num w:numId="33" w16cid:durableId="262804469">
    <w:abstractNumId w:val="33"/>
  </w:num>
  <w:num w:numId="34" w16cid:durableId="887648683">
    <w:abstractNumId w:val="34"/>
  </w:num>
  <w:num w:numId="35" w16cid:durableId="518738474">
    <w:abstractNumId w:val="35"/>
  </w:num>
  <w:num w:numId="36" w16cid:durableId="992560389">
    <w:abstractNumId w:val="36"/>
  </w:num>
  <w:num w:numId="37" w16cid:durableId="718896678">
    <w:abstractNumId w:val="37"/>
  </w:num>
  <w:num w:numId="38" w16cid:durableId="1708211931">
    <w:abstractNumId w:val="38"/>
  </w:num>
  <w:num w:numId="39" w16cid:durableId="536431309">
    <w:abstractNumId w:val="41"/>
  </w:num>
  <w:num w:numId="40" w16cid:durableId="1534226388">
    <w:abstractNumId w:val="42"/>
  </w:num>
  <w:num w:numId="41" w16cid:durableId="447508092">
    <w:abstractNumId w:val="48"/>
  </w:num>
  <w:num w:numId="42" w16cid:durableId="223880921">
    <w:abstractNumId w:val="51"/>
  </w:num>
  <w:num w:numId="43" w16cid:durableId="1924945704">
    <w:abstractNumId w:val="53"/>
  </w:num>
  <w:num w:numId="44" w16cid:durableId="1275210695">
    <w:abstractNumId w:val="54"/>
  </w:num>
  <w:num w:numId="45" w16cid:durableId="1929003362">
    <w:abstractNumId w:val="55"/>
  </w:num>
  <w:num w:numId="46" w16cid:durableId="942031567">
    <w:abstractNumId w:val="57"/>
  </w:num>
  <w:num w:numId="47" w16cid:durableId="674235434">
    <w:abstractNumId w:val="58"/>
  </w:num>
  <w:num w:numId="48" w16cid:durableId="531192276">
    <w:abstractNumId w:val="59"/>
  </w:num>
  <w:num w:numId="49" w16cid:durableId="72824334">
    <w:abstractNumId w:val="60"/>
  </w:num>
  <w:num w:numId="50" w16cid:durableId="101149605">
    <w:abstractNumId w:val="61"/>
  </w:num>
  <w:num w:numId="51" w16cid:durableId="1781996548">
    <w:abstractNumId w:val="23"/>
  </w:num>
  <w:num w:numId="52" w16cid:durableId="851187484">
    <w:abstractNumId w:val="43"/>
  </w:num>
  <w:num w:numId="53" w16cid:durableId="1355811431">
    <w:abstractNumId w:val="46"/>
  </w:num>
  <w:num w:numId="54" w16cid:durableId="1260988287">
    <w:abstractNumId w:val="47"/>
  </w:num>
  <w:num w:numId="55" w16cid:durableId="1738241643">
    <w:abstractNumId w:val="18"/>
  </w:num>
  <w:num w:numId="56" w16cid:durableId="1265846379">
    <w:abstractNumId w:val="4"/>
  </w:num>
  <w:num w:numId="57" w16cid:durableId="1962221857">
    <w:abstractNumId w:val="5"/>
  </w:num>
  <w:num w:numId="58" w16cid:durableId="1073311183">
    <w:abstractNumId w:val="8"/>
    <w:lvlOverride w:ilvl="0">
      <w:startOverride w:val="1"/>
    </w:lvlOverride>
  </w:num>
  <w:num w:numId="59" w16cid:durableId="1461070505">
    <w:abstractNumId w:val="50"/>
  </w:num>
  <w:num w:numId="60" w16cid:durableId="374618148">
    <w:abstractNumId w:val="7"/>
  </w:num>
  <w:num w:numId="61" w16cid:durableId="1319655020">
    <w:abstractNumId w:val="52"/>
  </w:num>
  <w:num w:numId="62" w16cid:durableId="554900511">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2235"/>
    <w:rsid w:val="00005819"/>
    <w:rsid w:val="00006896"/>
    <w:rsid w:val="00006E1F"/>
    <w:rsid w:val="000070D7"/>
    <w:rsid w:val="0000767A"/>
    <w:rsid w:val="000105EB"/>
    <w:rsid w:val="00012A1E"/>
    <w:rsid w:val="000131FF"/>
    <w:rsid w:val="000158FD"/>
    <w:rsid w:val="00015E7C"/>
    <w:rsid w:val="00016D0C"/>
    <w:rsid w:val="0001788C"/>
    <w:rsid w:val="0001795B"/>
    <w:rsid w:val="00021955"/>
    <w:rsid w:val="00022E3B"/>
    <w:rsid w:val="00023111"/>
    <w:rsid w:val="000258D8"/>
    <w:rsid w:val="00030F5F"/>
    <w:rsid w:val="0003153E"/>
    <w:rsid w:val="00032EF0"/>
    <w:rsid w:val="00033184"/>
    <w:rsid w:val="000346C4"/>
    <w:rsid w:val="00036A3E"/>
    <w:rsid w:val="00037678"/>
    <w:rsid w:val="00037DA1"/>
    <w:rsid w:val="000403F4"/>
    <w:rsid w:val="00040C3A"/>
    <w:rsid w:val="00041E2C"/>
    <w:rsid w:val="000421EB"/>
    <w:rsid w:val="00042AC9"/>
    <w:rsid w:val="00044290"/>
    <w:rsid w:val="00044EE2"/>
    <w:rsid w:val="00051696"/>
    <w:rsid w:val="00056AD5"/>
    <w:rsid w:val="000571B3"/>
    <w:rsid w:val="000631C3"/>
    <w:rsid w:val="0006538B"/>
    <w:rsid w:val="00067A5D"/>
    <w:rsid w:val="00070598"/>
    <w:rsid w:val="0007161E"/>
    <w:rsid w:val="000716C5"/>
    <w:rsid w:val="0007274F"/>
    <w:rsid w:val="00072AE3"/>
    <w:rsid w:val="00075E23"/>
    <w:rsid w:val="000762CE"/>
    <w:rsid w:val="00077F08"/>
    <w:rsid w:val="00085142"/>
    <w:rsid w:val="00085666"/>
    <w:rsid w:val="00086568"/>
    <w:rsid w:val="0008690C"/>
    <w:rsid w:val="0008768F"/>
    <w:rsid w:val="00093230"/>
    <w:rsid w:val="0009344A"/>
    <w:rsid w:val="0009438E"/>
    <w:rsid w:val="000953EC"/>
    <w:rsid w:val="00095CB8"/>
    <w:rsid w:val="00095CDB"/>
    <w:rsid w:val="0009603E"/>
    <w:rsid w:val="00096BDE"/>
    <w:rsid w:val="000A091F"/>
    <w:rsid w:val="000A11DD"/>
    <w:rsid w:val="000A1DF9"/>
    <w:rsid w:val="000A209E"/>
    <w:rsid w:val="000A230E"/>
    <w:rsid w:val="000A28D7"/>
    <w:rsid w:val="000A392E"/>
    <w:rsid w:val="000A575F"/>
    <w:rsid w:val="000A576A"/>
    <w:rsid w:val="000A60A0"/>
    <w:rsid w:val="000B0C3C"/>
    <w:rsid w:val="000B133B"/>
    <w:rsid w:val="000B3BBC"/>
    <w:rsid w:val="000B548D"/>
    <w:rsid w:val="000C10A9"/>
    <w:rsid w:val="000C132F"/>
    <w:rsid w:val="000C3F40"/>
    <w:rsid w:val="000C49DD"/>
    <w:rsid w:val="000C4A9B"/>
    <w:rsid w:val="000C562F"/>
    <w:rsid w:val="000C5D03"/>
    <w:rsid w:val="000C6368"/>
    <w:rsid w:val="000C75D5"/>
    <w:rsid w:val="000D10DB"/>
    <w:rsid w:val="000D3DF3"/>
    <w:rsid w:val="000D48E6"/>
    <w:rsid w:val="000D5049"/>
    <w:rsid w:val="000D518C"/>
    <w:rsid w:val="000E1FB2"/>
    <w:rsid w:val="000E2C44"/>
    <w:rsid w:val="000E3CBE"/>
    <w:rsid w:val="000E53F0"/>
    <w:rsid w:val="000E5C4B"/>
    <w:rsid w:val="000E5EB5"/>
    <w:rsid w:val="000E6EB4"/>
    <w:rsid w:val="000E7881"/>
    <w:rsid w:val="000F2B4D"/>
    <w:rsid w:val="000F35ED"/>
    <w:rsid w:val="000F4C46"/>
    <w:rsid w:val="000F5180"/>
    <w:rsid w:val="000F71D7"/>
    <w:rsid w:val="000F7569"/>
    <w:rsid w:val="0010234A"/>
    <w:rsid w:val="0010290C"/>
    <w:rsid w:val="00103925"/>
    <w:rsid w:val="00104012"/>
    <w:rsid w:val="001042AE"/>
    <w:rsid w:val="001065D7"/>
    <w:rsid w:val="001066C6"/>
    <w:rsid w:val="00107131"/>
    <w:rsid w:val="0010736F"/>
    <w:rsid w:val="001134B8"/>
    <w:rsid w:val="00113826"/>
    <w:rsid w:val="00113E24"/>
    <w:rsid w:val="00113F73"/>
    <w:rsid w:val="00115DDB"/>
    <w:rsid w:val="0012001D"/>
    <w:rsid w:val="001201C2"/>
    <w:rsid w:val="001210CC"/>
    <w:rsid w:val="001219F8"/>
    <w:rsid w:val="00121CC2"/>
    <w:rsid w:val="00123FD8"/>
    <w:rsid w:val="00124918"/>
    <w:rsid w:val="001260F5"/>
    <w:rsid w:val="001271DC"/>
    <w:rsid w:val="001309FF"/>
    <w:rsid w:val="00131AA5"/>
    <w:rsid w:val="00131D8D"/>
    <w:rsid w:val="0013246A"/>
    <w:rsid w:val="001326F2"/>
    <w:rsid w:val="00132A3E"/>
    <w:rsid w:val="00133EE5"/>
    <w:rsid w:val="00133FFB"/>
    <w:rsid w:val="00140637"/>
    <w:rsid w:val="001411BB"/>
    <w:rsid w:val="00142EE4"/>
    <w:rsid w:val="0014381A"/>
    <w:rsid w:val="00143F09"/>
    <w:rsid w:val="0014418F"/>
    <w:rsid w:val="0014491E"/>
    <w:rsid w:val="00144E6E"/>
    <w:rsid w:val="00145B05"/>
    <w:rsid w:val="001467FC"/>
    <w:rsid w:val="00153290"/>
    <w:rsid w:val="001551BB"/>
    <w:rsid w:val="00155B7D"/>
    <w:rsid w:val="00156E04"/>
    <w:rsid w:val="00157F7B"/>
    <w:rsid w:val="00161E5B"/>
    <w:rsid w:val="00166189"/>
    <w:rsid w:val="00167A34"/>
    <w:rsid w:val="00170726"/>
    <w:rsid w:val="00170D23"/>
    <w:rsid w:val="00172455"/>
    <w:rsid w:val="00173141"/>
    <w:rsid w:val="00173269"/>
    <w:rsid w:val="00173306"/>
    <w:rsid w:val="00175B8B"/>
    <w:rsid w:val="00180FAA"/>
    <w:rsid w:val="00181C68"/>
    <w:rsid w:val="00181F34"/>
    <w:rsid w:val="00183208"/>
    <w:rsid w:val="00191792"/>
    <w:rsid w:val="00192C2D"/>
    <w:rsid w:val="001932D0"/>
    <w:rsid w:val="00194785"/>
    <w:rsid w:val="00194CA0"/>
    <w:rsid w:val="001966A6"/>
    <w:rsid w:val="0019697F"/>
    <w:rsid w:val="0019726B"/>
    <w:rsid w:val="001A119B"/>
    <w:rsid w:val="001A121B"/>
    <w:rsid w:val="001A3619"/>
    <w:rsid w:val="001A4285"/>
    <w:rsid w:val="001A57A5"/>
    <w:rsid w:val="001A6CD1"/>
    <w:rsid w:val="001A6E20"/>
    <w:rsid w:val="001A72C0"/>
    <w:rsid w:val="001A763C"/>
    <w:rsid w:val="001A7870"/>
    <w:rsid w:val="001B047C"/>
    <w:rsid w:val="001B2E71"/>
    <w:rsid w:val="001B3C35"/>
    <w:rsid w:val="001B4D93"/>
    <w:rsid w:val="001B6C74"/>
    <w:rsid w:val="001B719E"/>
    <w:rsid w:val="001C026F"/>
    <w:rsid w:val="001C103F"/>
    <w:rsid w:val="001C1B41"/>
    <w:rsid w:val="001C4315"/>
    <w:rsid w:val="001C4F4F"/>
    <w:rsid w:val="001C5D23"/>
    <w:rsid w:val="001C7F2A"/>
    <w:rsid w:val="001D1129"/>
    <w:rsid w:val="001D18C7"/>
    <w:rsid w:val="001D18EA"/>
    <w:rsid w:val="001D20FB"/>
    <w:rsid w:val="001D2179"/>
    <w:rsid w:val="001D382B"/>
    <w:rsid w:val="001D5EA5"/>
    <w:rsid w:val="001D651E"/>
    <w:rsid w:val="001D65EF"/>
    <w:rsid w:val="001D7037"/>
    <w:rsid w:val="001E1405"/>
    <w:rsid w:val="001E15B6"/>
    <w:rsid w:val="001E3B57"/>
    <w:rsid w:val="001E7105"/>
    <w:rsid w:val="001F095B"/>
    <w:rsid w:val="001F11C9"/>
    <w:rsid w:val="001F374F"/>
    <w:rsid w:val="001F389A"/>
    <w:rsid w:val="001F4DB4"/>
    <w:rsid w:val="001F7791"/>
    <w:rsid w:val="0020097B"/>
    <w:rsid w:val="00200FE7"/>
    <w:rsid w:val="00202E4C"/>
    <w:rsid w:val="002042C0"/>
    <w:rsid w:val="00204B61"/>
    <w:rsid w:val="00204E18"/>
    <w:rsid w:val="00204E34"/>
    <w:rsid w:val="00206211"/>
    <w:rsid w:val="00206A96"/>
    <w:rsid w:val="0020738F"/>
    <w:rsid w:val="00210787"/>
    <w:rsid w:val="00215038"/>
    <w:rsid w:val="002158B3"/>
    <w:rsid w:val="002159EF"/>
    <w:rsid w:val="00221FCE"/>
    <w:rsid w:val="0022273F"/>
    <w:rsid w:val="002250A3"/>
    <w:rsid w:val="00230C73"/>
    <w:rsid w:val="00232666"/>
    <w:rsid w:val="00233401"/>
    <w:rsid w:val="0023460E"/>
    <w:rsid w:val="00235217"/>
    <w:rsid w:val="00236212"/>
    <w:rsid w:val="002422A2"/>
    <w:rsid w:val="002424D9"/>
    <w:rsid w:val="0024615A"/>
    <w:rsid w:val="00246D1F"/>
    <w:rsid w:val="00247217"/>
    <w:rsid w:val="00247403"/>
    <w:rsid w:val="00247542"/>
    <w:rsid w:val="0025033A"/>
    <w:rsid w:val="00251B3D"/>
    <w:rsid w:val="00251F4D"/>
    <w:rsid w:val="00254F3E"/>
    <w:rsid w:val="00255AAF"/>
    <w:rsid w:val="00255C99"/>
    <w:rsid w:val="00257034"/>
    <w:rsid w:val="002576C3"/>
    <w:rsid w:val="00257E83"/>
    <w:rsid w:val="002602E7"/>
    <w:rsid w:val="002603C5"/>
    <w:rsid w:val="00263106"/>
    <w:rsid w:val="00265FED"/>
    <w:rsid w:val="00266789"/>
    <w:rsid w:val="00266B61"/>
    <w:rsid w:val="0026712A"/>
    <w:rsid w:val="002704DB"/>
    <w:rsid w:val="002728B3"/>
    <w:rsid w:val="002735C2"/>
    <w:rsid w:val="00274077"/>
    <w:rsid w:val="00274565"/>
    <w:rsid w:val="00275F31"/>
    <w:rsid w:val="00276057"/>
    <w:rsid w:val="00276A11"/>
    <w:rsid w:val="00276DF8"/>
    <w:rsid w:val="00277EF9"/>
    <w:rsid w:val="00280614"/>
    <w:rsid w:val="00280E0A"/>
    <w:rsid w:val="00281876"/>
    <w:rsid w:val="002827DD"/>
    <w:rsid w:val="00284167"/>
    <w:rsid w:val="0028563D"/>
    <w:rsid w:val="002879EF"/>
    <w:rsid w:val="002900D7"/>
    <w:rsid w:val="00291453"/>
    <w:rsid w:val="00293783"/>
    <w:rsid w:val="00293DD0"/>
    <w:rsid w:val="0029605A"/>
    <w:rsid w:val="002962FD"/>
    <w:rsid w:val="002A0732"/>
    <w:rsid w:val="002A0994"/>
    <w:rsid w:val="002A0AAE"/>
    <w:rsid w:val="002A2E80"/>
    <w:rsid w:val="002A2F18"/>
    <w:rsid w:val="002A35D9"/>
    <w:rsid w:val="002A5820"/>
    <w:rsid w:val="002A686C"/>
    <w:rsid w:val="002A68E5"/>
    <w:rsid w:val="002A6C2F"/>
    <w:rsid w:val="002A6E9F"/>
    <w:rsid w:val="002B173F"/>
    <w:rsid w:val="002B2FB6"/>
    <w:rsid w:val="002B31E6"/>
    <w:rsid w:val="002B344D"/>
    <w:rsid w:val="002B447A"/>
    <w:rsid w:val="002B5231"/>
    <w:rsid w:val="002B6DD5"/>
    <w:rsid w:val="002B7540"/>
    <w:rsid w:val="002C0F74"/>
    <w:rsid w:val="002C2674"/>
    <w:rsid w:val="002C29A9"/>
    <w:rsid w:val="002C2B45"/>
    <w:rsid w:val="002C3C33"/>
    <w:rsid w:val="002C4E24"/>
    <w:rsid w:val="002D0764"/>
    <w:rsid w:val="002D1A2A"/>
    <w:rsid w:val="002D2B26"/>
    <w:rsid w:val="002D3E0D"/>
    <w:rsid w:val="002D43FE"/>
    <w:rsid w:val="002D59DF"/>
    <w:rsid w:val="002D5BDC"/>
    <w:rsid w:val="002D669E"/>
    <w:rsid w:val="002D69A2"/>
    <w:rsid w:val="002D7EA2"/>
    <w:rsid w:val="002E187C"/>
    <w:rsid w:val="002E18FD"/>
    <w:rsid w:val="002E3F3E"/>
    <w:rsid w:val="002E41A4"/>
    <w:rsid w:val="002E4AEA"/>
    <w:rsid w:val="002E5CF8"/>
    <w:rsid w:val="002E61DD"/>
    <w:rsid w:val="002E674D"/>
    <w:rsid w:val="002E732D"/>
    <w:rsid w:val="002F0D14"/>
    <w:rsid w:val="002F1207"/>
    <w:rsid w:val="002F3042"/>
    <w:rsid w:val="002F66B8"/>
    <w:rsid w:val="002F75C6"/>
    <w:rsid w:val="002F7D05"/>
    <w:rsid w:val="00300DCF"/>
    <w:rsid w:val="00300E3F"/>
    <w:rsid w:val="00302733"/>
    <w:rsid w:val="003033FA"/>
    <w:rsid w:val="00303D52"/>
    <w:rsid w:val="00305773"/>
    <w:rsid w:val="00307ABB"/>
    <w:rsid w:val="00307ABC"/>
    <w:rsid w:val="003100C5"/>
    <w:rsid w:val="003106D0"/>
    <w:rsid w:val="00311173"/>
    <w:rsid w:val="00312901"/>
    <w:rsid w:val="00314078"/>
    <w:rsid w:val="0031535D"/>
    <w:rsid w:val="00315C3A"/>
    <w:rsid w:val="0032324F"/>
    <w:rsid w:val="00323B30"/>
    <w:rsid w:val="00324591"/>
    <w:rsid w:val="00324D2B"/>
    <w:rsid w:val="0033028D"/>
    <w:rsid w:val="00330AA4"/>
    <w:rsid w:val="0033169F"/>
    <w:rsid w:val="00331831"/>
    <w:rsid w:val="00331AA8"/>
    <w:rsid w:val="003320FF"/>
    <w:rsid w:val="00333933"/>
    <w:rsid w:val="00334386"/>
    <w:rsid w:val="00341DD2"/>
    <w:rsid w:val="003423C0"/>
    <w:rsid w:val="003424DB"/>
    <w:rsid w:val="0034380D"/>
    <w:rsid w:val="0034574D"/>
    <w:rsid w:val="00346C95"/>
    <w:rsid w:val="003510BF"/>
    <w:rsid w:val="00351D8D"/>
    <w:rsid w:val="00353B1B"/>
    <w:rsid w:val="00354148"/>
    <w:rsid w:val="003542E9"/>
    <w:rsid w:val="00356185"/>
    <w:rsid w:val="003567AA"/>
    <w:rsid w:val="00356AC6"/>
    <w:rsid w:val="003577A2"/>
    <w:rsid w:val="00360380"/>
    <w:rsid w:val="003604FD"/>
    <w:rsid w:val="003606F1"/>
    <w:rsid w:val="00361415"/>
    <w:rsid w:val="003620E0"/>
    <w:rsid w:val="003626CE"/>
    <w:rsid w:val="003656FB"/>
    <w:rsid w:val="00365872"/>
    <w:rsid w:val="00366663"/>
    <w:rsid w:val="00366C4A"/>
    <w:rsid w:val="00366FE0"/>
    <w:rsid w:val="003724EF"/>
    <w:rsid w:val="00373ADC"/>
    <w:rsid w:val="00373B38"/>
    <w:rsid w:val="0037519E"/>
    <w:rsid w:val="00376E53"/>
    <w:rsid w:val="00377148"/>
    <w:rsid w:val="00381B3C"/>
    <w:rsid w:val="003855E9"/>
    <w:rsid w:val="00385B1B"/>
    <w:rsid w:val="00386CF0"/>
    <w:rsid w:val="00390152"/>
    <w:rsid w:val="00391811"/>
    <w:rsid w:val="00392AC4"/>
    <w:rsid w:val="00393C62"/>
    <w:rsid w:val="0039497A"/>
    <w:rsid w:val="00396D7E"/>
    <w:rsid w:val="003A3F9C"/>
    <w:rsid w:val="003A5367"/>
    <w:rsid w:val="003A53FF"/>
    <w:rsid w:val="003B30ED"/>
    <w:rsid w:val="003B3606"/>
    <w:rsid w:val="003B3C4F"/>
    <w:rsid w:val="003B546E"/>
    <w:rsid w:val="003B5895"/>
    <w:rsid w:val="003B6339"/>
    <w:rsid w:val="003C4D03"/>
    <w:rsid w:val="003C5F5C"/>
    <w:rsid w:val="003C676B"/>
    <w:rsid w:val="003C7C37"/>
    <w:rsid w:val="003C7E31"/>
    <w:rsid w:val="003D1B0B"/>
    <w:rsid w:val="003D3BC2"/>
    <w:rsid w:val="003D47B4"/>
    <w:rsid w:val="003D67C7"/>
    <w:rsid w:val="003D7C03"/>
    <w:rsid w:val="003E07DD"/>
    <w:rsid w:val="003E432F"/>
    <w:rsid w:val="003E46BB"/>
    <w:rsid w:val="003E5E90"/>
    <w:rsid w:val="003E6CA1"/>
    <w:rsid w:val="003E7479"/>
    <w:rsid w:val="003E78E4"/>
    <w:rsid w:val="003E7E1D"/>
    <w:rsid w:val="003F0239"/>
    <w:rsid w:val="003F10F2"/>
    <w:rsid w:val="003F1444"/>
    <w:rsid w:val="003F2854"/>
    <w:rsid w:val="003F602D"/>
    <w:rsid w:val="003F65B4"/>
    <w:rsid w:val="003F6E92"/>
    <w:rsid w:val="00401AD5"/>
    <w:rsid w:val="00403E3D"/>
    <w:rsid w:val="0040427F"/>
    <w:rsid w:val="00404903"/>
    <w:rsid w:val="0040707E"/>
    <w:rsid w:val="0040756E"/>
    <w:rsid w:val="00407C72"/>
    <w:rsid w:val="00410B7F"/>
    <w:rsid w:val="00410ECD"/>
    <w:rsid w:val="00410F4B"/>
    <w:rsid w:val="00410FBB"/>
    <w:rsid w:val="0041347D"/>
    <w:rsid w:val="00415D3F"/>
    <w:rsid w:val="004165C2"/>
    <w:rsid w:val="00417D1A"/>
    <w:rsid w:val="00420A5A"/>
    <w:rsid w:val="00421FA5"/>
    <w:rsid w:val="00425131"/>
    <w:rsid w:val="00426114"/>
    <w:rsid w:val="004273B9"/>
    <w:rsid w:val="00427847"/>
    <w:rsid w:val="00430833"/>
    <w:rsid w:val="0043145D"/>
    <w:rsid w:val="00434DA4"/>
    <w:rsid w:val="0043589F"/>
    <w:rsid w:val="00435AAA"/>
    <w:rsid w:val="004360F9"/>
    <w:rsid w:val="00437655"/>
    <w:rsid w:val="00441367"/>
    <w:rsid w:val="0044155E"/>
    <w:rsid w:val="004416A8"/>
    <w:rsid w:val="00441ECB"/>
    <w:rsid w:val="0044420F"/>
    <w:rsid w:val="00444CE0"/>
    <w:rsid w:val="004460EA"/>
    <w:rsid w:val="004462D3"/>
    <w:rsid w:val="00446D45"/>
    <w:rsid w:val="00450EBC"/>
    <w:rsid w:val="00452939"/>
    <w:rsid w:val="00453EAF"/>
    <w:rsid w:val="00455FDD"/>
    <w:rsid w:val="00456AB7"/>
    <w:rsid w:val="004625A2"/>
    <w:rsid w:val="004663CE"/>
    <w:rsid w:val="00466553"/>
    <w:rsid w:val="00467916"/>
    <w:rsid w:val="00467B7E"/>
    <w:rsid w:val="00467C77"/>
    <w:rsid w:val="00467EAF"/>
    <w:rsid w:val="00470089"/>
    <w:rsid w:val="00473592"/>
    <w:rsid w:val="00473BC7"/>
    <w:rsid w:val="0047599A"/>
    <w:rsid w:val="0047633C"/>
    <w:rsid w:val="004763B4"/>
    <w:rsid w:val="00476472"/>
    <w:rsid w:val="00477592"/>
    <w:rsid w:val="004807DC"/>
    <w:rsid w:val="004810FA"/>
    <w:rsid w:val="00481A51"/>
    <w:rsid w:val="00482EC8"/>
    <w:rsid w:val="00486F1C"/>
    <w:rsid w:val="0048720C"/>
    <w:rsid w:val="004875D9"/>
    <w:rsid w:val="00487AAC"/>
    <w:rsid w:val="00487DCA"/>
    <w:rsid w:val="004901A4"/>
    <w:rsid w:val="00490F6B"/>
    <w:rsid w:val="00492044"/>
    <w:rsid w:val="004920A9"/>
    <w:rsid w:val="00493A17"/>
    <w:rsid w:val="0049419D"/>
    <w:rsid w:val="00494D4B"/>
    <w:rsid w:val="004A0351"/>
    <w:rsid w:val="004A08FE"/>
    <w:rsid w:val="004A2266"/>
    <w:rsid w:val="004A2D5C"/>
    <w:rsid w:val="004A3650"/>
    <w:rsid w:val="004A38A2"/>
    <w:rsid w:val="004A61B6"/>
    <w:rsid w:val="004B349C"/>
    <w:rsid w:val="004B42DF"/>
    <w:rsid w:val="004B75A8"/>
    <w:rsid w:val="004C20D2"/>
    <w:rsid w:val="004C286F"/>
    <w:rsid w:val="004C3E7B"/>
    <w:rsid w:val="004C4999"/>
    <w:rsid w:val="004C4B62"/>
    <w:rsid w:val="004C5074"/>
    <w:rsid w:val="004C54C9"/>
    <w:rsid w:val="004C6091"/>
    <w:rsid w:val="004C790D"/>
    <w:rsid w:val="004C7B09"/>
    <w:rsid w:val="004D0F05"/>
    <w:rsid w:val="004D195F"/>
    <w:rsid w:val="004D24C6"/>
    <w:rsid w:val="004D2720"/>
    <w:rsid w:val="004D2EEC"/>
    <w:rsid w:val="004D4FFF"/>
    <w:rsid w:val="004D543B"/>
    <w:rsid w:val="004D6025"/>
    <w:rsid w:val="004D6618"/>
    <w:rsid w:val="004D7141"/>
    <w:rsid w:val="004E01CC"/>
    <w:rsid w:val="004E08BA"/>
    <w:rsid w:val="004E14A3"/>
    <w:rsid w:val="004E2649"/>
    <w:rsid w:val="004E7626"/>
    <w:rsid w:val="004F0765"/>
    <w:rsid w:val="004F47A6"/>
    <w:rsid w:val="004F5466"/>
    <w:rsid w:val="004F5B92"/>
    <w:rsid w:val="004F627D"/>
    <w:rsid w:val="004F6D06"/>
    <w:rsid w:val="004F715B"/>
    <w:rsid w:val="00500124"/>
    <w:rsid w:val="005012E7"/>
    <w:rsid w:val="00501399"/>
    <w:rsid w:val="00503F9B"/>
    <w:rsid w:val="00504236"/>
    <w:rsid w:val="0050633D"/>
    <w:rsid w:val="005074EB"/>
    <w:rsid w:val="00507BC4"/>
    <w:rsid w:val="00510D62"/>
    <w:rsid w:val="005128E4"/>
    <w:rsid w:val="00512CB7"/>
    <w:rsid w:val="005133DB"/>
    <w:rsid w:val="00515532"/>
    <w:rsid w:val="005203D8"/>
    <w:rsid w:val="00521068"/>
    <w:rsid w:val="00521BA2"/>
    <w:rsid w:val="005243BA"/>
    <w:rsid w:val="00525560"/>
    <w:rsid w:val="005265E4"/>
    <w:rsid w:val="005267BC"/>
    <w:rsid w:val="0053086B"/>
    <w:rsid w:val="00530B2E"/>
    <w:rsid w:val="00531F75"/>
    <w:rsid w:val="00532059"/>
    <w:rsid w:val="005320E7"/>
    <w:rsid w:val="0053235A"/>
    <w:rsid w:val="00533947"/>
    <w:rsid w:val="0053484E"/>
    <w:rsid w:val="005354F3"/>
    <w:rsid w:val="005357A8"/>
    <w:rsid w:val="005365FF"/>
    <w:rsid w:val="00536923"/>
    <w:rsid w:val="005404A0"/>
    <w:rsid w:val="00541F00"/>
    <w:rsid w:val="005430CE"/>
    <w:rsid w:val="00543745"/>
    <w:rsid w:val="00544C49"/>
    <w:rsid w:val="0055076E"/>
    <w:rsid w:val="005516A1"/>
    <w:rsid w:val="005519E7"/>
    <w:rsid w:val="00552815"/>
    <w:rsid w:val="00555CA2"/>
    <w:rsid w:val="00556F0D"/>
    <w:rsid w:val="0056056C"/>
    <w:rsid w:val="00560FA6"/>
    <w:rsid w:val="00561920"/>
    <w:rsid w:val="0056361C"/>
    <w:rsid w:val="00565744"/>
    <w:rsid w:val="00571053"/>
    <w:rsid w:val="0057217A"/>
    <w:rsid w:val="0057402A"/>
    <w:rsid w:val="005761B1"/>
    <w:rsid w:val="0057646E"/>
    <w:rsid w:val="005771D0"/>
    <w:rsid w:val="005773E1"/>
    <w:rsid w:val="00577797"/>
    <w:rsid w:val="005803A5"/>
    <w:rsid w:val="00580F18"/>
    <w:rsid w:val="00587D27"/>
    <w:rsid w:val="0059119B"/>
    <w:rsid w:val="0059191A"/>
    <w:rsid w:val="005921FF"/>
    <w:rsid w:val="00593260"/>
    <w:rsid w:val="005937F1"/>
    <w:rsid w:val="00593971"/>
    <w:rsid w:val="00594928"/>
    <w:rsid w:val="00594D45"/>
    <w:rsid w:val="00594E9A"/>
    <w:rsid w:val="00595C1D"/>
    <w:rsid w:val="00596D3C"/>
    <w:rsid w:val="005A050E"/>
    <w:rsid w:val="005A074A"/>
    <w:rsid w:val="005A1931"/>
    <w:rsid w:val="005A3686"/>
    <w:rsid w:val="005A3D8C"/>
    <w:rsid w:val="005A4341"/>
    <w:rsid w:val="005A4934"/>
    <w:rsid w:val="005A62AD"/>
    <w:rsid w:val="005A6D0E"/>
    <w:rsid w:val="005B0911"/>
    <w:rsid w:val="005B0959"/>
    <w:rsid w:val="005B0DD5"/>
    <w:rsid w:val="005B1C3B"/>
    <w:rsid w:val="005B1E7B"/>
    <w:rsid w:val="005B3503"/>
    <w:rsid w:val="005B3815"/>
    <w:rsid w:val="005B52B0"/>
    <w:rsid w:val="005B6806"/>
    <w:rsid w:val="005B753F"/>
    <w:rsid w:val="005B78D7"/>
    <w:rsid w:val="005C0166"/>
    <w:rsid w:val="005C4225"/>
    <w:rsid w:val="005C48FD"/>
    <w:rsid w:val="005C4CA5"/>
    <w:rsid w:val="005C5A22"/>
    <w:rsid w:val="005C65F4"/>
    <w:rsid w:val="005D0DB1"/>
    <w:rsid w:val="005D23D5"/>
    <w:rsid w:val="005D42C2"/>
    <w:rsid w:val="005D6C4A"/>
    <w:rsid w:val="005D7A16"/>
    <w:rsid w:val="005E2E8B"/>
    <w:rsid w:val="005E6B01"/>
    <w:rsid w:val="005E7E15"/>
    <w:rsid w:val="005F0DAD"/>
    <w:rsid w:val="005F0F33"/>
    <w:rsid w:val="005F309E"/>
    <w:rsid w:val="005F3F52"/>
    <w:rsid w:val="005F6934"/>
    <w:rsid w:val="005F776C"/>
    <w:rsid w:val="00600DEB"/>
    <w:rsid w:val="00602231"/>
    <w:rsid w:val="006023A8"/>
    <w:rsid w:val="00603F4D"/>
    <w:rsid w:val="00605F32"/>
    <w:rsid w:val="0060704A"/>
    <w:rsid w:val="006125C3"/>
    <w:rsid w:val="00612D66"/>
    <w:rsid w:val="006142A1"/>
    <w:rsid w:val="00616AEF"/>
    <w:rsid w:val="00620C03"/>
    <w:rsid w:val="00621D51"/>
    <w:rsid w:val="00622120"/>
    <w:rsid w:val="00623B4D"/>
    <w:rsid w:val="00623C8D"/>
    <w:rsid w:val="006243EC"/>
    <w:rsid w:val="00624D87"/>
    <w:rsid w:val="00627C9F"/>
    <w:rsid w:val="006311E9"/>
    <w:rsid w:val="0063189B"/>
    <w:rsid w:val="00632354"/>
    <w:rsid w:val="0063270C"/>
    <w:rsid w:val="00633933"/>
    <w:rsid w:val="0063461E"/>
    <w:rsid w:val="006350DA"/>
    <w:rsid w:val="00635E72"/>
    <w:rsid w:val="006366A9"/>
    <w:rsid w:val="00636D82"/>
    <w:rsid w:val="0063758F"/>
    <w:rsid w:val="006423BE"/>
    <w:rsid w:val="00642810"/>
    <w:rsid w:val="00643404"/>
    <w:rsid w:val="00643B45"/>
    <w:rsid w:val="00643C31"/>
    <w:rsid w:val="0064547F"/>
    <w:rsid w:val="006472DD"/>
    <w:rsid w:val="0064745F"/>
    <w:rsid w:val="00650FA9"/>
    <w:rsid w:val="00651637"/>
    <w:rsid w:val="00651D77"/>
    <w:rsid w:val="00652333"/>
    <w:rsid w:val="00653E3D"/>
    <w:rsid w:val="00654970"/>
    <w:rsid w:val="00655160"/>
    <w:rsid w:val="00655415"/>
    <w:rsid w:val="0065556E"/>
    <w:rsid w:val="00656E92"/>
    <w:rsid w:val="0066090F"/>
    <w:rsid w:val="00660E66"/>
    <w:rsid w:val="00663067"/>
    <w:rsid w:val="00663331"/>
    <w:rsid w:val="006649FA"/>
    <w:rsid w:val="00665F63"/>
    <w:rsid w:val="0066660D"/>
    <w:rsid w:val="00667638"/>
    <w:rsid w:val="00667886"/>
    <w:rsid w:val="00667971"/>
    <w:rsid w:val="00667A9E"/>
    <w:rsid w:val="00672ABE"/>
    <w:rsid w:val="00672CBC"/>
    <w:rsid w:val="006739F4"/>
    <w:rsid w:val="00676500"/>
    <w:rsid w:val="00677D37"/>
    <w:rsid w:val="0068009E"/>
    <w:rsid w:val="006800D0"/>
    <w:rsid w:val="00681C32"/>
    <w:rsid w:val="00681DA4"/>
    <w:rsid w:val="00684C63"/>
    <w:rsid w:val="00686985"/>
    <w:rsid w:val="0068779E"/>
    <w:rsid w:val="00691312"/>
    <w:rsid w:val="00691E7F"/>
    <w:rsid w:val="00692219"/>
    <w:rsid w:val="006959DD"/>
    <w:rsid w:val="006A0612"/>
    <w:rsid w:val="006A0ACC"/>
    <w:rsid w:val="006A12F7"/>
    <w:rsid w:val="006A17D2"/>
    <w:rsid w:val="006A3951"/>
    <w:rsid w:val="006A3B9D"/>
    <w:rsid w:val="006A4853"/>
    <w:rsid w:val="006A4B39"/>
    <w:rsid w:val="006A6A8A"/>
    <w:rsid w:val="006A6E95"/>
    <w:rsid w:val="006A706E"/>
    <w:rsid w:val="006A73E6"/>
    <w:rsid w:val="006B1ECA"/>
    <w:rsid w:val="006B20BB"/>
    <w:rsid w:val="006B22D0"/>
    <w:rsid w:val="006B29E8"/>
    <w:rsid w:val="006B2D5C"/>
    <w:rsid w:val="006B3367"/>
    <w:rsid w:val="006B37D9"/>
    <w:rsid w:val="006B3FCC"/>
    <w:rsid w:val="006B4130"/>
    <w:rsid w:val="006B4D40"/>
    <w:rsid w:val="006B600E"/>
    <w:rsid w:val="006C1A20"/>
    <w:rsid w:val="006C2C10"/>
    <w:rsid w:val="006C4EB1"/>
    <w:rsid w:val="006C522F"/>
    <w:rsid w:val="006C58D1"/>
    <w:rsid w:val="006D3607"/>
    <w:rsid w:val="006D4B47"/>
    <w:rsid w:val="006D646D"/>
    <w:rsid w:val="006D720A"/>
    <w:rsid w:val="006E0166"/>
    <w:rsid w:val="006E0C8D"/>
    <w:rsid w:val="006E16C7"/>
    <w:rsid w:val="006E3572"/>
    <w:rsid w:val="006E3649"/>
    <w:rsid w:val="006E783E"/>
    <w:rsid w:val="006E7B34"/>
    <w:rsid w:val="006F1496"/>
    <w:rsid w:val="006F2DDA"/>
    <w:rsid w:val="006F310F"/>
    <w:rsid w:val="006F4AE6"/>
    <w:rsid w:val="006F56E5"/>
    <w:rsid w:val="006F6297"/>
    <w:rsid w:val="006F710D"/>
    <w:rsid w:val="00700343"/>
    <w:rsid w:val="007011B0"/>
    <w:rsid w:val="007016F1"/>
    <w:rsid w:val="00703EC2"/>
    <w:rsid w:val="00704312"/>
    <w:rsid w:val="00704627"/>
    <w:rsid w:val="00705544"/>
    <w:rsid w:val="0070658D"/>
    <w:rsid w:val="0070697F"/>
    <w:rsid w:val="00706C91"/>
    <w:rsid w:val="00711210"/>
    <w:rsid w:val="007118A7"/>
    <w:rsid w:val="00713DDD"/>
    <w:rsid w:val="007148C7"/>
    <w:rsid w:val="00715409"/>
    <w:rsid w:val="007169D3"/>
    <w:rsid w:val="00716AC0"/>
    <w:rsid w:val="0072199C"/>
    <w:rsid w:val="00722111"/>
    <w:rsid w:val="00722149"/>
    <w:rsid w:val="00722A51"/>
    <w:rsid w:val="00722A89"/>
    <w:rsid w:val="00722BB3"/>
    <w:rsid w:val="00722C9F"/>
    <w:rsid w:val="007252A2"/>
    <w:rsid w:val="007253B8"/>
    <w:rsid w:val="007258F4"/>
    <w:rsid w:val="007271DF"/>
    <w:rsid w:val="00727CBF"/>
    <w:rsid w:val="00727DDA"/>
    <w:rsid w:val="00731281"/>
    <w:rsid w:val="00733E0C"/>
    <w:rsid w:val="0073598C"/>
    <w:rsid w:val="0073631B"/>
    <w:rsid w:val="0073741F"/>
    <w:rsid w:val="007375FD"/>
    <w:rsid w:val="007404E4"/>
    <w:rsid w:val="0074069D"/>
    <w:rsid w:val="00741383"/>
    <w:rsid w:val="00742F9A"/>
    <w:rsid w:val="007444AF"/>
    <w:rsid w:val="0074642E"/>
    <w:rsid w:val="0074669F"/>
    <w:rsid w:val="007467FB"/>
    <w:rsid w:val="007478E0"/>
    <w:rsid w:val="00747AC2"/>
    <w:rsid w:val="007504BF"/>
    <w:rsid w:val="00752826"/>
    <w:rsid w:val="007547DB"/>
    <w:rsid w:val="00755BEC"/>
    <w:rsid w:val="00756B36"/>
    <w:rsid w:val="007571EA"/>
    <w:rsid w:val="007576E7"/>
    <w:rsid w:val="00761139"/>
    <w:rsid w:val="00761AAF"/>
    <w:rsid w:val="007637D6"/>
    <w:rsid w:val="00763D39"/>
    <w:rsid w:val="00765556"/>
    <w:rsid w:val="00765831"/>
    <w:rsid w:val="0076643F"/>
    <w:rsid w:val="0077091E"/>
    <w:rsid w:val="00770E13"/>
    <w:rsid w:val="00772198"/>
    <w:rsid w:val="00773E3C"/>
    <w:rsid w:val="007751C5"/>
    <w:rsid w:val="007776AA"/>
    <w:rsid w:val="00777F63"/>
    <w:rsid w:val="00784CF8"/>
    <w:rsid w:val="00785214"/>
    <w:rsid w:val="007902EE"/>
    <w:rsid w:val="00790FB9"/>
    <w:rsid w:val="007925D6"/>
    <w:rsid w:val="00794E1A"/>
    <w:rsid w:val="0079524D"/>
    <w:rsid w:val="00795572"/>
    <w:rsid w:val="00797306"/>
    <w:rsid w:val="007A0BEF"/>
    <w:rsid w:val="007A2D2F"/>
    <w:rsid w:val="007A2E1F"/>
    <w:rsid w:val="007A4895"/>
    <w:rsid w:val="007A516D"/>
    <w:rsid w:val="007A5817"/>
    <w:rsid w:val="007A5AFB"/>
    <w:rsid w:val="007A6D46"/>
    <w:rsid w:val="007B16BB"/>
    <w:rsid w:val="007B1BFF"/>
    <w:rsid w:val="007B1DA6"/>
    <w:rsid w:val="007B3460"/>
    <w:rsid w:val="007B36D7"/>
    <w:rsid w:val="007B580C"/>
    <w:rsid w:val="007B60E9"/>
    <w:rsid w:val="007B6CC3"/>
    <w:rsid w:val="007B7B36"/>
    <w:rsid w:val="007C32E8"/>
    <w:rsid w:val="007C3334"/>
    <w:rsid w:val="007C3900"/>
    <w:rsid w:val="007C40B1"/>
    <w:rsid w:val="007C5E5A"/>
    <w:rsid w:val="007C756A"/>
    <w:rsid w:val="007D2B98"/>
    <w:rsid w:val="007D2FC6"/>
    <w:rsid w:val="007D3AE1"/>
    <w:rsid w:val="007D3E29"/>
    <w:rsid w:val="007D5056"/>
    <w:rsid w:val="007D5940"/>
    <w:rsid w:val="007D5C0F"/>
    <w:rsid w:val="007D650A"/>
    <w:rsid w:val="007D7206"/>
    <w:rsid w:val="007D7EDE"/>
    <w:rsid w:val="007E12A9"/>
    <w:rsid w:val="007E21BC"/>
    <w:rsid w:val="007E4A85"/>
    <w:rsid w:val="007E559F"/>
    <w:rsid w:val="007F27E9"/>
    <w:rsid w:val="007F38F1"/>
    <w:rsid w:val="007F4501"/>
    <w:rsid w:val="007F4900"/>
    <w:rsid w:val="007F4C07"/>
    <w:rsid w:val="007F600F"/>
    <w:rsid w:val="007F7E9A"/>
    <w:rsid w:val="00801690"/>
    <w:rsid w:val="00801A11"/>
    <w:rsid w:val="00801E01"/>
    <w:rsid w:val="008022DB"/>
    <w:rsid w:val="0080240A"/>
    <w:rsid w:val="00802DD7"/>
    <w:rsid w:val="00803F1C"/>
    <w:rsid w:val="0080600E"/>
    <w:rsid w:val="008065CF"/>
    <w:rsid w:val="008068BF"/>
    <w:rsid w:val="00807168"/>
    <w:rsid w:val="008121E5"/>
    <w:rsid w:val="008135F4"/>
    <w:rsid w:val="00815021"/>
    <w:rsid w:val="00817612"/>
    <w:rsid w:val="008217E6"/>
    <w:rsid w:val="00825B73"/>
    <w:rsid w:val="008266A7"/>
    <w:rsid w:val="008300EE"/>
    <w:rsid w:val="00831A19"/>
    <w:rsid w:val="008338A4"/>
    <w:rsid w:val="00833C38"/>
    <w:rsid w:val="00834062"/>
    <w:rsid w:val="00834D24"/>
    <w:rsid w:val="0083526D"/>
    <w:rsid w:val="00836D9C"/>
    <w:rsid w:val="00837157"/>
    <w:rsid w:val="00837C45"/>
    <w:rsid w:val="008425DF"/>
    <w:rsid w:val="00842F5F"/>
    <w:rsid w:val="00843AD3"/>
    <w:rsid w:val="00844730"/>
    <w:rsid w:val="0084508C"/>
    <w:rsid w:val="008457C2"/>
    <w:rsid w:val="00852948"/>
    <w:rsid w:val="008531BF"/>
    <w:rsid w:val="00854152"/>
    <w:rsid w:val="00854F1D"/>
    <w:rsid w:val="008557D4"/>
    <w:rsid w:val="0085715F"/>
    <w:rsid w:val="00857A82"/>
    <w:rsid w:val="00860178"/>
    <w:rsid w:val="008614E4"/>
    <w:rsid w:val="00862C91"/>
    <w:rsid w:val="00865322"/>
    <w:rsid w:val="00865EEE"/>
    <w:rsid w:val="008713B4"/>
    <w:rsid w:val="00872749"/>
    <w:rsid w:val="00873191"/>
    <w:rsid w:val="00873836"/>
    <w:rsid w:val="00874468"/>
    <w:rsid w:val="008746B3"/>
    <w:rsid w:val="00874D05"/>
    <w:rsid w:val="008761E8"/>
    <w:rsid w:val="0087665D"/>
    <w:rsid w:val="00876E64"/>
    <w:rsid w:val="0088215A"/>
    <w:rsid w:val="00883578"/>
    <w:rsid w:val="0088487B"/>
    <w:rsid w:val="00885737"/>
    <w:rsid w:val="00887D3B"/>
    <w:rsid w:val="008901B5"/>
    <w:rsid w:val="00890650"/>
    <w:rsid w:val="0089076E"/>
    <w:rsid w:val="00890940"/>
    <w:rsid w:val="00890FFE"/>
    <w:rsid w:val="0089243A"/>
    <w:rsid w:val="00892FFA"/>
    <w:rsid w:val="00893487"/>
    <w:rsid w:val="00893FB0"/>
    <w:rsid w:val="00897E12"/>
    <w:rsid w:val="008A10AE"/>
    <w:rsid w:val="008A235F"/>
    <w:rsid w:val="008A3A9C"/>
    <w:rsid w:val="008A55E5"/>
    <w:rsid w:val="008A7D92"/>
    <w:rsid w:val="008A7E0F"/>
    <w:rsid w:val="008B12F5"/>
    <w:rsid w:val="008B1DB1"/>
    <w:rsid w:val="008B1E5E"/>
    <w:rsid w:val="008B1EDD"/>
    <w:rsid w:val="008B2705"/>
    <w:rsid w:val="008B2AA3"/>
    <w:rsid w:val="008B5384"/>
    <w:rsid w:val="008B5735"/>
    <w:rsid w:val="008C0671"/>
    <w:rsid w:val="008C1C5B"/>
    <w:rsid w:val="008C3098"/>
    <w:rsid w:val="008C3755"/>
    <w:rsid w:val="008C416C"/>
    <w:rsid w:val="008C493D"/>
    <w:rsid w:val="008C544B"/>
    <w:rsid w:val="008C5F07"/>
    <w:rsid w:val="008C5F8C"/>
    <w:rsid w:val="008C6084"/>
    <w:rsid w:val="008C69CA"/>
    <w:rsid w:val="008C71B4"/>
    <w:rsid w:val="008C7A48"/>
    <w:rsid w:val="008C7E5D"/>
    <w:rsid w:val="008D3D51"/>
    <w:rsid w:val="008D56E6"/>
    <w:rsid w:val="008D597A"/>
    <w:rsid w:val="008D678C"/>
    <w:rsid w:val="008D7091"/>
    <w:rsid w:val="008D768D"/>
    <w:rsid w:val="008E0FA1"/>
    <w:rsid w:val="008E146D"/>
    <w:rsid w:val="008E2763"/>
    <w:rsid w:val="008E2CCC"/>
    <w:rsid w:val="008E3053"/>
    <w:rsid w:val="008E3388"/>
    <w:rsid w:val="008E3759"/>
    <w:rsid w:val="008F0B5A"/>
    <w:rsid w:val="008F1452"/>
    <w:rsid w:val="008F1912"/>
    <w:rsid w:val="008F1B28"/>
    <w:rsid w:val="008F3D64"/>
    <w:rsid w:val="008F604B"/>
    <w:rsid w:val="008F634D"/>
    <w:rsid w:val="008F659B"/>
    <w:rsid w:val="008F7809"/>
    <w:rsid w:val="00901438"/>
    <w:rsid w:val="009014A4"/>
    <w:rsid w:val="00901BDB"/>
    <w:rsid w:val="0090270B"/>
    <w:rsid w:val="009041DC"/>
    <w:rsid w:val="00904736"/>
    <w:rsid w:val="00907832"/>
    <w:rsid w:val="009107E1"/>
    <w:rsid w:val="00912DF1"/>
    <w:rsid w:val="00915236"/>
    <w:rsid w:val="00917B5A"/>
    <w:rsid w:val="00920A58"/>
    <w:rsid w:val="00920A8C"/>
    <w:rsid w:val="0092111F"/>
    <w:rsid w:val="00921B5B"/>
    <w:rsid w:val="0092331D"/>
    <w:rsid w:val="00924F45"/>
    <w:rsid w:val="00926F7B"/>
    <w:rsid w:val="00927D4E"/>
    <w:rsid w:val="0093040B"/>
    <w:rsid w:val="009306BA"/>
    <w:rsid w:val="00931045"/>
    <w:rsid w:val="0093267E"/>
    <w:rsid w:val="00934A2C"/>
    <w:rsid w:val="00935196"/>
    <w:rsid w:val="00936D60"/>
    <w:rsid w:val="00936FAE"/>
    <w:rsid w:val="00937380"/>
    <w:rsid w:val="00941DA1"/>
    <w:rsid w:val="009422EF"/>
    <w:rsid w:val="009429AE"/>
    <w:rsid w:val="00942E94"/>
    <w:rsid w:val="009430A6"/>
    <w:rsid w:val="009432A8"/>
    <w:rsid w:val="00945B4E"/>
    <w:rsid w:val="009470FC"/>
    <w:rsid w:val="00950E1E"/>
    <w:rsid w:val="00951783"/>
    <w:rsid w:val="00951CBC"/>
    <w:rsid w:val="0095414C"/>
    <w:rsid w:val="0095457E"/>
    <w:rsid w:val="00956270"/>
    <w:rsid w:val="009568D5"/>
    <w:rsid w:val="00956987"/>
    <w:rsid w:val="009569DD"/>
    <w:rsid w:val="00957C94"/>
    <w:rsid w:val="009609E8"/>
    <w:rsid w:val="009622E9"/>
    <w:rsid w:val="0096231E"/>
    <w:rsid w:val="00965D82"/>
    <w:rsid w:val="0096649A"/>
    <w:rsid w:val="0096706E"/>
    <w:rsid w:val="009677A7"/>
    <w:rsid w:val="00967DDA"/>
    <w:rsid w:val="00967EBB"/>
    <w:rsid w:val="00971AD0"/>
    <w:rsid w:val="00971F44"/>
    <w:rsid w:val="00975C4E"/>
    <w:rsid w:val="00977D92"/>
    <w:rsid w:val="00981601"/>
    <w:rsid w:val="00981FBA"/>
    <w:rsid w:val="0098246E"/>
    <w:rsid w:val="00982BD8"/>
    <w:rsid w:val="009831A6"/>
    <w:rsid w:val="00983304"/>
    <w:rsid w:val="009839DF"/>
    <w:rsid w:val="009842F6"/>
    <w:rsid w:val="00985093"/>
    <w:rsid w:val="00987D24"/>
    <w:rsid w:val="00991CD4"/>
    <w:rsid w:val="00993A22"/>
    <w:rsid w:val="009955FF"/>
    <w:rsid w:val="00996910"/>
    <w:rsid w:val="00997BC5"/>
    <w:rsid w:val="009A038F"/>
    <w:rsid w:val="009A0BE3"/>
    <w:rsid w:val="009A0C18"/>
    <w:rsid w:val="009A2346"/>
    <w:rsid w:val="009A4F41"/>
    <w:rsid w:val="009A516F"/>
    <w:rsid w:val="009A536D"/>
    <w:rsid w:val="009A5D3F"/>
    <w:rsid w:val="009A6E5A"/>
    <w:rsid w:val="009A7B46"/>
    <w:rsid w:val="009B1F1F"/>
    <w:rsid w:val="009B270E"/>
    <w:rsid w:val="009B27ED"/>
    <w:rsid w:val="009B381B"/>
    <w:rsid w:val="009B4DE2"/>
    <w:rsid w:val="009B5153"/>
    <w:rsid w:val="009B52DB"/>
    <w:rsid w:val="009B56CC"/>
    <w:rsid w:val="009B7FA2"/>
    <w:rsid w:val="009C0F27"/>
    <w:rsid w:val="009C1211"/>
    <w:rsid w:val="009C2B51"/>
    <w:rsid w:val="009C4582"/>
    <w:rsid w:val="009C4EAA"/>
    <w:rsid w:val="009C6938"/>
    <w:rsid w:val="009C70E3"/>
    <w:rsid w:val="009C7690"/>
    <w:rsid w:val="009D098D"/>
    <w:rsid w:val="009D1753"/>
    <w:rsid w:val="009D44BD"/>
    <w:rsid w:val="009D46AB"/>
    <w:rsid w:val="009D5CB9"/>
    <w:rsid w:val="009D689C"/>
    <w:rsid w:val="009D7611"/>
    <w:rsid w:val="009D7B3D"/>
    <w:rsid w:val="009D7C58"/>
    <w:rsid w:val="009E014A"/>
    <w:rsid w:val="009E0201"/>
    <w:rsid w:val="009E097E"/>
    <w:rsid w:val="009E0B61"/>
    <w:rsid w:val="009E1309"/>
    <w:rsid w:val="009E1CA1"/>
    <w:rsid w:val="009E37C6"/>
    <w:rsid w:val="009E49EA"/>
    <w:rsid w:val="009E51EB"/>
    <w:rsid w:val="009E53DE"/>
    <w:rsid w:val="009E59FD"/>
    <w:rsid w:val="009E7EBC"/>
    <w:rsid w:val="009F0ED3"/>
    <w:rsid w:val="009F1023"/>
    <w:rsid w:val="009F1C3B"/>
    <w:rsid w:val="009F3670"/>
    <w:rsid w:val="00A01075"/>
    <w:rsid w:val="00A043F6"/>
    <w:rsid w:val="00A04978"/>
    <w:rsid w:val="00A077F5"/>
    <w:rsid w:val="00A12910"/>
    <w:rsid w:val="00A1333D"/>
    <w:rsid w:val="00A1396E"/>
    <w:rsid w:val="00A13B72"/>
    <w:rsid w:val="00A168A5"/>
    <w:rsid w:val="00A17EBE"/>
    <w:rsid w:val="00A22D65"/>
    <w:rsid w:val="00A2598E"/>
    <w:rsid w:val="00A267EB"/>
    <w:rsid w:val="00A26F7A"/>
    <w:rsid w:val="00A328B3"/>
    <w:rsid w:val="00A328F5"/>
    <w:rsid w:val="00A338DF"/>
    <w:rsid w:val="00A33B1E"/>
    <w:rsid w:val="00A33B47"/>
    <w:rsid w:val="00A3465B"/>
    <w:rsid w:val="00A347A3"/>
    <w:rsid w:val="00A4093B"/>
    <w:rsid w:val="00A421D9"/>
    <w:rsid w:val="00A424EE"/>
    <w:rsid w:val="00A43D08"/>
    <w:rsid w:val="00A453A2"/>
    <w:rsid w:val="00A46459"/>
    <w:rsid w:val="00A50FCF"/>
    <w:rsid w:val="00A5199B"/>
    <w:rsid w:val="00A51CA3"/>
    <w:rsid w:val="00A528D1"/>
    <w:rsid w:val="00A5331A"/>
    <w:rsid w:val="00A546A8"/>
    <w:rsid w:val="00A546D0"/>
    <w:rsid w:val="00A54842"/>
    <w:rsid w:val="00A55A96"/>
    <w:rsid w:val="00A56BCD"/>
    <w:rsid w:val="00A5746D"/>
    <w:rsid w:val="00A57BD7"/>
    <w:rsid w:val="00A6003A"/>
    <w:rsid w:val="00A610CD"/>
    <w:rsid w:val="00A61602"/>
    <w:rsid w:val="00A61E19"/>
    <w:rsid w:val="00A63881"/>
    <w:rsid w:val="00A65698"/>
    <w:rsid w:val="00A67896"/>
    <w:rsid w:val="00A70C2F"/>
    <w:rsid w:val="00A71BA1"/>
    <w:rsid w:val="00A727A2"/>
    <w:rsid w:val="00A73E50"/>
    <w:rsid w:val="00A755A0"/>
    <w:rsid w:val="00A75C60"/>
    <w:rsid w:val="00A75E63"/>
    <w:rsid w:val="00A802C6"/>
    <w:rsid w:val="00A814FA"/>
    <w:rsid w:val="00A825F4"/>
    <w:rsid w:val="00A838ED"/>
    <w:rsid w:val="00A83C95"/>
    <w:rsid w:val="00A866D2"/>
    <w:rsid w:val="00A86733"/>
    <w:rsid w:val="00A87F08"/>
    <w:rsid w:val="00A92417"/>
    <w:rsid w:val="00A9472E"/>
    <w:rsid w:val="00AA09A2"/>
    <w:rsid w:val="00AA0FDF"/>
    <w:rsid w:val="00AA1830"/>
    <w:rsid w:val="00AA1B0E"/>
    <w:rsid w:val="00AA6F88"/>
    <w:rsid w:val="00AA70A5"/>
    <w:rsid w:val="00AA7996"/>
    <w:rsid w:val="00AB1A81"/>
    <w:rsid w:val="00AB28D4"/>
    <w:rsid w:val="00AB3F96"/>
    <w:rsid w:val="00AB6146"/>
    <w:rsid w:val="00AC19CB"/>
    <w:rsid w:val="00AC55D4"/>
    <w:rsid w:val="00AC6C77"/>
    <w:rsid w:val="00AC7EF4"/>
    <w:rsid w:val="00AD18B0"/>
    <w:rsid w:val="00AD1EFF"/>
    <w:rsid w:val="00AD3B75"/>
    <w:rsid w:val="00AD3CFB"/>
    <w:rsid w:val="00AD4FAB"/>
    <w:rsid w:val="00AD5F3A"/>
    <w:rsid w:val="00AE0278"/>
    <w:rsid w:val="00AE14E0"/>
    <w:rsid w:val="00AE1AE9"/>
    <w:rsid w:val="00AE5488"/>
    <w:rsid w:val="00AE6F91"/>
    <w:rsid w:val="00AF22E3"/>
    <w:rsid w:val="00AF2F94"/>
    <w:rsid w:val="00AF4A2C"/>
    <w:rsid w:val="00AF5571"/>
    <w:rsid w:val="00AF7404"/>
    <w:rsid w:val="00AF771B"/>
    <w:rsid w:val="00AF7988"/>
    <w:rsid w:val="00B015C3"/>
    <w:rsid w:val="00B0379E"/>
    <w:rsid w:val="00B03D69"/>
    <w:rsid w:val="00B07184"/>
    <w:rsid w:val="00B07341"/>
    <w:rsid w:val="00B1024D"/>
    <w:rsid w:val="00B102BC"/>
    <w:rsid w:val="00B11103"/>
    <w:rsid w:val="00B15E91"/>
    <w:rsid w:val="00B20F88"/>
    <w:rsid w:val="00B20FEB"/>
    <w:rsid w:val="00B22E20"/>
    <w:rsid w:val="00B30335"/>
    <w:rsid w:val="00B30539"/>
    <w:rsid w:val="00B314DB"/>
    <w:rsid w:val="00B33B90"/>
    <w:rsid w:val="00B344B1"/>
    <w:rsid w:val="00B34B3D"/>
    <w:rsid w:val="00B34CE7"/>
    <w:rsid w:val="00B36173"/>
    <w:rsid w:val="00B361F2"/>
    <w:rsid w:val="00B3718B"/>
    <w:rsid w:val="00B405AB"/>
    <w:rsid w:val="00B431B3"/>
    <w:rsid w:val="00B431F1"/>
    <w:rsid w:val="00B43517"/>
    <w:rsid w:val="00B436D8"/>
    <w:rsid w:val="00B43F02"/>
    <w:rsid w:val="00B4632A"/>
    <w:rsid w:val="00B469E5"/>
    <w:rsid w:val="00B47BC1"/>
    <w:rsid w:val="00B513B1"/>
    <w:rsid w:val="00B516ED"/>
    <w:rsid w:val="00B530F1"/>
    <w:rsid w:val="00B54A0C"/>
    <w:rsid w:val="00B60176"/>
    <w:rsid w:val="00B632D6"/>
    <w:rsid w:val="00B6772E"/>
    <w:rsid w:val="00B67999"/>
    <w:rsid w:val="00B7056E"/>
    <w:rsid w:val="00B7066B"/>
    <w:rsid w:val="00B715BE"/>
    <w:rsid w:val="00B71C28"/>
    <w:rsid w:val="00B734E7"/>
    <w:rsid w:val="00B73671"/>
    <w:rsid w:val="00B76B20"/>
    <w:rsid w:val="00B77D28"/>
    <w:rsid w:val="00B80344"/>
    <w:rsid w:val="00B80468"/>
    <w:rsid w:val="00B8289F"/>
    <w:rsid w:val="00B85169"/>
    <w:rsid w:val="00B85DCA"/>
    <w:rsid w:val="00B90C19"/>
    <w:rsid w:val="00B92890"/>
    <w:rsid w:val="00B94526"/>
    <w:rsid w:val="00B97C68"/>
    <w:rsid w:val="00BA20F8"/>
    <w:rsid w:val="00BA276C"/>
    <w:rsid w:val="00BA461E"/>
    <w:rsid w:val="00BA52A7"/>
    <w:rsid w:val="00BA61B6"/>
    <w:rsid w:val="00BA7261"/>
    <w:rsid w:val="00BB19E7"/>
    <w:rsid w:val="00BB306F"/>
    <w:rsid w:val="00BB4072"/>
    <w:rsid w:val="00BB6093"/>
    <w:rsid w:val="00BB65D4"/>
    <w:rsid w:val="00BC0F0C"/>
    <w:rsid w:val="00BC1180"/>
    <w:rsid w:val="00BC2BB1"/>
    <w:rsid w:val="00BC33F5"/>
    <w:rsid w:val="00BC63B6"/>
    <w:rsid w:val="00BC7000"/>
    <w:rsid w:val="00BD37F1"/>
    <w:rsid w:val="00BD4B89"/>
    <w:rsid w:val="00BD58F8"/>
    <w:rsid w:val="00BD7D0E"/>
    <w:rsid w:val="00BE07CA"/>
    <w:rsid w:val="00BE0AD9"/>
    <w:rsid w:val="00BE172E"/>
    <w:rsid w:val="00BE1B7E"/>
    <w:rsid w:val="00BE1E19"/>
    <w:rsid w:val="00BE1F75"/>
    <w:rsid w:val="00BE2A85"/>
    <w:rsid w:val="00BE3EF5"/>
    <w:rsid w:val="00BE46B6"/>
    <w:rsid w:val="00BE6C41"/>
    <w:rsid w:val="00BF02CB"/>
    <w:rsid w:val="00BF0540"/>
    <w:rsid w:val="00BF11D3"/>
    <w:rsid w:val="00BF1664"/>
    <w:rsid w:val="00BF2234"/>
    <w:rsid w:val="00BF44B2"/>
    <w:rsid w:val="00BF6559"/>
    <w:rsid w:val="00BF6FD8"/>
    <w:rsid w:val="00BF7B26"/>
    <w:rsid w:val="00C00AB2"/>
    <w:rsid w:val="00C012B7"/>
    <w:rsid w:val="00C03680"/>
    <w:rsid w:val="00C0452C"/>
    <w:rsid w:val="00C04DBD"/>
    <w:rsid w:val="00C054DF"/>
    <w:rsid w:val="00C07DEB"/>
    <w:rsid w:val="00C11274"/>
    <w:rsid w:val="00C113BF"/>
    <w:rsid w:val="00C121F3"/>
    <w:rsid w:val="00C12A73"/>
    <w:rsid w:val="00C14997"/>
    <w:rsid w:val="00C150A5"/>
    <w:rsid w:val="00C16595"/>
    <w:rsid w:val="00C21762"/>
    <w:rsid w:val="00C22591"/>
    <w:rsid w:val="00C23864"/>
    <w:rsid w:val="00C23DFB"/>
    <w:rsid w:val="00C23EB8"/>
    <w:rsid w:val="00C23EFB"/>
    <w:rsid w:val="00C24543"/>
    <w:rsid w:val="00C25308"/>
    <w:rsid w:val="00C256A2"/>
    <w:rsid w:val="00C25E8B"/>
    <w:rsid w:val="00C260A3"/>
    <w:rsid w:val="00C2651E"/>
    <w:rsid w:val="00C26DB5"/>
    <w:rsid w:val="00C318A4"/>
    <w:rsid w:val="00C325F8"/>
    <w:rsid w:val="00C34BE7"/>
    <w:rsid w:val="00C354EE"/>
    <w:rsid w:val="00C36059"/>
    <w:rsid w:val="00C40789"/>
    <w:rsid w:val="00C41237"/>
    <w:rsid w:val="00C4180E"/>
    <w:rsid w:val="00C4396A"/>
    <w:rsid w:val="00C43E61"/>
    <w:rsid w:val="00C46EE5"/>
    <w:rsid w:val="00C51385"/>
    <w:rsid w:val="00C51515"/>
    <w:rsid w:val="00C52F70"/>
    <w:rsid w:val="00C5311C"/>
    <w:rsid w:val="00C537F1"/>
    <w:rsid w:val="00C55D0C"/>
    <w:rsid w:val="00C5660B"/>
    <w:rsid w:val="00C570B8"/>
    <w:rsid w:val="00C60C22"/>
    <w:rsid w:val="00C61744"/>
    <w:rsid w:val="00C629D3"/>
    <w:rsid w:val="00C62A75"/>
    <w:rsid w:val="00C63E70"/>
    <w:rsid w:val="00C640F6"/>
    <w:rsid w:val="00C647A8"/>
    <w:rsid w:val="00C66B72"/>
    <w:rsid w:val="00C67FAF"/>
    <w:rsid w:val="00C7041F"/>
    <w:rsid w:val="00C70B72"/>
    <w:rsid w:val="00C7300E"/>
    <w:rsid w:val="00C75282"/>
    <w:rsid w:val="00C7772D"/>
    <w:rsid w:val="00C80161"/>
    <w:rsid w:val="00C806AE"/>
    <w:rsid w:val="00C80CA1"/>
    <w:rsid w:val="00C810D8"/>
    <w:rsid w:val="00C81646"/>
    <w:rsid w:val="00C830E1"/>
    <w:rsid w:val="00C8530D"/>
    <w:rsid w:val="00C853BA"/>
    <w:rsid w:val="00C86DA4"/>
    <w:rsid w:val="00C87951"/>
    <w:rsid w:val="00C90FE0"/>
    <w:rsid w:val="00C91D59"/>
    <w:rsid w:val="00C94861"/>
    <w:rsid w:val="00C9567A"/>
    <w:rsid w:val="00C96B76"/>
    <w:rsid w:val="00C97129"/>
    <w:rsid w:val="00CA2562"/>
    <w:rsid w:val="00CA37B4"/>
    <w:rsid w:val="00CA3BA8"/>
    <w:rsid w:val="00CA5403"/>
    <w:rsid w:val="00CA748C"/>
    <w:rsid w:val="00CA7BF4"/>
    <w:rsid w:val="00CB212D"/>
    <w:rsid w:val="00CB236A"/>
    <w:rsid w:val="00CB2583"/>
    <w:rsid w:val="00CB2660"/>
    <w:rsid w:val="00CB296C"/>
    <w:rsid w:val="00CB2F94"/>
    <w:rsid w:val="00CB4AF7"/>
    <w:rsid w:val="00CB515C"/>
    <w:rsid w:val="00CB6CA4"/>
    <w:rsid w:val="00CC1DD6"/>
    <w:rsid w:val="00CC267A"/>
    <w:rsid w:val="00CC36A7"/>
    <w:rsid w:val="00CC3846"/>
    <w:rsid w:val="00CC46C0"/>
    <w:rsid w:val="00CC4D3C"/>
    <w:rsid w:val="00CC5E90"/>
    <w:rsid w:val="00CC63CF"/>
    <w:rsid w:val="00CC6767"/>
    <w:rsid w:val="00CC70CE"/>
    <w:rsid w:val="00CD046C"/>
    <w:rsid w:val="00CD2ABD"/>
    <w:rsid w:val="00CD3A52"/>
    <w:rsid w:val="00CD5BA6"/>
    <w:rsid w:val="00CD5BE1"/>
    <w:rsid w:val="00CD6689"/>
    <w:rsid w:val="00CE076C"/>
    <w:rsid w:val="00CE2CBD"/>
    <w:rsid w:val="00CE5199"/>
    <w:rsid w:val="00CE51E7"/>
    <w:rsid w:val="00CE64C7"/>
    <w:rsid w:val="00CE66D5"/>
    <w:rsid w:val="00CE6F17"/>
    <w:rsid w:val="00CE747A"/>
    <w:rsid w:val="00CE75E6"/>
    <w:rsid w:val="00CE7BD0"/>
    <w:rsid w:val="00CF442F"/>
    <w:rsid w:val="00CF6321"/>
    <w:rsid w:val="00CF637A"/>
    <w:rsid w:val="00CF7FB5"/>
    <w:rsid w:val="00D003C5"/>
    <w:rsid w:val="00D01BDD"/>
    <w:rsid w:val="00D023B2"/>
    <w:rsid w:val="00D02435"/>
    <w:rsid w:val="00D03278"/>
    <w:rsid w:val="00D059DE"/>
    <w:rsid w:val="00D05E75"/>
    <w:rsid w:val="00D06796"/>
    <w:rsid w:val="00D1096F"/>
    <w:rsid w:val="00D11493"/>
    <w:rsid w:val="00D12193"/>
    <w:rsid w:val="00D13366"/>
    <w:rsid w:val="00D139CD"/>
    <w:rsid w:val="00D13FCE"/>
    <w:rsid w:val="00D16BE2"/>
    <w:rsid w:val="00D2168D"/>
    <w:rsid w:val="00D22A34"/>
    <w:rsid w:val="00D26002"/>
    <w:rsid w:val="00D26754"/>
    <w:rsid w:val="00D270D0"/>
    <w:rsid w:val="00D27EEE"/>
    <w:rsid w:val="00D306D1"/>
    <w:rsid w:val="00D3083C"/>
    <w:rsid w:val="00D32184"/>
    <w:rsid w:val="00D32A10"/>
    <w:rsid w:val="00D32CA9"/>
    <w:rsid w:val="00D340F1"/>
    <w:rsid w:val="00D34786"/>
    <w:rsid w:val="00D3594D"/>
    <w:rsid w:val="00D37BFC"/>
    <w:rsid w:val="00D41B6A"/>
    <w:rsid w:val="00D41C25"/>
    <w:rsid w:val="00D45F2A"/>
    <w:rsid w:val="00D46866"/>
    <w:rsid w:val="00D4690F"/>
    <w:rsid w:val="00D4757B"/>
    <w:rsid w:val="00D4780A"/>
    <w:rsid w:val="00D47A8E"/>
    <w:rsid w:val="00D50A44"/>
    <w:rsid w:val="00D50D46"/>
    <w:rsid w:val="00D50DE6"/>
    <w:rsid w:val="00D51471"/>
    <w:rsid w:val="00D52D14"/>
    <w:rsid w:val="00D607E3"/>
    <w:rsid w:val="00D6114E"/>
    <w:rsid w:val="00D61682"/>
    <w:rsid w:val="00D64B2D"/>
    <w:rsid w:val="00D64D9D"/>
    <w:rsid w:val="00D65276"/>
    <w:rsid w:val="00D671FD"/>
    <w:rsid w:val="00D70ACF"/>
    <w:rsid w:val="00D712D3"/>
    <w:rsid w:val="00D71422"/>
    <w:rsid w:val="00D72DC6"/>
    <w:rsid w:val="00D730FC"/>
    <w:rsid w:val="00D7558D"/>
    <w:rsid w:val="00D77B85"/>
    <w:rsid w:val="00D80C96"/>
    <w:rsid w:val="00D81D92"/>
    <w:rsid w:val="00D82440"/>
    <w:rsid w:val="00D8295A"/>
    <w:rsid w:val="00D83D73"/>
    <w:rsid w:val="00D870EA"/>
    <w:rsid w:val="00D87920"/>
    <w:rsid w:val="00D90D25"/>
    <w:rsid w:val="00D91923"/>
    <w:rsid w:val="00D92881"/>
    <w:rsid w:val="00D944EE"/>
    <w:rsid w:val="00D96E66"/>
    <w:rsid w:val="00D9743B"/>
    <w:rsid w:val="00D9755A"/>
    <w:rsid w:val="00DA0027"/>
    <w:rsid w:val="00DA02EE"/>
    <w:rsid w:val="00DA17F4"/>
    <w:rsid w:val="00DA2C2F"/>
    <w:rsid w:val="00DA2E0E"/>
    <w:rsid w:val="00DA3ACB"/>
    <w:rsid w:val="00DA6E69"/>
    <w:rsid w:val="00DA6FC7"/>
    <w:rsid w:val="00DA7B5F"/>
    <w:rsid w:val="00DB0D66"/>
    <w:rsid w:val="00DB2DB6"/>
    <w:rsid w:val="00DB7678"/>
    <w:rsid w:val="00DB7ECB"/>
    <w:rsid w:val="00DC11E7"/>
    <w:rsid w:val="00DC4A02"/>
    <w:rsid w:val="00DC7023"/>
    <w:rsid w:val="00DC769A"/>
    <w:rsid w:val="00DD0B50"/>
    <w:rsid w:val="00DD0E9F"/>
    <w:rsid w:val="00DD2F83"/>
    <w:rsid w:val="00DD39EC"/>
    <w:rsid w:val="00DD3D86"/>
    <w:rsid w:val="00DD56E5"/>
    <w:rsid w:val="00DD5AD0"/>
    <w:rsid w:val="00DD5EF0"/>
    <w:rsid w:val="00DD64A2"/>
    <w:rsid w:val="00DE016A"/>
    <w:rsid w:val="00DE0ADC"/>
    <w:rsid w:val="00DE5929"/>
    <w:rsid w:val="00DE59F5"/>
    <w:rsid w:val="00DE783D"/>
    <w:rsid w:val="00DF0380"/>
    <w:rsid w:val="00DF1EC4"/>
    <w:rsid w:val="00DF3579"/>
    <w:rsid w:val="00DF3FB1"/>
    <w:rsid w:val="00DF4677"/>
    <w:rsid w:val="00DF5EE7"/>
    <w:rsid w:val="00E008F5"/>
    <w:rsid w:val="00E00FE3"/>
    <w:rsid w:val="00E0168A"/>
    <w:rsid w:val="00E032F0"/>
    <w:rsid w:val="00E0340B"/>
    <w:rsid w:val="00E04A90"/>
    <w:rsid w:val="00E067E5"/>
    <w:rsid w:val="00E1325A"/>
    <w:rsid w:val="00E13FAB"/>
    <w:rsid w:val="00E14770"/>
    <w:rsid w:val="00E168D5"/>
    <w:rsid w:val="00E17DD0"/>
    <w:rsid w:val="00E219C7"/>
    <w:rsid w:val="00E23321"/>
    <w:rsid w:val="00E27CD7"/>
    <w:rsid w:val="00E3057C"/>
    <w:rsid w:val="00E3161A"/>
    <w:rsid w:val="00E31CB2"/>
    <w:rsid w:val="00E3221B"/>
    <w:rsid w:val="00E336D1"/>
    <w:rsid w:val="00E35793"/>
    <w:rsid w:val="00E35859"/>
    <w:rsid w:val="00E36241"/>
    <w:rsid w:val="00E3758B"/>
    <w:rsid w:val="00E42230"/>
    <w:rsid w:val="00E4257C"/>
    <w:rsid w:val="00E42758"/>
    <w:rsid w:val="00E42923"/>
    <w:rsid w:val="00E43157"/>
    <w:rsid w:val="00E44274"/>
    <w:rsid w:val="00E444EE"/>
    <w:rsid w:val="00E45A18"/>
    <w:rsid w:val="00E461CE"/>
    <w:rsid w:val="00E47442"/>
    <w:rsid w:val="00E504F4"/>
    <w:rsid w:val="00E50DE7"/>
    <w:rsid w:val="00E515D4"/>
    <w:rsid w:val="00E517BD"/>
    <w:rsid w:val="00E51EA6"/>
    <w:rsid w:val="00E53F48"/>
    <w:rsid w:val="00E54209"/>
    <w:rsid w:val="00E56302"/>
    <w:rsid w:val="00E57E63"/>
    <w:rsid w:val="00E66849"/>
    <w:rsid w:val="00E66BBC"/>
    <w:rsid w:val="00E70446"/>
    <w:rsid w:val="00E720CA"/>
    <w:rsid w:val="00E726E5"/>
    <w:rsid w:val="00E749DA"/>
    <w:rsid w:val="00E75B10"/>
    <w:rsid w:val="00E77992"/>
    <w:rsid w:val="00E810C3"/>
    <w:rsid w:val="00E8167C"/>
    <w:rsid w:val="00E81D2D"/>
    <w:rsid w:val="00E82A46"/>
    <w:rsid w:val="00E83DDB"/>
    <w:rsid w:val="00E841A6"/>
    <w:rsid w:val="00E84AD3"/>
    <w:rsid w:val="00E84EB5"/>
    <w:rsid w:val="00E85662"/>
    <w:rsid w:val="00E85AB6"/>
    <w:rsid w:val="00E8789F"/>
    <w:rsid w:val="00E902A4"/>
    <w:rsid w:val="00E9032D"/>
    <w:rsid w:val="00E903C6"/>
    <w:rsid w:val="00E909AA"/>
    <w:rsid w:val="00E917C7"/>
    <w:rsid w:val="00E92F81"/>
    <w:rsid w:val="00E93404"/>
    <w:rsid w:val="00E93EF7"/>
    <w:rsid w:val="00E978F6"/>
    <w:rsid w:val="00E97B71"/>
    <w:rsid w:val="00EA1433"/>
    <w:rsid w:val="00EA3843"/>
    <w:rsid w:val="00EA3D34"/>
    <w:rsid w:val="00EA5D72"/>
    <w:rsid w:val="00EA7466"/>
    <w:rsid w:val="00EB05EA"/>
    <w:rsid w:val="00EB293C"/>
    <w:rsid w:val="00EB454D"/>
    <w:rsid w:val="00EB4701"/>
    <w:rsid w:val="00EB7C70"/>
    <w:rsid w:val="00EC1758"/>
    <w:rsid w:val="00EC2EF9"/>
    <w:rsid w:val="00EC6B03"/>
    <w:rsid w:val="00EC7694"/>
    <w:rsid w:val="00ED00C5"/>
    <w:rsid w:val="00ED50B8"/>
    <w:rsid w:val="00ED591F"/>
    <w:rsid w:val="00ED5F86"/>
    <w:rsid w:val="00ED6822"/>
    <w:rsid w:val="00ED732A"/>
    <w:rsid w:val="00ED76BE"/>
    <w:rsid w:val="00EE12BE"/>
    <w:rsid w:val="00EE1AED"/>
    <w:rsid w:val="00EE2944"/>
    <w:rsid w:val="00EE3FDA"/>
    <w:rsid w:val="00EE6550"/>
    <w:rsid w:val="00EE69EE"/>
    <w:rsid w:val="00EE6D8D"/>
    <w:rsid w:val="00EF0D36"/>
    <w:rsid w:val="00EF443C"/>
    <w:rsid w:val="00EF5185"/>
    <w:rsid w:val="00EF619B"/>
    <w:rsid w:val="00EF7AA6"/>
    <w:rsid w:val="00F00741"/>
    <w:rsid w:val="00F00B55"/>
    <w:rsid w:val="00F02AD1"/>
    <w:rsid w:val="00F02DE2"/>
    <w:rsid w:val="00F05703"/>
    <w:rsid w:val="00F05AFD"/>
    <w:rsid w:val="00F0609F"/>
    <w:rsid w:val="00F10860"/>
    <w:rsid w:val="00F11838"/>
    <w:rsid w:val="00F1413E"/>
    <w:rsid w:val="00F1525E"/>
    <w:rsid w:val="00F15AB7"/>
    <w:rsid w:val="00F1616A"/>
    <w:rsid w:val="00F17671"/>
    <w:rsid w:val="00F17A3D"/>
    <w:rsid w:val="00F17DC8"/>
    <w:rsid w:val="00F22B42"/>
    <w:rsid w:val="00F23E8D"/>
    <w:rsid w:val="00F23ED4"/>
    <w:rsid w:val="00F24E7B"/>
    <w:rsid w:val="00F253CC"/>
    <w:rsid w:val="00F25E28"/>
    <w:rsid w:val="00F2737F"/>
    <w:rsid w:val="00F3053F"/>
    <w:rsid w:val="00F30D01"/>
    <w:rsid w:val="00F3389D"/>
    <w:rsid w:val="00F34430"/>
    <w:rsid w:val="00F35657"/>
    <w:rsid w:val="00F36A10"/>
    <w:rsid w:val="00F37106"/>
    <w:rsid w:val="00F37728"/>
    <w:rsid w:val="00F42162"/>
    <w:rsid w:val="00F442AC"/>
    <w:rsid w:val="00F4712D"/>
    <w:rsid w:val="00F4799F"/>
    <w:rsid w:val="00F50D8D"/>
    <w:rsid w:val="00F519CF"/>
    <w:rsid w:val="00F523E6"/>
    <w:rsid w:val="00F54A5F"/>
    <w:rsid w:val="00F55771"/>
    <w:rsid w:val="00F5594F"/>
    <w:rsid w:val="00F56BA5"/>
    <w:rsid w:val="00F5799E"/>
    <w:rsid w:val="00F60E22"/>
    <w:rsid w:val="00F625D9"/>
    <w:rsid w:val="00F625F5"/>
    <w:rsid w:val="00F640EE"/>
    <w:rsid w:val="00F65E67"/>
    <w:rsid w:val="00F66FC5"/>
    <w:rsid w:val="00F676F4"/>
    <w:rsid w:val="00F67761"/>
    <w:rsid w:val="00F67C93"/>
    <w:rsid w:val="00F67D39"/>
    <w:rsid w:val="00F7068E"/>
    <w:rsid w:val="00F72545"/>
    <w:rsid w:val="00F72D39"/>
    <w:rsid w:val="00F73104"/>
    <w:rsid w:val="00F743F6"/>
    <w:rsid w:val="00F74504"/>
    <w:rsid w:val="00F74F2E"/>
    <w:rsid w:val="00F758A8"/>
    <w:rsid w:val="00F77CC8"/>
    <w:rsid w:val="00F805FB"/>
    <w:rsid w:val="00F81395"/>
    <w:rsid w:val="00F82C29"/>
    <w:rsid w:val="00F8382E"/>
    <w:rsid w:val="00F842EE"/>
    <w:rsid w:val="00F845DA"/>
    <w:rsid w:val="00F87488"/>
    <w:rsid w:val="00F902EB"/>
    <w:rsid w:val="00F916F2"/>
    <w:rsid w:val="00F917D1"/>
    <w:rsid w:val="00F92791"/>
    <w:rsid w:val="00F9653B"/>
    <w:rsid w:val="00F9688C"/>
    <w:rsid w:val="00FA4A9F"/>
    <w:rsid w:val="00FA521A"/>
    <w:rsid w:val="00FA61F4"/>
    <w:rsid w:val="00FB038C"/>
    <w:rsid w:val="00FB2B5B"/>
    <w:rsid w:val="00FB30F9"/>
    <w:rsid w:val="00FB5EB6"/>
    <w:rsid w:val="00FB62CF"/>
    <w:rsid w:val="00FB76EA"/>
    <w:rsid w:val="00FC0137"/>
    <w:rsid w:val="00FC096D"/>
    <w:rsid w:val="00FC1016"/>
    <w:rsid w:val="00FC1BAA"/>
    <w:rsid w:val="00FC38BA"/>
    <w:rsid w:val="00FC3B7C"/>
    <w:rsid w:val="00FC48AD"/>
    <w:rsid w:val="00FC57AA"/>
    <w:rsid w:val="00FC588E"/>
    <w:rsid w:val="00FD133A"/>
    <w:rsid w:val="00FD2105"/>
    <w:rsid w:val="00FD2160"/>
    <w:rsid w:val="00FD3365"/>
    <w:rsid w:val="00FD3C3B"/>
    <w:rsid w:val="00FD4311"/>
    <w:rsid w:val="00FD5A99"/>
    <w:rsid w:val="00FD7CF9"/>
    <w:rsid w:val="00FE01D8"/>
    <w:rsid w:val="00FE07DD"/>
    <w:rsid w:val="00FE08FF"/>
    <w:rsid w:val="00FE1C75"/>
    <w:rsid w:val="00FE29BC"/>
    <w:rsid w:val="00FE3B40"/>
    <w:rsid w:val="00FE4EDA"/>
    <w:rsid w:val="00FE6B45"/>
    <w:rsid w:val="00FF0967"/>
    <w:rsid w:val="00FF1693"/>
    <w:rsid w:val="00FF4038"/>
    <w:rsid w:val="00FF4075"/>
    <w:rsid w:val="00FF44F8"/>
    <w:rsid w:val="00FF4E5F"/>
    <w:rsid w:val="00FF55F3"/>
    <w:rsid w:val="00FF5851"/>
    <w:rsid w:val="00FF6C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5732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ind w:left="240"/>
    </w:pPr>
    <w:rPr>
      <w:rFonts w:asciiTheme="minorHAnsi" w:hAnsiTheme="minorHAnsi"/>
      <w:b/>
      <w:bCs/>
      <w:sz w:val="22"/>
      <w:szCs w:val="22"/>
    </w:rPr>
  </w:style>
  <w:style w:type="paragraph" w:styleId="TOC1">
    <w:name w:val="toc 1"/>
    <w:basedOn w:val="Normal"/>
    <w:next w:val="Normal"/>
    <w:autoRedefine/>
    <w:uiPriority w:val="39"/>
    <w:unhideWhenUsed/>
    <w:rsid w:val="005C4225"/>
    <w:pPr>
      <w:spacing w:before="120"/>
    </w:pPr>
    <w:rPr>
      <w:rFonts w:asciiTheme="minorHAnsi" w:hAnsiTheme="minorHAnsi"/>
      <w:b/>
      <w:bCs/>
    </w:rPr>
  </w:style>
  <w:style w:type="paragraph" w:styleId="TOC3">
    <w:name w:val="toc 3"/>
    <w:basedOn w:val="Normal"/>
    <w:next w:val="Normal"/>
    <w:autoRedefine/>
    <w:uiPriority w:val="39"/>
    <w:unhideWhenUsed/>
    <w:rsid w:val="005C4225"/>
    <w:pPr>
      <w:ind w:left="480"/>
    </w:pPr>
    <w:rPr>
      <w:rFonts w:asciiTheme="minorHAnsi" w:hAnsiTheme="minorHAnsi"/>
      <w:sz w:val="22"/>
      <w:szCs w:val="22"/>
    </w:rPr>
  </w:style>
  <w:style w:type="paragraph" w:styleId="TOC4">
    <w:name w:val="toc 4"/>
    <w:basedOn w:val="Normal"/>
    <w:next w:val="Normal"/>
    <w:autoRedefine/>
    <w:uiPriority w:val="39"/>
    <w:unhideWhenUsed/>
    <w:rsid w:val="005C4225"/>
    <w:pPr>
      <w:ind w:left="720"/>
    </w:pPr>
    <w:rPr>
      <w:rFonts w:asciiTheme="minorHAnsi" w:hAnsiTheme="minorHAnsi"/>
      <w:sz w:val="20"/>
      <w:szCs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512CB7"/>
    <w:rPr>
      <w:sz w:val="16"/>
      <w:szCs w:val="16"/>
    </w:rPr>
  </w:style>
  <w:style w:type="paragraph" w:styleId="CommentText">
    <w:name w:val="annotation text"/>
    <w:basedOn w:val="Normal"/>
    <w:link w:val="CommentTextChar"/>
    <w:uiPriority w:val="99"/>
    <w:semiHidden/>
    <w:unhideWhenUsed/>
    <w:rsid w:val="00512CB7"/>
    <w:rPr>
      <w:sz w:val="20"/>
      <w:szCs w:val="20"/>
    </w:rPr>
  </w:style>
  <w:style w:type="character" w:customStyle="1" w:styleId="CommentTextChar">
    <w:name w:val="Comment Text Char"/>
    <w:basedOn w:val="DefaultParagraphFont"/>
    <w:link w:val="CommentText"/>
    <w:uiPriority w:val="99"/>
    <w:semiHidden/>
    <w:rsid w:val="00512CB7"/>
    <w:rPr>
      <w:lang w:val="en-US" w:eastAsia="en-US"/>
    </w:rPr>
  </w:style>
  <w:style w:type="paragraph" w:styleId="CommentSubject">
    <w:name w:val="annotation subject"/>
    <w:basedOn w:val="CommentText"/>
    <w:next w:val="CommentText"/>
    <w:link w:val="CommentSubjectChar"/>
    <w:uiPriority w:val="99"/>
    <w:semiHidden/>
    <w:unhideWhenUsed/>
    <w:rsid w:val="00512CB7"/>
    <w:rPr>
      <w:b/>
      <w:bCs/>
    </w:rPr>
  </w:style>
  <w:style w:type="character" w:customStyle="1" w:styleId="CommentSubjectChar">
    <w:name w:val="Comment Subject Char"/>
    <w:basedOn w:val="CommentTextChar"/>
    <w:link w:val="CommentSubject"/>
    <w:uiPriority w:val="99"/>
    <w:semiHidden/>
    <w:rsid w:val="00512CB7"/>
    <w:rPr>
      <w:b/>
      <w:bCs/>
      <w:lang w:val="en-US" w:eastAsia="en-US"/>
    </w:rPr>
  </w:style>
  <w:style w:type="paragraph" w:customStyle="1" w:styleId="p1">
    <w:name w:val="p1"/>
    <w:basedOn w:val="Normal"/>
    <w:rsid w:val="00E444E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sz w:val="15"/>
      <w:szCs w:val="15"/>
      <w:bdr w:val="none" w:sz="0" w:space="0" w:color="auto"/>
    </w:rPr>
  </w:style>
  <w:style w:type="character" w:customStyle="1" w:styleId="apple-converted-space">
    <w:name w:val="apple-converted-space"/>
    <w:basedOn w:val="DefaultParagraphFont"/>
    <w:rsid w:val="00E444EE"/>
  </w:style>
  <w:style w:type="character" w:customStyle="1" w:styleId="s1">
    <w:name w:val="s1"/>
    <w:basedOn w:val="DefaultParagraphFont"/>
    <w:rsid w:val="00005819"/>
    <w:rPr>
      <w:u w:val="single"/>
    </w:rPr>
  </w:style>
  <w:style w:type="paragraph" w:customStyle="1" w:styleId="p2">
    <w:name w:val="p2"/>
    <w:basedOn w:val="Normal"/>
    <w:rsid w:val="00F30D0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8"/>
      <w:szCs w:val="18"/>
      <w:bdr w:val="none" w:sz="0" w:space="0" w:color="auto"/>
    </w:rPr>
  </w:style>
  <w:style w:type="paragraph" w:customStyle="1" w:styleId="p3">
    <w:name w:val="p3"/>
    <w:basedOn w:val="Normal"/>
    <w:rsid w:val="00254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ADB"/>
    </w:pPr>
    <w:rPr>
      <w:rFonts w:ascii="Times" w:hAnsi="Times"/>
      <w:sz w:val="17"/>
      <w:szCs w:val="17"/>
      <w:bdr w:val="none" w:sz="0" w:space="0" w:color="auto"/>
    </w:rPr>
  </w:style>
  <w:style w:type="paragraph" w:customStyle="1" w:styleId="p4">
    <w:name w:val="p4"/>
    <w:basedOn w:val="Normal"/>
    <w:rsid w:val="00254F3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sz w:val="15"/>
      <w:szCs w:val="15"/>
      <w:bdr w:val="none" w:sz="0" w:space="0" w:color="auto"/>
    </w:rPr>
  </w:style>
  <w:style w:type="paragraph" w:customStyle="1" w:styleId="p5">
    <w:name w:val="p5"/>
    <w:basedOn w:val="Normal"/>
    <w:rsid w:val="00254F3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sz w:val="15"/>
      <w:szCs w:val="15"/>
      <w:bdr w:val="none" w:sz="0" w:space="0" w:color="auto"/>
    </w:rPr>
  </w:style>
  <w:style w:type="paragraph" w:customStyle="1" w:styleId="p6">
    <w:name w:val="p6"/>
    <w:basedOn w:val="Normal"/>
    <w:rsid w:val="00254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7B7"/>
    </w:pPr>
    <w:rPr>
      <w:rFonts w:ascii="Times" w:hAnsi="Times"/>
      <w:sz w:val="17"/>
      <w:szCs w:val="17"/>
      <w:bdr w:val="none" w:sz="0" w:space="0" w:color="auto"/>
    </w:rPr>
  </w:style>
  <w:style w:type="character" w:customStyle="1" w:styleId="s2">
    <w:name w:val="s2"/>
    <w:basedOn w:val="DefaultParagraphFont"/>
    <w:rsid w:val="00254F3E"/>
    <w:rPr>
      <w:rFonts w:ascii="Times" w:hAnsi="Times" w:hint="default"/>
      <w:sz w:val="10"/>
      <w:szCs w:val="10"/>
      <w:u w:val="single"/>
    </w:rPr>
  </w:style>
  <w:style w:type="character" w:customStyle="1" w:styleId="s3">
    <w:name w:val="s3"/>
    <w:basedOn w:val="DefaultParagraphFont"/>
    <w:rsid w:val="00254F3E"/>
    <w:rPr>
      <w:shd w:val="clear" w:color="auto" w:fill="F8FADB"/>
    </w:rPr>
  </w:style>
  <w:style w:type="character" w:customStyle="1" w:styleId="s4">
    <w:name w:val="s4"/>
    <w:basedOn w:val="DefaultParagraphFont"/>
    <w:rsid w:val="00254F3E"/>
    <w:rPr>
      <w:shd w:val="clear" w:color="auto" w:fill="FEFCDD"/>
    </w:rPr>
  </w:style>
  <w:style w:type="character" w:customStyle="1" w:styleId="s5">
    <w:name w:val="s5"/>
    <w:basedOn w:val="DefaultParagraphFont"/>
    <w:rsid w:val="00254F3E"/>
    <w:rPr>
      <w:rFonts w:ascii="Times" w:hAnsi="Times" w:hint="default"/>
      <w:sz w:val="17"/>
      <w:szCs w:val="17"/>
    </w:rPr>
  </w:style>
  <w:style w:type="character" w:customStyle="1" w:styleId="s6">
    <w:name w:val="s6"/>
    <w:basedOn w:val="DefaultParagraphFont"/>
    <w:rsid w:val="00254F3E"/>
    <w:rPr>
      <w:shd w:val="clear" w:color="auto" w:fill="F2F7B7"/>
    </w:rPr>
  </w:style>
  <w:style w:type="paragraph" w:styleId="Revision">
    <w:name w:val="Revision"/>
    <w:hidden/>
    <w:uiPriority w:val="99"/>
    <w:semiHidden/>
    <w:rsid w:val="00D475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rmar">
    <w:name w:val="nrmar"/>
    <w:basedOn w:val="DefaultParagraphFont"/>
    <w:rsid w:val="003320FF"/>
  </w:style>
  <w:style w:type="character" w:customStyle="1" w:styleId="hit">
    <w:name w:val="hit"/>
    <w:basedOn w:val="DefaultParagraphFont"/>
    <w:rsid w:val="003320FF"/>
  </w:style>
  <w:style w:type="character" w:customStyle="1" w:styleId="BodyTextIndentChar">
    <w:name w:val="Body Text Indent Char"/>
    <w:link w:val="BodyTextIndent"/>
    <w:locked/>
    <w:rsid w:val="00D64B2D"/>
    <w:rPr>
      <w:rFonts w:eastAsia="Times New Roman"/>
      <w:color w:val="000000"/>
      <w:sz w:val="24"/>
      <w:szCs w:val="24"/>
      <w:u w:color="000000"/>
      <w:lang w:val="es-ES_tradnl"/>
    </w:rPr>
  </w:style>
  <w:style w:type="paragraph" w:customStyle="1" w:styleId="MediumGrid1-Accent21">
    <w:name w:val="Medium Grid 1 - Accent 21"/>
    <w:uiPriority w:val="34"/>
    <w:qFormat/>
    <w:rsid w:val="00F1413E"/>
    <w:pPr>
      <w:ind w:left="720"/>
    </w:pPr>
    <w:rPr>
      <w:rFonts w:ascii="Cambria" w:eastAsia="Cambria" w:hAnsi="Cambria" w:cs="Cambria"/>
      <w:color w:val="000000"/>
      <w:sz w:val="24"/>
      <w:szCs w:val="24"/>
      <w:u w:color="000000"/>
      <w:lang w:val="en-US"/>
    </w:rPr>
  </w:style>
  <w:style w:type="character" w:styleId="Strong">
    <w:name w:val="Strong"/>
    <w:basedOn w:val="DefaultParagraphFont"/>
    <w:uiPriority w:val="22"/>
    <w:qFormat/>
    <w:rsid w:val="00825B73"/>
    <w:rPr>
      <w:rFonts w:cs="Times New Roman"/>
      <w:b/>
      <w:bCs/>
    </w:rPr>
  </w:style>
  <w:style w:type="paragraph" w:styleId="TOCHeading">
    <w:name w:val="TOC Heading"/>
    <w:basedOn w:val="Heading1"/>
    <w:next w:val="Normal"/>
    <w:uiPriority w:val="39"/>
    <w:unhideWhenUsed/>
    <w:qFormat/>
    <w:rsid w:val="00794E1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5">
    <w:name w:val="toc 5"/>
    <w:basedOn w:val="Normal"/>
    <w:next w:val="Normal"/>
    <w:autoRedefine/>
    <w:uiPriority w:val="39"/>
    <w:unhideWhenUsed/>
    <w:rsid w:val="00794E1A"/>
    <w:pPr>
      <w:ind w:left="960"/>
    </w:pPr>
    <w:rPr>
      <w:rFonts w:asciiTheme="minorHAnsi" w:hAnsiTheme="minorHAnsi"/>
      <w:sz w:val="20"/>
      <w:szCs w:val="20"/>
    </w:rPr>
  </w:style>
  <w:style w:type="paragraph" w:styleId="TOC6">
    <w:name w:val="toc 6"/>
    <w:basedOn w:val="Normal"/>
    <w:next w:val="Normal"/>
    <w:autoRedefine/>
    <w:uiPriority w:val="39"/>
    <w:unhideWhenUsed/>
    <w:rsid w:val="00794E1A"/>
    <w:pPr>
      <w:ind w:left="1200"/>
    </w:pPr>
    <w:rPr>
      <w:rFonts w:asciiTheme="minorHAnsi" w:hAnsiTheme="minorHAnsi"/>
      <w:sz w:val="20"/>
      <w:szCs w:val="20"/>
    </w:rPr>
  </w:style>
  <w:style w:type="paragraph" w:styleId="TOC7">
    <w:name w:val="toc 7"/>
    <w:basedOn w:val="Normal"/>
    <w:next w:val="Normal"/>
    <w:autoRedefine/>
    <w:uiPriority w:val="39"/>
    <w:unhideWhenUsed/>
    <w:rsid w:val="00794E1A"/>
    <w:pPr>
      <w:ind w:left="1440"/>
    </w:pPr>
    <w:rPr>
      <w:rFonts w:asciiTheme="minorHAnsi" w:hAnsiTheme="minorHAnsi"/>
      <w:sz w:val="20"/>
      <w:szCs w:val="20"/>
    </w:rPr>
  </w:style>
  <w:style w:type="paragraph" w:styleId="TOC8">
    <w:name w:val="toc 8"/>
    <w:basedOn w:val="Normal"/>
    <w:next w:val="Normal"/>
    <w:autoRedefine/>
    <w:uiPriority w:val="39"/>
    <w:unhideWhenUsed/>
    <w:rsid w:val="00794E1A"/>
    <w:pPr>
      <w:ind w:left="1680"/>
    </w:pPr>
    <w:rPr>
      <w:rFonts w:asciiTheme="minorHAnsi" w:hAnsiTheme="minorHAnsi"/>
      <w:sz w:val="20"/>
      <w:szCs w:val="20"/>
    </w:rPr>
  </w:style>
  <w:style w:type="paragraph" w:styleId="TOC9">
    <w:name w:val="toc 9"/>
    <w:basedOn w:val="Normal"/>
    <w:next w:val="Normal"/>
    <w:autoRedefine/>
    <w:uiPriority w:val="39"/>
    <w:unhideWhenUsed/>
    <w:rsid w:val="00794E1A"/>
    <w:pPr>
      <w:ind w:left="1920"/>
    </w:pPr>
    <w:rPr>
      <w:rFonts w:asciiTheme="minorHAnsi" w:hAnsiTheme="minorHAnsi"/>
      <w:sz w:val="20"/>
      <w:szCs w:val="20"/>
    </w:rPr>
  </w:style>
  <w:style w:type="paragraph" w:customStyle="1" w:styleId="1">
    <w:name w:val="1"/>
    <w:basedOn w:val="Normal"/>
    <w:rsid w:val="00CB6C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styleId="FollowedHyperlink">
    <w:name w:val="FollowedHyperlink"/>
    <w:basedOn w:val="DefaultParagraphFont"/>
    <w:uiPriority w:val="99"/>
    <w:semiHidden/>
    <w:unhideWhenUsed/>
    <w:rsid w:val="00623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10">
      <w:bodyDiv w:val="1"/>
      <w:marLeft w:val="0"/>
      <w:marRight w:val="0"/>
      <w:marTop w:val="0"/>
      <w:marBottom w:val="0"/>
      <w:divBdr>
        <w:top w:val="none" w:sz="0" w:space="0" w:color="auto"/>
        <w:left w:val="none" w:sz="0" w:space="0" w:color="auto"/>
        <w:bottom w:val="none" w:sz="0" w:space="0" w:color="auto"/>
        <w:right w:val="none" w:sz="0" w:space="0" w:color="auto"/>
      </w:divBdr>
    </w:div>
    <w:div w:id="29112452">
      <w:bodyDiv w:val="1"/>
      <w:marLeft w:val="0"/>
      <w:marRight w:val="0"/>
      <w:marTop w:val="0"/>
      <w:marBottom w:val="0"/>
      <w:divBdr>
        <w:top w:val="none" w:sz="0" w:space="0" w:color="auto"/>
        <w:left w:val="none" w:sz="0" w:space="0" w:color="auto"/>
        <w:bottom w:val="none" w:sz="0" w:space="0" w:color="auto"/>
        <w:right w:val="none" w:sz="0" w:space="0" w:color="auto"/>
      </w:divBdr>
    </w:div>
    <w:div w:id="74937622">
      <w:bodyDiv w:val="1"/>
      <w:marLeft w:val="0"/>
      <w:marRight w:val="0"/>
      <w:marTop w:val="0"/>
      <w:marBottom w:val="0"/>
      <w:divBdr>
        <w:top w:val="none" w:sz="0" w:space="0" w:color="auto"/>
        <w:left w:val="none" w:sz="0" w:space="0" w:color="auto"/>
        <w:bottom w:val="none" w:sz="0" w:space="0" w:color="auto"/>
        <w:right w:val="none" w:sz="0" w:space="0" w:color="auto"/>
      </w:divBdr>
    </w:div>
    <w:div w:id="164442322">
      <w:bodyDiv w:val="1"/>
      <w:marLeft w:val="0"/>
      <w:marRight w:val="0"/>
      <w:marTop w:val="0"/>
      <w:marBottom w:val="0"/>
      <w:divBdr>
        <w:top w:val="none" w:sz="0" w:space="0" w:color="auto"/>
        <w:left w:val="none" w:sz="0" w:space="0" w:color="auto"/>
        <w:bottom w:val="none" w:sz="0" w:space="0" w:color="auto"/>
        <w:right w:val="none" w:sz="0" w:space="0" w:color="auto"/>
      </w:divBdr>
    </w:div>
    <w:div w:id="176776687">
      <w:bodyDiv w:val="1"/>
      <w:marLeft w:val="0"/>
      <w:marRight w:val="0"/>
      <w:marTop w:val="0"/>
      <w:marBottom w:val="0"/>
      <w:divBdr>
        <w:top w:val="none" w:sz="0" w:space="0" w:color="auto"/>
        <w:left w:val="none" w:sz="0" w:space="0" w:color="auto"/>
        <w:bottom w:val="none" w:sz="0" w:space="0" w:color="auto"/>
        <w:right w:val="none" w:sz="0" w:space="0" w:color="auto"/>
      </w:divBdr>
    </w:div>
    <w:div w:id="243496268">
      <w:bodyDiv w:val="1"/>
      <w:marLeft w:val="0"/>
      <w:marRight w:val="0"/>
      <w:marTop w:val="0"/>
      <w:marBottom w:val="0"/>
      <w:divBdr>
        <w:top w:val="none" w:sz="0" w:space="0" w:color="auto"/>
        <w:left w:val="none" w:sz="0" w:space="0" w:color="auto"/>
        <w:bottom w:val="none" w:sz="0" w:space="0" w:color="auto"/>
        <w:right w:val="none" w:sz="0" w:space="0" w:color="auto"/>
      </w:divBdr>
    </w:div>
    <w:div w:id="267010014">
      <w:bodyDiv w:val="1"/>
      <w:marLeft w:val="0"/>
      <w:marRight w:val="0"/>
      <w:marTop w:val="0"/>
      <w:marBottom w:val="0"/>
      <w:divBdr>
        <w:top w:val="none" w:sz="0" w:space="0" w:color="auto"/>
        <w:left w:val="none" w:sz="0" w:space="0" w:color="auto"/>
        <w:bottom w:val="none" w:sz="0" w:space="0" w:color="auto"/>
        <w:right w:val="none" w:sz="0" w:space="0" w:color="auto"/>
      </w:divBdr>
    </w:div>
    <w:div w:id="278925220">
      <w:bodyDiv w:val="1"/>
      <w:marLeft w:val="0"/>
      <w:marRight w:val="0"/>
      <w:marTop w:val="0"/>
      <w:marBottom w:val="0"/>
      <w:divBdr>
        <w:top w:val="none" w:sz="0" w:space="0" w:color="auto"/>
        <w:left w:val="none" w:sz="0" w:space="0" w:color="auto"/>
        <w:bottom w:val="none" w:sz="0" w:space="0" w:color="auto"/>
        <w:right w:val="none" w:sz="0" w:space="0" w:color="auto"/>
      </w:divBdr>
    </w:div>
    <w:div w:id="336886134">
      <w:bodyDiv w:val="1"/>
      <w:marLeft w:val="0"/>
      <w:marRight w:val="0"/>
      <w:marTop w:val="0"/>
      <w:marBottom w:val="0"/>
      <w:divBdr>
        <w:top w:val="none" w:sz="0" w:space="0" w:color="auto"/>
        <w:left w:val="none" w:sz="0" w:space="0" w:color="auto"/>
        <w:bottom w:val="none" w:sz="0" w:space="0" w:color="auto"/>
        <w:right w:val="none" w:sz="0" w:space="0" w:color="auto"/>
      </w:divBdr>
    </w:div>
    <w:div w:id="415706791">
      <w:bodyDiv w:val="1"/>
      <w:marLeft w:val="0"/>
      <w:marRight w:val="0"/>
      <w:marTop w:val="0"/>
      <w:marBottom w:val="0"/>
      <w:divBdr>
        <w:top w:val="none" w:sz="0" w:space="0" w:color="auto"/>
        <w:left w:val="none" w:sz="0" w:space="0" w:color="auto"/>
        <w:bottom w:val="none" w:sz="0" w:space="0" w:color="auto"/>
        <w:right w:val="none" w:sz="0" w:space="0" w:color="auto"/>
      </w:divBdr>
    </w:div>
    <w:div w:id="437607972">
      <w:bodyDiv w:val="1"/>
      <w:marLeft w:val="0"/>
      <w:marRight w:val="0"/>
      <w:marTop w:val="0"/>
      <w:marBottom w:val="0"/>
      <w:divBdr>
        <w:top w:val="none" w:sz="0" w:space="0" w:color="auto"/>
        <w:left w:val="none" w:sz="0" w:space="0" w:color="auto"/>
        <w:bottom w:val="none" w:sz="0" w:space="0" w:color="auto"/>
        <w:right w:val="none" w:sz="0" w:space="0" w:color="auto"/>
      </w:divBdr>
    </w:div>
    <w:div w:id="439305164">
      <w:bodyDiv w:val="1"/>
      <w:marLeft w:val="0"/>
      <w:marRight w:val="0"/>
      <w:marTop w:val="0"/>
      <w:marBottom w:val="0"/>
      <w:divBdr>
        <w:top w:val="none" w:sz="0" w:space="0" w:color="auto"/>
        <w:left w:val="none" w:sz="0" w:space="0" w:color="auto"/>
        <w:bottom w:val="none" w:sz="0" w:space="0" w:color="auto"/>
        <w:right w:val="none" w:sz="0" w:space="0" w:color="auto"/>
      </w:divBdr>
    </w:div>
    <w:div w:id="482549304">
      <w:bodyDiv w:val="1"/>
      <w:marLeft w:val="0"/>
      <w:marRight w:val="0"/>
      <w:marTop w:val="0"/>
      <w:marBottom w:val="0"/>
      <w:divBdr>
        <w:top w:val="none" w:sz="0" w:space="0" w:color="auto"/>
        <w:left w:val="none" w:sz="0" w:space="0" w:color="auto"/>
        <w:bottom w:val="none" w:sz="0" w:space="0" w:color="auto"/>
        <w:right w:val="none" w:sz="0" w:space="0" w:color="auto"/>
      </w:divBdr>
    </w:div>
    <w:div w:id="511845857">
      <w:bodyDiv w:val="1"/>
      <w:marLeft w:val="0"/>
      <w:marRight w:val="0"/>
      <w:marTop w:val="0"/>
      <w:marBottom w:val="0"/>
      <w:divBdr>
        <w:top w:val="none" w:sz="0" w:space="0" w:color="auto"/>
        <w:left w:val="none" w:sz="0" w:space="0" w:color="auto"/>
        <w:bottom w:val="none" w:sz="0" w:space="0" w:color="auto"/>
        <w:right w:val="none" w:sz="0" w:space="0" w:color="auto"/>
      </w:divBdr>
    </w:div>
    <w:div w:id="555974640">
      <w:bodyDiv w:val="1"/>
      <w:marLeft w:val="0"/>
      <w:marRight w:val="0"/>
      <w:marTop w:val="0"/>
      <w:marBottom w:val="0"/>
      <w:divBdr>
        <w:top w:val="none" w:sz="0" w:space="0" w:color="auto"/>
        <w:left w:val="none" w:sz="0" w:space="0" w:color="auto"/>
        <w:bottom w:val="none" w:sz="0" w:space="0" w:color="auto"/>
        <w:right w:val="none" w:sz="0" w:space="0" w:color="auto"/>
      </w:divBdr>
    </w:div>
    <w:div w:id="565341184">
      <w:bodyDiv w:val="1"/>
      <w:marLeft w:val="0"/>
      <w:marRight w:val="0"/>
      <w:marTop w:val="0"/>
      <w:marBottom w:val="0"/>
      <w:divBdr>
        <w:top w:val="none" w:sz="0" w:space="0" w:color="auto"/>
        <w:left w:val="none" w:sz="0" w:space="0" w:color="auto"/>
        <w:bottom w:val="none" w:sz="0" w:space="0" w:color="auto"/>
        <w:right w:val="none" w:sz="0" w:space="0" w:color="auto"/>
      </w:divBdr>
    </w:div>
    <w:div w:id="617378376">
      <w:bodyDiv w:val="1"/>
      <w:marLeft w:val="0"/>
      <w:marRight w:val="0"/>
      <w:marTop w:val="0"/>
      <w:marBottom w:val="0"/>
      <w:divBdr>
        <w:top w:val="none" w:sz="0" w:space="0" w:color="auto"/>
        <w:left w:val="none" w:sz="0" w:space="0" w:color="auto"/>
        <w:bottom w:val="none" w:sz="0" w:space="0" w:color="auto"/>
        <w:right w:val="none" w:sz="0" w:space="0" w:color="auto"/>
      </w:divBdr>
    </w:div>
    <w:div w:id="645862990">
      <w:bodyDiv w:val="1"/>
      <w:marLeft w:val="0"/>
      <w:marRight w:val="0"/>
      <w:marTop w:val="0"/>
      <w:marBottom w:val="0"/>
      <w:divBdr>
        <w:top w:val="none" w:sz="0" w:space="0" w:color="auto"/>
        <w:left w:val="none" w:sz="0" w:space="0" w:color="auto"/>
        <w:bottom w:val="none" w:sz="0" w:space="0" w:color="auto"/>
        <w:right w:val="none" w:sz="0" w:space="0" w:color="auto"/>
      </w:divBdr>
    </w:div>
    <w:div w:id="730738763">
      <w:bodyDiv w:val="1"/>
      <w:marLeft w:val="0"/>
      <w:marRight w:val="0"/>
      <w:marTop w:val="0"/>
      <w:marBottom w:val="0"/>
      <w:divBdr>
        <w:top w:val="none" w:sz="0" w:space="0" w:color="auto"/>
        <w:left w:val="none" w:sz="0" w:space="0" w:color="auto"/>
        <w:bottom w:val="none" w:sz="0" w:space="0" w:color="auto"/>
        <w:right w:val="none" w:sz="0" w:space="0" w:color="auto"/>
      </w:divBdr>
    </w:div>
    <w:div w:id="739331900">
      <w:bodyDiv w:val="1"/>
      <w:marLeft w:val="0"/>
      <w:marRight w:val="0"/>
      <w:marTop w:val="0"/>
      <w:marBottom w:val="0"/>
      <w:divBdr>
        <w:top w:val="none" w:sz="0" w:space="0" w:color="auto"/>
        <w:left w:val="none" w:sz="0" w:space="0" w:color="auto"/>
        <w:bottom w:val="none" w:sz="0" w:space="0" w:color="auto"/>
        <w:right w:val="none" w:sz="0" w:space="0" w:color="auto"/>
      </w:divBdr>
    </w:div>
    <w:div w:id="743990602">
      <w:bodyDiv w:val="1"/>
      <w:marLeft w:val="0"/>
      <w:marRight w:val="0"/>
      <w:marTop w:val="0"/>
      <w:marBottom w:val="0"/>
      <w:divBdr>
        <w:top w:val="none" w:sz="0" w:space="0" w:color="auto"/>
        <w:left w:val="none" w:sz="0" w:space="0" w:color="auto"/>
        <w:bottom w:val="none" w:sz="0" w:space="0" w:color="auto"/>
        <w:right w:val="none" w:sz="0" w:space="0" w:color="auto"/>
      </w:divBdr>
    </w:div>
    <w:div w:id="755783529">
      <w:bodyDiv w:val="1"/>
      <w:marLeft w:val="0"/>
      <w:marRight w:val="0"/>
      <w:marTop w:val="0"/>
      <w:marBottom w:val="0"/>
      <w:divBdr>
        <w:top w:val="none" w:sz="0" w:space="0" w:color="auto"/>
        <w:left w:val="none" w:sz="0" w:space="0" w:color="auto"/>
        <w:bottom w:val="none" w:sz="0" w:space="0" w:color="auto"/>
        <w:right w:val="none" w:sz="0" w:space="0" w:color="auto"/>
      </w:divBdr>
    </w:div>
    <w:div w:id="800265336">
      <w:bodyDiv w:val="1"/>
      <w:marLeft w:val="0"/>
      <w:marRight w:val="0"/>
      <w:marTop w:val="0"/>
      <w:marBottom w:val="0"/>
      <w:divBdr>
        <w:top w:val="none" w:sz="0" w:space="0" w:color="auto"/>
        <w:left w:val="none" w:sz="0" w:space="0" w:color="auto"/>
        <w:bottom w:val="none" w:sz="0" w:space="0" w:color="auto"/>
        <w:right w:val="none" w:sz="0" w:space="0" w:color="auto"/>
      </w:divBdr>
      <w:divsChild>
        <w:div w:id="1475639823">
          <w:marLeft w:val="0"/>
          <w:marRight w:val="0"/>
          <w:marTop w:val="0"/>
          <w:marBottom w:val="0"/>
          <w:divBdr>
            <w:top w:val="none" w:sz="0" w:space="0" w:color="auto"/>
            <w:left w:val="none" w:sz="0" w:space="0" w:color="auto"/>
            <w:bottom w:val="none" w:sz="0" w:space="0" w:color="auto"/>
            <w:right w:val="none" w:sz="0" w:space="0" w:color="auto"/>
          </w:divBdr>
        </w:div>
      </w:divsChild>
    </w:div>
    <w:div w:id="854884151">
      <w:bodyDiv w:val="1"/>
      <w:marLeft w:val="0"/>
      <w:marRight w:val="0"/>
      <w:marTop w:val="0"/>
      <w:marBottom w:val="0"/>
      <w:divBdr>
        <w:top w:val="none" w:sz="0" w:space="0" w:color="auto"/>
        <w:left w:val="none" w:sz="0" w:space="0" w:color="auto"/>
        <w:bottom w:val="none" w:sz="0" w:space="0" w:color="auto"/>
        <w:right w:val="none" w:sz="0" w:space="0" w:color="auto"/>
      </w:divBdr>
    </w:div>
    <w:div w:id="1144735162">
      <w:bodyDiv w:val="1"/>
      <w:marLeft w:val="0"/>
      <w:marRight w:val="0"/>
      <w:marTop w:val="0"/>
      <w:marBottom w:val="0"/>
      <w:divBdr>
        <w:top w:val="none" w:sz="0" w:space="0" w:color="auto"/>
        <w:left w:val="none" w:sz="0" w:space="0" w:color="auto"/>
        <w:bottom w:val="none" w:sz="0" w:space="0" w:color="auto"/>
        <w:right w:val="none" w:sz="0" w:space="0" w:color="auto"/>
      </w:divBdr>
    </w:div>
    <w:div w:id="1151755276">
      <w:bodyDiv w:val="1"/>
      <w:marLeft w:val="0"/>
      <w:marRight w:val="0"/>
      <w:marTop w:val="0"/>
      <w:marBottom w:val="0"/>
      <w:divBdr>
        <w:top w:val="none" w:sz="0" w:space="0" w:color="auto"/>
        <w:left w:val="none" w:sz="0" w:space="0" w:color="auto"/>
        <w:bottom w:val="none" w:sz="0" w:space="0" w:color="auto"/>
        <w:right w:val="none" w:sz="0" w:space="0" w:color="auto"/>
      </w:divBdr>
    </w:div>
    <w:div w:id="1205946747">
      <w:bodyDiv w:val="1"/>
      <w:marLeft w:val="0"/>
      <w:marRight w:val="0"/>
      <w:marTop w:val="0"/>
      <w:marBottom w:val="0"/>
      <w:divBdr>
        <w:top w:val="none" w:sz="0" w:space="0" w:color="auto"/>
        <w:left w:val="none" w:sz="0" w:space="0" w:color="auto"/>
        <w:bottom w:val="none" w:sz="0" w:space="0" w:color="auto"/>
        <w:right w:val="none" w:sz="0" w:space="0" w:color="auto"/>
      </w:divBdr>
    </w:div>
    <w:div w:id="1232346298">
      <w:bodyDiv w:val="1"/>
      <w:marLeft w:val="0"/>
      <w:marRight w:val="0"/>
      <w:marTop w:val="0"/>
      <w:marBottom w:val="0"/>
      <w:divBdr>
        <w:top w:val="none" w:sz="0" w:space="0" w:color="auto"/>
        <w:left w:val="none" w:sz="0" w:space="0" w:color="auto"/>
        <w:bottom w:val="none" w:sz="0" w:space="0" w:color="auto"/>
        <w:right w:val="none" w:sz="0" w:space="0" w:color="auto"/>
      </w:divBdr>
    </w:div>
    <w:div w:id="1253511992">
      <w:bodyDiv w:val="1"/>
      <w:marLeft w:val="0"/>
      <w:marRight w:val="0"/>
      <w:marTop w:val="0"/>
      <w:marBottom w:val="0"/>
      <w:divBdr>
        <w:top w:val="none" w:sz="0" w:space="0" w:color="auto"/>
        <w:left w:val="none" w:sz="0" w:space="0" w:color="auto"/>
        <w:bottom w:val="none" w:sz="0" w:space="0" w:color="auto"/>
        <w:right w:val="none" w:sz="0" w:space="0" w:color="auto"/>
      </w:divBdr>
    </w:div>
    <w:div w:id="1275140402">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63362036">
      <w:bodyDiv w:val="1"/>
      <w:marLeft w:val="0"/>
      <w:marRight w:val="0"/>
      <w:marTop w:val="0"/>
      <w:marBottom w:val="0"/>
      <w:divBdr>
        <w:top w:val="none" w:sz="0" w:space="0" w:color="auto"/>
        <w:left w:val="none" w:sz="0" w:space="0" w:color="auto"/>
        <w:bottom w:val="none" w:sz="0" w:space="0" w:color="auto"/>
        <w:right w:val="none" w:sz="0" w:space="0" w:color="auto"/>
      </w:divBdr>
    </w:div>
    <w:div w:id="1440104291">
      <w:bodyDiv w:val="1"/>
      <w:marLeft w:val="0"/>
      <w:marRight w:val="0"/>
      <w:marTop w:val="0"/>
      <w:marBottom w:val="0"/>
      <w:divBdr>
        <w:top w:val="none" w:sz="0" w:space="0" w:color="auto"/>
        <w:left w:val="none" w:sz="0" w:space="0" w:color="auto"/>
        <w:bottom w:val="none" w:sz="0" w:space="0" w:color="auto"/>
        <w:right w:val="none" w:sz="0" w:space="0" w:color="auto"/>
      </w:divBdr>
    </w:div>
    <w:div w:id="1613592191">
      <w:bodyDiv w:val="1"/>
      <w:marLeft w:val="0"/>
      <w:marRight w:val="0"/>
      <w:marTop w:val="0"/>
      <w:marBottom w:val="0"/>
      <w:divBdr>
        <w:top w:val="none" w:sz="0" w:space="0" w:color="auto"/>
        <w:left w:val="none" w:sz="0" w:space="0" w:color="auto"/>
        <w:bottom w:val="none" w:sz="0" w:space="0" w:color="auto"/>
        <w:right w:val="none" w:sz="0" w:space="0" w:color="auto"/>
      </w:divBdr>
    </w:div>
    <w:div w:id="1616407912">
      <w:bodyDiv w:val="1"/>
      <w:marLeft w:val="0"/>
      <w:marRight w:val="0"/>
      <w:marTop w:val="0"/>
      <w:marBottom w:val="0"/>
      <w:divBdr>
        <w:top w:val="none" w:sz="0" w:space="0" w:color="auto"/>
        <w:left w:val="none" w:sz="0" w:space="0" w:color="auto"/>
        <w:bottom w:val="none" w:sz="0" w:space="0" w:color="auto"/>
        <w:right w:val="none" w:sz="0" w:space="0" w:color="auto"/>
      </w:divBdr>
    </w:div>
    <w:div w:id="1675379287">
      <w:bodyDiv w:val="1"/>
      <w:marLeft w:val="0"/>
      <w:marRight w:val="0"/>
      <w:marTop w:val="0"/>
      <w:marBottom w:val="0"/>
      <w:divBdr>
        <w:top w:val="none" w:sz="0" w:space="0" w:color="auto"/>
        <w:left w:val="none" w:sz="0" w:space="0" w:color="auto"/>
        <w:bottom w:val="none" w:sz="0" w:space="0" w:color="auto"/>
        <w:right w:val="none" w:sz="0" w:space="0" w:color="auto"/>
      </w:divBdr>
    </w:div>
    <w:div w:id="1700273106">
      <w:bodyDiv w:val="1"/>
      <w:marLeft w:val="0"/>
      <w:marRight w:val="0"/>
      <w:marTop w:val="0"/>
      <w:marBottom w:val="0"/>
      <w:divBdr>
        <w:top w:val="none" w:sz="0" w:space="0" w:color="auto"/>
        <w:left w:val="none" w:sz="0" w:space="0" w:color="auto"/>
        <w:bottom w:val="none" w:sz="0" w:space="0" w:color="auto"/>
        <w:right w:val="none" w:sz="0" w:space="0" w:color="auto"/>
      </w:divBdr>
    </w:div>
    <w:div w:id="1706832589">
      <w:bodyDiv w:val="1"/>
      <w:marLeft w:val="0"/>
      <w:marRight w:val="0"/>
      <w:marTop w:val="0"/>
      <w:marBottom w:val="0"/>
      <w:divBdr>
        <w:top w:val="none" w:sz="0" w:space="0" w:color="auto"/>
        <w:left w:val="none" w:sz="0" w:space="0" w:color="auto"/>
        <w:bottom w:val="none" w:sz="0" w:space="0" w:color="auto"/>
        <w:right w:val="none" w:sz="0" w:space="0" w:color="auto"/>
      </w:divBdr>
    </w:div>
    <w:div w:id="1710565623">
      <w:bodyDiv w:val="1"/>
      <w:marLeft w:val="0"/>
      <w:marRight w:val="0"/>
      <w:marTop w:val="0"/>
      <w:marBottom w:val="0"/>
      <w:divBdr>
        <w:top w:val="none" w:sz="0" w:space="0" w:color="auto"/>
        <w:left w:val="none" w:sz="0" w:space="0" w:color="auto"/>
        <w:bottom w:val="none" w:sz="0" w:space="0" w:color="auto"/>
        <w:right w:val="none" w:sz="0" w:space="0" w:color="auto"/>
      </w:divBdr>
    </w:div>
    <w:div w:id="1738672049">
      <w:bodyDiv w:val="1"/>
      <w:marLeft w:val="0"/>
      <w:marRight w:val="0"/>
      <w:marTop w:val="0"/>
      <w:marBottom w:val="0"/>
      <w:divBdr>
        <w:top w:val="none" w:sz="0" w:space="0" w:color="auto"/>
        <w:left w:val="none" w:sz="0" w:space="0" w:color="auto"/>
        <w:bottom w:val="none" w:sz="0" w:space="0" w:color="auto"/>
        <w:right w:val="none" w:sz="0" w:space="0" w:color="auto"/>
      </w:divBdr>
    </w:div>
    <w:div w:id="1758015893">
      <w:bodyDiv w:val="1"/>
      <w:marLeft w:val="0"/>
      <w:marRight w:val="0"/>
      <w:marTop w:val="0"/>
      <w:marBottom w:val="0"/>
      <w:divBdr>
        <w:top w:val="none" w:sz="0" w:space="0" w:color="auto"/>
        <w:left w:val="none" w:sz="0" w:space="0" w:color="auto"/>
        <w:bottom w:val="none" w:sz="0" w:space="0" w:color="auto"/>
        <w:right w:val="none" w:sz="0" w:space="0" w:color="auto"/>
      </w:divBdr>
    </w:div>
    <w:div w:id="17851495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9760570">
      <w:bodyDiv w:val="1"/>
      <w:marLeft w:val="0"/>
      <w:marRight w:val="0"/>
      <w:marTop w:val="0"/>
      <w:marBottom w:val="0"/>
      <w:divBdr>
        <w:top w:val="none" w:sz="0" w:space="0" w:color="auto"/>
        <w:left w:val="none" w:sz="0" w:space="0" w:color="auto"/>
        <w:bottom w:val="none" w:sz="0" w:space="0" w:color="auto"/>
        <w:right w:val="none" w:sz="0" w:space="0" w:color="auto"/>
      </w:divBdr>
    </w:div>
    <w:div w:id="1933002660">
      <w:bodyDiv w:val="1"/>
      <w:marLeft w:val="0"/>
      <w:marRight w:val="0"/>
      <w:marTop w:val="0"/>
      <w:marBottom w:val="0"/>
      <w:divBdr>
        <w:top w:val="none" w:sz="0" w:space="0" w:color="auto"/>
        <w:left w:val="none" w:sz="0" w:space="0" w:color="auto"/>
        <w:bottom w:val="none" w:sz="0" w:space="0" w:color="auto"/>
        <w:right w:val="none" w:sz="0" w:space="0" w:color="auto"/>
      </w:divBdr>
    </w:div>
    <w:div w:id="2068453845">
      <w:bodyDiv w:val="1"/>
      <w:marLeft w:val="0"/>
      <w:marRight w:val="0"/>
      <w:marTop w:val="0"/>
      <w:marBottom w:val="0"/>
      <w:divBdr>
        <w:top w:val="none" w:sz="0" w:space="0" w:color="auto"/>
        <w:left w:val="none" w:sz="0" w:space="0" w:color="auto"/>
        <w:bottom w:val="none" w:sz="0" w:space="0" w:color="auto"/>
        <w:right w:val="none" w:sz="0" w:space="0" w:color="auto"/>
      </w:divBdr>
    </w:div>
    <w:div w:id="2074310304">
      <w:bodyDiv w:val="1"/>
      <w:marLeft w:val="0"/>
      <w:marRight w:val="0"/>
      <w:marTop w:val="0"/>
      <w:marBottom w:val="0"/>
      <w:divBdr>
        <w:top w:val="none" w:sz="0" w:space="0" w:color="auto"/>
        <w:left w:val="none" w:sz="0" w:space="0" w:color="auto"/>
        <w:bottom w:val="none" w:sz="0" w:space="0" w:color="auto"/>
        <w:right w:val="none" w:sz="0" w:space="0" w:color="auto"/>
      </w:divBdr>
    </w:div>
    <w:div w:id="212634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F2131-716B-4C82-9776-135CFE37D7BD}">
  <ds:schemaRefs>
    <ds:schemaRef ds:uri="http://schemas.openxmlformats.org/officeDocument/2006/bibliography"/>
  </ds:schemaRefs>
</ds:datastoreItem>
</file>

<file path=customXml/itemProps2.xml><?xml version="1.0" encoding="utf-8"?>
<ds:datastoreItem xmlns:ds="http://schemas.openxmlformats.org/officeDocument/2006/customXml" ds:itemID="{08EF3A1B-36B6-4192-92C4-5AE01E087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B3355-569C-4162-9146-9094588CAA62}">
  <ds:schemaRefs>
    <ds:schemaRef ds:uri="http://schemas.microsoft.com/sharepoint/v3/contenttype/forms"/>
  </ds:schemaRefs>
</ds:datastoreItem>
</file>

<file path=customXml/itemProps4.xml><?xml version="1.0" encoding="utf-8"?>
<ds:datastoreItem xmlns:ds="http://schemas.openxmlformats.org/officeDocument/2006/customXml" ds:itemID="{3DD20611-986A-4B90-ADB1-483BB2C9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8225</Words>
  <Characters>46883</Characters>
  <Application>Microsoft Office Word</Application>
  <DocSecurity>0</DocSecurity>
  <Lines>390</Lines>
  <Paragraphs>109</Paragraphs>
  <ScaleCrop>false</ScaleCrop>
  <Company/>
  <LinksUpToDate>false</LinksUpToDate>
  <CharactersWithSpaces>54999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2022-04-18T13:03:00Z</dcterms:created>
  <dcterms:modified xsi:type="dcterms:W3CDTF">2022-04-18T13:03:00Z</dcterms:modified>
</cp:coreProperties>
</file>