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CF6A" w14:textId="77777777" w:rsidR="00610A15" w:rsidRPr="001E3078" w:rsidRDefault="00610A15" w:rsidP="00BA3CEA">
      <w:pPr>
        <w:jc w:val="both"/>
        <w:rPr>
          <w:rFonts w:ascii="Cambria" w:hAnsi="Cambria" w:cs="Univers"/>
          <w:b/>
          <w:bCs/>
          <w:sz w:val="20"/>
          <w:szCs w:val="20"/>
          <w:lang w:val="es-ES_tradnl"/>
        </w:rPr>
      </w:pPr>
      <w:r w:rsidRPr="001E3078">
        <w:rPr>
          <w:rFonts w:ascii="Cambria" w:hAnsi="Cambria"/>
          <w:noProof/>
          <w:sz w:val="20"/>
          <w:szCs w:val="20"/>
        </w:rPr>
        <mc:AlternateContent>
          <mc:Choice Requires="wps">
            <w:drawing>
              <wp:anchor distT="0" distB="0" distL="114300" distR="114300" simplePos="0" relativeHeight="251659264" behindDoc="0" locked="0" layoutInCell="1" allowOverlap="1" wp14:anchorId="65EE7E1D" wp14:editId="0968FE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1E3078">
        <w:rPr>
          <w:rFonts w:ascii="Cambria" w:hAnsi="Cambria"/>
          <w:noProof/>
          <w:sz w:val="20"/>
          <w:szCs w:val="20"/>
        </w:rPr>
        <mc:AlternateContent>
          <mc:Choice Requires="wps">
            <w:drawing>
              <wp:anchor distT="0" distB="0" distL="114300" distR="114300" simplePos="0" relativeHeight="251663360" behindDoc="0" locked="0" layoutInCell="1" allowOverlap="1" wp14:anchorId="1BFBE1D1" wp14:editId="2912C52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7E137" w14:textId="77777777" w:rsidR="000D7A15" w:rsidRDefault="000D7A15" w:rsidP="00610A15">
                            <w:r>
                              <w:rPr>
                                <w:noProof/>
                              </w:rPr>
                              <w:drawing>
                                <wp:inline distT="0" distB="0" distL="0" distR="0" wp14:anchorId="3A6DCD7B" wp14:editId="2170ADD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BE1D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977E137" w14:textId="77777777" w:rsidR="000D7A15" w:rsidRDefault="000D7A15" w:rsidP="00610A15">
                      <w:r>
                        <w:rPr>
                          <w:noProof/>
                        </w:rPr>
                        <w:drawing>
                          <wp:inline distT="0" distB="0" distL="0" distR="0" wp14:anchorId="3A6DCD7B" wp14:editId="2170ADD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A67D306" w14:textId="77777777" w:rsidR="00610A15" w:rsidRPr="001E3078" w:rsidRDefault="00610A15" w:rsidP="00BA3CEA">
      <w:pPr>
        <w:tabs>
          <w:tab w:val="center" w:pos="5400"/>
        </w:tabs>
        <w:suppressAutoHyphens/>
        <w:jc w:val="both"/>
        <w:rPr>
          <w:rFonts w:ascii="Cambria" w:hAnsi="Cambria"/>
          <w:sz w:val="20"/>
          <w:szCs w:val="20"/>
          <w:lang w:val="es-ES"/>
        </w:rPr>
      </w:pPr>
    </w:p>
    <w:p w14:paraId="2C176BE4" w14:textId="77777777" w:rsidR="00610A15" w:rsidRPr="001E3078" w:rsidRDefault="00610A15" w:rsidP="00BA3CEA">
      <w:pPr>
        <w:tabs>
          <w:tab w:val="center" w:pos="5400"/>
        </w:tabs>
        <w:suppressAutoHyphens/>
        <w:jc w:val="both"/>
        <w:rPr>
          <w:rFonts w:ascii="Cambria" w:hAnsi="Cambria"/>
          <w:sz w:val="20"/>
          <w:szCs w:val="20"/>
          <w:lang w:val="es-ES"/>
        </w:rPr>
      </w:pPr>
    </w:p>
    <w:p w14:paraId="1992D416" w14:textId="77777777" w:rsidR="00610A15" w:rsidRPr="001E3078" w:rsidRDefault="00610A15" w:rsidP="00BA3CEA">
      <w:pPr>
        <w:tabs>
          <w:tab w:val="center" w:pos="5400"/>
        </w:tabs>
        <w:suppressAutoHyphens/>
        <w:rPr>
          <w:rFonts w:ascii="Cambria" w:hAnsi="Cambria"/>
          <w:sz w:val="20"/>
          <w:szCs w:val="20"/>
          <w:lang w:val="es-ES_tradnl"/>
        </w:rPr>
      </w:pPr>
    </w:p>
    <w:p w14:paraId="30DF03B2" w14:textId="77777777" w:rsidR="00610A15" w:rsidRPr="001E3078" w:rsidRDefault="00610A15" w:rsidP="00BA3CEA">
      <w:pPr>
        <w:tabs>
          <w:tab w:val="center" w:pos="5400"/>
        </w:tabs>
        <w:suppressAutoHyphens/>
        <w:rPr>
          <w:rFonts w:ascii="Cambria" w:hAnsi="Cambria"/>
          <w:sz w:val="20"/>
          <w:szCs w:val="20"/>
          <w:lang w:val="es-ES_tradnl"/>
        </w:rPr>
      </w:pPr>
    </w:p>
    <w:p w14:paraId="769D83E0" w14:textId="77777777" w:rsidR="00610A15" w:rsidRPr="001E3078" w:rsidRDefault="00610A15" w:rsidP="00BA3CEA">
      <w:pPr>
        <w:tabs>
          <w:tab w:val="center" w:pos="5400"/>
        </w:tabs>
        <w:suppressAutoHyphens/>
        <w:rPr>
          <w:rFonts w:ascii="Cambria" w:hAnsi="Cambria"/>
          <w:sz w:val="20"/>
          <w:szCs w:val="20"/>
          <w:lang w:val="es-ES_tradnl"/>
        </w:rPr>
      </w:pPr>
    </w:p>
    <w:p w14:paraId="13D91BC5" w14:textId="77777777" w:rsidR="00610A15" w:rsidRPr="001E3078" w:rsidRDefault="00610A15" w:rsidP="00BA3CEA">
      <w:pPr>
        <w:tabs>
          <w:tab w:val="center" w:pos="5400"/>
        </w:tabs>
        <w:suppressAutoHyphens/>
        <w:jc w:val="center"/>
        <w:rPr>
          <w:rFonts w:ascii="Cambria" w:hAnsi="Cambria"/>
          <w:sz w:val="20"/>
          <w:szCs w:val="20"/>
          <w:lang w:val="es-ES_tradnl"/>
        </w:rPr>
      </w:pPr>
    </w:p>
    <w:p w14:paraId="0B0AFD8E" w14:textId="77777777" w:rsidR="00610A15" w:rsidRPr="001E3078" w:rsidRDefault="00610A15" w:rsidP="00BA3CEA">
      <w:pPr>
        <w:tabs>
          <w:tab w:val="center" w:pos="5400"/>
        </w:tabs>
        <w:suppressAutoHyphens/>
        <w:jc w:val="center"/>
        <w:rPr>
          <w:rFonts w:ascii="Cambria" w:hAnsi="Cambria"/>
          <w:sz w:val="20"/>
          <w:szCs w:val="20"/>
          <w:lang w:val="es-ES_tradnl"/>
        </w:rPr>
      </w:pPr>
    </w:p>
    <w:p w14:paraId="3FADF1C6" w14:textId="77777777" w:rsidR="00610A15" w:rsidRPr="001E3078" w:rsidRDefault="00610A15" w:rsidP="00BA3CEA">
      <w:pPr>
        <w:tabs>
          <w:tab w:val="center" w:pos="5400"/>
        </w:tabs>
        <w:suppressAutoHyphens/>
        <w:jc w:val="center"/>
        <w:rPr>
          <w:rFonts w:ascii="Cambria" w:hAnsi="Cambria"/>
          <w:sz w:val="20"/>
          <w:szCs w:val="20"/>
          <w:lang w:val="es-ES_tradnl"/>
        </w:rPr>
      </w:pPr>
    </w:p>
    <w:p w14:paraId="0F2113D2" w14:textId="77777777" w:rsidR="00610A15" w:rsidRPr="001E3078" w:rsidRDefault="00610A15" w:rsidP="00BA3CEA">
      <w:pPr>
        <w:tabs>
          <w:tab w:val="center" w:pos="5400"/>
        </w:tabs>
        <w:suppressAutoHyphens/>
        <w:jc w:val="center"/>
        <w:rPr>
          <w:rFonts w:ascii="Cambria" w:hAnsi="Cambria"/>
          <w:sz w:val="20"/>
          <w:szCs w:val="20"/>
          <w:lang w:val="es-ES_tradnl"/>
        </w:rPr>
      </w:pPr>
    </w:p>
    <w:p w14:paraId="03021F6F" w14:textId="77777777" w:rsidR="00610A15" w:rsidRPr="001E3078" w:rsidRDefault="00610A15" w:rsidP="00BA3CEA">
      <w:pPr>
        <w:tabs>
          <w:tab w:val="center" w:pos="5400"/>
        </w:tabs>
        <w:suppressAutoHyphens/>
        <w:jc w:val="center"/>
        <w:rPr>
          <w:rFonts w:ascii="Cambria" w:hAnsi="Cambria"/>
          <w:sz w:val="20"/>
          <w:szCs w:val="20"/>
          <w:lang w:val="es-ES_tradnl"/>
        </w:rPr>
      </w:pPr>
    </w:p>
    <w:p w14:paraId="037C8506" w14:textId="77777777" w:rsidR="00610A15" w:rsidRPr="001E3078" w:rsidRDefault="00610A15" w:rsidP="00BA3CEA">
      <w:pPr>
        <w:tabs>
          <w:tab w:val="center" w:pos="5400"/>
        </w:tabs>
        <w:suppressAutoHyphens/>
        <w:jc w:val="center"/>
        <w:rPr>
          <w:rFonts w:ascii="Cambria" w:hAnsi="Cambria"/>
          <w:sz w:val="20"/>
          <w:szCs w:val="20"/>
          <w:lang w:val="es-ES_tradnl"/>
        </w:rPr>
      </w:pPr>
    </w:p>
    <w:p w14:paraId="5B07E44A" w14:textId="77777777" w:rsidR="00610A15" w:rsidRPr="001E3078" w:rsidRDefault="00610A15" w:rsidP="00BA3CEA">
      <w:pPr>
        <w:tabs>
          <w:tab w:val="center" w:pos="5400"/>
        </w:tabs>
        <w:suppressAutoHyphens/>
        <w:jc w:val="center"/>
        <w:rPr>
          <w:rFonts w:ascii="Cambria" w:hAnsi="Cambria"/>
          <w:sz w:val="20"/>
          <w:szCs w:val="20"/>
          <w:lang w:val="es-ES_tradnl"/>
        </w:rPr>
      </w:pPr>
    </w:p>
    <w:p w14:paraId="58CDC2B0" w14:textId="77777777" w:rsidR="00610A15" w:rsidRPr="001E3078" w:rsidRDefault="00610A15" w:rsidP="00BA3CEA">
      <w:pPr>
        <w:tabs>
          <w:tab w:val="center" w:pos="5400"/>
        </w:tabs>
        <w:suppressAutoHyphens/>
        <w:jc w:val="center"/>
        <w:rPr>
          <w:rFonts w:ascii="Cambria" w:hAnsi="Cambria"/>
          <w:sz w:val="20"/>
          <w:szCs w:val="20"/>
          <w:lang w:val="es-ES_tradnl"/>
        </w:rPr>
      </w:pPr>
      <w:r w:rsidRPr="001E3078">
        <w:rPr>
          <w:rFonts w:ascii="Cambria" w:hAnsi="Cambria"/>
          <w:noProof/>
          <w:sz w:val="20"/>
          <w:szCs w:val="20"/>
        </w:rPr>
        <mc:AlternateContent>
          <mc:Choice Requires="wps">
            <w:drawing>
              <wp:anchor distT="0" distB="0" distL="114300" distR="114300" simplePos="0" relativeHeight="251660288" behindDoc="0" locked="0" layoutInCell="1" allowOverlap="1" wp14:anchorId="5023164E" wp14:editId="6D1B88B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B84F7" w14:textId="7EB3ABD8" w:rsidR="000D7A15" w:rsidRPr="00430348" w:rsidRDefault="000D7A15"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sidR="006A6783">
                              <w:rPr>
                                <w:rFonts w:ascii="Cambria" w:hAnsi="Cambria" w:cs="Arial"/>
                                <w:b/>
                                <w:bCs/>
                                <w:color w:val="0D0D0D" w:themeColor="text1" w:themeTint="F2"/>
                                <w:sz w:val="36"/>
                                <w:szCs w:val="22"/>
                                <w:lang w:val="es-VE"/>
                              </w:rPr>
                              <w:t xml:space="preserve"> 112</w:t>
                            </w:r>
                            <w:r>
                              <w:rPr>
                                <w:rFonts w:ascii="Cambria" w:hAnsi="Cambria" w:cs="Arial"/>
                                <w:b/>
                                <w:bCs/>
                                <w:color w:val="0D0D0D" w:themeColor="text1" w:themeTint="F2"/>
                                <w:sz w:val="36"/>
                                <w:szCs w:val="22"/>
                                <w:lang w:val="es-VE"/>
                              </w:rPr>
                              <w:t>/18</w:t>
                            </w:r>
                          </w:p>
                          <w:p w14:paraId="12F8CF1A" w14:textId="77777777" w:rsidR="000D7A15" w:rsidRPr="00430348" w:rsidRDefault="000D7A15"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 xml:space="preserve"> CASO 12.910</w:t>
                            </w:r>
                          </w:p>
                          <w:p w14:paraId="6E2DC3FA" w14:textId="77777777" w:rsidR="000D7A15" w:rsidRPr="00430348" w:rsidRDefault="000D7A15"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14:paraId="6CC43C1D" w14:textId="77777777" w:rsidR="000D7A15" w:rsidRPr="00430348" w:rsidRDefault="000D7A15" w:rsidP="00610A15">
                            <w:pPr>
                              <w:spacing w:line="276" w:lineRule="auto"/>
                              <w:rPr>
                                <w:rFonts w:ascii="Cambria" w:hAnsi="Cambria" w:cs="Arial"/>
                                <w:color w:val="0D0D0D" w:themeColor="text1" w:themeTint="F2"/>
                                <w:szCs w:val="22"/>
                                <w:lang w:val="es-ES_tradnl"/>
                              </w:rPr>
                            </w:pPr>
                            <w:bookmarkStart w:id="0" w:name="_ftnref1"/>
                          </w:p>
                          <w:p w14:paraId="3F430CC3" w14:textId="77777777" w:rsidR="000D7A15" w:rsidRPr="00430348" w:rsidRDefault="000D7A15" w:rsidP="00610A15">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CARLOS JULIO AGUINAGA AILLÓN</w:t>
                            </w:r>
                          </w:p>
                          <w:bookmarkEnd w:id="0"/>
                          <w:p w14:paraId="0A4D61CB" w14:textId="77777777" w:rsidR="000D7A15" w:rsidRPr="00430348" w:rsidRDefault="000D7A15"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55AD7120" w14:textId="77777777" w:rsidR="000D7A15" w:rsidRPr="00AE5488" w:rsidRDefault="000D7A15"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164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60B84F7" w14:textId="7EB3ABD8" w:rsidR="000D7A15" w:rsidRPr="00430348" w:rsidRDefault="000D7A15"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sidR="006A6783">
                        <w:rPr>
                          <w:rFonts w:ascii="Cambria" w:hAnsi="Cambria" w:cs="Arial"/>
                          <w:b/>
                          <w:bCs/>
                          <w:color w:val="0D0D0D" w:themeColor="text1" w:themeTint="F2"/>
                          <w:sz w:val="36"/>
                          <w:szCs w:val="22"/>
                          <w:lang w:val="es-VE"/>
                        </w:rPr>
                        <w:t xml:space="preserve"> 112</w:t>
                      </w:r>
                      <w:r>
                        <w:rPr>
                          <w:rFonts w:ascii="Cambria" w:hAnsi="Cambria" w:cs="Arial"/>
                          <w:b/>
                          <w:bCs/>
                          <w:color w:val="0D0D0D" w:themeColor="text1" w:themeTint="F2"/>
                          <w:sz w:val="36"/>
                          <w:szCs w:val="22"/>
                          <w:lang w:val="es-VE"/>
                        </w:rPr>
                        <w:t>/18</w:t>
                      </w:r>
                    </w:p>
                    <w:p w14:paraId="12F8CF1A" w14:textId="77777777" w:rsidR="000D7A15" w:rsidRPr="00430348" w:rsidRDefault="000D7A15"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 xml:space="preserve"> CASO 12.910</w:t>
                      </w:r>
                    </w:p>
                    <w:p w14:paraId="6E2DC3FA" w14:textId="77777777" w:rsidR="000D7A15" w:rsidRPr="00430348" w:rsidRDefault="000D7A15"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14:paraId="6CC43C1D" w14:textId="77777777" w:rsidR="000D7A15" w:rsidRPr="00430348" w:rsidRDefault="000D7A15" w:rsidP="00610A15">
                      <w:pPr>
                        <w:spacing w:line="276" w:lineRule="auto"/>
                        <w:rPr>
                          <w:rFonts w:ascii="Cambria" w:hAnsi="Cambria" w:cs="Arial"/>
                          <w:color w:val="0D0D0D" w:themeColor="text1" w:themeTint="F2"/>
                          <w:szCs w:val="22"/>
                          <w:lang w:val="es-ES_tradnl"/>
                        </w:rPr>
                      </w:pPr>
                      <w:bookmarkStart w:id="1" w:name="_ftnref1"/>
                    </w:p>
                    <w:p w14:paraId="3F430CC3" w14:textId="77777777" w:rsidR="000D7A15" w:rsidRPr="00430348" w:rsidRDefault="000D7A15" w:rsidP="00610A15">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CARLOS JULIO AGUINAGA AILLÓN</w:t>
                      </w:r>
                    </w:p>
                    <w:bookmarkEnd w:id="1"/>
                    <w:p w14:paraId="0A4D61CB" w14:textId="77777777" w:rsidR="000D7A15" w:rsidRPr="00430348" w:rsidRDefault="000D7A15"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55AD7120" w14:textId="77777777" w:rsidR="000D7A15" w:rsidRPr="00AE5488" w:rsidRDefault="000D7A15" w:rsidP="00610A15">
                      <w:pPr>
                        <w:rPr>
                          <w:color w:val="0D0D0D" w:themeColor="text1" w:themeTint="F2"/>
                          <w:lang w:val="es-ES_tradnl"/>
                        </w:rPr>
                      </w:pPr>
                    </w:p>
                  </w:txbxContent>
                </v:textbox>
              </v:shape>
            </w:pict>
          </mc:Fallback>
        </mc:AlternateContent>
      </w:r>
      <w:r w:rsidRPr="001E3078">
        <w:rPr>
          <w:rFonts w:ascii="Cambria" w:hAnsi="Cambria"/>
          <w:noProof/>
          <w:sz w:val="20"/>
          <w:szCs w:val="20"/>
        </w:rPr>
        <mc:AlternateContent>
          <mc:Choice Requires="wps">
            <w:drawing>
              <wp:anchor distT="0" distB="0" distL="114300" distR="114300" simplePos="0" relativeHeight="251662336" behindDoc="0" locked="0" layoutInCell="1" allowOverlap="1" wp14:anchorId="5458171D" wp14:editId="527B968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C7220" w14:textId="2815F9E7" w:rsidR="000D7A15" w:rsidRPr="00B17B12" w:rsidRDefault="006A6783"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39C2F949" w14:textId="0BCD1907" w:rsidR="000D7A15" w:rsidRPr="00B17B12" w:rsidRDefault="006A6783"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129</w:t>
                            </w:r>
                          </w:p>
                          <w:p w14:paraId="07E24030" w14:textId="56019B2A" w:rsidR="000D7A15" w:rsidRPr="009D70A3" w:rsidRDefault="006A6783"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 octubre 2018</w:t>
                            </w:r>
                          </w:p>
                          <w:p w14:paraId="0DC51CAD" w14:textId="77777777" w:rsidR="000D7A15" w:rsidRPr="00E33B22" w:rsidRDefault="000D7A15"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171D"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24C7220" w14:textId="2815F9E7" w:rsidR="000D7A15" w:rsidRPr="00B17B12" w:rsidRDefault="006A6783"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39C2F949" w14:textId="0BCD1907" w:rsidR="000D7A15" w:rsidRPr="00B17B12" w:rsidRDefault="006A6783"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129</w:t>
                      </w:r>
                    </w:p>
                    <w:p w14:paraId="07E24030" w14:textId="56019B2A" w:rsidR="000D7A15" w:rsidRPr="009D70A3" w:rsidRDefault="006A6783"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 octubre 2018</w:t>
                      </w:r>
                    </w:p>
                    <w:p w14:paraId="0DC51CAD" w14:textId="77777777" w:rsidR="000D7A15" w:rsidRPr="00E33B22" w:rsidRDefault="000D7A15"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v:textbox>
              </v:shape>
            </w:pict>
          </mc:Fallback>
        </mc:AlternateContent>
      </w:r>
    </w:p>
    <w:p w14:paraId="68B2C65B" w14:textId="77777777" w:rsidR="00610A15" w:rsidRPr="001E3078" w:rsidRDefault="00610A15" w:rsidP="00BA3CEA">
      <w:pPr>
        <w:tabs>
          <w:tab w:val="center" w:pos="5400"/>
        </w:tabs>
        <w:suppressAutoHyphens/>
        <w:jc w:val="center"/>
        <w:rPr>
          <w:rFonts w:ascii="Cambria" w:hAnsi="Cambria"/>
          <w:sz w:val="20"/>
          <w:szCs w:val="20"/>
          <w:lang w:val="es-ES_tradnl"/>
        </w:rPr>
      </w:pPr>
    </w:p>
    <w:p w14:paraId="2D708AE5" w14:textId="77777777" w:rsidR="00610A15" w:rsidRPr="001E3078" w:rsidRDefault="00610A15" w:rsidP="00BA3CEA">
      <w:pPr>
        <w:tabs>
          <w:tab w:val="center" w:pos="5400"/>
        </w:tabs>
        <w:suppressAutoHyphens/>
        <w:jc w:val="center"/>
        <w:rPr>
          <w:rFonts w:ascii="Cambria" w:hAnsi="Cambria"/>
          <w:sz w:val="20"/>
          <w:szCs w:val="20"/>
          <w:lang w:val="es-ES_tradnl"/>
        </w:rPr>
      </w:pPr>
    </w:p>
    <w:p w14:paraId="518D3401" w14:textId="77777777" w:rsidR="00610A15" w:rsidRPr="001E3078" w:rsidRDefault="00610A15" w:rsidP="00BA3CEA">
      <w:pPr>
        <w:tabs>
          <w:tab w:val="center" w:pos="5400"/>
        </w:tabs>
        <w:suppressAutoHyphens/>
        <w:jc w:val="center"/>
        <w:rPr>
          <w:rFonts w:ascii="Cambria" w:hAnsi="Cambria" w:cs="Arial"/>
          <w:sz w:val="20"/>
          <w:szCs w:val="20"/>
          <w:lang w:val="es-ES_tradnl"/>
        </w:rPr>
      </w:pPr>
    </w:p>
    <w:p w14:paraId="3110E8C6" w14:textId="77777777" w:rsidR="00610A15" w:rsidRPr="001E3078" w:rsidRDefault="00610A15" w:rsidP="00BA3CEA">
      <w:pPr>
        <w:tabs>
          <w:tab w:val="center" w:pos="5400"/>
        </w:tabs>
        <w:suppressAutoHyphens/>
        <w:jc w:val="center"/>
        <w:rPr>
          <w:rFonts w:ascii="Cambria" w:hAnsi="Cambria"/>
          <w:sz w:val="20"/>
          <w:szCs w:val="20"/>
          <w:lang w:val="es-ES_tradnl"/>
        </w:rPr>
      </w:pPr>
    </w:p>
    <w:p w14:paraId="70BEC8AC" w14:textId="77777777" w:rsidR="00610A15" w:rsidRPr="001E3078" w:rsidRDefault="00610A15" w:rsidP="00BA3CEA">
      <w:pPr>
        <w:tabs>
          <w:tab w:val="center" w:pos="5400"/>
        </w:tabs>
        <w:suppressAutoHyphens/>
        <w:jc w:val="center"/>
        <w:rPr>
          <w:rFonts w:ascii="Cambria" w:hAnsi="Cambria"/>
          <w:sz w:val="20"/>
          <w:szCs w:val="20"/>
          <w:lang w:val="es-ES_tradnl"/>
        </w:rPr>
      </w:pPr>
    </w:p>
    <w:p w14:paraId="62255908" w14:textId="77777777" w:rsidR="00610A15" w:rsidRPr="001E3078" w:rsidRDefault="00610A15" w:rsidP="00BA3CEA">
      <w:pPr>
        <w:tabs>
          <w:tab w:val="center" w:pos="5400"/>
        </w:tabs>
        <w:suppressAutoHyphens/>
        <w:jc w:val="center"/>
        <w:rPr>
          <w:rFonts w:ascii="Cambria" w:hAnsi="Cambria"/>
          <w:sz w:val="20"/>
          <w:szCs w:val="20"/>
          <w:lang w:val="es-ES_tradnl"/>
        </w:rPr>
      </w:pPr>
    </w:p>
    <w:p w14:paraId="4DD56D22" w14:textId="77777777" w:rsidR="00610A15" w:rsidRPr="001E3078" w:rsidRDefault="00610A15" w:rsidP="00BA3CEA">
      <w:pPr>
        <w:tabs>
          <w:tab w:val="center" w:pos="5400"/>
        </w:tabs>
        <w:suppressAutoHyphens/>
        <w:jc w:val="center"/>
        <w:rPr>
          <w:rFonts w:ascii="Cambria" w:hAnsi="Cambria"/>
          <w:sz w:val="20"/>
          <w:szCs w:val="20"/>
          <w:lang w:val="es-ES_tradnl"/>
        </w:rPr>
      </w:pPr>
    </w:p>
    <w:p w14:paraId="0FC89A67" w14:textId="77777777" w:rsidR="00610A15" w:rsidRPr="001E3078" w:rsidRDefault="00610A15" w:rsidP="00BA3CEA">
      <w:pPr>
        <w:tabs>
          <w:tab w:val="center" w:pos="5400"/>
        </w:tabs>
        <w:suppressAutoHyphens/>
        <w:jc w:val="center"/>
        <w:rPr>
          <w:rFonts w:ascii="Cambria" w:hAnsi="Cambria"/>
          <w:sz w:val="20"/>
          <w:szCs w:val="20"/>
          <w:lang w:val="es-ES_tradnl"/>
        </w:rPr>
      </w:pPr>
    </w:p>
    <w:p w14:paraId="1DD82E39" w14:textId="77777777" w:rsidR="00610A15" w:rsidRPr="001E3078" w:rsidRDefault="00610A15" w:rsidP="00BA3CEA">
      <w:pPr>
        <w:tabs>
          <w:tab w:val="center" w:pos="5400"/>
        </w:tabs>
        <w:suppressAutoHyphens/>
        <w:jc w:val="center"/>
        <w:rPr>
          <w:rFonts w:ascii="Cambria" w:hAnsi="Cambria"/>
          <w:sz w:val="20"/>
          <w:szCs w:val="20"/>
          <w:lang w:val="es-ES_tradnl"/>
        </w:rPr>
      </w:pPr>
    </w:p>
    <w:p w14:paraId="0971FB28" w14:textId="77777777" w:rsidR="00610A15" w:rsidRPr="001E3078" w:rsidRDefault="00610A15" w:rsidP="00BA3CEA">
      <w:pPr>
        <w:tabs>
          <w:tab w:val="center" w:pos="5400"/>
        </w:tabs>
        <w:suppressAutoHyphens/>
        <w:jc w:val="center"/>
        <w:rPr>
          <w:rFonts w:ascii="Cambria" w:hAnsi="Cambria"/>
          <w:sz w:val="20"/>
          <w:szCs w:val="20"/>
          <w:lang w:val="es-ES_tradnl"/>
        </w:rPr>
      </w:pPr>
    </w:p>
    <w:p w14:paraId="74BCD4B7" w14:textId="77777777" w:rsidR="00610A15" w:rsidRPr="001E3078" w:rsidRDefault="00610A15" w:rsidP="00BA3CEA">
      <w:pPr>
        <w:tabs>
          <w:tab w:val="center" w:pos="5400"/>
        </w:tabs>
        <w:suppressAutoHyphens/>
        <w:jc w:val="center"/>
        <w:rPr>
          <w:rFonts w:ascii="Cambria" w:hAnsi="Cambria"/>
          <w:sz w:val="20"/>
          <w:szCs w:val="20"/>
          <w:lang w:val="es-ES_tradnl"/>
        </w:rPr>
      </w:pPr>
    </w:p>
    <w:p w14:paraId="0B39709D" w14:textId="77777777" w:rsidR="00610A15" w:rsidRPr="001E3078" w:rsidRDefault="00610A15" w:rsidP="00BA3CEA">
      <w:pPr>
        <w:tabs>
          <w:tab w:val="center" w:pos="5400"/>
        </w:tabs>
        <w:suppressAutoHyphens/>
        <w:jc w:val="center"/>
        <w:rPr>
          <w:rFonts w:ascii="Cambria" w:hAnsi="Cambria"/>
          <w:sz w:val="20"/>
          <w:szCs w:val="20"/>
          <w:lang w:val="es-ES_tradnl"/>
        </w:rPr>
      </w:pPr>
    </w:p>
    <w:p w14:paraId="35A1DB87" w14:textId="77777777" w:rsidR="00610A15" w:rsidRPr="001E3078" w:rsidRDefault="00610A15" w:rsidP="00BA3CEA">
      <w:pPr>
        <w:tabs>
          <w:tab w:val="center" w:pos="5400"/>
        </w:tabs>
        <w:suppressAutoHyphens/>
        <w:jc w:val="center"/>
        <w:rPr>
          <w:rFonts w:ascii="Cambria" w:hAnsi="Cambria"/>
          <w:sz w:val="20"/>
          <w:szCs w:val="20"/>
          <w:lang w:val="es-ES_tradnl"/>
        </w:rPr>
      </w:pPr>
    </w:p>
    <w:p w14:paraId="1D6F8F21" w14:textId="77777777" w:rsidR="00610A15" w:rsidRPr="001E3078" w:rsidRDefault="00610A15" w:rsidP="00BA3CEA">
      <w:pPr>
        <w:tabs>
          <w:tab w:val="center" w:pos="5400"/>
        </w:tabs>
        <w:suppressAutoHyphens/>
        <w:jc w:val="center"/>
        <w:rPr>
          <w:rFonts w:ascii="Cambria" w:hAnsi="Cambria"/>
          <w:sz w:val="20"/>
          <w:szCs w:val="20"/>
          <w:lang w:val="es-ES_tradnl"/>
        </w:rPr>
      </w:pPr>
    </w:p>
    <w:p w14:paraId="5BD2AA98" w14:textId="77777777" w:rsidR="00610A15" w:rsidRPr="001E3078" w:rsidRDefault="00610A15" w:rsidP="00BA3CEA">
      <w:pPr>
        <w:tabs>
          <w:tab w:val="center" w:pos="5400"/>
        </w:tabs>
        <w:suppressAutoHyphens/>
        <w:jc w:val="center"/>
        <w:rPr>
          <w:rFonts w:ascii="Cambria" w:hAnsi="Cambria"/>
          <w:sz w:val="20"/>
          <w:szCs w:val="20"/>
          <w:lang w:val="es-ES_tradnl"/>
        </w:rPr>
      </w:pPr>
    </w:p>
    <w:p w14:paraId="3BE77F9B" w14:textId="77777777" w:rsidR="00610A15" w:rsidRPr="001E3078" w:rsidRDefault="00610A15" w:rsidP="00BA3CEA">
      <w:pPr>
        <w:tabs>
          <w:tab w:val="center" w:pos="5400"/>
        </w:tabs>
        <w:suppressAutoHyphens/>
        <w:jc w:val="center"/>
        <w:rPr>
          <w:rFonts w:ascii="Cambria" w:hAnsi="Cambria"/>
          <w:sz w:val="20"/>
          <w:szCs w:val="20"/>
          <w:lang w:val="es-ES_tradnl"/>
        </w:rPr>
      </w:pPr>
    </w:p>
    <w:p w14:paraId="3B1736D9" w14:textId="77777777" w:rsidR="00610A15" w:rsidRPr="001E3078" w:rsidRDefault="00610A15" w:rsidP="00BA3CEA">
      <w:pPr>
        <w:tabs>
          <w:tab w:val="center" w:pos="5400"/>
        </w:tabs>
        <w:suppressAutoHyphens/>
        <w:jc w:val="center"/>
        <w:rPr>
          <w:rFonts w:ascii="Cambria" w:hAnsi="Cambria"/>
          <w:sz w:val="20"/>
          <w:szCs w:val="20"/>
          <w:lang w:val="es-ES_tradnl"/>
        </w:rPr>
      </w:pPr>
    </w:p>
    <w:p w14:paraId="049FFEFF" w14:textId="77777777" w:rsidR="00610A15" w:rsidRPr="001E3078" w:rsidRDefault="00610A15" w:rsidP="00BA3CEA">
      <w:pPr>
        <w:tabs>
          <w:tab w:val="center" w:pos="5400"/>
        </w:tabs>
        <w:suppressAutoHyphens/>
        <w:jc w:val="center"/>
        <w:rPr>
          <w:rFonts w:ascii="Cambria" w:hAnsi="Cambria"/>
          <w:sz w:val="20"/>
          <w:szCs w:val="20"/>
          <w:lang w:val="es-ES_tradnl"/>
        </w:rPr>
      </w:pPr>
    </w:p>
    <w:p w14:paraId="09064027" w14:textId="77777777" w:rsidR="00610A15" w:rsidRPr="001E3078" w:rsidRDefault="00610A15" w:rsidP="00BA3CEA">
      <w:pPr>
        <w:tabs>
          <w:tab w:val="center" w:pos="5400"/>
        </w:tabs>
        <w:suppressAutoHyphens/>
        <w:jc w:val="center"/>
        <w:rPr>
          <w:rFonts w:ascii="Cambria" w:hAnsi="Cambria"/>
          <w:sz w:val="20"/>
          <w:szCs w:val="20"/>
          <w:lang w:val="es-ES_tradnl"/>
        </w:rPr>
      </w:pPr>
    </w:p>
    <w:p w14:paraId="4FD7BE88" w14:textId="77777777" w:rsidR="00610A15" w:rsidRPr="001E3078" w:rsidRDefault="00610A15" w:rsidP="00BA3CEA">
      <w:pPr>
        <w:tabs>
          <w:tab w:val="center" w:pos="5400"/>
        </w:tabs>
        <w:suppressAutoHyphens/>
        <w:jc w:val="center"/>
        <w:rPr>
          <w:rFonts w:ascii="Cambria" w:hAnsi="Cambria"/>
          <w:sz w:val="20"/>
          <w:szCs w:val="20"/>
          <w:lang w:val="es-ES_tradnl"/>
        </w:rPr>
      </w:pPr>
    </w:p>
    <w:p w14:paraId="22B5413F" w14:textId="77777777" w:rsidR="00610A15" w:rsidRPr="001E3078" w:rsidRDefault="00610A15" w:rsidP="00BA3CEA">
      <w:pPr>
        <w:tabs>
          <w:tab w:val="center" w:pos="5400"/>
        </w:tabs>
        <w:suppressAutoHyphens/>
        <w:jc w:val="center"/>
        <w:rPr>
          <w:rFonts w:ascii="Cambria" w:hAnsi="Cambria"/>
          <w:sz w:val="20"/>
          <w:szCs w:val="20"/>
          <w:lang w:val="es-CO"/>
        </w:rPr>
      </w:pPr>
    </w:p>
    <w:p w14:paraId="1E94DF90" w14:textId="77777777" w:rsidR="00610A15" w:rsidRPr="001E3078" w:rsidRDefault="00610A15" w:rsidP="00BA3CEA">
      <w:pPr>
        <w:tabs>
          <w:tab w:val="center" w:pos="5400"/>
        </w:tabs>
        <w:suppressAutoHyphens/>
        <w:jc w:val="center"/>
        <w:rPr>
          <w:rFonts w:ascii="Cambria" w:hAnsi="Cambria"/>
          <w:sz w:val="20"/>
          <w:szCs w:val="20"/>
          <w:lang w:val="es-ES_tradnl"/>
        </w:rPr>
      </w:pPr>
    </w:p>
    <w:p w14:paraId="50514A57" w14:textId="77777777" w:rsidR="00610A15" w:rsidRPr="001E3078" w:rsidRDefault="00610A15" w:rsidP="00BA3CEA">
      <w:pPr>
        <w:tabs>
          <w:tab w:val="center" w:pos="5400"/>
        </w:tabs>
        <w:suppressAutoHyphens/>
        <w:jc w:val="center"/>
        <w:rPr>
          <w:rFonts w:ascii="Cambria" w:hAnsi="Cambria"/>
          <w:sz w:val="20"/>
          <w:szCs w:val="20"/>
          <w:lang w:val="es-ES_tradnl"/>
        </w:rPr>
      </w:pPr>
    </w:p>
    <w:p w14:paraId="599DB9D4" w14:textId="77777777" w:rsidR="00610A15" w:rsidRPr="001E3078" w:rsidRDefault="00610A15" w:rsidP="00BA3CEA">
      <w:pPr>
        <w:tabs>
          <w:tab w:val="center" w:pos="5400"/>
        </w:tabs>
        <w:suppressAutoHyphens/>
        <w:jc w:val="center"/>
        <w:rPr>
          <w:rFonts w:ascii="Cambria" w:hAnsi="Cambria"/>
          <w:sz w:val="20"/>
          <w:szCs w:val="20"/>
          <w:lang w:val="es-ES_tradnl"/>
        </w:rPr>
      </w:pPr>
    </w:p>
    <w:p w14:paraId="12EEEC22" w14:textId="77777777" w:rsidR="00610A15" w:rsidRPr="001E3078" w:rsidRDefault="00610A15" w:rsidP="00BA3CEA">
      <w:pPr>
        <w:tabs>
          <w:tab w:val="center" w:pos="5400"/>
        </w:tabs>
        <w:suppressAutoHyphens/>
        <w:jc w:val="center"/>
        <w:rPr>
          <w:rFonts w:ascii="Cambria" w:hAnsi="Cambria"/>
          <w:sz w:val="20"/>
          <w:szCs w:val="20"/>
          <w:lang w:val="es-ES_tradnl"/>
        </w:rPr>
      </w:pPr>
    </w:p>
    <w:p w14:paraId="72E5A053" w14:textId="77777777" w:rsidR="00610A15" w:rsidRPr="001E3078" w:rsidRDefault="00610A15" w:rsidP="00BA3CEA">
      <w:pPr>
        <w:tabs>
          <w:tab w:val="center" w:pos="5400"/>
        </w:tabs>
        <w:suppressAutoHyphens/>
        <w:jc w:val="center"/>
        <w:rPr>
          <w:rFonts w:ascii="Cambria" w:hAnsi="Cambria"/>
          <w:sz w:val="20"/>
          <w:szCs w:val="20"/>
          <w:lang w:val="es-ES_tradnl"/>
        </w:rPr>
      </w:pPr>
    </w:p>
    <w:p w14:paraId="6E449765" w14:textId="77777777" w:rsidR="00610A15" w:rsidRPr="001E3078" w:rsidRDefault="00610A15" w:rsidP="00BA3CEA">
      <w:pPr>
        <w:tabs>
          <w:tab w:val="center" w:pos="5400"/>
        </w:tabs>
        <w:suppressAutoHyphens/>
        <w:jc w:val="center"/>
        <w:rPr>
          <w:rFonts w:ascii="Cambria" w:hAnsi="Cambria"/>
          <w:sz w:val="20"/>
          <w:szCs w:val="20"/>
          <w:lang w:val="es-ES_tradnl"/>
        </w:rPr>
      </w:pPr>
    </w:p>
    <w:p w14:paraId="5870F8A6" w14:textId="77777777" w:rsidR="00610A15" w:rsidRPr="001E3078" w:rsidRDefault="00610A15" w:rsidP="00BA3CEA">
      <w:pPr>
        <w:tabs>
          <w:tab w:val="center" w:pos="5400"/>
        </w:tabs>
        <w:suppressAutoHyphens/>
        <w:jc w:val="center"/>
        <w:rPr>
          <w:rFonts w:ascii="Cambria" w:hAnsi="Cambria"/>
          <w:sz w:val="20"/>
          <w:szCs w:val="20"/>
          <w:lang w:val="es-ES_tradnl"/>
        </w:rPr>
      </w:pPr>
    </w:p>
    <w:p w14:paraId="00FFD4FF" w14:textId="77777777" w:rsidR="00610A15" w:rsidRPr="001E3078" w:rsidRDefault="00610A15" w:rsidP="00BA3CEA">
      <w:pPr>
        <w:tabs>
          <w:tab w:val="center" w:pos="5400"/>
        </w:tabs>
        <w:suppressAutoHyphens/>
        <w:jc w:val="center"/>
        <w:rPr>
          <w:rFonts w:ascii="Cambria" w:hAnsi="Cambria"/>
          <w:sz w:val="20"/>
          <w:szCs w:val="20"/>
          <w:lang w:val="es-ES_tradnl"/>
        </w:rPr>
      </w:pPr>
      <w:r w:rsidRPr="001E3078">
        <w:rPr>
          <w:rFonts w:ascii="Cambria" w:hAnsi="Cambria"/>
          <w:noProof/>
          <w:sz w:val="20"/>
          <w:szCs w:val="20"/>
        </w:rPr>
        <mc:AlternateContent>
          <mc:Choice Requires="wps">
            <w:drawing>
              <wp:anchor distT="0" distB="0" distL="114300" distR="114300" simplePos="0" relativeHeight="251661312" behindDoc="0" locked="0" layoutInCell="1" allowOverlap="1" wp14:anchorId="6A4A1DC4" wp14:editId="3864E3E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3CAA0" w14:textId="793A161F" w:rsidR="000D7A15" w:rsidRPr="00445986" w:rsidRDefault="000D7A15"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sidR="00C16812">
                              <w:rPr>
                                <w:rFonts w:ascii="Cambria" w:hAnsi="Cambria"/>
                                <w:color w:val="0D0D0D" w:themeColor="text1" w:themeTint="F2"/>
                                <w:sz w:val="18"/>
                                <w:szCs w:val="20"/>
                                <w:lang w:val="es-ES"/>
                              </w:rPr>
                              <w:t xml:space="preserve"> la Comisión en su S</w:t>
                            </w:r>
                            <w:r w:rsidR="006A6783">
                              <w:rPr>
                                <w:rFonts w:ascii="Cambria" w:hAnsi="Cambria"/>
                                <w:color w:val="0D0D0D" w:themeColor="text1" w:themeTint="F2"/>
                                <w:sz w:val="18"/>
                                <w:szCs w:val="20"/>
                                <w:lang w:val="es-ES"/>
                              </w:rPr>
                              <w:t>esión No. 2137</w:t>
                            </w:r>
                            <w:r w:rsidRPr="00445986">
                              <w:rPr>
                                <w:rFonts w:ascii="Cambria" w:hAnsi="Cambria"/>
                                <w:color w:val="0D0D0D" w:themeColor="text1" w:themeTint="F2"/>
                                <w:sz w:val="18"/>
                                <w:szCs w:val="20"/>
                                <w:lang w:val="es-ES"/>
                              </w:rPr>
                              <w:t xml:space="preserve"> celebrada el </w:t>
                            </w:r>
                            <w:r w:rsidR="006A6783">
                              <w:rPr>
                                <w:rFonts w:ascii="Cambria" w:hAnsi="Cambria"/>
                                <w:color w:val="0D0D0D" w:themeColor="text1" w:themeTint="F2"/>
                                <w:sz w:val="18"/>
                                <w:szCs w:val="20"/>
                                <w:lang w:val="es-ES"/>
                              </w:rPr>
                              <w:t>5</w:t>
                            </w:r>
                            <w:r w:rsidRPr="00445986">
                              <w:rPr>
                                <w:rFonts w:ascii="Cambria" w:hAnsi="Cambria"/>
                                <w:color w:val="0D0D0D" w:themeColor="text1" w:themeTint="F2"/>
                                <w:sz w:val="18"/>
                                <w:szCs w:val="20"/>
                                <w:lang w:val="es-ES"/>
                              </w:rPr>
                              <w:t xml:space="preserve"> de </w:t>
                            </w:r>
                            <w:r w:rsidR="006A6783">
                              <w:rPr>
                                <w:rFonts w:ascii="Cambria" w:hAnsi="Cambria"/>
                                <w:color w:val="0D0D0D" w:themeColor="text1" w:themeTint="F2"/>
                                <w:sz w:val="18"/>
                                <w:szCs w:val="20"/>
                                <w:lang w:val="es-ES"/>
                              </w:rPr>
                              <w:t>octubre</w:t>
                            </w:r>
                            <w:r>
                              <w:rPr>
                                <w:rFonts w:ascii="Cambria" w:hAnsi="Cambria"/>
                                <w:color w:val="0D0D0D" w:themeColor="text1" w:themeTint="F2"/>
                                <w:sz w:val="18"/>
                                <w:szCs w:val="20"/>
                                <w:lang w:val="es-ES"/>
                              </w:rPr>
                              <w:t xml:space="preserve"> de 2018</w:t>
                            </w:r>
                            <w:r w:rsidRPr="00445986">
                              <w:rPr>
                                <w:rFonts w:ascii="Cambria" w:hAnsi="Cambria"/>
                                <w:color w:val="0D0D0D" w:themeColor="text1" w:themeTint="F2"/>
                                <w:sz w:val="18"/>
                                <w:szCs w:val="20"/>
                                <w:lang w:val="es-ES"/>
                              </w:rPr>
                              <w:br/>
                            </w:r>
                            <w:r w:rsidR="006A6783">
                              <w:rPr>
                                <w:rFonts w:ascii="Cambria" w:hAnsi="Cambria" w:cs="Univers"/>
                                <w:color w:val="0D0D0D" w:themeColor="text1" w:themeTint="F2"/>
                                <w:sz w:val="18"/>
                                <w:szCs w:val="20"/>
                                <w:lang w:val="es-ES_tradnl"/>
                              </w:rPr>
                              <w:t>169</w:t>
                            </w:r>
                            <w:r w:rsidRPr="00445986">
                              <w:rPr>
                                <w:rFonts w:ascii="Cambria" w:hAnsi="Cambria" w:cs="Univers"/>
                                <w:color w:val="0D0D0D" w:themeColor="text1" w:themeTint="F2"/>
                                <w:sz w:val="18"/>
                                <w:szCs w:val="20"/>
                                <w:lang w:val="es-ES_tradnl"/>
                              </w:rPr>
                              <w:t xml:space="preserve"> </w:t>
                            </w:r>
                            <w:r w:rsidR="00C16812">
                              <w:rPr>
                                <w:rFonts w:ascii="Cambria" w:hAnsi="Cambria" w:cs="Univers"/>
                                <w:color w:val="0D0D0D" w:themeColor="text1" w:themeTint="F2"/>
                                <w:sz w:val="18"/>
                                <w:szCs w:val="20"/>
                                <w:lang w:val="es-ES_tradnl"/>
                              </w:rPr>
                              <w:t>Período O</w:t>
                            </w:r>
                            <w:r w:rsidRPr="00445986">
                              <w:rPr>
                                <w:rFonts w:ascii="Cambria" w:hAnsi="Cambria" w:cs="Univers"/>
                                <w:color w:val="0D0D0D" w:themeColor="text1" w:themeTint="F2"/>
                                <w:sz w:val="18"/>
                                <w:szCs w:val="20"/>
                                <w:lang w:val="es-ES_tradnl"/>
                              </w:rPr>
                              <w:t xml:space="preserve">rdinario de </w:t>
                            </w:r>
                            <w:r w:rsidR="00C16812">
                              <w:rPr>
                                <w:rFonts w:ascii="Cambria" w:hAnsi="Cambria" w:cs="Univers"/>
                                <w:color w:val="0D0D0D" w:themeColor="text1" w:themeTint="F2"/>
                                <w:sz w:val="18"/>
                                <w:szCs w:val="20"/>
                                <w:lang w:val="es-ES_tradnl"/>
                              </w:rPr>
                              <w:t>S</w:t>
                            </w:r>
                            <w:r w:rsidRPr="00445986">
                              <w:rPr>
                                <w:rFonts w:ascii="Cambria" w:hAnsi="Cambria" w:cs="Univers"/>
                                <w:color w:val="0D0D0D" w:themeColor="text1" w:themeTint="F2"/>
                                <w:sz w:val="18"/>
                                <w:szCs w:val="20"/>
                                <w:lang w:val="es-ES_tradnl"/>
                              </w:rPr>
                              <w:t>esiones</w:t>
                            </w:r>
                            <w:r w:rsidR="006A6783">
                              <w:rPr>
                                <w:rFonts w:ascii="Cambria" w:hAnsi="Cambria" w:cs="Univers"/>
                                <w:color w:val="0D0D0D" w:themeColor="text1" w:themeTint="F2"/>
                                <w:sz w:val="18"/>
                                <w:szCs w:val="20"/>
                                <w:lang w:val="es-ES_tradnl"/>
                              </w:rPr>
                              <w:t>.</w:t>
                            </w:r>
                          </w:p>
                          <w:p w14:paraId="19F14DDE" w14:textId="77777777" w:rsidR="000D7A15" w:rsidRPr="00167A34" w:rsidRDefault="000D7A15" w:rsidP="00610A15">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1DC4"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C33CAA0" w14:textId="793A161F" w:rsidR="000D7A15" w:rsidRPr="00445986" w:rsidRDefault="000D7A15"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sidR="00C16812">
                        <w:rPr>
                          <w:rFonts w:ascii="Cambria" w:hAnsi="Cambria"/>
                          <w:color w:val="0D0D0D" w:themeColor="text1" w:themeTint="F2"/>
                          <w:sz w:val="18"/>
                          <w:szCs w:val="20"/>
                          <w:lang w:val="es-ES"/>
                        </w:rPr>
                        <w:t xml:space="preserve"> la Comisión en su S</w:t>
                      </w:r>
                      <w:r w:rsidR="006A6783">
                        <w:rPr>
                          <w:rFonts w:ascii="Cambria" w:hAnsi="Cambria"/>
                          <w:color w:val="0D0D0D" w:themeColor="text1" w:themeTint="F2"/>
                          <w:sz w:val="18"/>
                          <w:szCs w:val="20"/>
                          <w:lang w:val="es-ES"/>
                        </w:rPr>
                        <w:t>esión No. 2137</w:t>
                      </w:r>
                      <w:r w:rsidRPr="00445986">
                        <w:rPr>
                          <w:rFonts w:ascii="Cambria" w:hAnsi="Cambria"/>
                          <w:color w:val="0D0D0D" w:themeColor="text1" w:themeTint="F2"/>
                          <w:sz w:val="18"/>
                          <w:szCs w:val="20"/>
                          <w:lang w:val="es-ES"/>
                        </w:rPr>
                        <w:t xml:space="preserve"> celebrada el </w:t>
                      </w:r>
                      <w:r w:rsidR="006A6783">
                        <w:rPr>
                          <w:rFonts w:ascii="Cambria" w:hAnsi="Cambria"/>
                          <w:color w:val="0D0D0D" w:themeColor="text1" w:themeTint="F2"/>
                          <w:sz w:val="18"/>
                          <w:szCs w:val="20"/>
                          <w:lang w:val="es-ES"/>
                        </w:rPr>
                        <w:t>5</w:t>
                      </w:r>
                      <w:r w:rsidRPr="00445986">
                        <w:rPr>
                          <w:rFonts w:ascii="Cambria" w:hAnsi="Cambria"/>
                          <w:color w:val="0D0D0D" w:themeColor="text1" w:themeTint="F2"/>
                          <w:sz w:val="18"/>
                          <w:szCs w:val="20"/>
                          <w:lang w:val="es-ES"/>
                        </w:rPr>
                        <w:t xml:space="preserve"> de </w:t>
                      </w:r>
                      <w:r w:rsidR="006A6783">
                        <w:rPr>
                          <w:rFonts w:ascii="Cambria" w:hAnsi="Cambria"/>
                          <w:color w:val="0D0D0D" w:themeColor="text1" w:themeTint="F2"/>
                          <w:sz w:val="18"/>
                          <w:szCs w:val="20"/>
                          <w:lang w:val="es-ES"/>
                        </w:rPr>
                        <w:t>octubre</w:t>
                      </w:r>
                      <w:r>
                        <w:rPr>
                          <w:rFonts w:ascii="Cambria" w:hAnsi="Cambria"/>
                          <w:color w:val="0D0D0D" w:themeColor="text1" w:themeTint="F2"/>
                          <w:sz w:val="18"/>
                          <w:szCs w:val="20"/>
                          <w:lang w:val="es-ES"/>
                        </w:rPr>
                        <w:t xml:space="preserve"> de 2018</w:t>
                      </w:r>
                      <w:r w:rsidRPr="00445986">
                        <w:rPr>
                          <w:rFonts w:ascii="Cambria" w:hAnsi="Cambria"/>
                          <w:color w:val="0D0D0D" w:themeColor="text1" w:themeTint="F2"/>
                          <w:sz w:val="18"/>
                          <w:szCs w:val="20"/>
                          <w:lang w:val="es-ES"/>
                        </w:rPr>
                        <w:br/>
                      </w:r>
                      <w:r w:rsidR="006A6783">
                        <w:rPr>
                          <w:rFonts w:ascii="Cambria" w:hAnsi="Cambria" w:cs="Univers"/>
                          <w:color w:val="0D0D0D" w:themeColor="text1" w:themeTint="F2"/>
                          <w:sz w:val="18"/>
                          <w:szCs w:val="20"/>
                          <w:lang w:val="es-ES_tradnl"/>
                        </w:rPr>
                        <w:t>169</w:t>
                      </w:r>
                      <w:r w:rsidRPr="00445986">
                        <w:rPr>
                          <w:rFonts w:ascii="Cambria" w:hAnsi="Cambria" w:cs="Univers"/>
                          <w:color w:val="0D0D0D" w:themeColor="text1" w:themeTint="F2"/>
                          <w:sz w:val="18"/>
                          <w:szCs w:val="20"/>
                          <w:lang w:val="es-ES_tradnl"/>
                        </w:rPr>
                        <w:t xml:space="preserve"> </w:t>
                      </w:r>
                      <w:r w:rsidR="00C16812">
                        <w:rPr>
                          <w:rFonts w:ascii="Cambria" w:hAnsi="Cambria" w:cs="Univers"/>
                          <w:color w:val="0D0D0D" w:themeColor="text1" w:themeTint="F2"/>
                          <w:sz w:val="18"/>
                          <w:szCs w:val="20"/>
                          <w:lang w:val="es-ES_tradnl"/>
                        </w:rPr>
                        <w:t>Período O</w:t>
                      </w:r>
                      <w:r w:rsidRPr="00445986">
                        <w:rPr>
                          <w:rFonts w:ascii="Cambria" w:hAnsi="Cambria" w:cs="Univers"/>
                          <w:color w:val="0D0D0D" w:themeColor="text1" w:themeTint="F2"/>
                          <w:sz w:val="18"/>
                          <w:szCs w:val="20"/>
                          <w:lang w:val="es-ES_tradnl"/>
                        </w:rPr>
                        <w:t xml:space="preserve">rdinario de </w:t>
                      </w:r>
                      <w:r w:rsidR="00C16812">
                        <w:rPr>
                          <w:rFonts w:ascii="Cambria" w:hAnsi="Cambria" w:cs="Univers"/>
                          <w:color w:val="0D0D0D" w:themeColor="text1" w:themeTint="F2"/>
                          <w:sz w:val="18"/>
                          <w:szCs w:val="20"/>
                          <w:lang w:val="es-ES_tradnl"/>
                        </w:rPr>
                        <w:t>S</w:t>
                      </w:r>
                      <w:r w:rsidRPr="00445986">
                        <w:rPr>
                          <w:rFonts w:ascii="Cambria" w:hAnsi="Cambria" w:cs="Univers"/>
                          <w:color w:val="0D0D0D" w:themeColor="text1" w:themeTint="F2"/>
                          <w:sz w:val="18"/>
                          <w:szCs w:val="20"/>
                          <w:lang w:val="es-ES_tradnl"/>
                        </w:rPr>
                        <w:t>esiones</w:t>
                      </w:r>
                      <w:r w:rsidR="006A6783">
                        <w:rPr>
                          <w:rFonts w:ascii="Cambria" w:hAnsi="Cambria" w:cs="Univers"/>
                          <w:color w:val="0D0D0D" w:themeColor="text1" w:themeTint="F2"/>
                          <w:sz w:val="18"/>
                          <w:szCs w:val="20"/>
                          <w:lang w:val="es-ES_tradnl"/>
                        </w:rPr>
                        <w:t>.</w:t>
                      </w:r>
                    </w:p>
                    <w:p w14:paraId="19F14DDE" w14:textId="77777777" w:rsidR="000D7A15" w:rsidRPr="00167A34" w:rsidRDefault="000D7A15" w:rsidP="00610A15">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19AE232" w14:textId="77777777" w:rsidR="00610A15" w:rsidRPr="001E3078" w:rsidRDefault="00610A15" w:rsidP="00BA3CEA">
      <w:pPr>
        <w:tabs>
          <w:tab w:val="center" w:pos="5400"/>
        </w:tabs>
        <w:suppressAutoHyphens/>
        <w:jc w:val="center"/>
        <w:rPr>
          <w:rFonts w:ascii="Cambria" w:hAnsi="Cambria"/>
          <w:sz w:val="20"/>
          <w:szCs w:val="20"/>
          <w:lang w:val="es-ES_tradnl"/>
        </w:rPr>
      </w:pPr>
    </w:p>
    <w:p w14:paraId="5DE494C5" w14:textId="77777777" w:rsidR="00610A15" w:rsidRPr="001E3078" w:rsidRDefault="00610A15" w:rsidP="00BA3CEA">
      <w:pPr>
        <w:tabs>
          <w:tab w:val="center" w:pos="5400"/>
        </w:tabs>
        <w:suppressAutoHyphens/>
        <w:jc w:val="center"/>
        <w:rPr>
          <w:rFonts w:ascii="Cambria" w:hAnsi="Cambria"/>
          <w:sz w:val="20"/>
          <w:szCs w:val="20"/>
          <w:lang w:val="es-ES_tradnl"/>
        </w:rPr>
      </w:pPr>
    </w:p>
    <w:p w14:paraId="252C31A5" w14:textId="77777777" w:rsidR="00610A15" w:rsidRPr="001E3078" w:rsidRDefault="00610A15" w:rsidP="00BA3CEA">
      <w:pPr>
        <w:tabs>
          <w:tab w:val="center" w:pos="5400"/>
        </w:tabs>
        <w:suppressAutoHyphens/>
        <w:jc w:val="center"/>
        <w:rPr>
          <w:rFonts w:ascii="Cambria" w:hAnsi="Cambria"/>
          <w:sz w:val="20"/>
          <w:szCs w:val="20"/>
          <w:lang w:val="es-ES_tradnl"/>
        </w:rPr>
      </w:pPr>
    </w:p>
    <w:p w14:paraId="2B7945E2" w14:textId="77777777" w:rsidR="00610A15" w:rsidRPr="001E3078" w:rsidRDefault="00610A15" w:rsidP="00BA3CEA">
      <w:pPr>
        <w:tabs>
          <w:tab w:val="center" w:pos="5400"/>
        </w:tabs>
        <w:suppressAutoHyphens/>
        <w:jc w:val="center"/>
        <w:rPr>
          <w:rFonts w:ascii="Cambria" w:hAnsi="Cambria"/>
          <w:sz w:val="20"/>
          <w:szCs w:val="20"/>
          <w:lang w:val="es-ES_tradnl"/>
        </w:rPr>
      </w:pPr>
    </w:p>
    <w:p w14:paraId="667AB8C1" w14:textId="77777777" w:rsidR="00610A15" w:rsidRPr="001E3078" w:rsidRDefault="00610A15" w:rsidP="00BA3CEA">
      <w:pPr>
        <w:tabs>
          <w:tab w:val="center" w:pos="5400"/>
        </w:tabs>
        <w:suppressAutoHyphens/>
        <w:jc w:val="center"/>
        <w:rPr>
          <w:rFonts w:ascii="Cambria" w:hAnsi="Cambria"/>
          <w:sz w:val="20"/>
          <w:szCs w:val="20"/>
          <w:lang w:val="es-ES_tradnl"/>
        </w:rPr>
      </w:pPr>
      <w:r w:rsidRPr="001E3078">
        <w:rPr>
          <w:rFonts w:ascii="Cambria" w:hAnsi="Cambria"/>
          <w:noProof/>
          <w:sz w:val="20"/>
          <w:szCs w:val="20"/>
        </w:rPr>
        <mc:AlternateContent>
          <mc:Choice Requires="wps">
            <w:drawing>
              <wp:anchor distT="0" distB="0" distL="114300" distR="114300" simplePos="0" relativeHeight="251664384" behindDoc="0" locked="0" layoutInCell="1" allowOverlap="1" wp14:anchorId="11883737" wp14:editId="31BAFD1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BF9AC" w14:textId="2CAF7657" w:rsidR="000D7A15" w:rsidRPr="009D70A3" w:rsidRDefault="000D7A15"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006A6783" w:rsidRPr="006A6783">
                              <w:rPr>
                                <w:rFonts w:ascii="Cambria" w:hAnsi="Cambria"/>
                                <w:color w:val="595959" w:themeColor="text1" w:themeTint="A6"/>
                                <w:sz w:val="18"/>
                                <w:szCs w:val="18"/>
                                <w:lang w:val="pt-BR"/>
                              </w:rPr>
                              <w:t>112</w:t>
                            </w:r>
                            <w:r w:rsidRPr="006A6783">
                              <w:rPr>
                                <w:rFonts w:ascii="Cambria" w:hAnsi="Cambria"/>
                                <w:color w:val="595959" w:themeColor="text1" w:themeTint="A6"/>
                                <w:sz w:val="18"/>
                                <w:szCs w:val="18"/>
                                <w:lang w:val="pt-BR"/>
                              </w:rPr>
                              <w:t xml:space="preserve">/18, Caso 12.910.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Carlos Julio Aguinaga Aillón. Ecuador</w:t>
                            </w:r>
                            <w:r w:rsidRPr="00445986">
                              <w:rPr>
                                <w:rFonts w:ascii="Cambria" w:hAnsi="Cambria"/>
                                <w:color w:val="595959" w:themeColor="text1" w:themeTint="A6"/>
                                <w:sz w:val="18"/>
                                <w:szCs w:val="18"/>
                                <w:lang w:val="es-ES_tradnl"/>
                              </w:rPr>
                              <w:t xml:space="preserve">. </w:t>
                            </w:r>
                            <w:r w:rsidR="006A6783">
                              <w:rPr>
                                <w:rFonts w:ascii="Cambria" w:hAnsi="Cambria"/>
                                <w:color w:val="595959" w:themeColor="text1" w:themeTint="A6"/>
                                <w:sz w:val="18"/>
                                <w:szCs w:val="18"/>
                                <w:lang w:val="es-VE"/>
                              </w:rPr>
                              <w:t>5</w:t>
                            </w:r>
                            <w:r w:rsidRPr="009D70A3">
                              <w:rPr>
                                <w:rFonts w:ascii="Cambria" w:hAnsi="Cambria"/>
                                <w:color w:val="595959" w:themeColor="text1" w:themeTint="A6"/>
                                <w:sz w:val="18"/>
                                <w:szCs w:val="18"/>
                                <w:lang w:val="es-VE"/>
                              </w:rPr>
                              <w:t xml:space="preserve"> de </w:t>
                            </w:r>
                            <w:r w:rsidR="006A6783">
                              <w:rPr>
                                <w:rFonts w:ascii="Cambria" w:hAnsi="Cambria"/>
                                <w:color w:val="595959" w:themeColor="text1" w:themeTint="A6"/>
                                <w:sz w:val="18"/>
                                <w:szCs w:val="18"/>
                                <w:lang w:val="es-VE"/>
                              </w:rPr>
                              <w:t>octubre de 2018</w:t>
                            </w:r>
                            <w:r w:rsidRPr="009D70A3">
                              <w:rPr>
                                <w:rFonts w:ascii="Cambria" w:hAnsi="Cambria"/>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3737"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91BF9AC" w14:textId="2CAF7657" w:rsidR="000D7A15" w:rsidRPr="009D70A3" w:rsidRDefault="000D7A15"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006A6783" w:rsidRPr="006A6783">
                        <w:rPr>
                          <w:rFonts w:ascii="Cambria" w:hAnsi="Cambria"/>
                          <w:color w:val="595959" w:themeColor="text1" w:themeTint="A6"/>
                          <w:sz w:val="18"/>
                          <w:szCs w:val="18"/>
                          <w:lang w:val="pt-BR"/>
                        </w:rPr>
                        <w:t>112</w:t>
                      </w:r>
                      <w:r w:rsidRPr="006A6783">
                        <w:rPr>
                          <w:rFonts w:ascii="Cambria" w:hAnsi="Cambria"/>
                          <w:color w:val="595959" w:themeColor="text1" w:themeTint="A6"/>
                          <w:sz w:val="18"/>
                          <w:szCs w:val="18"/>
                          <w:lang w:val="pt-BR"/>
                        </w:rPr>
                        <w:t xml:space="preserve">/18, Caso 12.910.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Carlos Julio Aguinaga Aillón. Ecuador</w:t>
                      </w:r>
                      <w:r w:rsidRPr="00445986">
                        <w:rPr>
                          <w:rFonts w:ascii="Cambria" w:hAnsi="Cambria"/>
                          <w:color w:val="595959" w:themeColor="text1" w:themeTint="A6"/>
                          <w:sz w:val="18"/>
                          <w:szCs w:val="18"/>
                          <w:lang w:val="es-ES_tradnl"/>
                        </w:rPr>
                        <w:t xml:space="preserve">. </w:t>
                      </w:r>
                      <w:r w:rsidR="006A6783">
                        <w:rPr>
                          <w:rFonts w:ascii="Cambria" w:hAnsi="Cambria"/>
                          <w:color w:val="595959" w:themeColor="text1" w:themeTint="A6"/>
                          <w:sz w:val="18"/>
                          <w:szCs w:val="18"/>
                          <w:lang w:val="es-VE"/>
                        </w:rPr>
                        <w:t>5</w:t>
                      </w:r>
                      <w:r w:rsidRPr="009D70A3">
                        <w:rPr>
                          <w:rFonts w:ascii="Cambria" w:hAnsi="Cambria"/>
                          <w:color w:val="595959" w:themeColor="text1" w:themeTint="A6"/>
                          <w:sz w:val="18"/>
                          <w:szCs w:val="18"/>
                          <w:lang w:val="es-VE"/>
                        </w:rPr>
                        <w:t xml:space="preserve"> de </w:t>
                      </w:r>
                      <w:r w:rsidR="006A6783">
                        <w:rPr>
                          <w:rFonts w:ascii="Cambria" w:hAnsi="Cambria"/>
                          <w:color w:val="595959" w:themeColor="text1" w:themeTint="A6"/>
                          <w:sz w:val="18"/>
                          <w:szCs w:val="18"/>
                          <w:lang w:val="es-VE"/>
                        </w:rPr>
                        <w:t>octubre de 2018</w:t>
                      </w:r>
                      <w:r w:rsidRPr="009D70A3">
                        <w:rPr>
                          <w:rFonts w:ascii="Cambria" w:hAnsi="Cambria"/>
                          <w:color w:val="595959" w:themeColor="text1" w:themeTint="A6"/>
                          <w:sz w:val="18"/>
                          <w:szCs w:val="18"/>
                          <w:lang w:val="es-VE"/>
                        </w:rPr>
                        <w:t>.</w:t>
                      </w:r>
                    </w:p>
                  </w:txbxContent>
                </v:textbox>
              </v:shape>
            </w:pict>
          </mc:Fallback>
        </mc:AlternateContent>
      </w:r>
    </w:p>
    <w:p w14:paraId="0D0EB329" w14:textId="77777777" w:rsidR="00610A15" w:rsidRPr="001E3078" w:rsidRDefault="00610A15" w:rsidP="00BA3CEA">
      <w:pPr>
        <w:tabs>
          <w:tab w:val="center" w:pos="5400"/>
        </w:tabs>
        <w:suppressAutoHyphens/>
        <w:jc w:val="center"/>
        <w:rPr>
          <w:rFonts w:ascii="Cambria" w:hAnsi="Cambria"/>
          <w:sz w:val="20"/>
          <w:szCs w:val="20"/>
          <w:lang w:val="es-ES_tradnl"/>
        </w:rPr>
      </w:pPr>
    </w:p>
    <w:p w14:paraId="07FBE6B8" w14:textId="77777777" w:rsidR="00610A15" w:rsidRPr="001E3078" w:rsidRDefault="00610A15" w:rsidP="00BA3CEA">
      <w:pPr>
        <w:tabs>
          <w:tab w:val="center" w:pos="5400"/>
        </w:tabs>
        <w:suppressAutoHyphens/>
        <w:jc w:val="center"/>
        <w:rPr>
          <w:rFonts w:ascii="Cambria" w:hAnsi="Cambria"/>
          <w:b/>
          <w:sz w:val="20"/>
          <w:szCs w:val="20"/>
          <w:lang w:val="es-ES_tradnl"/>
        </w:rPr>
      </w:pPr>
      <w:r w:rsidRPr="001E3078">
        <w:rPr>
          <w:rFonts w:ascii="Cambria" w:hAnsi="Cambria"/>
          <w:noProof/>
          <w:sz w:val="20"/>
          <w:szCs w:val="20"/>
        </w:rPr>
        <mc:AlternateContent>
          <mc:Choice Requires="wps">
            <w:drawing>
              <wp:anchor distT="0" distB="0" distL="114300" distR="114300" simplePos="0" relativeHeight="251665408" behindDoc="0" locked="0" layoutInCell="1" allowOverlap="1" wp14:anchorId="6D8C3977" wp14:editId="3785697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CBD78" w14:textId="77777777" w:rsidR="000D7A15" w:rsidRPr="00D72DC6" w:rsidRDefault="000D7A15"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7AC9055C" wp14:editId="0CDFA3D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3977"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65CBD78" w14:textId="77777777" w:rsidR="000D7A15" w:rsidRPr="00D72DC6" w:rsidRDefault="000D7A15"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7AC9055C" wp14:editId="0CDFA3D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E3078">
        <w:rPr>
          <w:rFonts w:ascii="Cambria" w:hAnsi="Cambria"/>
          <w:noProof/>
          <w:sz w:val="20"/>
          <w:szCs w:val="20"/>
        </w:rPr>
        <mc:AlternateContent>
          <mc:Choice Requires="wps">
            <w:drawing>
              <wp:anchor distT="0" distB="0" distL="114300" distR="114300" simplePos="0" relativeHeight="251666432" behindDoc="0" locked="0" layoutInCell="1" allowOverlap="1" wp14:anchorId="142BCEFA" wp14:editId="6FB0110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4F473" w14:textId="77777777" w:rsidR="000D7A15" w:rsidRPr="004B7EB6" w:rsidRDefault="000D7A15"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BCEFA"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D34F473" w14:textId="77777777" w:rsidR="000D7A15" w:rsidRPr="004B7EB6" w:rsidRDefault="000D7A15"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5CEC482" w14:textId="77777777" w:rsidR="00610A15" w:rsidRPr="001E3078" w:rsidRDefault="00610A15" w:rsidP="00BA3CEA">
      <w:pPr>
        <w:tabs>
          <w:tab w:val="center" w:pos="5400"/>
        </w:tabs>
        <w:suppressAutoHyphens/>
        <w:rPr>
          <w:rFonts w:ascii="Cambria" w:hAnsi="Cambria"/>
          <w:b/>
          <w:sz w:val="20"/>
          <w:szCs w:val="20"/>
          <w:lang w:val="es-ES_tradnl"/>
        </w:rPr>
        <w:sectPr w:rsidR="00610A15" w:rsidRPr="001E3078" w:rsidSect="00610A15">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p>
    <w:p w14:paraId="289CA736" w14:textId="77777777" w:rsidR="006F3BE6" w:rsidRDefault="006F3BE6" w:rsidP="00CA2FD8">
      <w:pPr>
        <w:tabs>
          <w:tab w:val="center" w:pos="5400"/>
        </w:tabs>
        <w:suppressAutoHyphens/>
        <w:jc w:val="center"/>
        <w:rPr>
          <w:rFonts w:ascii="Cambria" w:hAnsi="Cambria"/>
          <w:b/>
          <w:sz w:val="18"/>
          <w:szCs w:val="18"/>
          <w:lang w:val="es-ES_tradnl"/>
        </w:rPr>
      </w:pPr>
    </w:p>
    <w:p w14:paraId="48559AC0" w14:textId="4DAC2F42" w:rsidR="00610A15" w:rsidRPr="006F3BE6" w:rsidRDefault="006A6783" w:rsidP="00CA2FD8">
      <w:pPr>
        <w:tabs>
          <w:tab w:val="center" w:pos="5400"/>
        </w:tabs>
        <w:suppressAutoHyphens/>
        <w:jc w:val="center"/>
        <w:rPr>
          <w:rFonts w:ascii="Cambria" w:hAnsi="Cambria"/>
          <w:b/>
          <w:sz w:val="18"/>
          <w:szCs w:val="18"/>
          <w:lang w:val="es-ES_tradnl"/>
        </w:rPr>
      </w:pPr>
      <w:r w:rsidRPr="006F3BE6">
        <w:rPr>
          <w:rFonts w:ascii="Cambria" w:hAnsi="Cambria"/>
          <w:b/>
          <w:sz w:val="18"/>
          <w:szCs w:val="18"/>
          <w:lang w:val="es-ES_tradnl"/>
        </w:rPr>
        <w:t>INFORME No. 112</w:t>
      </w:r>
      <w:r w:rsidR="005B727C" w:rsidRPr="006F3BE6">
        <w:rPr>
          <w:rFonts w:ascii="Cambria" w:hAnsi="Cambria"/>
          <w:b/>
          <w:sz w:val="18"/>
          <w:szCs w:val="18"/>
          <w:lang w:val="es-ES_tradnl"/>
        </w:rPr>
        <w:t>/18</w:t>
      </w:r>
    </w:p>
    <w:p w14:paraId="171E8454" w14:textId="77777777" w:rsidR="00610A15" w:rsidRPr="006F3BE6" w:rsidRDefault="005B727C" w:rsidP="00CA2FD8">
      <w:pPr>
        <w:tabs>
          <w:tab w:val="center" w:pos="5400"/>
        </w:tabs>
        <w:suppressAutoHyphens/>
        <w:jc w:val="center"/>
        <w:rPr>
          <w:rFonts w:ascii="Cambria" w:hAnsi="Cambria"/>
          <w:b/>
          <w:sz w:val="18"/>
          <w:szCs w:val="18"/>
          <w:lang w:val="es-ES_tradnl"/>
        </w:rPr>
      </w:pPr>
      <w:r w:rsidRPr="006F3BE6">
        <w:rPr>
          <w:rFonts w:ascii="Cambria" w:hAnsi="Cambria"/>
          <w:b/>
          <w:sz w:val="18"/>
          <w:szCs w:val="18"/>
          <w:lang w:val="es-ES_tradnl"/>
        </w:rPr>
        <w:t>CASO 12.</w:t>
      </w:r>
      <w:r w:rsidR="009D70A3" w:rsidRPr="006F3BE6">
        <w:rPr>
          <w:rFonts w:ascii="Cambria" w:hAnsi="Cambria"/>
          <w:b/>
          <w:sz w:val="18"/>
          <w:szCs w:val="18"/>
          <w:lang w:val="es-ES_tradnl"/>
        </w:rPr>
        <w:t>9</w:t>
      </w:r>
      <w:r w:rsidRPr="006F3BE6">
        <w:rPr>
          <w:rFonts w:ascii="Cambria" w:hAnsi="Cambria"/>
          <w:b/>
          <w:sz w:val="18"/>
          <w:szCs w:val="18"/>
          <w:lang w:val="es-ES_tradnl"/>
        </w:rPr>
        <w:t>10</w:t>
      </w:r>
    </w:p>
    <w:p w14:paraId="08C7566C" w14:textId="77777777" w:rsidR="00610A15" w:rsidRPr="006F3BE6" w:rsidRDefault="00610A15" w:rsidP="00CA2FD8">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 xml:space="preserve">INFORME DE FONDO </w:t>
      </w:r>
    </w:p>
    <w:p w14:paraId="624B20C9" w14:textId="77777777" w:rsidR="00610A15" w:rsidRPr="006F3BE6" w:rsidRDefault="005B727C" w:rsidP="00CA2FD8">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CARLOS JULIO AGUINAGA AILLÓN</w:t>
      </w:r>
    </w:p>
    <w:p w14:paraId="773597A8" w14:textId="77777777" w:rsidR="00610A15" w:rsidRPr="006F3BE6" w:rsidRDefault="005B727C" w:rsidP="00CA2FD8">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ECUADOR</w:t>
      </w:r>
    </w:p>
    <w:p w14:paraId="5E0803A9" w14:textId="170B34EC" w:rsidR="00610A15" w:rsidRPr="006F3BE6" w:rsidRDefault="006A6783" w:rsidP="00CA2FD8">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5</w:t>
      </w:r>
      <w:r w:rsidR="00610A15" w:rsidRPr="006F3BE6">
        <w:rPr>
          <w:rFonts w:ascii="Cambria" w:hAnsi="Cambria"/>
          <w:sz w:val="18"/>
          <w:szCs w:val="18"/>
          <w:lang w:val="es-ES_tradnl"/>
        </w:rPr>
        <w:t xml:space="preserve"> DE </w:t>
      </w:r>
      <w:r w:rsidRPr="006F3BE6">
        <w:rPr>
          <w:rFonts w:ascii="Cambria" w:hAnsi="Cambria"/>
          <w:sz w:val="18"/>
          <w:szCs w:val="18"/>
          <w:lang w:val="es-ES_tradnl"/>
        </w:rPr>
        <w:t>OCTUBRE</w:t>
      </w:r>
      <w:r w:rsidR="00761A05" w:rsidRPr="006F3BE6">
        <w:rPr>
          <w:rFonts w:ascii="Cambria" w:hAnsi="Cambria"/>
          <w:sz w:val="18"/>
          <w:szCs w:val="18"/>
          <w:lang w:val="es-ES_tradnl"/>
        </w:rPr>
        <w:t xml:space="preserve"> </w:t>
      </w:r>
      <w:r w:rsidR="005B727C" w:rsidRPr="006F3BE6">
        <w:rPr>
          <w:rFonts w:ascii="Cambria" w:hAnsi="Cambria"/>
          <w:sz w:val="18"/>
          <w:szCs w:val="18"/>
          <w:lang w:val="es-ES_tradnl"/>
        </w:rPr>
        <w:t>DE 2018</w:t>
      </w:r>
    </w:p>
    <w:p w14:paraId="74815F81" w14:textId="77777777" w:rsidR="00610A15" w:rsidRPr="001E3078" w:rsidRDefault="00610A15" w:rsidP="00C807B7">
      <w:pPr>
        <w:tabs>
          <w:tab w:val="center" w:pos="5400"/>
        </w:tabs>
        <w:suppressAutoHyphens/>
        <w:rPr>
          <w:rFonts w:ascii="Cambria" w:hAnsi="Cambria"/>
          <w:sz w:val="20"/>
          <w:szCs w:val="20"/>
          <w:lang w:val="es-ES_tradnl"/>
        </w:rPr>
      </w:pPr>
    </w:p>
    <w:p w14:paraId="2239D465" w14:textId="77777777" w:rsidR="00610A15" w:rsidRPr="001E3078" w:rsidRDefault="00610A15" w:rsidP="00CA2FD8">
      <w:pPr>
        <w:tabs>
          <w:tab w:val="center" w:pos="5400"/>
        </w:tabs>
        <w:suppressAutoHyphens/>
        <w:jc w:val="center"/>
        <w:rPr>
          <w:rFonts w:ascii="Cambria" w:hAnsi="Cambria"/>
          <w:b/>
          <w:sz w:val="20"/>
          <w:szCs w:val="20"/>
          <w:lang w:val="es-ES_tradnl"/>
        </w:rPr>
      </w:pPr>
      <w:r w:rsidRPr="001E3078">
        <w:rPr>
          <w:rFonts w:ascii="Cambria" w:hAnsi="Cambria"/>
          <w:b/>
          <w:sz w:val="20"/>
          <w:szCs w:val="20"/>
          <w:lang w:val="es-ES_tradnl"/>
        </w:rPr>
        <w:t>ÍNDICE</w:t>
      </w:r>
    </w:p>
    <w:sdt>
      <w:sdtPr>
        <w:rPr>
          <w:rFonts w:ascii="Times New Roman" w:eastAsia="Arial Unicode MS" w:hAnsi="Times New Roman" w:cs="Times New Roman"/>
          <w:b w:val="0"/>
          <w:bCs w:val="0"/>
          <w:color w:val="auto"/>
          <w:sz w:val="24"/>
          <w:szCs w:val="24"/>
          <w:bdr w:val="nil"/>
          <w:lang w:eastAsia="en-US"/>
        </w:rPr>
        <w:id w:val="-2143880512"/>
        <w:docPartObj>
          <w:docPartGallery w:val="Table of Contents"/>
          <w:docPartUnique/>
        </w:docPartObj>
      </w:sdtPr>
      <w:sdtEndPr>
        <w:rPr>
          <w:noProof/>
        </w:rPr>
      </w:sdtEndPr>
      <w:sdtContent>
        <w:p w14:paraId="1F95FC56" w14:textId="77777777" w:rsidR="00217221" w:rsidRPr="005B727C" w:rsidRDefault="00217221" w:rsidP="00CA2FD8">
          <w:pPr>
            <w:pStyle w:val="TOCHeading"/>
            <w:spacing w:before="0" w:line="240" w:lineRule="auto"/>
            <w:rPr>
              <w:rFonts w:ascii="Cambria" w:hAnsi="Cambria"/>
              <w:b w:val="0"/>
              <w:sz w:val="20"/>
              <w:szCs w:val="20"/>
              <w:lang w:val="es-CO"/>
            </w:rPr>
          </w:pPr>
        </w:p>
        <w:p w14:paraId="352B1A12" w14:textId="51B2656B" w:rsidR="00C12DCE" w:rsidRPr="00C12DCE" w:rsidRDefault="00217221">
          <w:pPr>
            <w:pStyle w:val="TOC1"/>
            <w:rPr>
              <w:rFonts w:eastAsiaTheme="minorEastAsia" w:cstheme="minorBidi"/>
              <w:b w:val="0"/>
              <w:bCs w:val="0"/>
              <w:bdr w:val="none" w:sz="0" w:space="0" w:color="auto"/>
              <w:lang w:val="en-US"/>
            </w:rPr>
          </w:pPr>
          <w:r w:rsidRPr="001E3078">
            <w:fldChar w:fldCharType="begin"/>
          </w:r>
          <w:r w:rsidRPr="001E3078">
            <w:instrText xml:space="preserve"> TOC \o "1-3" \h \z \u </w:instrText>
          </w:r>
          <w:r w:rsidRPr="001E3078">
            <w:fldChar w:fldCharType="separate"/>
          </w:r>
          <w:hyperlink w:anchor="_Toc516681993" w:history="1">
            <w:r w:rsidR="00C12DCE" w:rsidRPr="00C12DCE">
              <w:rPr>
                <w:rStyle w:val="Hyperlink"/>
              </w:rPr>
              <w:t>I.</w:t>
            </w:r>
            <w:r w:rsidR="00C12DCE" w:rsidRPr="00C12DCE">
              <w:rPr>
                <w:rFonts w:eastAsiaTheme="minorEastAsia" w:cstheme="minorBidi"/>
                <w:b w:val="0"/>
                <w:bCs w:val="0"/>
                <w:bdr w:val="none" w:sz="0" w:space="0" w:color="auto"/>
                <w:lang w:val="en-US"/>
              </w:rPr>
              <w:tab/>
            </w:r>
            <w:r w:rsidR="00C12DCE" w:rsidRPr="00C12DCE">
              <w:rPr>
                <w:rStyle w:val="Hyperlink"/>
              </w:rPr>
              <w:t>RESUMEN</w:t>
            </w:r>
            <w:r w:rsidR="00C12DCE" w:rsidRPr="00C12DCE">
              <w:rPr>
                <w:webHidden/>
              </w:rPr>
              <w:tab/>
            </w:r>
            <w:r w:rsidR="00C12DCE" w:rsidRPr="00C12DCE">
              <w:rPr>
                <w:webHidden/>
              </w:rPr>
              <w:fldChar w:fldCharType="begin"/>
            </w:r>
            <w:r w:rsidR="00C12DCE" w:rsidRPr="00C12DCE">
              <w:rPr>
                <w:webHidden/>
              </w:rPr>
              <w:instrText xml:space="preserve"> PAGEREF _Toc516681993 \h </w:instrText>
            </w:r>
            <w:r w:rsidR="00C12DCE" w:rsidRPr="00C12DCE">
              <w:rPr>
                <w:webHidden/>
              </w:rPr>
            </w:r>
            <w:r w:rsidR="00C12DCE" w:rsidRPr="00C12DCE">
              <w:rPr>
                <w:webHidden/>
              </w:rPr>
              <w:fldChar w:fldCharType="separate"/>
            </w:r>
            <w:r w:rsidR="00D150B7">
              <w:rPr>
                <w:webHidden/>
              </w:rPr>
              <w:t>2</w:t>
            </w:r>
            <w:r w:rsidR="00C12DCE" w:rsidRPr="00C12DCE">
              <w:rPr>
                <w:webHidden/>
              </w:rPr>
              <w:fldChar w:fldCharType="end"/>
            </w:r>
          </w:hyperlink>
        </w:p>
        <w:p w14:paraId="5193F66F" w14:textId="2FD7A068" w:rsidR="00C12DCE" w:rsidRPr="00C12DCE" w:rsidRDefault="00D150B7">
          <w:pPr>
            <w:pStyle w:val="TOC1"/>
            <w:rPr>
              <w:rFonts w:eastAsiaTheme="minorEastAsia" w:cstheme="minorBidi"/>
              <w:b w:val="0"/>
              <w:bCs w:val="0"/>
              <w:bdr w:val="none" w:sz="0" w:space="0" w:color="auto"/>
              <w:lang w:val="en-US"/>
            </w:rPr>
          </w:pPr>
          <w:hyperlink w:anchor="_Toc516681994" w:history="1">
            <w:r w:rsidR="00C12DCE" w:rsidRPr="00C12DCE">
              <w:rPr>
                <w:rStyle w:val="Hyperlink"/>
              </w:rPr>
              <w:t>II.</w:t>
            </w:r>
            <w:r w:rsidR="00C12DCE" w:rsidRPr="00C12DCE">
              <w:rPr>
                <w:rFonts w:eastAsiaTheme="minorEastAsia" w:cstheme="minorBidi"/>
                <w:b w:val="0"/>
                <w:bCs w:val="0"/>
                <w:bdr w:val="none" w:sz="0" w:space="0" w:color="auto"/>
                <w:lang w:val="en-US"/>
              </w:rPr>
              <w:tab/>
            </w:r>
            <w:r w:rsidR="00C12DCE" w:rsidRPr="00C12DCE">
              <w:rPr>
                <w:rStyle w:val="Hyperlink"/>
              </w:rPr>
              <w:t>POSICIONES DE LAS PARTES</w:t>
            </w:r>
            <w:r w:rsidR="00C12DCE" w:rsidRPr="00C12DCE">
              <w:rPr>
                <w:webHidden/>
              </w:rPr>
              <w:tab/>
            </w:r>
            <w:r w:rsidR="00C12DCE" w:rsidRPr="00C12DCE">
              <w:rPr>
                <w:webHidden/>
              </w:rPr>
              <w:fldChar w:fldCharType="begin"/>
            </w:r>
            <w:r w:rsidR="00C12DCE" w:rsidRPr="00C12DCE">
              <w:rPr>
                <w:webHidden/>
              </w:rPr>
              <w:instrText xml:space="preserve"> PAGEREF _Toc516681994 \h </w:instrText>
            </w:r>
            <w:r w:rsidR="00C12DCE" w:rsidRPr="00C12DCE">
              <w:rPr>
                <w:webHidden/>
              </w:rPr>
            </w:r>
            <w:r w:rsidR="00C12DCE" w:rsidRPr="00C12DCE">
              <w:rPr>
                <w:webHidden/>
              </w:rPr>
              <w:fldChar w:fldCharType="separate"/>
            </w:r>
            <w:r>
              <w:rPr>
                <w:webHidden/>
              </w:rPr>
              <w:t>2</w:t>
            </w:r>
            <w:r w:rsidR="00C12DCE" w:rsidRPr="00C12DCE">
              <w:rPr>
                <w:webHidden/>
              </w:rPr>
              <w:fldChar w:fldCharType="end"/>
            </w:r>
          </w:hyperlink>
        </w:p>
        <w:p w14:paraId="3461EE9F" w14:textId="4A746591" w:rsidR="00C12DCE" w:rsidRPr="00C12DCE" w:rsidRDefault="00D150B7">
          <w:pPr>
            <w:pStyle w:val="TOC2"/>
            <w:rPr>
              <w:rFonts w:eastAsiaTheme="minorEastAsia" w:cstheme="minorBidi"/>
              <w:bdr w:val="none" w:sz="0" w:space="0" w:color="auto"/>
              <w:lang w:val="en-US" w:eastAsia="en-US"/>
            </w:rPr>
          </w:pPr>
          <w:hyperlink w:anchor="_Toc516681995" w:history="1">
            <w:r w:rsidR="00C12DCE" w:rsidRPr="00C12DCE">
              <w:rPr>
                <w:rStyle w:val="Hyperlink"/>
                <w:lang w:val="es-CO"/>
              </w:rPr>
              <w:t>A.</w:t>
            </w:r>
            <w:r w:rsidR="00C12DCE" w:rsidRPr="00C12DCE">
              <w:rPr>
                <w:rFonts w:eastAsiaTheme="minorEastAsia" w:cstheme="minorBidi"/>
                <w:bdr w:val="none" w:sz="0" w:space="0" w:color="auto"/>
                <w:lang w:val="en-US" w:eastAsia="en-US"/>
              </w:rPr>
              <w:tab/>
            </w:r>
            <w:r w:rsidR="00C12DCE" w:rsidRPr="00C12DCE">
              <w:rPr>
                <w:rStyle w:val="Hyperlink"/>
                <w:lang w:val="es-VE"/>
              </w:rPr>
              <w:t>Parte peticionaria</w:t>
            </w:r>
            <w:r w:rsidR="00C12DCE" w:rsidRPr="00C12DCE">
              <w:rPr>
                <w:webHidden/>
              </w:rPr>
              <w:tab/>
            </w:r>
            <w:r w:rsidR="00C12DCE" w:rsidRPr="00C12DCE">
              <w:rPr>
                <w:webHidden/>
              </w:rPr>
              <w:fldChar w:fldCharType="begin"/>
            </w:r>
            <w:r w:rsidR="00C12DCE" w:rsidRPr="00C12DCE">
              <w:rPr>
                <w:webHidden/>
              </w:rPr>
              <w:instrText xml:space="preserve"> PAGEREF _Toc516681995 \h </w:instrText>
            </w:r>
            <w:r w:rsidR="00C12DCE" w:rsidRPr="00C12DCE">
              <w:rPr>
                <w:webHidden/>
              </w:rPr>
            </w:r>
            <w:r w:rsidR="00C12DCE" w:rsidRPr="00C12DCE">
              <w:rPr>
                <w:webHidden/>
              </w:rPr>
              <w:fldChar w:fldCharType="separate"/>
            </w:r>
            <w:r>
              <w:rPr>
                <w:webHidden/>
              </w:rPr>
              <w:t>2</w:t>
            </w:r>
            <w:r w:rsidR="00C12DCE" w:rsidRPr="00C12DCE">
              <w:rPr>
                <w:webHidden/>
              </w:rPr>
              <w:fldChar w:fldCharType="end"/>
            </w:r>
          </w:hyperlink>
        </w:p>
        <w:p w14:paraId="2C0C0BA0" w14:textId="5A5FCACF" w:rsidR="00C12DCE" w:rsidRPr="00C12DCE" w:rsidRDefault="00D150B7">
          <w:pPr>
            <w:pStyle w:val="TOC2"/>
            <w:rPr>
              <w:rFonts w:eastAsiaTheme="minorEastAsia" w:cstheme="minorBidi"/>
              <w:bdr w:val="none" w:sz="0" w:space="0" w:color="auto"/>
              <w:lang w:val="en-US" w:eastAsia="en-US"/>
            </w:rPr>
          </w:pPr>
          <w:hyperlink w:anchor="_Toc516681996" w:history="1">
            <w:r w:rsidR="00C12DCE" w:rsidRPr="00C12DCE">
              <w:rPr>
                <w:rStyle w:val="Hyperlink"/>
              </w:rPr>
              <w:t>B.</w:t>
            </w:r>
            <w:r w:rsidR="00C12DCE" w:rsidRPr="00C12DCE">
              <w:rPr>
                <w:rFonts w:eastAsiaTheme="minorEastAsia" w:cstheme="minorBidi"/>
                <w:bdr w:val="none" w:sz="0" w:space="0" w:color="auto"/>
                <w:lang w:val="en-US" w:eastAsia="en-US"/>
              </w:rPr>
              <w:tab/>
            </w:r>
            <w:r w:rsidR="00C12DCE" w:rsidRPr="00C12DCE">
              <w:rPr>
                <w:rStyle w:val="Hyperlink"/>
              </w:rPr>
              <w:t>Posición del Estado</w:t>
            </w:r>
            <w:r w:rsidR="00C12DCE" w:rsidRPr="00C12DCE">
              <w:rPr>
                <w:webHidden/>
              </w:rPr>
              <w:tab/>
            </w:r>
            <w:r w:rsidR="00C12DCE" w:rsidRPr="00C12DCE">
              <w:rPr>
                <w:webHidden/>
              </w:rPr>
              <w:fldChar w:fldCharType="begin"/>
            </w:r>
            <w:r w:rsidR="00C12DCE" w:rsidRPr="00C12DCE">
              <w:rPr>
                <w:webHidden/>
              </w:rPr>
              <w:instrText xml:space="preserve"> PAGEREF _Toc516681996 \h </w:instrText>
            </w:r>
            <w:r w:rsidR="00C12DCE" w:rsidRPr="00C12DCE">
              <w:rPr>
                <w:webHidden/>
              </w:rPr>
            </w:r>
            <w:r w:rsidR="00C12DCE" w:rsidRPr="00C12DCE">
              <w:rPr>
                <w:webHidden/>
              </w:rPr>
              <w:fldChar w:fldCharType="separate"/>
            </w:r>
            <w:r>
              <w:rPr>
                <w:webHidden/>
              </w:rPr>
              <w:t>4</w:t>
            </w:r>
            <w:r w:rsidR="00C12DCE" w:rsidRPr="00C12DCE">
              <w:rPr>
                <w:webHidden/>
              </w:rPr>
              <w:fldChar w:fldCharType="end"/>
            </w:r>
          </w:hyperlink>
        </w:p>
        <w:p w14:paraId="6526C600" w14:textId="63ABC90F" w:rsidR="00C12DCE" w:rsidRPr="00C12DCE" w:rsidRDefault="00D150B7">
          <w:pPr>
            <w:pStyle w:val="TOC1"/>
            <w:rPr>
              <w:rFonts w:eastAsiaTheme="minorEastAsia" w:cstheme="minorBidi"/>
              <w:b w:val="0"/>
              <w:bCs w:val="0"/>
              <w:bdr w:val="none" w:sz="0" w:space="0" w:color="auto"/>
              <w:lang w:val="en-US"/>
            </w:rPr>
          </w:pPr>
          <w:hyperlink w:anchor="_Toc516681997" w:history="1">
            <w:r w:rsidR="00C12DCE" w:rsidRPr="00C12DCE">
              <w:rPr>
                <w:rStyle w:val="Hyperlink"/>
              </w:rPr>
              <w:t>III.</w:t>
            </w:r>
            <w:r w:rsidR="00C12DCE" w:rsidRPr="00C12DCE">
              <w:rPr>
                <w:rFonts w:eastAsiaTheme="minorEastAsia" w:cstheme="minorBidi"/>
                <w:b w:val="0"/>
                <w:bCs w:val="0"/>
                <w:bdr w:val="none" w:sz="0" w:space="0" w:color="auto"/>
                <w:lang w:val="en-US"/>
              </w:rPr>
              <w:tab/>
            </w:r>
            <w:r w:rsidR="00C12DCE" w:rsidRPr="00C12DCE">
              <w:rPr>
                <w:rStyle w:val="Hyperlink"/>
              </w:rPr>
              <w:t>DETERMINACIONES DE HECHO</w:t>
            </w:r>
            <w:r w:rsidR="00C12DCE" w:rsidRPr="00C12DCE">
              <w:rPr>
                <w:webHidden/>
              </w:rPr>
              <w:tab/>
            </w:r>
            <w:r w:rsidR="00C12DCE" w:rsidRPr="00C12DCE">
              <w:rPr>
                <w:webHidden/>
              </w:rPr>
              <w:fldChar w:fldCharType="begin"/>
            </w:r>
            <w:r w:rsidR="00C12DCE" w:rsidRPr="00C12DCE">
              <w:rPr>
                <w:webHidden/>
              </w:rPr>
              <w:instrText xml:space="preserve"> PAGEREF _Toc516681997 \h </w:instrText>
            </w:r>
            <w:r w:rsidR="00C12DCE" w:rsidRPr="00C12DCE">
              <w:rPr>
                <w:webHidden/>
              </w:rPr>
            </w:r>
            <w:r w:rsidR="00C12DCE" w:rsidRPr="00C12DCE">
              <w:rPr>
                <w:webHidden/>
              </w:rPr>
              <w:fldChar w:fldCharType="separate"/>
            </w:r>
            <w:r>
              <w:rPr>
                <w:webHidden/>
              </w:rPr>
              <w:t>5</w:t>
            </w:r>
            <w:r w:rsidR="00C12DCE" w:rsidRPr="00C12DCE">
              <w:rPr>
                <w:webHidden/>
              </w:rPr>
              <w:fldChar w:fldCharType="end"/>
            </w:r>
          </w:hyperlink>
        </w:p>
        <w:p w14:paraId="1B86D5C7" w14:textId="39DA8B31" w:rsidR="00C12DCE" w:rsidRPr="00C12DCE" w:rsidRDefault="00D150B7">
          <w:pPr>
            <w:pStyle w:val="TOC2"/>
            <w:rPr>
              <w:rFonts w:eastAsiaTheme="minorEastAsia" w:cstheme="minorBidi"/>
              <w:bdr w:val="none" w:sz="0" w:space="0" w:color="auto"/>
              <w:lang w:val="en-US" w:eastAsia="en-US"/>
            </w:rPr>
          </w:pPr>
          <w:hyperlink w:anchor="_Toc516681998" w:history="1">
            <w:r w:rsidR="00C12DCE" w:rsidRPr="00C12DCE">
              <w:rPr>
                <w:rStyle w:val="Hyperlink"/>
                <w:lang w:val="es-VE"/>
              </w:rPr>
              <w:t>A.</w:t>
            </w:r>
            <w:r w:rsidR="00C12DCE" w:rsidRPr="00C12DCE">
              <w:rPr>
                <w:rFonts w:eastAsiaTheme="minorEastAsia" w:cstheme="minorBidi"/>
                <w:bdr w:val="none" w:sz="0" w:space="0" w:color="auto"/>
                <w:lang w:val="en-US" w:eastAsia="en-US"/>
              </w:rPr>
              <w:tab/>
            </w:r>
            <w:r w:rsidR="00C12DCE" w:rsidRPr="00C12DCE">
              <w:rPr>
                <w:rStyle w:val="Hyperlink"/>
                <w:lang w:val="es-VE"/>
              </w:rPr>
              <w:t>Contexto</w:t>
            </w:r>
            <w:r w:rsidR="00C12DCE" w:rsidRPr="00C12DCE">
              <w:rPr>
                <w:webHidden/>
              </w:rPr>
              <w:tab/>
            </w:r>
            <w:r w:rsidR="00C12DCE" w:rsidRPr="00C12DCE">
              <w:rPr>
                <w:webHidden/>
              </w:rPr>
              <w:fldChar w:fldCharType="begin"/>
            </w:r>
            <w:r w:rsidR="00C12DCE" w:rsidRPr="00C12DCE">
              <w:rPr>
                <w:webHidden/>
              </w:rPr>
              <w:instrText xml:space="preserve"> PAGEREF _Toc516681998 \h </w:instrText>
            </w:r>
            <w:r w:rsidR="00C12DCE" w:rsidRPr="00C12DCE">
              <w:rPr>
                <w:webHidden/>
              </w:rPr>
            </w:r>
            <w:r w:rsidR="00C12DCE" w:rsidRPr="00C12DCE">
              <w:rPr>
                <w:webHidden/>
              </w:rPr>
              <w:fldChar w:fldCharType="separate"/>
            </w:r>
            <w:r>
              <w:rPr>
                <w:webHidden/>
              </w:rPr>
              <w:t>5</w:t>
            </w:r>
            <w:r w:rsidR="00C12DCE" w:rsidRPr="00C12DCE">
              <w:rPr>
                <w:webHidden/>
              </w:rPr>
              <w:fldChar w:fldCharType="end"/>
            </w:r>
          </w:hyperlink>
        </w:p>
        <w:p w14:paraId="1EC3FCBA" w14:textId="6C16C851" w:rsidR="00C12DCE" w:rsidRPr="00C12DCE" w:rsidRDefault="00D150B7">
          <w:pPr>
            <w:pStyle w:val="TOC2"/>
            <w:rPr>
              <w:rFonts w:eastAsiaTheme="minorEastAsia" w:cstheme="minorBidi"/>
              <w:bdr w:val="none" w:sz="0" w:space="0" w:color="auto"/>
              <w:lang w:val="en-US" w:eastAsia="en-US"/>
            </w:rPr>
          </w:pPr>
          <w:hyperlink w:anchor="_Toc516681999" w:history="1">
            <w:r w:rsidR="00C12DCE" w:rsidRPr="00C12DCE">
              <w:rPr>
                <w:rStyle w:val="Hyperlink"/>
                <w:lang w:val="es-VE"/>
              </w:rPr>
              <w:t>B.</w:t>
            </w:r>
            <w:r w:rsidR="00C12DCE" w:rsidRPr="00C12DCE">
              <w:rPr>
                <w:rFonts w:eastAsiaTheme="minorEastAsia" w:cstheme="minorBidi"/>
                <w:bdr w:val="none" w:sz="0" w:space="0" w:color="auto"/>
                <w:lang w:val="en-US" w:eastAsia="en-US"/>
              </w:rPr>
              <w:tab/>
            </w:r>
            <w:r w:rsidR="00C12DCE" w:rsidRPr="00C12DCE">
              <w:rPr>
                <w:rStyle w:val="Hyperlink"/>
                <w:lang w:val="es-VE"/>
              </w:rPr>
              <w:t>Marco normativo relevante</w:t>
            </w:r>
            <w:r w:rsidR="00C12DCE" w:rsidRPr="00C12DCE">
              <w:rPr>
                <w:webHidden/>
              </w:rPr>
              <w:tab/>
            </w:r>
            <w:r w:rsidR="00C12DCE" w:rsidRPr="00C12DCE">
              <w:rPr>
                <w:webHidden/>
              </w:rPr>
              <w:fldChar w:fldCharType="begin"/>
            </w:r>
            <w:r w:rsidR="00C12DCE" w:rsidRPr="00C12DCE">
              <w:rPr>
                <w:webHidden/>
              </w:rPr>
              <w:instrText xml:space="preserve"> PAGEREF _Toc516681999 \h </w:instrText>
            </w:r>
            <w:r w:rsidR="00C12DCE" w:rsidRPr="00C12DCE">
              <w:rPr>
                <w:webHidden/>
              </w:rPr>
            </w:r>
            <w:r w:rsidR="00C12DCE" w:rsidRPr="00C12DCE">
              <w:rPr>
                <w:webHidden/>
              </w:rPr>
              <w:fldChar w:fldCharType="separate"/>
            </w:r>
            <w:r>
              <w:rPr>
                <w:webHidden/>
              </w:rPr>
              <w:t>6</w:t>
            </w:r>
            <w:r w:rsidR="00C12DCE" w:rsidRPr="00C12DCE">
              <w:rPr>
                <w:webHidden/>
              </w:rPr>
              <w:fldChar w:fldCharType="end"/>
            </w:r>
          </w:hyperlink>
        </w:p>
        <w:p w14:paraId="5FC31F58" w14:textId="11AE2328" w:rsidR="00C12DCE" w:rsidRPr="00C12DCE" w:rsidRDefault="00D150B7">
          <w:pPr>
            <w:pStyle w:val="TOC2"/>
            <w:rPr>
              <w:rFonts w:eastAsiaTheme="minorEastAsia" w:cstheme="minorBidi"/>
              <w:bdr w:val="none" w:sz="0" w:space="0" w:color="auto"/>
              <w:lang w:val="en-US" w:eastAsia="en-US"/>
            </w:rPr>
          </w:pPr>
          <w:hyperlink w:anchor="_Toc516682000" w:history="1">
            <w:r w:rsidR="00C12DCE" w:rsidRPr="00C12DCE">
              <w:rPr>
                <w:rStyle w:val="Hyperlink"/>
                <w:lang w:val="es-VE"/>
              </w:rPr>
              <w:t>C.</w:t>
            </w:r>
            <w:r w:rsidR="00C12DCE" w:rsidRPr="00C12DCE">
              <w:rPr>
                <w:rFonts w:eastAsiaTheme="minorEastAsia" w:cstheme="minorBidi"/>
                <w:bdr w:val="none" w:sz="0" w:space="0" w:color="auto"/>
                <w:lang w:val="en-US" w:eastAsia="en-US"/>
              </w:rPr>
              <w:tab/>
            </w:r>
            <w:r w:rsidR="00C12DCE" w:rsidRPr="00C12DCE">
              <w:rPr>
                <w:rStyle w:val="Hyperlink"/>
                <w:lang w:val="es-VE"/>
              </w:rPr>
              <w:t>Proceso de nombramiento  de la presunta víctima en el Tribunal Supremo Electoral</w:t>
            </w:r>
            <w:r w:rsidR="00C12DCE" w:rsidRPr="00C12DCE">
              <w:rPr>
                <w:webHidden/>
              </w:rPr>
              <w:tab/>
            </w:r>
            <w:r w:rsidR="00C12DCE" w:rsidRPr="00C12DCE">
              <w:rPr>
                <w:webHidden/>
              </w:rPr>
              <w:fldChar w:fldCharType="begin"/>
            </w:r>
            <w:r w:rsidR="00C12DCE" w:rsidRPr="00C12DCE">
              <w:rPr>
                <w:webHidden/>
              </w:rPr>
              <w:instrText xml:space="preserve"> PAGEREF _Toc516682000 \h </w:instrText>
            </w:r>
            <w:r w:rsidR="00C12DCE" w:rsidRPr="00C12DCE">
              <w:rPr>
                <w:webHidden/>
              </w:rPr>
            </w:r>
            <w:r w:rsidR="00C12DCE" w:rsidRPr="00C12DCE">
              <w:rPr>
                <w:webHidden/>
              </w:rPr>
              <w:fldChar w:fldCharType="separate"/>
            </w:r>
            <w:r>
              <w:rPr>
                <w:webHidden/>
              </w:rPr>
              <w:t>7</w:t>
            </w:r>
            <w:r w:rsidR="00C12DCE" w:rsidRPr="00C12DCE">
              <w:rPr>
                <w:webHidden/>
              </w:rPr>
              <w:fldChar w:fldCharType="end"/>
            </w:r>
          </w:hyperlink>
        </w:p>
        <w:p w14:paraId="5B966083" w14:textId="497A795E" w:rsidR="00C12DCE" w:rsidRPr="00C12DCE" w:rsidRDefault="00D150B7">
          <w:pPr>
            <w:pStyle w:val="TOC2"/>
            <w:rPr>
              <w:rFonts w:eastAsiaTheme="minorEastAsia" w:cstheme="minorBidi"/>
              <w:bdr w:val="none" w:sz="0" w:space="0" w:color="auto"/>
              <w:lang w:val="en-US" w:eastAsia="en-US"/>
            </w:rPr>
          </w:pPr>
          <w:hyperlink w:anchor="_Toc516682001" w:history="1">
            <w:r w:rsidR="00C12DCE" w:rsidRPr="00C12DCE">
              <w:rPr>
                <w:rStyle w:val="Hyperlink"/>
                <w:lang w:val="es-VE"/>
              </w:rPr>
              <w:t>D.</w:t>
            </w:r>
            <w:r w:rsidR="00C12DCE" w:rsidRPr="00C12DCE">
              <w:rPr>
                <w:rFonts w:eastAsiaTheme="minorEastAsia" w:cstheme="minorBidi"/>
                <w:bdr w:val="none" w:sz="0" w:space="0" w:color="auto"/>
                <w:lang w:val="en-US" w:eastAsia="en-US"/>
              </w:rPr>
              <w:tab/>
            </w:r>
            <w:r w:rsidR="00C12DCE" w:rsidRPr="00C12DCE">
              <w:rPr>
                <w:rStyle w:val="Hyperlink"/>
                <w:lang w:val="es-VE"/>
              </w:rPr>
              <w:t>Cese del Tribunal Supremo Electoral</w:t>
            </w:r>
            <w:r w:rsidR="00C12DCE" w:rsidRPr="00C12DCE">
              <w:rPr>
                <w:webHidden/>
              </w:rPr>
              <w:tab/>
            </w:r>
            <w:r w:rsidR="00C12DCE" w:rsidRPr="00C12DCE">
              <w:rPr>
                <w:webHidden/>
              </w:rPr>
              <w:fldChar w:fldCharType="begin"/>
            </w:r>
            <w:r w:rsidR="00C12DCE" w:rsidRPr="00C12DCE">
              <w:rPr>
                <w:webHidden/>
              </w:rPr>
              <w:instrText xml:space="preserve"> PAGEREF _Toc516682001 \h </w:instrText>
            </w:r>
            <w:r w:rsidR="00C12DCE" w:rsidRPr="00C12DCE">
              <w:rPr>
                <w:webHidden/>
              </w:rPr>
            </w:r>
            <w:r w:rsidR="00C12DCE" w:rsidRPr="00C12DCE">
              <w:rPr>
                <w:webHidden/>
              </w:rPr>
              <w:fldChar w:fldCharType="separate"/>
            </w:r>
            <w:r>
              <w:rPr>
                <w:webHidden/>
              </w:rPr>
              <w:t>8</w:t>
            </w:r>
            <w:r w:rsidR="00C12DCE" w:rsidRPr="00C12DCE">
              <w:rPr>
                <w:webHidden/>
              </w:rPr>
              <w:fldChar w:fldCharType="end"/>
            </w:r>
          </w:hyperlink>
        </w:p>
        <w:p w14:paraId="330170DC" w14:textId="5763AA8A" w:rsidR="00C12DCE" w:rsidRPr="00C12DCE" w:rsidRDefault="00D150B7">
          <w:pPr>
            <w:pStyle w:val="TOC1"/>
            <w:rPr>
              <w:rFonts w:eastAsiaTheme="minorEastAsia" w:cstheme="minorBidi"/>
              <w:b w:val="0"/>
              <w:bCs w:val="0"/>
              <w:bdr w:val="none" w:sz="0" w:space="0" w:color="auto"/>
              <w:lang w:val="en-US"/>
            </w:rPr>
          </w:pPr>
          <w:hyperlink w:anchor="_Toc516682002" w:history="1">
            <w:r w:rsidR="00C12DCE" w:rsidRPr="00C12DCE">
              <w:rPr>
                <w:rStyle w:val="Hyperlink"/>
              </w:rPr>
              <w:t>IV.</w:t>
            </w:r>
            <w:r w:rsidR="00C12DCE" w:rsidRPr="00C12DCE">
              <w:rPr>
                <w:rFonts w:eastAsiaTheme="minorEastAsia" w:cstheme="minorBidi"/>
                <w:b w:val="0"/>
                <w:bCs w:val="0"/>
                <w:bdr w:val="none" w:sz="0" w:space="0" w:color="auto"/>
                <w:lang w:val="en-US"/>
              </w:rPr>
              <w:tab/>
            </w:r>
            <w:r w:rsidR="00C12DCE" w:rsidRPr="00C12DCE">
              <w:rPr>
                <w:rStyle w:val="Hyperlink"/>
              </w:rPr>
              <w:t>ANALISIS DE DERECHO</w:t>
            </w:r>
            <w:r w:rsidR="00C12DCE" w:rsidRPr="00C12DCE">
              <w:rPr>
                <w:webHidden/>
              </w:rPr>
              <w:tab/>
            </w:r>
            <w:r w:rsidR="00C12DCE" w:rsidRPr="00C12DCE">
              <w:rPr>
                <w:webHidden/>
              </w:rPr>
              <w:fldChar w:fldCharType="begin"/>
            </w:r>
            <w:r w:rsidR="00C12DCE" w:rsidRPr="00C12DCE">
              <w:rPr>
                <w:webHidden/>
              </w:rPr>
              <w:instrText xml:space="preserve"> PAGEREF _Toc516682002 \h </w:instrText>
            </w:r>
            <w:r w:rsidR="00C12DCE" w:rsidRPr="00C12DCE">
              <w:rPr>
                <w:webHidden/>
              </w:rPr>
            </w:r>
            <w:r w:rsidR="00C12DCE" w:rsidRPr="00C12DCE">
              <w:rPr>
                <w:webHidden/>
              </w:rPr>
              <w:fldChar w:fldCharType="separate"/>
            </w:r>
            <w:r>
              <w:rPr>
                <w:webHidden/>
              </w:rPr>
              <w:t>9</w:t>
            </w:r>
            <w:r w:rsidR="00C12DCE" w:rsidRPr="00C12DCE">
              <w:rPr>
                <w:webHidden/>
              </w:rPr>
              <w:fldChar w:fldCharType="end"/>
            </w:r>
          </w:hyperlink>
        </w:p>
        <w:p w14:paraId="595377A5" w14:textId="77077451" w:rsidR="00C12DCE" w:rsidRPr="00C12DCE" w:rsidRDefault="00D150B7">
          <w:pPr>
            <w:pStyle w:val="TOC2"/>
            <w:rPr>
              <w:rFonts w:eastAsiaTheme="minorEastAsia" w:cstheme="minorBidi"/>
              <w:bdr w:val="none" w:sz="0" w:space="0" w:color="auto"/>
              <w:lang w:val="en-US" w:eastAsia="en-US"/>
            </w:rPr>
          </w:pPr>
          <w:hyperlink w:anchor="_Toc516682003" w:history="1">
            <w:r w:rsidR="00C12DCE" w:rsidRPr="00C12DCE">
              <w:rPr>
                <w:rStyle w:val="Hyperlink"/>
              </w:rPr>
              <w:t>A.</w:t>
            </w:r>
            <w:r w:rsidR="00C12DCE" w:rsidRPr="00C12DCE">
              <w:rPr>
                <w:rFonts w:eastAsiaTheme="minorEastAsia" w:cstheme="minorBidi"/>
                <w:bdr w:val="none" w:sz="0" w:space="0" w:color="auto"/>
                <w:lang w:val="en-US" w:eastAsia="en-US"/>
              </w:rPr>
              <w:tab/>
            </w:r>
            <w:r w:rsidR="00C12DCE" w:rsidRPr="00C12DCE">
              <w:rPr>
                <w:rStyle w:val="Hyperlink"/>
              </w:rPr>
              <w:t>Cuestión previa</w:t>
            </w:r>
            <w:r w:rsidR="00C12DCE" w:rsidRPr="00C12DCE">
              <w:rPr>
                <w:webHidden/>
              </w:rPr>
              <w:tab/>
            </w:r>
            <w:r w:rsidR="00C12DCE" w:rsidRPr="00C12DCE">
              <w:rPr>
                <w:webHidden/>
              </w:rPr>
              <w:fldChar w:fldCharType="begin"/>
            </w:r>
            <w:r w:rsidR="00C12DCE" w:rsidRPr="00C12DCE">
              <w:rPr>
                <w:webHidden/>
              </w:rPr>
              <w:instrText xml:space="preserve"> PAGEREF _Toc516682003 \h </w:instrText>
            </w:r>
            <w:r w:rsidR="00C12DCE" w:rsidRPr="00C12DCE">
              <w:rPr>
                <w:webHidden/>
              </w:rPr>
            </w:r>
            <w:r w:rsidR="00C12DCE" w:rsidRPr="00C12DCE">
              <w:rPr>
                <w:webHidden/>
              </w:rPr>
              <w:fldChar w:fldCharType="separate"/>
            </w:r>
            <w:r>
              <w:rPr>
                <w:webHidden/>
              </w:rPr>
              <w:t>9</w:t>
            </w:r>
            <w:r w:rsidR="00C12DCE" w:rsidRPr="00C12DCE">
              <w:rPr>
                <w:webHidden/>
              </w:rPr>
              <w:fldChar w:fldCharType="end"/>
            </w:r>
          </w:hyperlink>
        </w:p>
        <w:p w14:paraId="7221D8F8" w14:textId="2FA640DC" w:rsidR="00C12DCE" w:rsidRPr="00C12DCE" w:rsidRDefault="00D150B7">
          <w:pPr>
            <w:pStyle w:val="TOC3"/>
            <w:tabs>
              <w:tab w:val="left" w:pos="2160"/>
            </w:tabs>
            <w:rPr>
              <w:rFonts w:ascii="Cambria" w:eastAsiaTheme="minorEastAsia" w:hAnsi="Cambria" w:cstheme="minorBidi"/>
              <w:noProof/>
              <w:sz w:val="20"/>
              <w:szCs w:val="20"/>
              <w:bdr w:val="none" w:sz="0" w:space="0" w:color="auto"/>
            </w:rPr>
          </w:pPr>
          <w:hyperlink w:anchor="_Toc516682004" w:history="1">
            <w:r w:rsidR="00C12DCE" w:rsidRPr="00C12DCE">
              <w:rPr>
                <w:rStyle w:val="Hyperlink"/>
                <w:rFonts w:ascii="Cambria" w:hAnsi="Cambria"/>
                <w:noProof/>
                <w:sz w:val="20"/>
                <w:szCs w:val="20"/>
                <w:lang w:val="es-ES_tradnl"/>
              </w:rPr>
              <w:t>1.</w:t>
            </w:r>
            <w:r w:rsidR="00C12DCE" w:rsidRPr="00C12DCE">
              <w:rPr>
                <w:rFonts w:ascii="Cambria" w:eastAsiaTheme="minorEastAsia" w:hAnsi="Cambria" w:cstheme="minorBidi"/>
                <w:noProof/>
                <w:sz w:val="20"/>
                <w:szCs w:val="20"/>
                <w:bdr w:val="none" w:sz="0" w:space="0" w:color="auto"/>
              </w:rPr>
              <w:tab/>
            </w:r>
            <w:r w:rsidR="00C12DCE" w:rsidRPr="00C12DCE">
              <w:rPr>
                <w:rStyle w:val="Hyperlink"/>
                <w:rFonts w:ascii="Cambria" w:hAnsi="Cambria"/>
                <w:noProof/>
                <w:sz w:val="20"/>
                <w:szCs w:val="20"/>
                <w:lang w:val="es-ES_tradnl"/>
              </w:rPr>
              <w:t>Consideraciones generales sobre las garantías aplicables y el principio de independencia judicial</w:t>
            </w:r>
            <w:r w:rsidR="00C12DCE" w:rsidRPr="00C12DCE">
              <w:rPr>
                <w:rFonts w:ascii="Cambria" w:hAnsi="Cambria"/>
                <w:noProof/>
                <w:webHidden/>
                <w:sz w:val="20"/>
                <w:szCs w:val="20"/>
              </w:rPr>
              <w:tab/>
            </w:r>
            <w:r w:rsidR="00C12DCE" w:rsidRPr="00C12DCE">
              <w:rPr>
                <w:rFonts w:ascii="Cambria" w:hAnsi="Cambria"/>
                <w:noProof/>
                <w:webHidden/>
                <w:sz w:val="20"/>
                <w:szCs w:val="20"/>
              </w:rPr>
              <w:fldChar w:fldCharType="begin"/>
            </w:r>
            <w:r w:rsidR="00C12DCE" w:rsidRPr="00C12DCE">
              <w:rPr>
                <w:rFonts w:ascii="Cambria" w:hAnsi="Cambria"/>
                <w:noProof/>
                <w:webHidden/>
                <w:sz w:val="20"/>
                <w:szCs w:val="20"/>
              </w:rPr>
              <w:instrText xml:space="preserve"> PAGEREF _Toc516682004 \h </w:instrText>
            </w:r>
            <w:r w:rsidR="00C12DCE" w:rsidRPr="00C12DCE">
              <w:rPr>
                <w:rFonts w:ascii="Cambria" w:hAnsi="Cambria"/>
                <w:noProof/>
                <w:webHidden/>
                <w:sz w:val="20"/>
                <w:szCs w:val="20"/>
              </w:rPr>
            </w:r>
            <w:r w:rsidR="00C12DCE" w:rsidRPr="00C12DCE">
              <w:rPr>
                <w:rFonts w:ascii="Cambria" w:hAnsi="Cambria"/>
                <w:noProof/>
                <w:webHidden/>
                <w:sz w:val="20"/>
                <w:szCs w:val="20"/>
              </w:rPr>
              <w:fldChar w:fldCharType="separate"/>
            </w:r>
            <w:r>
              <w:rPr>
                <w:rFonts w:ascii="Cambria" w:hAnsi="Cambria"/>
                <w:noProof/>
                <w:webHidden/>
                <w:sz w:val="20"/>
                <w:szCs w:val="20"/>
              </w:rPr>
              <w:t>10</w:t>
            </w:r>
            <w:r w:rsidR="00C12DCE" w:rsidRPr="00C12DCE">
              <w:rPr>
                <w:rFonts w:ascii="Cambria" w:hAnsi="Cambria"/>
                <w:noProof/>
                <w:webHidden/>
                <w:sz w:val="20"/>
                <w:szCs w:val="20"/>
              </w:rPr>
              <w:fldChar w:fldCharType="end"/>
            </w:r>
          </w:hyperlink>
        </w:p>
        <w:p w14:paraId="178D8EBE" w14:textId="29E5EDD5" w:rsidR="00C12DCE" w:rsidRPr="00C12DCE" w:rsidRDefault="00D150B7">
          <w:pPr>
            <w:pStyle w:val="TOC3"/>
            <w:tabs>
              <w:tab w:val="left" w:pos="2160"/>
            </w:tabs>
            <w:rPr>
              <w:rFonts w:ascii="Cambria" w:eastAsiaTheme="minorEastAsia" w:hAnsi="Cambria" w:cstheme="minorBidi"/>
              <w:noProof/>
              <w:sz w:val="20"/>
              <w:szCs w:val="20"/>
              <w:bdr w:val="none" w:sz="0" w:space="0" w:color="auto"/>
            </w:rPr>
          </w:pPr>
          <w:hyperlink w:anchor="_Toc516682005" w:history="1">
            <w:r w:rsidR="00C12DCE" w:rsidRPr="00C12DCE">
              <w:rPr>
                <w:rStyle w:val="Hyperlink"/>
                <w:rFonts w:ascii="Cambria" w:hAnsi="Cambria"/>
                <w:noProof/>
                <w:sz w:val="20"/>
                <w:szCs w:val="20"/>
                <w:lang w:val="es-ES_tradnl"/>
              </w:rPr>
              <w:t>2.</w:t>
            </w:r>
            <w:r w:rsidR="00C12DCE" w:rsidRPr="00C12DCE">
              <w:rPr>
                <w:rFonts w:ascii="Cambria" w:eastAsiaTheme="minorEastAsia" w:hAnsi="Cambria" w:cstheme="minorBidi"/>
                <w:noProof/>
                <w:sz w:val="20"/>
                <w:szCs w:val="20"/>
                <w:bdr w:val="none" w:sz="0" w:space="0" w:color="auto"/>
              </w:rPr>
              <w:tab/>
            </w:r>
            <w:r w:rsidR="00C12DCE" w:rsidRPr="00C12DCE">
              <w:rPr>
                <w:rStyle w:val="Hyperlink"/>
                <w:rFonts w:ascii="Cambria" w:hAnsi="Cambria"/>
                <w:noProof/>
                <w:sz w:val="20"/>
                <w:szCs w:val="20"/>
                <w:lang w:val="es-ES_tradnl"/>
              </w:rPr>
              <w:t>El derecho a contar con una autoridad competente mediante procedimientos previamente establecidos y principio de legalidad</w:t>
            </w:r>
            <w:r w:rsidR="00C12DCE" w:rsidRPr="00C12DCE">
              <w:rPr>
                <w:rFonts w:ascii="Cambria" w:hAnsi="Cambria"/>
                <w:noProof/>
                <w:webHidden/>
                <w:sz w:val="20"/>
                <w:szCs w:val="20"/>
              </w:rPr>
              <w:tab/>
            </w:r>
            <w:r w:rsidR="00C12DCE" w:rsidRPr="00C12DCE">
              <w:rPr>
                <w:rFonts w:ascii="Cambria" w:hAnsi="Cambria"/>
                <w:noProof/>
                <w:webHidden/>
                <w:sz w:val="20"/>
                <w:szCs w:val="20"/>
              </w:rPr>
              <w:fldChar w:fldCharType="begin"/>
            </w:r>
            <w:r w:rsidR="00C12DCE" w:rsidRPr="00C12DCE">
              <w:rPr>
                <w:rFonts w:ascii="Cambria" w:hAnsi="Cambria"/>
                <w:noProof/>
                <w:webHidden/>
                <w:sz w:val="20"/>
                <w:szCs w:val="20"/>
              </w:rPr>
              <w:instrText xml:space="preserve"> PAGEREF _Toc516682005 \h </w:instrText>
            </w:r>
            <w:r w:rsidR="00C12DCE" w:rsidRPr="00C12DCE">
              <w:rPr>
                <w:rFonts w:ascii="Cambria" w:hAnsi="Cambria"/>
                <w:noProof/>
                <w:webHidden/>
                <w:sz w:val="20"/>
                <w:szCs w:val="20"/>
              </w:rPr>
            </w:r>
            <w:r w:rsidR="00C12DCE" w:rsidRPr="00C12DCE">
              <w:rPr>
                <w:rFonts w:ascii="Cambria" w:hAnsi="Cambria"/>
                <w:noProof/>
                <w:webHidden/>
                <w:sz w:val="20"/>
                <w:szCs w:val="20"/>
              </w:rPr>
              <w:fldChar w:fldCharType="separate"/>
            </w:r>
            <w:r>
              <w:rPr>
                <w:rFonts w:ascii="Cambria" w:hAnsi="Cambria"/>
                <w:noProof/>
                <w:webHidden/>
                <w:sz w:val="20"/>
                <w:szCs w:val="20"/>
              </w:rPr>
              <w:t>11</w:t>
            </w:r>
            <w:r w:rsidR="00C12DCE" w:rsidRPr="00C12DCE">
              <w:rPr>
                <w:rFonts w:ascii="Cambria" w:hAnsi="Cambria"/>
                <w:noProof/>
                <w:webHidden/>
                <w:sz w:val="20"/>
                <w:szCs w:val="20"/>
              </w:rPr>
              <w:fldChar w:fldCharType="end"/>
            </w:r>
          </w:hyperlink>
        </w:p>
        <w:p w14:paraId="2CA9D130" w14:textId="12F25740" w:rsidR="00C12DCE" w:rsidRPr="00C12DCE" w:rsidRDefault="00D150B7">
          <w:pPr>
            <w:pStyle w:val="TOC3"/>
            <w:tabs>
              <w:tab w:val="left" w:pos="2160"/>
            </w:tabs>
            <w:rPr>
              <w:rFonts w:ascii="Cambria" w:eastAsiaTheme="minorEastAsia" w:hAnsi="Cambria" w:cstheme="minorBidi"/>
              <w:noProof/>
              <w:sz w:val="20"/>
              <w:szCs w:val="20"/>
              <w:bdr w:val="none" w:sz="0" w:space="0" w:color="auto"/>
            </w:rPr>
          </w:pPr>
          <w:hyperlink w:anchor="_Toc516682006" w:history="1">
            <w:r w:rsidR="00C12DCE" w:rsidRPr="00C12DCE">
              <w:rPr>
                <w:rStyle w:val="Hyperlink"/>
                <w:rFonts w:ascii="Cambria" w:hAnsi="Cambria"/>
                <w:noProof/>
                <w:sz w:val="20"/>
                <w:szCs w:val="20"/>
                <w:lang w:val="es-ES_tradnl"/>
              </w:rPr>
              <w:t>3.</w:t>
            </w:r>
            <w:r w:rsidR="00C12DCE" w:rsidRPr="00C12DCE">
              <w:rPr>
                <w:rFonts w:ascii="Cambria" w:eastAsiaTheme="minorEastAsia" w:hAnsi="Cambria" w:cstheme="minorBidi"/>
                <w:noProof/>
                <w:sz w:val="20"/>
                <w:szCs w:val="20"/>
                <w:bdr w:val="none" w:sz="0" w:space="0" w:color="auto"/>
              </w:rPr>
              <w:tab/>
            </w:r>
            <w:r w:rsidR="00C12DCE" w:rsidRPr="00C12DCE">
              <w:rPr>
                <w:rStyle w:val="Hyperlink"/>
                <w:rFonts w:ascii="Cambria" w:hAnsi="Cambria"/>
                <w:noProof/>
                <w:sz w:val="20"/>
                <w:szCs w:val="20"/>
                <w:lang w:val="es-ES_tradnl"/>
              </w:rPr>
              <w:t>Derecho a conocer previa y detalladamente la acusación formulada y de tener el tiempo y los medios adecuados para la defensa</w:t>
            </w:r>
            <w:r w:rsidR="00C12DCE" w:rsidRPr="00C12DCE">
              <w:rPr>
                <w:rFonts w:ascii="Cambria" w:hAnsi="Cambria"/>
                <w:noProof/>
                <w:webHidden/>
                <w:sz w:val="20"/>
                <w:szCs w:val="20"/>
              </w:rPr>
              <w:tab/>
            </w:r>
            <w:r w:rsidR="00C12DCE" w:rsidRPr="00C12DCE">
              <w:rPr>
                <w:rFonts w:ascii="Cambria" w:hAnsi="Cambria"/>
                <w:noProof/>
                <w:webHidden/>
                <w:sz w:val="20"/>
                <w:szCs w:val="20"/>
              </w:rPr>
              <w:fldChar w:fldCharType="begin"/>
            </w:r>
            <w:r w:rsidR="00C12DCE" w:rsidRPr="00C12DCE">
              <w:rPr>
                <w:rFonts w:ascii="Cambria" w:hAnsi="Cambria"/>
                <w:noProof/>
                <w:webHidden/>
                <w:sz w:val="20"/>
                <w:szCs w:val="20"/>
              </w:rPr>
              <w:instrText xml:space="preserve"> PAGEREF _Toc516682006 \h </w:instrText>
            </w:r>
            <w:r w:rsidR="00C12DCE" w:rsidRPr="00C12DCE">
              <w:rPr>
                <w:rFonts w:ascii="Cambria" w:hAnsi="Cambria"/>
                <w:noProof/>
                <w:webHidden/>
                <w:sz w:val="20"/>
                <w:szCs w:val="20"/>
              </w:rPr>
            </w:r>
            <w:r w:rsidR="00C12DCE" w:rsidRPr="00C12DCE">
              <w:rPr>
                <w:rFonts w:ascii="Cambria" w:hAnsi="Cambria"/>
                <w:noProof/>
                <w:webHidden/>
                <w:sz w:val="20"/>
                <w:szCs w:val="20"/>
              </w:rPr>
              <w:fldChar w:fldCharType="separate"/>
            </w:r>
            <w:r>
              <w:rPr>
                <w:rFonts w:ascii="Cambria" w:hAnsi="Cambria"/>
                <w:noProof/>
                <w:webHidden/>
                <w:sz w:val="20"/>
                <w:szCs w:val="20"/>
              </w:rPr>
              <w:t>12</w:t>
            </w:r>
            <w:r w:rsidR="00C12DCE" w:rsidRPr="00C12DCE">
              <w:rPr>
                <w:rFonts w:ascii="Cambria" w:hAnsi="Cambria"/>
                <w:noProof/>
                <w:webHidden/>
                <w:sz w:val="20"/>
                <w:szCs w:val="20"/>
              </w:rPr>
              <w:fldChar w:fldCharType="end"/>
            </w:r>
          </w:hyperlink>
        </w:p>
        <w:p w14:paraId="09CAE0D4" w14:textId="75D2D5D3" w:rsidR="00C12DCE" w:rsidRPr="00C12DCE" w:rsidRDefault="00D150B7">
          <w:pPr>
            <w:pStyle w:val="TOC3"/>
            <w:tabs>
              <w:tab w:val="left" w:pos="2160"/>
            </w:tabs>
            <w:rPr>
              <w:rFonts w:ascii="Cambria" w:eastAsiaTheme="minorEastAsia" w:hAnsi="Cambria" w:cstheme="minorBidi"/>
              <w:noProof/>
              <w:sz w:val="20"/>
              <w:szCs w:val="20"/>
              <w:bdr w:val="none" w:sz="0" w:space="0" w:color="auto"/>
            </w:rPr>
          </w:pPr>
          <w:hyperlink w:anchor="_Toc516682007" w:history="1">
            <w:r w:rsidR="00C12DCE" w:rsidRPr="00C12DCE">
              <w:rPr>
                <w:rStyle w:val="Hyperlink"/>
                <w:rFonts w:ascii="Cambria" w:hAnsi="Cambria"/>
                <w:noProof/>
                <w:sz w:val="20"/>
                <w:szCs w:val="20"/>
                <w:lang w:val="es-ES_tradnl"/>
              </w:rPr>
              <w:t>4.</w:t>
            </w:r>
            <w:r w:rsidR="00C12DCE" w:rsidRPr="00C12DCE">
              <w:rPr>
                <w:rFonts w:ascii="Cambria" w:eastAsiaTheme="minorEastAsia" w:hAnsi="Cambria" w:cstheme="minorBidi"/>
                <w:noProof/>
                <w:sz w:val="20"/>
                <w:szCs w:val="20"/>
                <w:bdr w:val="none" w:sz="0" w:space="0" w:color="auto"/>
              </w:rPr>
              <w:tab/>
            </w:r>
            <w:r w:rsidR="00C12DCE" w:rsidRPr="00C12DCE">
              <w:rPr>
                <w:rStyle w:val="Hyperlink"/>
                <w:rFonts w:ascii="Cambria" w:hAnsi="Cambria"/>
                <w:noProof/>
                <w:sz w:val="20"/>
                <w:szCs w:val="20"/>
                <w:lang w:val="es-ES_tradnl"/>
              </w:rPr>
              <w:t>El derecho a recurrir el fallo y el derecho a la protección judicial</w:t>
            </w:r>
            <w:r w:rsidR="00C12DCE" w:rsidRPr="00C12DCE">
              <w:rPr>
                <w:rFonts w:ascii="Cambria" w:hAnsi="Cambria"/>
                <w:noProof/>
                <w:webHidden/>
                <w:sz w:val="20"/>
                <w:szCs w:val="20"/>
              </w:rPr>
              <w:tab/>
            </w:r>
            <w:r w:rsidR="00C12DCE" w:rsidRPr="00C12DCE">
              <w:rPr>
                <w:rFonts w:ascii="Cambria" w:hAnsi="Cambria"/>
                <w:noProof/>
                <w:webHidden/>
                <w:sz w:val="20"/>
                <w:szCs w:val="20"/>
              </w:rPr>
              <w:fldChar w:fldCharType="begin"/>
            </w:r>
            <w:r w:rsidR="00C12DCE" w:rsidRPr="00C12DCE">
              <w:rPr>
                <w:rFonts w:ascii="Cambria" w:hAnsi="Cambria"/>
                <w:noProof/>
                <w:webHidden/>
                <w:sz w:val="20"/>
                <w:szCs w:val="20"/>
              </w:rPr>
              <w:instrText xml:space="preserve"> PAGEREF _Toc516682007 \h </w:instrText>
            </w:r>
            <w:r w:rsidR="00C12DCE" w:rsidRPr="00C12DCE">
              <w:rPr>
                <w:rFonts w:ascii="Cambria" w:hAnsi="Cambria"/>
                <w:noProof/>
                <w:webHidden/>
                <w:sz w:val="20"/>
                <w:szCs w:val="20"/>
              </w:rPr>
            </w:r>
            <w:r w:rsidR="00C12DCE" w:rsidRPr="00C12DCE">
              <w:rPr>
                <w:rFonts w:ascii="Cambria" w:hAnsi="Cambria"/>
                <w:noProof/>
                <w:webHidden/>
                <w:sz w:val="20"/>
                <w:szCs w:val="20"/>
              </w:rPr>
              <w:fldChar w:fldCharType="separate"/>
            </w:r>
            <w:r>
              <w:rPr>
                <w:rFonts w:ascii="Cambria" w:hAnsi="Cambria"/>
                <w:noProof/>
                <w:webHidden/>
                <w:sz w:val="20"/>
                <w:szCs w:val="20"/>
              </w:rPr>
              <w:t>13</w:t>
            </w:r>
            <w:r w:rsidR="00C12DCE" w:rsidRPr="00C12DCE">
              <w:rPr>
                <w:rFonts w:ascii="Cambria" w:hAnsi="Cambria"/>
                <w:noProof/>
                <w:webHidden/>
                <w:sz w:val="20"/>
                <w:szCs w:val="20"/>
              </w:rPr>
              <w:fldChar w:fldCharType="end"/>
            </w:r>
          </w:hyperlink>
        </w:p>
        <w:p w14:paraId="471FD5F2" w14:textId="2CC9DB84" w:rsidR="00C12DCE" w:rsidRPr="00C12DCE" w:rsidRDefault="00D150B7">
          <w:pPr>
            <w:pStyle w:val="TOC1"/>
            <w:rPr>
              <w:rFonts w:eastAsiaTheme="minorEastAsia" w:cstheme="minorBidi"/>
              <w:b w:val="0"/>
              <w:bCs w:val="0"/>
              <w:bdr w:val="none" w:sz="0" w:space="0" w:color="auto"/>
              <w:lang w:val="en-US"/>
            </w:rPr>
          </w:pPr>
          <w:hyperlink w:anchor="_Toc516682008" w:history="1">
            <w:r w:rsidR="00C12DCE" w:rsidRPr="00C12DCE">
              <w:rPr>
                <w:rStyle w:val="Hyperlink"/>
              </w:rPr>
              <w:t>V.</w:t>
            </w:r>
            <w:r w:rsidR="00C12DCE" w:rsidRPr="00C12DCE">
              <w:rPr>
                <w:rFonts w:eastAsiaTheme="minorEastAsia" w:cstheme="minorBidi"/>
                <w:b w:val="0"/>
                <w:bCs w:val="0"/>
                <w:bdr w:val="none" w:sz="0" w:space="0" w:color="auto"/>
                <w:lang w:val="en-US"/>
              </w:rPr>
              <w:tab/>
            </w:r>
            <w:r w:rsidR="00C12DCE" w:rsidRPr="00C12DCE">
              <w:rPr>
                <w:rStyle w:val="Hyperlink"/>
              </w:rPr>
              <w:t>CONCLUSIONES Y RECOMENDACIONES</w:t>
            </w:r>
            <w:r w:rsidR="00C12DCE" w:rsidRPr="00C12DCE">
              <w:rPr>
                <w:webHidden/>
              </w:rPr>
              <w:tab/>
            </w:r>
            <w:r w:rsidR="00C12DCE" w:rsidRPr="00C12DCE">
              <w:rPr>
                <w:webHidden/>
              </w:rPr>
              <w:fldChar w:fldCharType="begin"/>
            </w:r>
            <w:r w:rsidR="00C12DCE" w:rsidRPr="00C12DCE">
              <w:rPr>
                <w:webHidden/>
              </w:rPr>
              <w:instrText xml:space="preserve"> PAGEREF _Toc516682008 \h </w:instrText>
            </w:r>
            <w:r w:rsidR="00C12DCE" w:rsidRPr="00C12DCE">
              <w:rPr>
                <w:webHidden/>
              </w:rPr>
            </w:r>
            <w:r w:rsidR="00C12DCE" w:rsidRPr="00C12DCE">
              <w:rPr>
                <w:webHidden/>
              </w:rPr>
              <w:fldChar w:fldCharType="separate"/>
            </w:r>
            <w:r>
              <w:rPr>
                <w:webHidden/>
              </w:rPr>
              <w:t>13</w:t>
            </w:r>
            <w:r w:rsidR="00C12DCE" w:rsidRPr="00C12DCE">
              <w:rPr>
                <w:webHidden/>
              </w:rPr>
              <w:fldChar w:fldCharType="end"/>
            </w:r>
          </w:hyperlink>
        </w:p>
        <w:p w14:paraId="0283302D" w14:textId="77777777" w:rsidR="00217221" w:rsidRPr="001E3078" w:rsidRDefault="00217221" w:rsidP="00BA3CEA">
          <w:r w:rsidRPr="001E3078">
            <w:rPr>
              <w:rFonts w:ascii="Cambria" w:hAnsi="Cambria"/>
              <w:bCs/>
              <w:noProof/>
              <w:sz w:val="20"/>
              <w:szCs w:val="20"/>
            </w:rPr>
            <w:fldChar w:fldCharType="end"/>
          </w:r>
        </w:p>
      </w:sdtContent>
    </w:sdt>
    <w:p w14:paraId="7DDBCFFD" w14:textId="77777777" w:rsidR="00610A15" w:rsidRPr="001E3078" w:rsidRDefault="00610A15" w:rsidP="00BF076F">
      <w:pPr>
        <w:tabs>
          <w:tab w:val="center" w:pos="5400"/>
        </w:tabs>
        <w:suppressAutoHyphens/>
        <w:rPr>
          <w:rFonts w:ascii="Cambria" w:hAnsi="Cambria"/>
          <w:sz w:val="20"/>
          <w:szCs w:val="20"/>
          <w:lang w:val="es-ES_tradnl"/>
        </w:rPr>
      </w:pPr>
    </w:p>
    <w:p w14:paraId="74C70C1A" w14:textId="77777777" w:rsidR="00610A15" w:rsidRPr="001E3078" w:rsidRDefault="00610A15" w:rsidP="00BA3CEA">
      <w:pPr>
        <w:rPr>
          <w:rFonts w:ascii="Cambria" w:hAnsi="Cambria" w:cs="Calibri"/>
          <w:sz w:val="20"/>
          <w:szCs w:val="20"/>
          <w:lang w:val="es-ES"/>
        </w:rPr>
      </w:pPr>
    </w:p>
    <w:p w14:paraId="132847A5" w14:textId="77777777" w:rsidR="00F913F4" w:rsidRDefault="00F913F4" w:rsidP="00BF076F">
      <w:pPr>
        <w:tabs>
          <w:tab w:val="center" w:pos="5400"/>
        </w:tabs>
        <w:suppressAutoHyphens/>
        <w:jc w:val="center"/>
        <w:rPr>
          <w:rFonts w:ascii="Cambria" w:hAnsi="Cambria"/>
          <w:b/>
          <w:sz w:val="20"/>
          <w:szCs w:val="20"/>
          <w:lang w:val="es-ES_tradnl"/>
        </w:rPr>
      </w:pPr>
    </w:p>
    <w:p w14:paraId="0B5144B5" w14:textId="77777777" w:rsidR="00F913F4" w:rsidRDefault="00F913F4" w:rsidP="00BF076F">
      <w:pPr>
        <w:tabs>
          <w:tab w:val="center" w:pos="5400"/>
        </w:tabs>
        <w:suppressAutoHyphens/>
        <w:jc w:val="center"/>
        <w:rPr>
          <w:rFonts w:ascii="Cambria" w:hAnsi="Cambria"/>
          <w:b/>
          <w:sz w:val="20"/>
          <w:szCs w:val="20"/>
          <w:lang w:val="es-ES_tradnl"/>
        </w:rPr>
      </w:pPr>
    </w:p>
    <w:p w14:paraId="47C59D55" w14:textId="77777777" w:rsidR="00F913F4" w:rsidRDefault="00F913F4" w:rsidP="00BF076F">
      <w:pPr>
        <w:tabs>
          <w:tab w:val="center" w:pos="5400"/>
        </w:tabs>
        <w:suppressAutoHyphens/>
        <w:jc w:val="center"/>
        <w:rPr>
          <w:rFonts w:ascii="Cambria" w:hAnsi="Cambria"/>
          <w:b/>
          <w:sz w:val="20"/>
          <w:szCs w:val="20"/>
          <w:lang w:val="es-ES_tradnl"/>
        </w:rPr>
      </w:pPr>
    </w:p>
    <w:p w14:paraId="0331ADF5" w14:textId="77777777" w:rsidR="00F913F4" w:rsidRDefault="00F913F4" w:rsidP="00BF076F">
      <w:pPr>
        <w:tabs>
          <w:tab w:val="center" w:pos="5400"/>
        </w:tabs>
        <w:suppressAutoHyphens/>
        <w:jc w:val="center"/>
        <w:rPr>
          <w:rFonts w:ascii="Cambria" w:hAnsi="Cambria"/>
          <w:b/>
          <w:sz w:val="20"/>
          <w:szCs w:val="20"/>
          <w:lang w:val="es-ES_tradnl"/>
        </w:rPr>
      </w:pPr>
    </w:p>
    <w:p w14:paraId="23EB4EF2" w14:textId="77777777" w:rsidR="00F913F4" w:rsidRDefault="00F913F4" w:rsidP="00BF076F">
      <w:pPr>
        <w:tabs>
          <w:tab w:val="center" w:pos="5400"/>
        </w:tabs>
        <w:suppressAutoHyphens/>
        <w:jc w:val="center"/>
        <w:rPr>
          <w:rFonts w:ascii="Cambria" w:hAnsi="Cambria"/>
          <w:b/>
          <w:sz w:val="20"/>
          <w:szCs w:val="20"/>
          <w:lang w:val="es-ES_tradnl"/>
        </w:rPr>
      </w:pPr>
    </w:p>
    <w:p w14:paraId="15406393" w14:textId="77777777" w:rsidR="00F913F4" w:rsidRDefault="00F913F4" w:rsidP="00BF076F">
      <w:pPr>
        <w:tabs>
          <w:tab w:val="center" w:pos="5400"/>
        </w:tabs>
        <w:suppressAutoHyphens/>
        <w:jc w:val="center"/>
        <w:rPr>
          <w:rFonts w:ascii="Cambria" w:hAnsi="Cambria"/>
          <w:b/>
          <w:sz w:val="20"/>
          <w:szCs w:val="20"/>
          <w:lang w:val="es-ES_tradnl"/>
        </w:rPr>
      </w:pPr>
    </w:p>
    <w:p w14:paraId="6238B7B9" w14:textId="77777777" w:rsidR="00F913F4" w:rsidRDefault="00F913F4" w:rsidP="00BF076F">
      <w:pPr>
        <w:tabs>
          <w:tab w:val="center" w:pos="5400"/>
        </w:tabs>
        <w:suppressAutoHyphens/>
        <w:jc w:val="center"/>
        <w:rPr>
          <w:rFonts w:ascii="Cambria" w:hAnsi="Cambria"/>
          <w:b/>
          <w:sz w:val="20"/>
          <w:szCs w:val="20"/>
          <w:lang w:val="es-ES_tradnl"/>
        </w:rPr>
      </w:pPr>
    </w:p>
    <w:p w14:paraId="34ED0C53" w14:textId="77777777" w:rsidR="00F913F4" w:rsidRDefault="00F913F4" w:rsidP="00BF076F">
      <w:pPr>
        <w:tabs>
          <w:tab w:val="center" w:pos="5400"/>
        </w:tabs>
        <w:suppressAutoHyphens/>
        <w:jc w:val="center"/>
        <w:rPr>
          <w:rFonts w:ascii="Cambria" w:hAnsi="Cambria"/>
          <w:b/>
          <w:sz w:val="20"/>
          <w:szCs w:val="20"/>
          <w:lang w:val="es-ES_tradnl"/>
        </w:rPr>
      </w:pPr>
    </w:p>
    <w:p w14:paraId="04FE9702" w14:textId="77777777" w:rsidR="00761A05" w:rsidRDefault="00761A05" w:rsidP="00BF076F">
      <w:pPr>
        <w:tabs>
          <w:tab w:val="center" w:pos="5400"/>
        </w:tabs>
        <w:suppressAutoHyphens/>
        <w:jc w:val="center"/>
        <w:rPr>
          <w:rFonts w:ascii="Cambria" w:hAnsi="Cambria"/>
          <w:b/>
          <w:sz w:val="20"/>
          <w:szCs w:val="20"/>
          <w:lang w:val="es-ES_tradnl"/>
        </w:rPr>
      </w:pPr>
    </w:p>
    <w:p w14:paraId="35F3ECD0" w14:textId="77777777" w:rsidR="00761A05" w:rsidRDefault="00761A05" w:rsidP="00BF076F">
      <w:pPr>
        <w:tabs>
          <w:tab w:val="center" w:pos="5400"/>
        </w:tabs>
        <w:suppressAutoHyphens/>
        <w:jc w:val="center"/>
        <w:rPr>
          <w:rFonts w:ascii="Cambria" w:hAnsi="Cambria"/>
          <w:b/>
          <w:sz w:val="20"/>
          <w:szCs w:val="20"/>
          <w:lang w:val="es-ES_tradnl"/>
        </w:rPr>
      </w:pPr>
    </w:p>
    <w:p w14:paraId="69D0AD2B" w14:textId="77777777" w:rsidR="00761A05" w:rsidRDefault="00761A05" w:rsidP="00BF076F">
      <w:pPr>
        <w:tabs>
          <w:tab w:val="center" w:pos="5400"/>
        </w:tabs>
        <w:suppressAutoHyphens/>
        <w:jc w:val="center"/>
        <w:rPr>
          <w:rFonts w:ascii="Cambria" w:hAnsi="Cambria"/>
          <w:b/>
          <w:sz w:val="20"/>
          <w:szCs w:val="20"/>
          <w:lang w:val="es-ES_tradnl"/>
        </w:rPr>
      </w:pPr>
    </w:p>
    <w:p w14:paraId="05904103" w14:textId="77777777" w:rsidR="00761A05" w:rsidRDefault="00761A05" w:rsidP="00BF076F">
      <w:pPr>
        <w:tabs>
          <w:tab w:val="center" w:pos="5400"/>
        </w:tabs>
        <w:suppressAutoHyphens/>
        <w:jc w:val="center"/>
        <w:rPr>
          <w:rFonts w:ascii="Cambria" w:hAnsi="Cambria"/>
          <w:b/>
          <w:sz w:val="20"/>
          <w:szCs w:val="20"/>
          <w:lang w:val="es-ES_tradnl"/>
        </w:rPr>
      </w:pPr>
    </w:p>
    <w:p w14:paraId="3FC1E3DE" w14:textId="77777777" w:rsidR="00761A05" w:rsidRDefault="00761A05" w:rsidP="00BF076F">
      <w:pPr>
        <w:tabs>
          <w:tab w:val="center" w:pos="5400"/>
        </w:tabs>
        <w:suppressAutoHyphens/>
        <w:jc w:val="center"/>
        <w:rPr>
          <w:rFonts w:ascii="Cambria" w:hAnsi="Cambria"/>
          <w:b/>
          <w:sz w:val="20"/>
          <w:szCs w:val="20"/>
          <w:lang w:val="es-ES_tradnl"/>
        </w:rPr>
      </w:pPr>
    </w:p>
    <w:p w14:paraId="0C4F7F2A" w14:textId="77777777" w:rsidR="00761A05" w:rsidRDefault="00761A05" w:rsidP="00BF076F">
      <w:pPr>
        <w:tabs>
          <w:tab w:val="center" w:pos="5400"/>
        </w:tabs>
        <w:suppressAutoHyphens/>
        <w:jc w:val="center"/>
        <w:rPr>
          <w:rFonts w:ascii="Cambria" w:hAnsi="Cambria"/>
          <w:b/>
          <w:sz w:val="20"/>
          <w:szCs w:val="20"/>
          <w:lang w:val="es-ES_tradnl"/>
        </w:rPr>
      </w:pPr>
    </w:p>
    <w:p w14:paraId="60CE149F" w14:textId="77777777" w:rsidR="00761A05" w:rsidRDefault="00761A05" w:rsidP="00BF076F">
      <w:pPr>
        <w:tabs>
          <w:tab w:val="center" w:pos="5400"/>
        </w:tabs>
        <w:suppressAutoHyphens/>
        <w:jc w:val="center"/>
        <w:rPr>
          <w:rFonts w:ascii="Cambria" w:hAnsi="Cambria"/>
          <w:b/>
          <w:sz w:val="20"/>
          <w:szCs w:val="20"/>
          <w:lang w:val="es-ES_tradnl"/>
        </w:rPr>
      </w:pPr>
    </w:p>
    <w:p w14:paraId="5CF9F199" w14:textId="77777777" w:rsidR="00761A05" w:rsidRDefault="00761A05" w:rsidP="00BF076F">
      <w:pPr>
        <w:tabs>
          <w:tab w:val="center" w:pos="5400"/>
        </w:tabs>
        <w:suppressAutoHyphens/>
        <w:jc w:val="center"/>
        <w:rPr>
          <w:rFonts w:ascii="Cambria" w:hAnsi="Cambria"/>
          <w:b/>
          <w:sz w:val="20"/>
          <w:szCs w:val="20"/>
          <w:lang w:val="es-ES_tradnl"/>
        </w:rPr>
      </w:pPr>
    </w:p>
    <w:p w14:paraId="7BB6729D" w14:textId="77777777" w:rsidR="00F913F4" w:rsidRDefault="00F913F4" w:rsidP="00B6518A">
      <w:pPr>
        <w:tabs>
          <w:tab w:val="center" w:pos="5400"/>
        </w:tabs>
        <w:suppressAutoHyphens/>
        <w:rPr>
          <w:rFonts w:ascii="Cambria" w:hAnsi="Cambria"/>
          <w:b/>
          <w:sz w:val="20"/>
          <w:szCs w:val="20"/>
          <w:lang w:val="es-ES_tradnl"/>
        </w:rPr>
      </w:pPr>
    </w:p>
    <w:p w14:paraId="2157F0CA" w14:textId="0932B6A1" w:rsidR="00610A15" w:rsidRPr="006F3BE6" w:rsidRDefault="006A6783" w:rsidP="00BF076F">
      <w:pPr>
        <w:tabs>
          <w:tab w:val="center" w:pos="5400"/>
        </w:tabs>
        <w:suppressAutoHyphens/>
        <w:jc w:val="center"/>
        <w:rPr>
          <w:rFonts w:ascii="Cambria" w:hAnsi="Cambria"/>
          <w:b/>
          <w:sz w:val="18"/>
          <w:szCs w:val="18"/>
          <w:lang w:val="es-ES_tradnl"/>
        </w:rPr>
      </w:pPr>
      <w:r w:rsidRPr="006F3BE6">
        <w:rPr>
          <w:rFonts w:ascii="Cambria" w:hAnsi="Cambria"/>
          <w:b/>
          <w:sz w:val="18"/>
          <w:szCs w:val="18"/>
          <w:lang w:val="es-ES_tradnl"/>
        </w:rPr>
        <w:lastRenderedPageBreak/>
        <w:t>INFORME No. 112</w:t>
      </w:r>
      <w:r w:rsidR="00751EF8" w:rsidRPr="006F3BE6">
        <w:rPr>
          <w:rFonts w:ascii="Cambria" w:hAnsi="Cambria"/>
          <w:b/>
          <w:sz w:val="18"/>
          <w:szCs w:val="18"/>
          <w:lang w:val="es-ES_tradnl"/>
        </w:rPr>
        <w:t>/18</w:t>
      </w:r>
    </w:p>
    <w:p w14:paraId="45BD43AF" w14:textId="77777777" w:rsidR="00610A15" w:rsidRPr="006F3BE6" w:rsidRDefault="00751EF8" w:rsidP="00BF076F">
      <w:pPr>
        <w:tabs>
          <w:tab w:val="center" w:pos="5400"/>
        </w:tabs>
        <w:suppressAutoHyphens/>
        <w:jc w:val="center"/>
        <w:rPr>
          <w:rFonts w:ascii="Cambria" w:hAnsi="Cambria"/>
          <w:b/>
          <w:sz w:val="18"/>
          <w:szCs w:val="18"/>
          <w:lang w:val="es-ES_tradnl"/>
        </w:rPr>
      </w:pPr>
      <w:r w:rsidRPr="006F3BE6">
        <w:rPr>
          <w:rFonts w:ascii="Cambria" w:hAnsi="Cambria"/>
          <w:b/>
          <w:sz w:val="18"/>
          <w:szCs w:val="18"/>
          <w:lang w:val="es-ES_tradnl"/>
        </w:rPr>
        <w:t>CASO 12.</w:t>
      </w:r>
      <w:r w:rsidR="009D70A3" w:rsidRPr="006F3BE6">
        <w:rPr>
          <w:rFonts w:ascii="Cambria" w:hAnsi="Cambria"/>
          <w:b/>
          <w:sz w:val="18"/>
          <w:szCs w:val="18"/>
          <w:lang w:val="es-ES_tradnl"/>
        </w:rPr>
        <w:t>9</w:t>
      </w:r>
      <w:r w:rsidRPr="006F3BE6">
        <w:rPr>
          <w:rFonts w:ascii="Cambria" w:hAnsi="Cambria"/>
          <w:b/>
          <w:sz w:val="18"/>
          <w:szCs w:val="18"/>
          <w:lang w:val="es-ES_tradnl"/>
        </w:rPr>
        <w:t>10</w:t>
      </w:r>
    </w:p>
    <w:p w14:paraId="08DA634C" w14:textId="77777777" w:rsidR="00610A15" w:rsidRPr="006F3BE6" w:rsidRDefault="00610A15" w:rsidP="00BF076F">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 xml:space="preserve">INFORME DE FONDO </w:t>
      </w:r>
    </w:p>
    <w:p w14:paraId="3D202277" w14:textId="77777777" w:rsidR="00610A15" w:rsidRPr="006F3BE6" w:rsidRDefault="00751EF8" w:rsidP="00BF076F">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CARLOS JULIO AGUINAGA AILLÓN</w:t>
      </w:r>
    </w:p>
    <w:p w14:paraId="14D7107E" w14:textId="77777777" w:rsidR="00610A15" w:rsidRPr="006F3BE6" w:rsidRDefault="00751EF8" w:rsidP="00BF076F">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ECUADOR</w:t>
      </w:r>
    </w:p>
    <w:p w14:paraId="19A05C69" w14:textId="1E1A2F53" w:rsidR="00610A15" w:rsidRPr="006F3BE6" w:rsidRDefault="006A6783" w:rsidP="00BF076F">
      <w:pPr>
        <w:tabs>
          <w:tab w:val="center" w:pos="5400"/>
        </w:tabs>
        <w:suppressAutoHyphens/>
        <w:jc w:val="center"/>
        <w:rPr>
          <w:rFonts w:ascii="Cambria" w:hAnsi="Cambria"/>
          <w:sz w:val="18"/>
          <w:szCs w:val="18"/>
          <w:lang w:val="es-ES_tradnl"/>
        </w:rPr>
      </w:pPr>
      <w:r w:rsidRPr="006F3BE6">
        <w:rPr>
          <w:rFonts w:ascii="Cambria" w:hAnsi="Cambria"/>
          <w:sz w:val="18"/>
          <w:szCs w:val="18"/>
          <w:lang w:val="es-ES_tradnl"/>
        </w:rPr>
        <w:t>5</w:t>
      </w:r>
      <w:r w:rsidR="00610A15" w:rsidRPr="006F3BE6">
        <w:rPr>
          <w:rFonts w:ascii="Cambria" w:hAnsi="Cambria"/>
          <w:sz w:val="18"/>
          <w:szCs w:val="18"/>
          <w:lang w:val="es-ES_tradnl"/>
        </w:rPr>
        <w:t xml:space="preserve"> DE </w:t>
      </w:r>
      <w:r w:rsidRPr="006F3BE6">
        <w:rPr>
          <w:rFonts w:ascii="Cambria" w:hAnsi="Cambria"/>
          <w:sz w:val="18"/>
          <w:szCs w:val="18"/>
          <w:lang w:val="es-ES_tradnl"/>
        </w:rPr>
        <w:t>OCTUBRE</w:t>
      </w:r>
      <w:r w:rsidR="00751EF8" w:rsidRPr="006F3BE6">
        <w:rPr>
          <w:rFonts w:ascii="Cambria" w:hAnsi="Cambria"/>
          <w:sz w:val="18"/>
          <w:szCs w:val="18"/>
          <w:lang w:val="es-ES_tradnl"/>
        </w:rPr>
        <w:t xml:space="preserve"> DE 2018</w:t>
      </w:r>
    </w:p>
    <w:p w14:paraId="3805E92F" w14:textId="77777777" w:rsidR="00610A15" w:rsidRPr="001E3078" w:rsidRDefault="00610A15" w:rsidP="00BF076F">
      <w:pPr>
        <w:tabs>
          <w:tab w:val="center" w:pos="5400"/>
        </w:tabs>
        <w:suppressAutoHyphens/>
        <w:jc w:val="center"/>
        <w:rPr>
          <w:rFonts w:ascii="Cambria" w:hAnsi="Cambria"/>
          <w:sz w:val="20"/>
          <w:szCs w:val="20"/>
          <w:lang w:val="es-ES_tradnl"/>
        </w:rPr>
      </w:pPr>
    </w:p>
    <w:p w14:paraId="55CF7D06" w14:textId="77777777" w:rsidR="00610A15" w:rsidRPr="00BD18BB" w:rsidRDefault="00610A15" w:rsidP="00BA3CEA">
      <w:pPr>
        <w:pStyle w:val="Heading1"/>
        <w:spacing w:before="0"/>
        <w:ind w:firstLine="0"/>
        <w:rPr>
          <w:rFonts w:ascii="Cambria" w:hAnsi="Cambria"/>
          <w:color w:val="auto"/>
          <w:sz w:val="20"/>
          <w:szCs w:val="20"/>
          <w:lang w:val="es-VE"/>
        </w:rPr>
      </w:pPr>
      <w:bookmarkStart w:id="2" w:name="_Toc370840743"/>
      <w:bookmarkStart w:id="3" w:name="_Toc370840839"/>
      <w:bookmarkStart w:id="4" w:name="_Toc423514405"/>
      <w:bookmarkStart w:id="5" w:name="_Toc441166725"/>
      <w:bookmarkStart w:id="6" w:name="_Toc477355340"/>
      <w:bookmarkStart w:id="7" w:name="_Toc516681993"/>
      <w:r w:rsidRPr="00BD18BB">
        <w:rPr>
          <w:rFonts w:ascii="Cambria" w:hAnsi="Cambria"/>
          <w:color w:val="auto"/>
          <w:sz w:val="20"/>
          <w:szCs w:val="20"/>
          <w:lang w:val="es-VE"/>
        </w:rPr>
        <w:t>RESUMEN</w:t>
      </w:r>
      <w:bookmarkEnd w:id="2"/>
      <w:bookmarkEnd w:id="3"/>
      <w:bookmarkEnd w:id="4"/>
      <w:bookmarkEnd w:id="5"/>
      <w:bookmarkEnd w:id="6"/>
      <w:bookmarkEnd w:id="7"/>
    </w:p>
    <w:p w14:paraId="13FC3DED" w14:textId="77777777" w:rsidR="005B727C" w:rsidRDefault="005B727C" w:rsidP="005B727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4EE07268" w14:textId="77777777"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sidRPr="007E779B">
        <w:rPr>
          <w:rFonts w:ascii="Cambria" w:hAnsi="Cambria"/>
          <w:sz w:val="20"/>
          <w:szCs w:val="20"/>
          <w:lang w:val="es-VE"/>
        </w:rPr>
        <w:t>El</w:t>
      </w:r>
      <w:r w:rsidRPr="007E779B">
        <w:rPr>
          <w:rFonts w:ascii="Cambria" w:hAnsi="Cambria"/>
          <w:color w:val="000000"/>
          <w:sz w:val="20"/>
          <w:szCs w:val="20"/>
          <w:lang w:val="es-VE"/>
        </w:rPr>
        <w:t xml:space="preserve"> 26 de mayo de 2005 la Comisión Interamericana de Derechos Humanos (en adelante “la Comisión Interamericana”, “la Comisión” o “la CIDH”) recibió una petición presentada por Carlos Julio Aguinaga Aillón (en adelante “la parte peticionaria”) en la cual alega la responsabilidad internacional de la República del Ecuador (en adelante “el Estado ecuatoriano”, “el Estado” o “Ecuador”) por una serie de supuestas violaciones </w:t>
      </w:r>
      <w:r w:rsidR="00A6406B">
        <w:rPr>
          <w:rFonts w:ascii="Cambria" w:hAnsi="Cambria"/>
          <w:color w:val="000000"/>
          <w:sz w:val="20"/>
          <w:szCs w:val="20"/>
          <w:lang w:val="es-VE"/>
        </w:rPr>
        <w:t xml:space="preserve">de derechos humanos </w:t>
      </w:r>
      <w:r w:rsidRPr="007E779B">
        <w:rPr>
          <w:rFonts w:ascii="Cambria" w:hAnsi="Cambria"/>
          <w:color w:val="000000"/>
          <w:sz w:val="20"/>
          <w:szCs w:val="20"/>
          <w:lang w:val="es-VE"/>
        </w:rPr>
        <w:t xml:space="preserve">cometidas en su perjuicio. </w:t>
      </w:r>
    </w:p>
    <w:p w14:paraId="1391DA4C" w14:textId="77777777" w:rsidR="005B727C" w:rsidRPr="007E779B" w:rsidRDefault="005B727C"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sz w:val="20"/>
          <w:szCs w:val="20"/>
          <w:lang w:val="es-VE"/>
        </w:rPr>
      </w:pPr>
    </w:p>
    <w:p w14:paraId="34E56142" w14:textId="77777777" w:rsidR="00B442FE" w:rsidRDefault="005B727C" w:rsidP="00B442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sidRPr="007E779B">
        <w:rPr>
          <w:rFonts w:ascii="Cambria" w:hAnsi="Cambria"/>
          <w:sz w:val="20"/>
          <w:szCs w:val="20"/>
          <w:lang w:val="es-MX"/>
        </w:rPr>
        <w:t>La Comisión aprobó el informe de admisibilidad No. 42/13 el 11 de julio de 2013</w:t>
      </w:r>
      <w:r w:rsidR="002D2CC4" w:rsidRPr="007E779B">
        <w:rPr>
          <w:rStyle w:val="FootnoteReference"/>
          <w:rFonts w:ascii="Cambria" w:hAnsi="Cambria"/>
          <w:sz w:val="20"/>
          <w:szCs w:val="20"/>
          <w:lang w:val="es-MX"/>
        </w:rPr>
        <w:footnoteReference w:id="1"/>
      </w:r>
      <w:r w:rsidRPr="007E779B">
        <w:rPr>
          <w:rFonts w:ascii="Cambria" w:hAnsi="Cambria"/>
          <w:sz w:val="20"/>
          <w:szCs w:val="20"/>
          <w:lang w:val="es-MX"/>
        </w:rPr>
        <w:t>. El 14 de agosto de 2013 la Comisión notificó dicho informe a las partes y se puso a su disposición a fin de llegar a una solución amistosa. Las partes contaron con los plazos reglamentarios para presentar sus observaciones adicionales sobre el fondo</w:t>
      </w:r>
      <w:r w:rsidR="0052716E" w:rsidRPr="007E779B">
        <w:rPr>
          <w:rFonts w:ascii="Cambria" w:hAnsi="Cambria"/>
          <w:sz w:val="20"/>
          <w:szCs w:val="20"/>
          <w:lang w:val="es-MX"/>
        </w:rPr>
        <w:t xml:space="preserve">. </w:t>
      </w:r>
    </w:p>
    <w:p w14:paraId="10D44561" w14:textId="77777777" w:rsidR="00B442FE" w:rsidRDefault="00B442FE" w:rsidP="00B442FE">
      <w:pPr>
        <w:pStyle w:val="ListParagraph"/>
        <w:rPr>
          <w:sz w:val="20"/>
          <w:szCs w:val="20"/>
          <w:highlight w:val="cyan"/>
          <w:lang w:val="es-MX"/>
        </w:rPr>
      </w:pPr>
    </w:p>
    <w:p w14:paraId="0D47471A" w14:textId="5ED0F1AC" w:rsidR="00DC195F" w:rsidRPr="004F3BB4" w:rsidRDefault="005B727C" w:rsidP="00B442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sidRPr="00B442FE">
        <w:rPr>
          <w:rFonts w:ascii="Cambria" w:hAnsi="Cambria"/>
          <w:sz w:val="20"/>
          <w:szCs w:val="20"/>
          <w:lang w:val="es-MX"/>
        </w:rPr>
        <w:t>L</w:t>
      </w:r>
      <w:r w:rsidR="00DC195F" w:rsidRPr="00B442FE">
        <w:rPr>
          <w:rFonts w:ascii="Cambria" w:hAnsi="Cambria"/>
          <w:sz w:val="20"/>
          <w:szCs w:val="20"/>
          <w:lang w:val="es-MX"/>
        </w:rPr>
        <w:t>a parte peticionaria indic</w:t>
      </w:r>
      <w:r w:rsidR="00B442FE" w:rsidRPr="00B442FE">
        <w:rPr>
          <w:rFonts w:ascii="Cambria" w:hAnsi="Cambria"/>
          <w:sz w:val="20"/>
          <w:szCs w:val="20"/>
          <w:lang w:val="es-MX"/>
        </w:rPr>
        <w:t xml:space="preserve">ó que en diciembre de 1998 fue designado por el Congreso de la República como Vocal del Tribunal Supremo Electoral para el periodo 1998-2003 y posteriormente fue reelecto para el periodo 2003-2007, sin embargo el 25 de noviembre de 2004 el Congreso Nacional mediante una resolución dispuso su cesación ilegitima, pese a que la legislación interna establecía que las únicas formas en las que el Congreso podía cesarlo eran la fiscalización y el juicio político. Refirió que con ello el Estado ecuatoriano violó diversos derechos reconocidos en la Convención Americana. </w:t>
      </w:r>
    </w:p>
    <w:p w14:paraId="75428FCE" w14:textId="77777777" w:rsidR="004F3BB4" w:rsidRDefault="004F3BB4" w:rsidP="004F3BB4">
      <w:pPr>
        <w:pStyle w:val="ListParagraph"/>
        <w:rPr>
          <w:sz w:val="20"/>
          <w:szCs w:val="20"/>
          <w:lang w:val="es-VE"/>
        </w:rPr>
      </w:pPr>
    </w:p>
    <w:p w14:paraId="59322F04" w14:textId="5AA9BB87" w:rsidR="004F3BB4" w:rsidRPr="00B442FE" w:rsidRDefault="004F3BB4" w:rsidP="00B442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Pr>
          <w:rFonts w:ascii="Cambria" w:hAnsi="Cambria"/>
          <w:color w:val="000000"/>
          <w:sz w:val="20"/>
          <w:szCs w:val="20"/>
          <w:lang w:val="es-VE"/>
        </w:rPr>
        <w:t xml:space="preserve">El Estado indicó que </w:t>
      </w:r>
      <w:r w:rsidR="003D08E9">
        <w:rPr>
          <w:rFonts w:ascii="Cambria" w:hAnsi="Cambria"/>
          <w:color w:val="000000"/>
          <w:sz w:val="20"/>
          <w:szCs w:val="20"/>
          <w:lang w:val="es-VE"/>
        </w:rPr>
        <w:t xml:space="preserve">la resolución de cese de los vocales del Tribunal Supremo Electoral fue adoptada legítimamente por el Congreso Nacional ya que la Constitución establecía que el Congreso era el encargado de nombrar a los vocales del Tribunal Supremo Electoral y designar sus reemplazos. Refirió que la decisión adoptada por el Congreso no violó ninguna disposición interna ni obligaciones internacionales contraídas por la República del Ecuador. </w:t>
      </w:r>
    </w:p>
    <w:p w14:paraId="2D383A3D" w14:textId="77777777" w:rsidR="005B727C" w:rsidRPr="003D08E9" w:rsidRDefault="005B727C" w:rsidP="003D08E9">
      <w:pPr>
        <w:jc w:val="both"/>
        <w:rPr>
          <w:sz w:val="20"/>
          <w:szCs w:val="20"/>
          <w:highlight w:val="yellow"/>
          <w:lang w:val="es-MX"/>
        </w:rPr>
      </w:pPr>
    </w:p>
    <w:p w14:paraId="611F0CB3" w14:textId="032A0CDA" w:rsidR="005B727C" w:rsidRPr="00D542F0"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sidRPr="00D542F0">
        <w:rPr>
          <w:rFonts w:ascii="Cambria" w:hAnsi="Cambria"/>
          <w:sz w:val="20"/>
          <w:szCs w:val="20"/>
          <w:lang w:val="es-MX"/>
        </w:rPr>
        <w:t xml:space="preserve">Con base en las determinaciones de hecho y de derecho, la Comisión Interamericana concluyó que el Estado </w:t>
      </w:r>
      <w:r w:rsidR="009D4D35">
        <w:rPr>
          <w:rFonts w:ascii="Cambria" w:hAnsi="Cambria"/>
          <w:sz w:val="20"/>
          <w:szCs w:val="20"/>
          <w:lang w:val="es-MX"/>
        </w:rPr>
        <w:t xml:space="preserve">ecuatoriano </w:t>
      </w:r>
      <w:r w:rsidRPr="00D542F0">
        <w:rPr>
          <w:rFonts w:ascii="Cambria" w:hAnsi="Cambria"/>
          <w:sz w:val="20"/>
          <w:szCs w:val="20"/>
          <w:lang w:val="es-MX"/>
        </w:rPr>
        <w:t>es responsable por la violación</w:t>
      </w:r>
      <w:r w:rsidR="008E6EBF" w:rsidRPr="00D542F0">
        <w:rPr>
          <w:rFonts w:ascii="Cambria" w:hAnsi="Cambria"/>
          <w:sz w:val="20"/>
          <w:szCs w:val="20"/>
          <w:lang w:val="es-MX"/>
        </w:rPr>
        <w:t xml:space="preserve"> de los artículos </w:t>
      </w:r>
      <w:r w:rsidR="00C732BA" w:rsidRPr="00D542F0">
        <w:rPr>
          <w:rFonts w:ascii="Cambria" w:hAnsi="Cambria" w:cs="Arial"/>
          <w:sz w:val="20"/>
          <w:szCs w:val="20"/>
          <w:lang w:val="es-MX"/>
        </w:rPr>
        <w:t>8</w:t>
      </w:r>
      <w:r w:rsidR="00CB34B5">
        <w:rPr>
          <w:rFonts w:ascii="Cambria" w:hAnsi="Cambria" w:cs="Arial"/>
          <w:sz w:val="20"/>
          <w:szCs w:val="20"/>
          <w:lang w:val="es-MX"/>
        </w:rPr>
        <w:t>.1, 8.2 b), 8.2 c), 8.2 h)</w:t>
      </w:r>
      <w:r w:rsidR="008E6EBF" w:rsidRPr="00D542F0">
        <w:rPr>
          <w:rFonts w:ascii="Cambria" w:hAnsi="Cambria" w:cs="Arial"/>
          <w:sz w:val="20"/>
          <w:szCs w:val="20"/>
          <w:lang w:val="es-MX"/>
        </w:rPr>
        <w:t xml:space="preserve"> (</w:t>
      </w:r>
      <w:r w:rsidR="00390C27" w:rsidRPr="00D542F0">
        <w:rPr>
          <w:rFonts w:ascii="Cambria" w:hAnsi="Cambria" w:cs="Arial"/>
          <w:sz w:val="20"/>
          <w:szCs w:val="20"/>
          <w:lang w:val="es-MX"/>
        </w:rPr>
        <w:t>Garantías Judiciales</w:t>
      </w:r>
      <w:r w:rsidR="008E6EBF" w:rsidRPr="00D542F0">
        <w:rPr>
          <w:rFonts w:ascii="Cambria" w:hAnsi="Cambria" w:cs="Arial"/>
          <w:sz w:val="20"/>
          <w:szCs w:val="20"/>
          <w:lang w:val="es-MX"/>
        </w:rPr>
        <w:t>)</w:t>
      </w:r>
      <w:r w:rsidR="00C732BA" w:rsidRPr="00D542F0">
        <w:rPr>
          <w:rFonts w:ascii="Cambria" w:hAnsi="Cambria" w:cs="Arial"/>
          <w:sz w:val="20"/>
          <w:szCs w:val="20"/>
          <w:lang w:val="es-MX"/>
        </w:rPr>
        <w:t>, 9</w:t>
      </w:r>
      <w:r w:rsidR="008E6EBF" w:rsidRPr="00D542F0">
        <w:rPr>
          <w:rFonts w:ascii="Cambria" w:hAnsi="Cambria" w:cs="Arial"/>
          <w:sz w:val="20"/>
          <w:szCs w:val="20"/>
          <w:lang w:val="es-MX"/>
        </w:rPr>
        <w:t xml:space="preserve"> (</w:t>
      </w:r>
      <w:r w:rsidR="00390C27" w:rsidRPr="00D542F0">
        <w:rPr>
          <w:rFonts w:ascii="Cambria" w:hAnsi="Cambria" w:cs="Arial"/>
          <w:sz w:val="20"/>
          <w:szCs w:val="20"/>
          <w:lang w:val="es-MX"/>
        </w:rPr>
        <w:t>Principio de Legalidad</w:t>
      </w:r>
      <w:r w:rsidR="008E6EBF" w:rsidRPr="00D542F0">
        <w:rPr>
          <w:rFonts w:ascii="Cambria" w:hAnsi="Cambria" w:cs="Arial"/>
          <w:sz w:val="20"/>
          <w:szCs w:val="20"/>
          <w:lang w:val="es-MX"/>
        </w:rPr>
        <w:t>) y 25</w:t>
      </w:r>
      <w:r w:rsidR="00CB34B5">
        <w:rPr>
          <w:rFonts w:ascii="Cambria" w:hAnsi="Cambria" w:cs="Arial"/>
          <w:sz w:val="20"/>
          <w:szCs w:val="20"/>
          <w:lang w:val="es-MX"/>
        </w:rPr>
        <w:t>.1</w:t>
      </w:r>
      <w:r w:rsidR="008E6EBF" w:rsidRPr="00D542F0">
        <w:rPr>
          <w:rFonts w:ascii="Cambria" w:hAnsi="Cambria" w:cs="Arial"/>
          <w:sz w:val="20"/>
          <w:szCs w:val="20"/>
          <w:lang w:val="es-MX"/>
        </w:rPr>
        <w:t xml:space="preserve"> (</w:t>
      </w:r>
      <w:r w:rsidR="00390C27" w:rsidRPr="00D542F0">
        <w:rPr>
          <w:rFonts w:ascii="Cambria" w:hAnsi="Cambria" w:cs="Arial"/>
          <w:sz w:val="20"/>
          <w:szCs w:val="20"/>
          <w:lang w:val="es-MX"/>
        </w:rPr>
        <w:t>Protección Judicial</w:t>
      </w:r>
      <w:r w:rsidR="008E6EBF" w:rsidRPr="00D542F0">
        <w:rPr>
          <w:rFonts w:ascii="Cambria" w:hAnsi="Cambria" w:cs="Arial"/>
          <w:sz w:val="20"/>
          <w:szCs w:val="20"/>
          <w:lang w:val="es-MX"/>
        </w:rPr>
        <w:t xml:space="preserve">) </w:t>
      </w:r>
      <w:r w:rsidR="00C732BA" w:rsidRPr="00D542F0">
        <w:rPr>
          <w:rFonts w:ascii="Cambria" w:hAnsi="Cambria" w:cs="Arial"/>
          <w:sz w:val="20"/>
          <w:szCs w:val="20"/>
          <w:lang w:val="es-MX"/>
        </w:rPr>
        <w:t>de la Convención Americana</w:t>
      </w:r>
      <w:r w:rsidR="008E6EBF" w:rsidRPr="00D542F0">
        <w:rPr>
          <w:rFonts w:ascii="Cambria" w:hAnsi="Cambria" w:cs="Arial"/>
          <w:sz w:val="20"/>
          <w:szCs w:val="20"/>
          <w:lang w:val="es-MX"/>
        </w:rPr>
        <w:t xml:space="preserve"> sobre Derechos Humanos (en adelante “la Convención Americana” o “la Convención”)</w:t>
      </w:r>
      <w:r w:rsidR="00C732BA" w:rsidRPr="00D542F0">
        <w:rPr>
          <w:rFonts w:ascii="Cambria" w:hAnsi="Cambria" w:cs="Arial"/>
          <w:sz w:val="20"/>
          <w:szCs w:val="20"/>
          <w:lang w:val="es-MX"/>
        </w:rPr>
        <w:t xml:space="preserve">, en relación con las obligaciones establecidas en los artículos 1.1 y 2 del mismo </w:t>
      </w:r>
      <w:r w:rsidR="008E6EBF" w:rsidRPr="00D542F0">
        <w:rPr>
          <w:rFonts w:ascii="Cambria" w:hAnsi="Cambria" w:cs="Arial"/>
          <w:sz w:val="20"/>
          <w:szCs w:val="20"/>
          <w:lang w:val="es-MX"/>
        </w:rPr>
        <w:t>instrumento</w:t>
      </w:r>
      <w:r w:rsidR="008E6EBF" w:rsidRPr="00D542F0">
        <w:rPr>
          <w:rFonts w:ascii="Cambria" w:hAnsi="Cambria"/>
          <w:sz w:val="20"/>
          <w:szCs w:val="20"/>
          <w:lang w:val="es-MX"/>
        </w:rPr>
        <w:t>. La</w:t>
      </w:r>
      <w:r w:rsidRPr="00D542F0">
        <w:rPr>
          <w:rFonts w:ascii="Cambria" w:hAnsi="Cambria"/>
          <w:sz w:val="20"/>
          <w:szCs w:val="20"/>
          <w:lang w:val="es-MX"/>
        </w:rPr>
        <w:t xml:space="preserve"> Comisión formuló las recomendaciones respectivas. </w:t>
      </w:r>
    </w:p>
    <w:p w14:paraId="7F37275C" w14:textId="77777777" w:rsidR="00D4468F" w:rsidRPr="007E779B" w:rsidRDefault="00D4468F"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01EDE9B0" w14:textId="77777777" w:rsidR="00610A15" w:rsidRPr="007E779B" w:rsidRDefault="00610A15" w:rsidP="007E779B">
      <w:pPr>
        <w:pStyle w:val="Heading1"/>
        <w:spacing w:before="0"/>
        <w:ind w:firstLine="0"/>
        <w:jc w:val="both"/>
        <w:rPr>
          <w:rFonts w:ascii="Cambria" w:hAnsi="Cambria"/>
          <w:color w:val="auto"/>
          <w:sz w:val="20"/>
          <w:szCs w:val="20"/>
          <w:lang w:val="es-VE"/>
        </w:rPr>
      </w:pPr>
      <w:bookmarkStart w:id="8" w:name="_Toc477355342"/>
      <w:bookmarkStart w:id="9" w:name="_Toc516681994"/>
      <w:r w:rsidRPr="007E779B">
        <w:rPr>
          <w:rFonts w:ascii="Cambria" w:hAnsi="Cambria"/>
          <w:color w:val="auto"/>
          <w:sz w:val="20"/>
          <w:szCs w:val="20"/>
          <w:lang w:val="es-VE"/>
        </w:rPr>
        <w:t>POSICIONES DE LAS PARTES</w:t>
      </w:r>
      <w:bookmarkEnd w:id="8"/>
      <w:bookmarkEnd w:id="9"/>
    </w:p>
    <w:p w14:paraId="1F2AC2C1" w14:textId="77777777" w:rsidR="00610A15" w:rsidRPr="007E779B" w:rsidRDefault="00610A15" w:rsidP="007E779B">
      <w:pPr>
        <w:tabs>
          <w:tab w:val="left" w:pos="1440"/>
        </w:tabs>
        <w:jc w:val="both"/>
        <w:rPr>
          <w:rFonts w:ascii="Cambria" w:hAnsi="Cambria"/>
          <w:sz w:val="20"/>
          <w:szCs w:val="20"/>
          <w:lang w:val="es-VE"/>
        </w:rPr>
      </w:pPr>
    </w:p>
    <w:p w14:paraId="467E3A56" w14:textId="77777777" w:rsidR="00610A15" w:rsidRPr="007E779B" w:rsidRDefault="00610A15" w:rsidP="007E779B">
      <w:pPr>
        <w:pStyle w:val="Heading2"/>
        <w:numPr>
          <w:ilvl w:val="0"/>
          <w:numId w:val="52"/>
        </w:numPr>
        <w:spacing w:before="0" w:after="0"/>
        <w:jc w:val="both"/>
        <w:rPr>
          <w:rFonts w:ascii="Cambria" w:hAnsi="Cambria"/>
          <w:i w:val="0"/>
          <w:sz w:val="20"/>
          <w:szCs w:val="20"/>
          <w:lang w:val="es-CO"/>
        </w:rPr>
      </w:pPr>
      <w:bookmarkStart w:id="10" w:name="_Toc423514408"/>
      <w:bookmarkStart w:id="11" w:name="_Toc441166728"/>
      <w:bookmarkStart w:id="12" w:name="_Toc477355343"/>
      <w:bookmarkStart w:id="13" w:name="_Toc516681995"/>
      <w:r w:rsidRPr="007E779B">
        <w:rPr>
          <w:rFonts w:ascii="Cambria" w:hAnsi="Cambria"/>
          <w:i w:val="0"/>
          <w:sz w:val="20"/>
          <w:szCs w:val="20"/>
          <w:lang w:val="es-VE"/>
        </w:rPr>
        <w:t>P</w:t>
      </w:r>
      <w:bookmarkEnd w:id="10"/>
      <w:bookmarkEnd w:id="11"/>
      <w:bookmarkEnd w:id="12"/>
      <w:r w:rsidR="006E24AF">
        <w:rPr>
          <w:rFonts w:ascii="Cambria" w:hAnsi="Cambria"/>
          <w:i w:val="0"/>
          <w:sz w:val="20"/>
          <w:szCs w:val="20"/>
          <w:lang w:val="es-VE"/>
        </w:rPr>
        <w:t>arte</w:t>
      </w:r>
      <w:r w:rsidR="005B727C" w:rsidRPr="007E779B">
        <w:rPr>
          <w:rFonts w:ascii="Cambria" w:hAnsi="Cambria"/>
          <w:i w:val="0"/>
          <w:sz w:val="20"/>
          <w:szCs w:val="20"/>
          <w:lang w:val="es-VE"/>
        </w:rPr>
        <w:t xml:space="preserve"> </w:t>
      </w:r>
      <w:r w:rsidR="006E24AF">
        <w:rPr>
          <w:rFonts w:ascii="Cambria" w:hAnsi="Cambria"/>
          <w:i w:val="0"/>
          <w:sz w:val="20"/>
          <w:szCs w:val="20"/>
          <w:lang w:val="es-VE"/>
        </w:rPr>
        <w:t>peticionaria</w:t>
      </w:r>
      <w:bookmarkEnd w:id="13"/>
      <w:r w:rsidR="005B727C" w:rsidRPr="007E779B">
        <w:rPr>
          <w:rFonts w:ascii="Cambria" w:hAnsi="Cambria"/>
          <w:i w:val="0"/>
          <w:sz w:val="20"/>
          <w:szCs w:val="20"/>
          <w:lang w:val="es-VE"/>
        </w:rPr>
        <w:t xml:space="preserve"> </w:t>
      </w:r>
    </w:p>
    <w:p w14:paraId="7390C603" w14:textId="77777777" w:rsidR="005B727C" w:rsidRPr="007E779B" w:rsidRDefault="005B727C"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14:paraId="140959F4" w14:textId="7D9776E1"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La parte peticionaria indicó, que los hechos y violaciones del presente caso son similares a los de los casos Quintana Coello</w:t>
      </w:r>
      <w:r w:rsidR="0019656F">
        <w:rPr>
          <w:rFonts w:ascii="Cambria" w:hAnsi="Cambria"/>
          <w:sz w:val="20"/>
          <w:szCs w:val="20"/>
          <w:lang w:val="es-MX"/>
        </w:rPr>
        <w:t xml:space="preserve"> y otros;</w:t>
      </w:r>
      <w:r w:rsidRPr="007E779B">
        <w:rPr>
          <w:rFonts w:ascii="Cambria" w:hAnsi="Cambria"/>
          <w:sz w:val="20"/>
          <w:szCs w:val="20"/>
          <w:lang w:val="es-MX"/>
        </w:rPr>
        <w:t xml:space="preserve"> y Camba Campos</w:t>
      </w:r>
      <w:r w:rsidR="0019656F">
        <w:rPr>
          <w:rFonts w:ascii="Cambria" w:hAnsi="Cambria"/>
          <w:sz w:val="20"/>
          <w:szCs w:val="20"/>
          <w:lang w:val="es-MX"/>
        </w:rPr>
        <w:t xml:space="preserve"> y otros</w:t>
      </w:r>
      <w:r w:rsidRPr="007E779B">
        <w:rPr>
          <w:rFonts w:ascii="Cambria" w:hAnsi="Cambria"/>
          <w:sz w:val="20"/>
          <w:szCs w:val="20"/>
          <w:lang w:val="es-MX"/>
        </w:rPr>
        <w:t>, decididos en su oportunidad por la Corte Interamericana</w:t>
      </w:r>
      <w:r w:rsidR="0019656F">
        <w:rPr>
          <w:rFonts w:ascii="Cambria" w:hAnsi="Cambria"/>
          <w:sz w:val="20"/>
          <w:szCs w:val="20"/>
          <w:lang w:val="es-MX"/>
        </w:rPr>
        <w:t xml:space="preserve">, relativos al cese de los magistrados de la Corte Suprema de Justicia y vocales del Tribunal Constitucional, respectivamente, en el año 2004. </w:t>
      </w:r>
    </w:p>
    <w:p w14:paraId="45CC98AB" w14:textId="77777777" w:rsidR="005B727C" w:rsidRDefault="005B727C"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446FAEA1" w14:textId="77777777" w:rsidR="00C16812" w:rsidRDefault="00C16812"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0B8B2AA3" w14:textId="77777777" w:rsidR="00C16812" w:rsidRPr="007E779B" w:rsidRDefault="00C16812"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5509A658" w14:textId="77777777" w:rsidR="005B727C" w:rsidRPr="007E779B" w:rsidRDefault="00D01FC0"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A</w:t>
      </w:r>
      <w:r w:rsidR="005B727C" w:rsidRPr="007E779B">
        <w:rPr>
          <w:rFonts w:ascii="Cambria" w:hAnsi="Cambria"/>
          <w:sz w:val="20"/>
          <w:szCs w:val="20"/>
          <w:lang w:val="es-MX"/>
        </w:rPr>
        <w:t xml:space="preserve">firmó que el día 2 de diciembre de 1998 fue designado </w:t>
      </w:r>
      <w:r w:rsidR="00622E5D">
        <w:rPr>
          <w:rFonts w:ascii="Cambria" w:hAnsi="Cambria"/>
          <w:sz w:val="20"/>
          <w:szCs w:val="20"/>
          <w:lang w:val="es-MX"/>
        </w:rPr>
        <w:t xml:space="preserve">por el Congreso de la República </w:t>
      </w:r>
      <w:r w:rsidR="005B727C" w:rsidRPr="007E779B">
        <w:rPr>
          <w:rFonts w:ascii="Cambria" w:hAnsi="Cambria"/>
          <w:sz w:val="20"/>
          <w:szCs w:val="20"/>
          <w:lang w:val="es-MX"/>
        </w:rPr>
        <w:t>como Vocal del Tribunal Supremo Electoral del Ecuador para el período 1998-2003, habiendo sido posteriormente reelegido legítimamente para desempeñarse en el cargo en el período 2003-2007.</w:t>
      </w:r>
    </w:p>
    <w:p w14:paraId="6E3F7015" w14:textId="77777777" w:rsidR="005B727C" w:rsidRPr="007E779B" w:rsidRDefault="005B727C" w:rsidP="007E779B">
      <w:pPr>
        <w:pStyle w:val="ListParagraph"/>
        <w:jc w:val="both"/>
        <w:rPr>
          <w:sz w:val="20"/>
          <w:szCs w:val="20"/>
          <w:lang w:val="es-MX"/>
        </w:rPr>
      </w:pPr>
    </w:p>
    <w:p w14:paraId="12BBC7F9" w14:textId="36B88BC0"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Indicó que tanto su elección como su reelección fueron posibilitadas por la reforma constitucional del año 1997, producto de una consulta popular realizada el día 25 de mayo de 1997. Refi</w:t>
      </w:r>
      <w:r w:rsidR="00942646">
        <w:rPr>
          <w:rFonts w:ascii="Cambria" w:hAnsi="Cambria"/>
          <w:sz w:val="20"/>
          <w:szCs w:val="20"/>
          <w:lang w:val="es-MX"/>
        </w:rPr>
        <w:t>rió que al ser designado como v</w:t>
      </w:r>
      <w:r w:rsidRPr="007E779B">
        <w:rPr>
          <w:rFonts w:ascii="Cambria" w:hAnsi="Cambria"/>
          <w:sz w:val="20"/>
          <w:szCs w:val="20"/>
          <w:lang w:val="es-MX"/>
        </w:rPr>
        <w:t xml:space="preserve">ocal, el Congreso Nacional valoró las normas constitucionales, legales y reglamentarias pertinentes y </w:t>
      </w:r>
      <w:r w:rsidR="00FC0396">
        <w:rPr>
          <w:rFonts w:ascii="Cambria" w:hAnsi="Cambria"/>
          <w:sz w:val="20"/>
          <w:szCs w:val="20"/>
          <w:lang w:val="es-MX"/>
        </w:rPr>
        <w:t>procedió a una elección de</w:t>
      </w:r>
      <w:r w:rsidRPr="007E779B">
        <w:rPr>
          <w:rFonts w:ascii="Cambria" w:hAnsi="Cambria"/>
          <w:sz w:val="20"/>
          <w:szCs w:val="20"/>
          <w:lang w:val="es-MX"/>
        </w:rPr>
        <w:t xml:space="preserve"> conformidad con el marco jurídico ecuatoriano vigente a la época de los hechos, en especial, la Ley Orgánica de Elecciones de la República del Ecuador y su Reglamento General.</w:t>
      </w:r>
    </w:p>
    <w:p w14:paraId="48F35620" w14:textId="77777777" w:rsidR="005B727C" w:rsidRPr="007E779B" w:rsidRDefault="005B727C" w:rsidP="007E779B">
      <w:pPr>
        <w:pStyle w:val="ListParagraph"/>
        <w:jc w:val="both"/>
        <w:rPr>
          <w:sz w:val="20"/>
          <w:szCs w:val="20"/>
          <w:lang w:val="es-MX"/>
        </w:rPr>
      </w:pPr>
    </w:p>
    <w:p w14:paraId="3A3BEC15" w14:textId="0533B94C"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Expresó que el 25 de noviembre de 2004 el Congreso Nacional, mediante resolución n° R-25-160, declaró que los Vocales del Tribunal Constitucional y del Tribunal Supremo Electoral fueron designados en forma ilegal, sin observar el artículo 209 de la Carta Magna</w:t>
      </w:r>
      <w:r w:rsidR="00964EE0">
        <w:rPr>
          <w:rFonts w:ascii="Cambria" w:hAnsi="Cambria"/>
          <w:sz w:val="20"/>
          <w:szCs w:val="20"/>
          <w:lang w:val="es-MX"/>
        </w:rPr>
        <w:t>, sobre todo en lo que concierne a la manera de votación</w:t>
      </w:r>
      <w:r w:rsidRPr="007E779B">
        <w:rPr>
          <w:rFonts w:ascii="Cambria" w:hAnsi="Cambria"/>
          <w:sz w:val="20"/>
          <w:szCs w:val="20"/>
          <w:lang w:val="es-MX"/>
        </w:rPr>
        <w:t xml:space="preserve">, y dispuso que se procediera a </w:t>
      </w:r>
      <w:r w:rsidR="00666014">
        <w:rPr>
          <w:rFonts w:ascii="Cambria" w:hAnsi="Cambria"/>
          <w:sz w:val="20"/>
          <w:szCs w:val="20"/>
          <w:lang w:val="es-MX"/>
        </w:rPr>
        <w:t xml:space="preserve">su remoción y a la designación de </w:t>
      </w:r>
      <w:r w:rsidRPr="007E779B">
        <w:rPr>
          <w:rFonts w:ascii="Cambria" w:hAnsi="Cambria"/>
          <w:sz w:val="20"/>
          <w:szCs w:val="20"/>
          <w:lang w:val="es-MX"/>
        </w:rPr>
        <w:t xml:space="preserve">otros vocales de acuerdo a la Constitución Política de la República y la ley, de entre las ternas recibidas en su momento por el Congreso Nacional. Resaltó que uno de los artículos de la resolución estipulaba que la misma entraría en vigencia de inmediato, sin perjuicio de su publicación en el Registro Oficial. La parte peticionaria expresó que ello era a todas luces inconstitucional. </w:t>
      </w:r>
    </w:p>
    <w:p w14:paraId="27DCAF08" w14:textId="77777777" w:rsidR="005B727C" w:rsidRPr="007E779B" w:rsidRDefault="005B727C" w:rsidP="007E779B">
      <w:pPr>
        <w:pStyle w:val="ListParagraph"/>
        <w:jc w:val="both"/>
        <w:rPr>
          <w:sz w:val="20"/>
          <w:szCs w:val="20"/>
          <w:highlight w:val="yellow"/>
          <w:lang w:val="es-MX"/>
        </w:rPr>
      </w:pPr>
    </w:p>
    <w:p w14:paraId="583391BC" w14:textId="2C584245" w:rsidR="005B727C" w:rsidRPr="00D01FC0"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D01FC0">
        <w:rPr>
          <w:rFonts w:ascii="Cambria" w:hAnsi="Cambria"/>
          <w:sz w:val="20"/>
          <w:szCs w:val="20"/>
          <w:lang w:val="es-MX"/>
        </w:rPr>
        <w:t>Indicó que, días después, el Congreso Nacional destituyó a los magistrados de la Corte Suprema de Justicia, coartando la</w:t>
      </w:r>
      <w:r w:rsidR="006B1B0B">
        <w:rPr>
          <w:rFonts w:ascii="Cambria" w:hAnsi="Cambria"/>
          <w:sz w:val="20"/>
          <w:szCs w:val="20"/>
          <w:lang w:val="es-MX"/>
        </w:rPr>
        <w:t xml:space="preserve"> independencia e imparcialidad de la</w:t>
      </w:r>
      <w:r w:rsidRPr="00D01FC0">
        <w:rPr>
          <w:rFonts w:ascii="Cambria" w:hAnsi="Cambria"/>
          <w:sz w:val="20"/>
          <w:szCs w:val="20"/>
          <w:lang w:val="es-MX"/>
        </w:rPr>
        <w:t xml:space="preserve"> administración de justicia en la República del Ecuador. </w:t>
      </w:r>
    </w:p>
    <w:p w14:paraId="4D6AAC3E" w14:textId="77777777" w:rsidR="005B727C" w:rsidRPr="007E779B" w:rsidRDefault="005B727C" w:rsidP="007E779B">
      <w:pPr>
        <w:pStyle w:val="ListParagraph"/>
        <w:jc w:val="both"/>
        <w:rPr>
          <w:sz w:val="20"/>
          <w:szCs w:val="20"/>
          <w:lang w:val="es-MX"/>
        </w:rPr>
      </w:pPr>
    </w:p>
    <w:p w14:paraId="105EA34A" w14:textId="3D6CDD78"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Refirió que la resolución citada fue violatoria de la Constitución, al desconocer que existían artículos constitucionales que regulaban el nombramiento y la duración en el cargo. Asimismo, alegó que la resolución carece de valor jurídico, por cuanto el Congreso Nacional no tiene competencias jurisdiccionales de declaratoria de ilegalidad. Añadió que la misma causó un daño irreparable al sistema democrático del Ecuador, provocando una de las mayores crisis de</w:t>
      </w:r>
      <w:r w:rsidR="00C642C3">
        <w:rPr>
          <w:rFonts w:ascii="Cambria" w:hAnsi="Cambria"/>
          <w:sz w:val="20"/>
          <w:szCs w:val="20"/>
          <w:lang w:val="es-MX"/>
        </w:rPr>
        <w:t xml:space="preserve"> la</w:t>
      </w:r>
      <w:r w:rsidRPr="007E779B">
        <w:rPr>
          <w:rFonts w:ascii="Cambria" w:hAnsi="Cambria"/>
          <w:sz w:val="20"/>
          <w:szCs w:val="20"/>
          <w:lang w:val="es-MX"/>
        </w:rPr>
        <w:t xml:space="preserve"> institucionalidad jurídica y política en el período de noviembre 2004 a abril de 2005.</w:t>
      </w:r>
    </w:p>
    <w:p w14:paraId="19AAFC6A" w14:textId="77777777" w:rsidR="005B727C" w:rsidRPr="007E779B" w:rsidRDefault="005B727C" w:rsidP="007E779B">
      <w:pPr>
        <w:pStyle w:val="ListParagraph"/>
        <w:jc w:val="both"/>
        <w:rPr>
          <w:sz w:val="20"/>
          <w:szCs w:val="20"/>
          <w:highlight w:val="yellow"/>
          <w:lang w:val="es-MX"/>
        </w:rPr>
      </w:pPr>
    </w:p>
    <w:p w14:paraId="4FA240A1" w14:textId="52140229" w:rsidR="005B727C" w:rsidRPr="00D01FC0"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D01FC0">
        <w:rPr>
          <w:rFonts w:ascii="Cambria" w:hAnsi="Cambria"/>
          <w:sz w:val="20"/>
          <w:szCs w:val="20"/>
          <w:lang w:val="es-MX"/>
        </w:rPr>
        <w:t>Sostuvo que, en caso de que su designación como Vocal hubiese sido ilegal o inconstitucional, como dispuso el Congreso Nacional al cesarlo, éste órgano se encontraba en la obligación de iniciar una acción de inconstitucionalidad o bien un juicio político por infracciones constitucionales o legales, lo cual nunca sucedió. La parte peticionaria alegó que esto último quedó evidencia</w:t>
      </w:r>
      <w:r w:rsidR="00D01FC0" w:rsidRPr="00D01FC0">
        <w:rPr>
          <w:rFonts w:ascii="Cambria" w:hAnsi="Cambria"/>
          <w:sz w:val="20"/>
          <w:szCs w:val="20"/>
          <w:lang w:val="es-MX"/>
        </w:rPr>
        <w:t xml:space="preserve">do y probado en </w:t>
      </w:r>
      <w:r w:rsidR="00C642C3">
        <w:rPr>
          <w:rFonts w:ascii="Cambria" w:hAnsi="Cambria"/>
          <w:sz w:val="20"/>
          <w:szCs w:val="20"/>
          <w:lang w:val="es-MX"/>
        </w:rPr>
        <w:t xml:space="preserve">las sentencias de la Corte Interamericana en los casos referidos anteriormente. </w:t>
      </w:r>
      <w:r w:rsidR="00D01FC0" w:rsidRPr="00D01FC0">
        <w:rPr>
          <w:rFonts w:ascii="Cambria" w:hAnsi="Cambria"/>
          <w:sz w:val="20"/>
          <w:szCs w:val="20"/>
          <w:lang w:val="es-MX"/>
        </w:rPr>
        <w:t xml:space="preserve"> </w:t>
      </w:r>
    </w:p>
    <w:p w14:paraId="1E963D54" w14:textId="77777777" w:rsidR="005B727C" w:rsidRPr="007E779B" w:rsidRDefault="005B727C" w:rsidP="007E779B">
      <w:pPr>
        <w:pStyle w:val="ListParagraph"/>
        <w:jc w:val="both"/>
        <w:rPr>
          <w:sz w:val="20"/>
          <w:szCs w:val="20"/>
          <w:lang w:val="es-MX"/>
        </w:rPr>
      </w:pPr>
    </w:p>
    <w:p w14:paraId="04BB7505" w14:textId="77E196BE"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Argumentó</w:t>
      </w:r>
      <w:r w:rsidR="00890073">
        <w:rPr>
          <w:rFonts w:ascii="Cambria" w:hAnsi="Cambria"/>
          <w:sz w:val="20"/>
          <w:szCs w:val="20"/>
          <w:lang w:val="es-MX"/>
        </w:rPr>
        <w:t xml:space="preserve"> más específicamente</w:t>
      </w:r>
      <w:r w:rsidRPr="007E779B">
        <w:rPr>
          <w:rFonts w:ascii="Cambria" w:hAnsi="Cambria"/>
          <w:sz w:val="20"/>
          <w:szCs w:val="20"/>
          <w:lang w:val="es-MX"/>
        </w:rPr>
        <w:t xml:space="preserve"> que las únicas figuras contempladas en el ordenamiento interno mediante las cuales el Congreso podía cesarlo en su cargo eran la </w:t>
      </w:r>
      <w:r w:rsidR="00890073">
        <w:rPr>
          <w:rFonts w:ascii="Cambria" w:hAnsi="Cambria"/>
          <w:sz w:val="20"/>
          <w:szCs w:val="20"/>
          <w:lang w:val="es-MX"/>
        </w:rPr>
        <w:t>“</w:t>
      </w:r>
      <w:r w:rsidRPr="007E779B">
        <w:rPr>
          <w:rFonts w:ascii="Cambria" w:hAnsi="Cambria"/>
          <w:sz w:val="20"/>
          <w:szCs w:val="20"/>
          <w:lang w:val="es-MX"/>
        </w:rPr>
        <w:t>fiscalización</w:t>
      </w:r>
      <w:r w:rsidR="00890073">
        <w:rPr>
          <w:rFonts w:ascii="Cambria" w:hAnsi="Cambria"/>
          <w:sz w:val="20"/>
          <w:szCs w:val="20"/>
          <w:lang w:val="es-MX"/>
        </w:rPr>
        <w:t>”</w:t>
      </w:r>
      <w:r w:rsidRPr="007E779B">
        <w:rPr>
          <w:rFonts w:ascii="Cambria" w:hAnsi="Cambria"/>
          <w:sz w:val="20"/>
          <w:szCs w:val="20"/>
          <w:lang w:val="es-MX"/>
        </w:rPr>
        <w:t xml:space="preserve"> y el juicio político. Respecto de la primera, alegó que no se encontraba </w:t>
      </w:r>
      <w:r w:rsidR="00F76E06">
        <w:rPr>
          <w:rFonts w:ascii="Cambria" w:hAnsi="Cambria"/>
          <w:sz w:val="20"/>
          <w:szCs w:val="20"/>
          <w:lang w:val="es-MX"/>
        </w:rPr>
        <w:t xml:space="preserve">inmerso </w:t>
      </w:r>
      <w:r w:rsidRPr="007E779B">
        <w:rPr>
          <w:rFonts w:ascii="Cambria" w:hAnsi="Cambria"/>
          <w:sz w:val="20"/>
          <w:szCs w:val="20"/>
          <w:lang w:val="es-MX"/>
        </w:rPr>
        <w:t xml:space="preserve">en ninguna de las </w:t>
      </w:r>
      <w:r w:rsidR="00D01FC0">
        <w:rPr>
          <w:rFonts w:ascii="Cambria" w:hAnsi="Cambria"/>
          <w:sz w:val="20"/>
          <w:szCs w:val="20"/>
          <w:lang w:val="es-MX"/>
        </w:rPr>
        <w:t>causales</w:t>
      </w:r>
      <w:r w:rsidRPr="007E779B">
        <w:rPr>
          <w:rFonts w:ascii="Cambria" w:hAnsi="Cambria"/>
          <w:sz w:val="20"/>
          <w:szCs w:val="20"/>
          <w:lang w:val="es-MX"/>
        </w:rPr>
        <w:t xml:space="preserve"> de excusa o impedimento para el ejercicio del cargo. En cuanto a la segunda, sostuvo que no había causa que ameritara </w:t>
      </w:r>
      <w:r w:rsidR="00F76E06">
        <w:rPr>
          <w:rFonts w:ascii="Cambria" w:hAnsi="Cambria"/>
          <w:sz w:val="20"/>
          <w:szCs w:val="20"/>
          <w:lang w:val="es-MX"/>
        </w:rPr>
        <w:t xml:space="preserve">dicho </w:t>
      </w:r>
      <w:r w:rsidRPr="007E779B">
        <w:rPr>
          <w:rFonts w:ascii="Cambria" w:hAnsi="Cambria"/>
          <w:sz w:val="20"/>
          <w:szCs w:val="20"/>
          <w:lang w:val="es-MX"/>
        </w:rPr>
        <w:t xml:space="preserve">proceso. </w:t>
      </w:r>
    </w:p>
    <w:p w14:paraId="2684E875" w14:textId="77777777" w:rsidR="005B727C" w:rsidRPr="007E779B" w:rsidRDefault="005B727C" w:rsidP="007E779B">
      <w:pPr>
        <w:pStyle w:val="ListParagraph"/>
        <w:jc w:val="both"/>
        <w:rPr>
          <w:sz w:val="20"/>
          <w:szCs w:val="20"/>
          <w:lang w:val="es-MX"/>
        </w:rPr>
      </w:pPr>
    </w:p>
    <w:p w14:paraId="53D6875A" w14:textId="77777777"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Añadió que, eventualmente, si el Congreso hubiese hecho cesar a los vocales titulares por fiscalización o juicio político, hubiese correspondido aplicar la figura de la subrogación, asumiendo los vocales suplentes la titularidad de las magistraturas electorales. No obstante, la parte peticionaria manifestó que el acuerdo del legislativo fue tan violatorio de la Constitución y los derechos humanos, que incluso se cesó a los suplentes designados.</w:t>
      </w:r>
    </w:p>
    <w:p w14:paraId="68136009" w14:textId="77777777" w:rsidR="005B727C" w:rsidRPr="00D01FC0" w:rsidRDefault="005B727C" w:rsidP="00D01FC0">
      <w:pPr>
        <w:jc w:val="both"/>
        <w:rPr>
          <w:sz w:val="20"/>
          <w:szCs w:val="20"/>
          <w:lang w:val="es-MX"/>
        </w:rPr>
      </w:pPr>
    </w:p>
    <w:p w14:paraId="4A581907" w14:textId="60D621E2" w:rsidR="005B727C" w:rsidRPr="007E779B" w:rsidRDefault="00D01FC0"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S</w:t>
      </w:r>
      <w:r w:rsidR="005B727C" w:rsidRPr="007E779B">
        <w:rPr>
          <w:rFonts w:ascii="Cambria" w:hAnsi="Cambria"/>
          <w:sz w:val="20"/>
          <w:szCs w:val="20"/>
          <w:lang w:val="es-MX"/>
        </w:rPr>
        <w:t xml:space="preserve">ostuvo que a pesar de que el Tribunal Supremo Electoral no era un órgano parte de la Función Judicial a la luz de la Constitución Política del Ecuador de 1998, éste ejercía jurisdicción material y, por lo tanto, el estándar interamericano sobre la independencia judicial es aplicable, especialmente en relación </w:t>
      </w:r>
      <w:r w:rsidR="00F76E06">
        <w:rPr>
          <w:rFonts w:ascii="Cambria" w:hAnsi="Cambria"/>
          <w:sz w:val="20"/>
          <w:szCs w:val="20"/>
          <w:lang w:val="es-MX"/>
        </w:rPr>
        <w:t>con</w:t>
      </w:r>
      <w:r w:rsidR="005B727C" w:rsidRPr="007E779B">
        <w:rPr>
          <w:rFonts w:ascii="Cambria" w:hAnsi="Cambria"/>
          <w:sz w:val="20"/>
          <w:szCs w:val="20"/>
          <w:lang w:val="es-MX"/>
        </w:rPr>
        <w:t xml:space="preserve"> la inamovilidad del cargo.</w:t>
      </w:r>
    </w:p>
    <w:p w14:paraId="30C500A1" w14:textId="77777777" w:rsidR="005B727C" w:rsidRDefault="005B727C" w:rsidP="007E779B">
      <w:pPr>
        <w:pStyle w:val="ListParagraph"/>
        <w:jc w:val="both"/>
        <w:rPr>
          <w:sz w:val="20"/>
          <w:szCs w:val="20"/>
          <w:lang w:val="es-MX"/>
        </w:rPr>
      </w:pPr>
    </w:p>
    <w:p w14:paraId="74EF6203" w14:textId="77777777" w:rsidR="00C16812" w:rsidRDefault="00C16812" w:rsidP="007E779B">
      <w:pPr>
        <w:pStyle w:val="ListParagraph"/>
        <w:jc w:val="both"/>
        <w:rPr>
          <w:sz w:val="20"/>
          <w:szCs w:val="20"/>
          <w:lang w:val="es-MX"/>
        </w:rPr>
      </w:pPr>
    </w:p>
    <w:p w14:paraId="1E901324" w14:textId="77777777" w:rsidR="00C16812" w:rsidRPr="007E779B" w:rsidRDefault="00C16812" w:rsidP="007E779B">
      <w:pPr>
        <w:pStyle w:val="ListParagraph"/>
        <w:jc w:val="both"/>
        <w:rPr>
          <w:sz w:val="20"/>
          <w:szCs w:val="20"/>
          <w:lang w:val="es-MX"/>
        </w:rPr>
      </w:pPr>
    </w:p>
    <w:p w14:paraId="2D743B2B" w14:textId="09BA4620" w:rsidR="005B727C" w:rsidRPr="004112A3"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En cuanto al derecho, la parte peticionaria argumentó la violación de los derechos a las garantías judiciales, principio de legalidad, derechos políticos y protección judicial. </w:t>
      </w:r>
    </w:p>
    <w:p w14:paraId="5F0EA2B5" w14:textId="34DCD622"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Con respecto a las</w:t>
      </w:r>
      <w:r w:rsidRPr="007E779B">
        <w:rPr>
          <w:rFonts w:ascii="Cambria" w:hAnsi="Cambria"/>
          <w:b/>
          <w:sz w:val="20"/>
          <w:szCs w:val="20"/>
          <w:lang w:val="es-MX"/>
        </w:rPr>
        <w:t xml:space="preserve"> garantías judiciales</w:t>
      </w:r>
      <w:r w:rsidRPr="007E779B">
        <w:rPr>
          <w:rFonts w:ascii="Cambria" w:hAnsi="Cambria"/>
          <w:sz w:val="20"/>
          <w:szCs w:val="20"/>
          <w:lang w:val="es-MX"/>
        </w:rPr>
        <w:t xml:space="preserve">, indicó que el Estado incumplió con su derecho a ser oído por un juez competente, independiente e imparcial, puesto que el Congreso decidió sobre una situación que repercutió en su derecho adquirido a permanecer en su cargo, sin brindarle oportunidad de expresarse al respecto y sin respetar garantías mínimas.  </w:t>
      </w:r>
    </w:p>
    <w:p w14:paraId="4F84DB89" w14:textId="77777777" w:rsidR="007B45AE" w:rsidRPr="007E779B" w:rsidRDefault="007B45AE"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36E6F22F" w14:textId="77777777" w:rsidR="005B727C"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Refirió que se violó el </w:t>
      </w:r>
      <w:r w:rsidRPr="007E779B">
        <w:rPr>
          <w:rFonts w:ascii="Cambria" w:hAnsi="Cambria"/>
          <w:b/>
          <w:sz w:val="20"/>
          <w:szCs w:val="20"/>
          <w:lang w:val="es-MX"/>
        </w:rPr>
        <w:t>principio de legalidad en relación con su derecho defensa</w:t>
      </w:r>
      <w:r w:rsidRPr="007E779B">
        <w:rPr>
          <w:rFonts w:ascii="Cambria" w:hAnsi="Cambria"/>
          <w:sz w:val="20"/>
          <w:szCs w:val="20"/>
          <w:lang w:val="es-MX"/>
        </w:rPr>
        <w:t xml:space="preserve">, porque no estaba prevista en ninguna ley la posibilidad del cese en su cargo, a través de un Decreto como el que emitió el Congreso, y añadió que la resolución carece de motivación, por lo que no se refiere a las razones y normas en las que se sustentó el cese en su cargo. </w:t>
      </w:r>
    </w:p>
    <w:p w14:paraId="54E5BFA0" w14:textId="77777777" w:rsidR="00C14CF8" w:rsidRPr="00832D69" w:rsidRDefault="00C14CF8" w:rsidP="00C14C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0CF55311" w14:textId="11DED2D7" w:rsidR="005B727C" w:rsidRPr="007E779B"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Argumentó la violación al </w:t>
      </w:r>
      <w:r w:rsidRPr="007E779B">
        <w:rPr>
          <w:rFonts w:ascii="Cambria" w:hAnsi="Cambria"/>
          <w:b/>
          <w:sz w:val="20"/>
          <w:szCs w:val="20"/>
          <w:lang w:val="es-MX"/>
        </w:rPr>
        <w:t>derecho a la protección judicial</w:t>
      </w:r>
      <w:r w:rsidR="00541F27">
        <w:rPr>
          <w:rFonts w:ascii="Cambria" w:hAnsi="Cambria"/>
          <w:sz w:val="20"/>
          <w:szCs w:val="20"/>
          <w:lang w:val="es-MX"/>
        </w:rPr>
        <w:t xml:space="preserve"> pues </w:t>
      </w:r>
      <w:r w:rsidRPr="007E779B">
        <w:rPr>
          <w:rFonts w:ascii="Cambria" w:hAnsi="Cambria"/>
          <w:sz w:val="20"/>
          <w:szCs w:val="20"/>
          <w:lang w:val="es-MX"/>
        </w:rPr>
        <w:t xml:space="preserve">si bien el recurso previsto en la Constitución vigente a la época de los hechos era la acción de amparo, este no era efectivo, ya que una resolución emitida por el Congreso establecía que la única vía para suspender los efectos de una resolución parlamentaria por supuesta violación a la Constitución era la acción de inconstitucionalidad. Expresó que la acción de inconstitucionalidad tampoco era efectiva y </w:t>
      </w:r>
      <w:r w:rsidR="00541F27">
        <w:rPr>
          <w:rFonts w:ascii="Cambria" w:hAnsi="Cambria"/>
          <w:sz w:val="20"/>
          <w:szCs w:val="20"/>
          <w:lang w:val="es-MX"/>
        </w:rPr>
        <w:t xml:space="preserve">que </w:t>
      </w:r>
      <w:r w:rsidRPr="007E779B">
        <w:rPr>
          <w:rFonts w:ascii="Cambria" w:hAnsi="Cambria"/>
          <w:sz w:val="20"/>
          <w:szCs w:val="20"/>
          <w:lang w:val="es-MX"/>
        </w:rPr>
        <w:t>su presentación hubiera producido un resultado manifiestamente absurdo debido a que una declaratoria de inconstitucionalidad de la Resolución R-25-160 hubiese tenido como efecto que los propios nuevos vocales del Tribunal Constitucional de facto declaren que sus nombramientos fueron hechos de manera arbitraria y, en consecuencia, la separación de sus cargos. En cuanto a la vía contencioso administrativa, sostuvo que no es idónea, puesto</w:t>
      </w:r>
      <w:r w:rsidR="004826C3">
        <w:rPr>
          <w:rFonts w:ascii="Cambria" w:hAnsi="Cambria"/>
          <w:sz w:val="20"/>
          <w:szCs w:val="20"/>
          <w:lang w:val="es-MX"/>
        </w:rPr>
        <w:t xml:space="preserve"> que</w:t>
      </w:r>
      <w:r w:rsidRPr="007E779B">
        <w:rPr>
          <w:rFonts w:ascii="Cambria" w:hAnsi="Cambria"/>
          <w:sz w:val="20"/>
          <w:szCs w:val="20"/>
          <w:lang w:val="es-MX"/>
        </w:rPr>
        <w:t xml:space="preserve"> esta jurisdicción estaría excluida por la Ley de la Jurisdicción Contenciosa Administrativa. </w:t>
      </w:r>
    </w:p>
    <w:p w14:paraId="3A8062E8" w14:textId="77777777" w:rsidR="005B727C" w:rsidRPr="007E779B" w:rsidRDefault="005B727C" w:rsidP="007E779B">
      <w:pPr>
        <w:pStyle w:val="ListParagraph"/>
        <w:jc w:val="both"/>
        <w:rPr>
          <w:sz w:val="20"/>
          <w:szCs w:val="20"/>
          <w:lang w:val="es-MX"/>
        </w:rPr>
      </w:pPr>
    </w:p>
    <w:p w14:paraId="6A5F2CCE" w14:textId="2C4B3FA0" w:rsidR="005B727C" w:rsidRDefault="005B727C"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Manifestó que la falta de un recurso efectivo se vio agravada por el hecho de que durante varios meses del año 2005, el país no contó con un Tribunal Constitucional, puesto que el Congreso Nacional, mediante otra resolución, había destituido a los </w:t>
      </w:r>
      <w:r w:rsidR="00E42BC7">
        <w:rPr>
          <w:rFonts w:ascii="Cambria" w:hAnsi="Cambria"/>
          <w:sz w:val="20"/>
          <w:szCs w:val="20"/>
          <w:lang w:val="es-MX"/>
        </w:rPr>
        <w:t>V</w:t>
      </w:r>
      <w:r w:rsidRPr="007E779B">
        <w:rPr>
          <w:rFonts w:ascii="Cambria" w:hAnsi="Cambria"/>
          <w:sz w:val="20"/>
          <w:szCs w:val="20"/>
          <w:lang w:val="es-MX"/>
        </w:rPr>
        <w:t>ocales que habían sido designados arbitrariamente el 25 de noviembre de 2004.</w:t>
      </w:r>
    </w:p>
    <w:p w14:paraId="6046C276" w14:textId="77777777" w:rsidR="00C14CF8" w:rsidRDefault="00C14CF8" w:rsidP="00C14CF8">
      <w:pPr>
        <w:pStyle w:val="ListParagraph"/>
        <w:rPr>
          <w:sz w:val="20"/>
          <w:szCs w:val="20"/>
          <w:lang w:val="es-MX"/>
        </w:rPr>
      </w:pPr>
    </w:p>
    <w:p w14:paraId="159F0ABA" w14:textId="77777777" w:rsidR="00C14CF8" w:rsidRPr="007E779B" w:rsidRDefault="00C14CF8"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 xml:space="preserve">La CIDH no se referirá a los argumentos relacionados con derechos políticos tomando en cuenta que en su pronunciamiento de admisibilidad declaró dichos reclamos inadmisibles. </w:t>
      </w:r>
    </w:p>
    <w:p w14:paraId="116B3D97" w14:textId="77777777" w:rsidR="00805C72" w:rsidRPr="007E779B" w:rsidRDefault="00805C72" w:rsidP="007E779B">
      <w:pPr>
        <w:jc w:val="both"/>
        <w:rPr>
          <w:rFonts w:ascii="Cambria" w:hAnsi="Cambria"/>
          <w:sz w:val="20"/>
          <w:szCs w:val="20"/>
          <w:lang w:val="es-VE"/>
        </w:rPr>
      </w:pPr>
      <w:bookmarkStart w:id="14" w:name="_Toc477355344"/>
    </w:p>
    <w:p w14:paraId="5A269049" w14:textId="77777777" w:rsidR="002D2CC4" w:rsidRPr="007E779B" w:rsidRDefault="00610A15" w:rsidP="007E779B">
      <w:pPr>
        <w:pStyle w:val="Heading2"/>
        <w:numPr>
          <w:ilvl w:val="0"/>
          <w:numId w:val="52"/>
        </w:numPr>
        <w:spacing w:before="0" w:after="0"/>
        <w:jc w:val="both"/>
        <w:rPr>
          <w:rFonts w:ascii="Cambria" w:hAnsi="Cambria"/>
          <w:i w:val="0"/>
          <w:sz w:val="20"/>
          <w:szCs w:val="20"/>
        </w:rPr>
      </w:pPr>
      <w:bookmarkStart w:id="15" w:name="_Toc516681996"/>
      <w:r w:rsidRPr="007E779B">
        <w:rPr>
          <w:rFonts w:ascii="Cambria" w:hAnsi="Cambria"/>
          <w:i w:val="0"/>
          <w:sz w:val="20"/>
          <w:szCs w:val="20"/>
        </w:rPr>
        <w:t>Posición del Estado</w:t>
      </w:r>
      <w:bookmarkEnd w:id="14"/>
      <w:bookmarkEnd w:id="15"/>
    </w:p>
    <w:p w14:paraId="147A36D6" w14:textId="77777777" w:rsidR="002D2CC4" w:rsidRPr="007E779B" w:rsidRDefault="002D2CC4"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14:paraId="2F965BF4" w14:textId="77777777" w:rsidR="002D2CC4" w:rsidRPr="007E779B" w:rsidRDefault="002D2CC4"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El Estado indicó que la Resolución R-25-160 es un acto administrativo emanado de una autoridad competente, pues la Constitución Política de la República del Ecuador de 1998 establecía que el Congreso Nacional era el encargado de nombrar a los vocales del Tribunal Supremo Electoral, conocer sus excusas y también designar sus reemplazos. </w:t>
      </w:r>
    </w:p>
    <w:p w14:paraId="36525990" w14:textId="77777777" w:rsidR="002D2CC4" w:rsidRPr="007E779B" w:rsidRDefault="002D2CC4"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1042AC74" w14:textId="744C0650" w:rsidR="002D2CC4" w:rsidRPr="007E779B" w:rsidRDefault="002D2CC4"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Sostuvo que del ordenamiento jurídico interno ecuatoriano no se desprende que existan cualidades jurisdiccionales en las funciones o atribuciones del Tribunal Supremo Electoral, y que el argumento de pretender asimilarlo con un</w:t>
      </w:r>
      <w:r w:rsidR="00E42BC7">
        <w:rPr>
          <w:rFonts w:ascii="Cambria" w:hAnsi="Cambria"/>
          <w:sz w:val="20"/>
          <w:szCs w:val="20"/>
          <w:lang w:val="es-MX"/>
        </w:rPr>
        <w:t>a autoridad j</w:t>
      </w:r>
      <w:r w:rsidRPr="007E779B">
        <w:rPr>
          <w:rFonts w:ascii="Cambria" w:hAnsi="Cambria"/>
          <w:sz w:val="20"/>
          <w:szCs w:val="20"/>
          <w:lang w:val="es-MX"/>
        </w:rPr>
        <w:t xml:space="preserve">udicial es débil por la naturaleza distinta de las funciones que desempeñan. Advirtió además que el cargo de Vocal del Tribunal Supremo no se ejerció a título de derecho subjetivo propio, sino como derecho público subjetivo en representación de la sociedad. </w:t>
      </w:r>
    </w:p>
    <w:p w14:paraId="68DE8806" w14:textId="77777777" w:rsidR="002D2CC4" w:rsidRPr="007E779B" w:rsidRDefault="002D2CC4"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3C153CA0" w14:textId="239B2100" w:rsidR="002D2CC4" w:rsidRPr="007E779B" w:rsidRDefault="0088493A"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Manifestó</w:t>
      </w:r>
      <w:r w:rsidR="002D2CC4" w:rsidRPr="007E779B">
        <w:rPr>
          <w:rFonts w:ascii="Cambria" w:hAnsi="Cambria"/>
          <w:sz w:val="20"/>
          <w:szCs w:val="20"/>
          <w:lang w:val="es-MX"/>
        </w:rPr>
        <w:t xml:space="preserve"> que, de deducirse, sin consideraciones </w:t>
      </w:r>
      <w:r w:rsidR="00D30C16">
        <w:rPr>
          <w:rFonts w:ascii="Cambria" w:hAnsi="Cambria"/>
          <w:sz w:val="20"/>
          <w:szCs w:val="20"/>
          <w:lang w:val="es-MX"/>
        </w:rPr>
        <w:t>sobre e</w:t>
      </w:r>
      <w:r w:rsidR="002D2CC4" w:rsidRPr="007E779B">
        <w:rPr>
          <w:rFonts w:ascii="Cambria" w:hAnsi="Cambria"/>
          <w:sz w:val="20"/>
          <w:szCs w:val="20"/>
          <w:lang w:val="es-MX"/>
        </w:rPr>
        <w:t>l contexto, que las resoluciones de la Corte Interamericana en los casos Camba Campos</w:t>
      </w:r>
      <w:r w:rsidR="00D30C16">
        <w:rPr>
          <w:rFonts w:ascii="Cambria" w:hAnsi="Cambria"/>
          <w:sz w:val="20"/>
          <w:szCs w:val="20"/>
          <w:lang w:val="es-MX"/>
        </w:rPr>
        <w:t xml:space="preserve"> y otros</w:t>
      </w:r>
      <w:r w:rsidR="002D2CC4" w:rsidRPr="007E779B">
        <w:rPr>
          <w:rFonts w:ascii="Cambria" w:hAnsi="Cambria"/>
          <w:sz w:val="20"/>
          <w:szCs w:val="20"/>
          <w:lang w:val="es-MX"/>
        </w:rPr>
        <w:t xml:space="preserve"> y Quintana Coello</w:t>
      </w:r>
      <w:r w:rsidR="00D30C16">
        <w:rPr>
          <w:rFonts w:ascii="Cambria" w:hAnsi="Cambria"/>
          <w:sz w:val="20"/>
          <w:szCs w:val="20"/>
          <w:lang w:val="es-MX"/>
        </w:rPr>
        <w:t xml:space="preserve"> y otros</w:t>
      </w:r>
      <w:r w:rsidR="005229EA">
        <w:rPr>
          <w:rFonts w:ascii="Cambria" w:hAnsi="Cambria"/>
          <w:sz w:val="20"/>
          <w:szCs w:val="20"/>
          <w:lang w:val="es-MX"/>
        </w:rPr>
        <w:t>,</w:t>
      </w:r>
      <w:r w:rsidR="002D2CC4" w:rsidRPr="007E779B">
        <w:rPr>
          <w:rFonts w:ascii="Cambria" w:hAnsi="Cambria"/>
          <w:sz w:val="20"/>
          <w:szCs w:val="20"/>
          <w:lang w:val="es-MX"/>
        </w:rPr>
        <w:t xml:space="preserve"> son hechos probados en el presente caso, se atentaría irremediablemente contra el derecho de defensa del Estado ecuatoriano, y los principios básicos procesales del sistema interamericano.</w:t>
      </w:r>
    </w:p>
    <w:p w14:paraId="15C395ED" w14:textId="77777777" w:rsidR="002D2CC4" w:rsidRPr="007E779B" w:rsidRDefault="002D2CC4" w:rsidP="007E779B">
      <w:pPr>
        <w:pStyle w:val="ListParagraph"/>
        <w:jc w:val="both"/>
        <w:rPr>
          <w:sz w:val="20"/>
          <w:szCs w:val="20"/>
          <w:lang w:val="es-MX"/>
        </w:rPr>
      </w:pPr>
    </w:p>
    <w:p w14:paraId="0B5B69BC" w14:textId="77777777" w:rsidR="002D2CC4" w:rsidRDefault="002D2CC4"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Asimismo, indicó que la parte peticionaria no logró demostrar satisfactoriamente las razones por las que la petición fue únicamente presentada por su persona, y no por los demás Vocales del Tribunal Supremo Electoral que, según sus afirmaciones, también fueron afectados por el Estado ecuatoriano.</w:t>
      </w:r>
    </w:p>
    <w:p w14:paraId="4CF41375" w14:textId="77777777" w:rsidR="002D2CC4" w:rsidRDefault="002D2CC4" w:rsidP="007E779B">
      <w:pPr>
        <w:pStyle w:val="ListParagraph"/>
        <w:jc w:val="both"/>
        <w:rPr>
          <w:sz w:val="20"/>
          <w:szCs w:val="20"/>
          <w:lang w:val="es-MX"/>
        </w:rPr>
      </w:pPr>
    </w:p>
    <w:p w14:paraId="183AFDE8" w14:textId="77777777" w:rsidR="00C16812" w:rsidRDefault="00C16812" w:rsidP="007E779B">
      <w:pPr>
        <w:pStyle w:val="ListParagraph"/>
        <w:jc w:val="both"/>
        <w:rPr>
          <w:sz w:val="20"/>
          <w:szCs w:val="20"/>
          <w:lang w:val="es-MX"/>
        </w:rPr>
      </w:pPr>
    </w:p>
    <w:p w14:paraId="2A2B7F1B" w14:textId="77777777" w:rsidR="00C16812" w:rsidRDefault="00C16812" w:rsidP="007E779B">
      <w:pPr>
        <w:pStyle w:val="ListParagraph"/>
        <w:jc w:val="both"/>
        <w:rPr>
          <w:sz w:val="20"/>
          <w:szCs w:val="20"/>
          <w:lang w:val="es-MX"/>
        </w:rPr>
      </w:pPr>
    </w:p>
    <w:p w14:paraId="61B7EFC5" w14:textId="77777777" w:rsidR="00C16812" w:rsidRPr="007E779B" w:rsidRDefault="00C16812" w:rsidP="007E779B">
      <w:pPr>
        <w:pStyle w:val="ListParagraph"/>
        <w:jc w:val="both"/>
        <w:rPr>
          <w:sz w:val="20"/>
          <w:szCs w:val="20"/>
          <w:lang w:val="es-MX"/>
        </w:rPr>
      </w:pPr>
    </w:p>
    <w:p w14:paraId="4A9B5841" w14:textId="114DD319" w:rsidR="002D2CC4" w:rsidRPr="007E779B" w:rsidRDefault="002D2CC4"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En cuanto al derecho, argumentó que no se violaron las</w:t>
      </w:r>
      <w:r w:rsidRPr="007E779B">
        <w:rPr>
          <w:rFonts w:ascii="Cambria" w:hAnsi="Cambria"/>
          <w:b/>
          <w:sz w:val="20"/>
          <w:szCs w:val="20"/>
          <w:lang w:val="es-MX"/>
        </w:rPr>
        <w:t xml:space="preserve"> garantías judiciales</w:t>
      </w:r>
      <w:r w:rsidRPr="007E779B">
        <w:rPr>
          <w:rFonts w:ascii="Cambria" w:hAnsi="Cambria"/>
          <w:sz w:val="20"/>
          <w:szCs w:val="20"/>
          <w:lang w:val="es-MX"/>
        </w:rPr>
        <w:t xml:space="preserve">. Refirió que la Corte Interamericana ha reconocido que las garantías judiciales no aplican de la misma manera en procesos que no son de naturaleza judicial y refirió que de la normativa vigente en la época de los hechos del presente caso se desprende que el Tribunal Supremo Electoral no era una Corte o </w:t>
      </w:r>
      <w:r w:rsidR="005229EA">
        <w:rPr>
          <w:rFonts w:ascii="Cambria" w:hAnsi="Cambria"/>
          <w:sz w:val="20"/>
          <w:szCs w:val="20"/>
          <w:lang w:val="es-MX"/>
        </w:rPr>
        <w:t>j</w:t>
      </w:r>
      <w:r w:rsidRPr="007E779B">
        <w:rPr>
          <w:rFonts w:ascii="Cambria" w:hAnsi="Cambria"/>
          <w:sz w:val="20"/>
          <w:szCs w:val="20"/>
          <w:lang w:val="es-MX"/>
        </w:rPr>
        <w:t xml:space="preserve">udicatura sino una institución con carácter operativo electoral, por lo que no resulta aplicable la garantía de ser oído por un tribunal competente, independiente e imparcial. </w:t>
      </w:r>
    </w:p>
    <w:p w14:paraId="44958CE8" w14:textId="77777777" w:rsidR="002D2CC4" w:rsidRPr="007E779B" w:rsidRDefault="002D2CC4" w:rsidP="007E779B">
      <w:pPr>
        <w:pStyle w:val="ListParagraph"/>
        <w:jc w:val="both"/>
        <w:rPr>
          <w:sz w:val="20"/>
          <w:szCs w:val="20"/>
          <w:lang w:val="es-MX"/>
        </w:rPr>
      </w:pPr>
    </w:p>
    <w:p w14:paraId="384B6B36" w14:textId="77777777" w:rsidR="002D2CC4" w:rsidRPr="007E779B" w:rsidRDefault="002D2CC4"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Refirió que no se violó el </w:t>
      </w:r>
      <w:r w:rsidRPr="007E779B">
        <w:rPr>
          <w:rFonts w:ascii="Cambria" w:hAnsi="Cambria"/>
          <w:b/>
          <w:sz w:val="20"/>
          <w:szCs w:val="20"/>
          <w:lang w:val="es-MX"/>
        </w:rPr>
        <w:t>principio de legalidad</w:t>
      </w:r>
      <w:r w:rsidRPr="007E779B">
        <w:rPr>
          <w:rFonts w:ascii="Cambria" w:hAnsi="Cambria"/>
          <w:sz w:val="20"/>
          <w:szCs w:val="20"/>
          <w:lang w:val="es-MX"/>
        </w:rPr>
        <w:t xml:space="preserve">, tomando en cuenta la naturaleza del control político ejercido. Indicó que es incomprensible que la parte peticionaria señale por un lado que existía una Ley de Elecciones como fundamento normativo, y que por otro refiera que había un “vacío de legalidad”. Refirió que la norma citada establecía las facultades de fiscalización del Congreso Nacional de manera plenamente reglada. </w:t>
      </w:r>
    </w:p>
    <w:p w14:paraId="405CC2AB" w14:textId="77777777" w:rsidR="002D2CC4" w:rsidRPr="007E779B" w:rsidRDefault="002D2CC4" w:rsidP="007E779B">
      <w:pPr>
        <w:jc w:val="both"/>
        <w:rPr>
          <w:rFonts w:ascii="Cambria" w:hAnsi="Cambria"/>
          <w:sz w:val="20"/>
          <w:szCs w:val="20"/>
          <w:lang w:val="es-MX"/>
        </w:rPr>
      </w:pPr>
    </w:p>
    <w:p w14:paraId="41A501F9" w14:textId="0E53B40C" w:rsidR="002D2CC4" w:rsidRPr="00D80650" w:rsidRDefault="00D80650" w:rsidP="00D8065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Argumentó</w:t>
      </w:r>
      <w:r w:rsidR="002D2CC4" w:rsidRPr="007E779B">
        <w:rPr>
          <w:rFonts w:ascii="Cambria" w:hAnsi="Cambria"/>
          <w:sz w:val="20"/>
          <w:szCs w:val="20"/>
          <w:lang w:val="es-MX"/>
        </w:rPr>
        <w:t xml:space="preserve"> que no se vulneró el </w:t>
      </w:r>
      <w:r w:rsidR="002D2CC4" w:rsidRPr="007E779B">
        <w:rPr>
          <w:rFonts w:ascii="Cambria" w:hAnsi="Cambria"/>
          <w:b/>
          <w:sz w:val="20"/>
          <w:szCs w:val="20"/>
          <w:lang w:val="es-MX"/>
        </w:rPr>
        <w:t>derecho a la protección judicial</w:t>
      </w:r>
      <w:r w:rsidR="002D2CC4" w:rsidRPr="007E779B">
        <w:rPr>
          <w:rFonts w:ascii="Cambria" w:hAnsi="Cambria"/>
          <w:sz w:val="20"/>
          <w:szCs w:val="20"/>
          <w:lang w:val="es-MX"/>
        </w:rPr>
        <w:t xml:space="preserve"> porque la parte peticionaria no logró demostrar la inefectividad de los recursos disponibles. Agregó que la parte peticionaria contaba también con la vía contencioso administrativa </w:t>
      </w:r>
      <w:r w:rsidR="00C759E6">
        <w:rPr>
          <w:rFonts w:ascii="Cambria" w:hAnsi="Cambria"/>
          <w:sz w:val="20"/>
          <w:szCs w:val="20"/>
          <w:lang w:val="es-MX"/>
        </w:rPr>
        <w:t>como recurso disponible contra r</w:t>
      </w:r>
      <w:r w:rsidR="002D2CC4" w:rsidRPr="007E779B">
        <w:rPr>
          <w:rFonts w:ascii="Cambria" w:hAnsi="Cambria"/>
          <w:sz w:val="20"/>
          <w:szCs w:val="20"/>
          <w:lang w:val="es-MX"/>
        </w:rPr>
        <w:t xml:space="preserve">esoluciones de órganos de la </w:t>
      </w:r>
      <w:r w:rsidR="00715999">
        <w:rPr>
          <w:rFonts w:ascii="Cambria" w:hAnsi="Cambria"/>
          <w:sz w:val="20"/>
          <w:szCs w:val="20"/>
          <w:lang w:val="es-MX"/>
        </w:rPr>
        <w:t>a</w:t>
      </w:r>
      <w:r w:rsidR="002D2CC4" w:rsidRPr="007E779B">
        <w:rPr>
          <w:rFonts w:ascii="Cambria" w:hAnsi="Cambria"/>
          <w:sz w:val="20"/>
          <w:szCs w:val="20"/>
          <w:lang w:val="es-MX"/>
        </w:rPr>
        <w:t xml:space="preserve">dministración </w:t>
      </w:r>
      <w:r w:rsidR="00715999">
        <w:rPr>
          <w:rFonts w:ascii="Cambria" w:hAnsi="Cambria"/>
          <w:sz w:val="20"/>
          <w:szCs w:val="20"/>
          <w:lang w:val="es-MX"/>
        </w:rPr>
        <w:t>p</w:t>
      </w:r>
      <w:r w:rsidR="002D2CC4" w:rsidRPr="007E779B">
        <w:rPr>
          <w:rFonts w:ascii="Cambria" w:hAnsi="Cambria"/>
          <w:sz w:val="20"/>
          <w:szCs w:val="20"/>
          <w:lang w:val="es-MX"/>
        </w:rPr>
        <w:t>ública que vulneran derechos fundamentales.</w:t>
      </w:r>
      <w:r w:rsidR="002D2CC4" w:rsidRPr="007E779B" w:rsidDel="00567D6B">
        <w:rPr>
          <w:rFonts w:ascii="Cambria" w:hAnsi="Cambria"/>
          <w:sz w:val="20"/>
          <w:szCs w:val="20"/>
          <w:lang w:val="es-MX"/>
        </w:rPr>
        <w:t xml:space="preserve"> </w:t>
      </w:r>
      <w:r>
        <w:rPr>
          <w:rFonts w:ascii="Cambria" w:hAnsi="Cambria"/>
          <w:sz w:val="20"/>
          <w:szCs w:val="20"/>
          <w:lang w:val="es-MX"/>
        </w:rPr>
        <w:t xml:space="preserve">Indicó que </w:t>
      </w:r>
      <w:r w:rsidR="002D2CC4" w:rsidRPr="00D80650">
        <w:rPr>
          <w:rFonts w:ascii="Cambria" w:hAnsi="Cambria"/>
          <w:sz w:val="20"/>
          <w:szCs w:val="20"/>
          <w:lang w:val="es-MX"/>
        </w:rPr>
        <w:t>la presunta parcialidad del Tribunal Constitucional no ha sido demostrada y</w:t>
      </w:r>
      <w:r w:rsidR="000622D9">
        <w:rPr>
          <w:rFonts w:ascii="Cambria" w:hAnsi="Cambria"/>
          <w:sz w:val="20"/>
          <w:szCs w:val="20"/>
          <w:lang w:val="es-MX"/>
        </w:rPr>
        <w:t>,</w:t>
      </w:r>
      <w:r w:rsidR="002D2CC4" w:rsidRPr="00D80650">
        <w:rPr>
          <w:rFonts w:ascii="Cambria" w:hAnsi="Cambria"/>
          <w:sz w:val="20"/>
          <w:szCs w:val="20"/>
          <w:lang w:val="es-MX"/>
        </w:rPr>
        <w:t xml:space="preserve"> por</w:t>
      </w:r>
      <w:r w:rsidR="000622D9">
        <w:rPr>
          <w:rFonts w:ascii="Cambria" w:hAnsi="Cambria"/>
          <w:sz w:val="20"/>
          <w:szCs w:val="20"/>
          <w:lang w:val="es-MX"/>
        </w:rPr>
        <w:t xml:space="preserve"> l</w:t>
      </w:r>
      <w:r w:rsidR="003876A6">
        <w:rPr>
          <w:rFonts w:ascii="Cambria" w:hAnsi="Cambria"/>
          <w:sz w:val="20"/>
          <w:szCs w:val="20"/>
          <w:lang w:val="es-MX"/>
        </w:rPr>
        <w:t>o</w:t>
      </w:r>
      <w:r w:rsidR="002D2CC4" w:rsidRPr="00D80650">
        <w:rPr>
          <w:rFonts w:ascii="Cambria" w:hAnsi="Cambria"/>
          <w:sz w:val="20"/>
          <w:szCs w:val="20"/>
          <w:lang w:val="es-MX"/>
        </w:rPr>
        <w:t xml:space="preserve"> tanto, la vía de protección judicial era expedita a nivel constitucional.</w:t>
      </w:r>
    </w:p>
    <w:p w14:paraId="72497DDA" w14:textId="77777777" w:rsidR="002D2CC4" w:rsidRPr="007E779B" w:rsidRDefault="002D2CC4" w:rsidP="007E779B">
      <w:pPr>
        <w:pStyle w:val="ListParagraph"/>
        <w:jc w:val="both"/>
        <w:rPr>
          <w:sz w:val="20"/>
          <w:szCs w:val="20"/>
          <w:highlight w:val="yellow"/>
          <w:lang w:val="es-MX"/>
        </w:rPr>
      </w:pPr>
    </w:p>
    <w:p w14:paraId="086E1094" w14:textId="354A04A6" w:rsidR="00ED1400" w:rsidRPr="00D542F0" w:rsidRDefault="002D2CC4"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 xml:space="preserve">Finalmente, en cuanto a la </w:t>
      </w:r>
      <w:r w:rsidRPr="00D80650">
        <w:rPr>
          <w:rFonts w:ascii="Cambria" w:hAnsi="Cambria"/>
          <w:b/>
          <w:sz w:val="20"/>
          <w:szCs w:val="20"/>
          <w:lang w:val="es-MX"/>
        </w:rPr>
        <w:t xml:space="preserve">obligación de </w:t>
      </w:r>
      <w:r w:rsidR="00D80650" w:rsidRPr="00D80650">
        <w:rPr>
          <w:rFonts w:ascii="Cambria" w:hAnsi="Cambria"/>
          <w:b/>
          <w:sz w:val="20"/>
          <w:szCs w:val="20"/>
          <w:lang w:val="es-MX"/>
        </w:rPr>
        <w:t>respetar los derechos</w:t>
      </w:r>
      <w:r w:rsidR="00D80650">
        <w:rPr>
          <w:rFonts w:ascii="Cambria" w:hAnsi="Cambria"/>
          <w:sz w:val="20"/>
          <w:szCs w:val="20"/>
          <w:lang w:val="es-MX"/>
        </w:rPr>
        <w:t xml:space="preserve"> de la Convención Americana</w:t>
      </w:r>
      <w:r w:rsidRPr="007E779B">
        <w:rPr>
          <w:rFonts w:ascii="Cambria" w:hAnsi="Cambria"/>
          <w:sz w:val="20"/>
          <w:szCs w:val="20"/>
          <w:lang w:val="es-MX"/>
        </w:rPr>
        <w:t xml:space="preserve"> y al </w:t>
      </w:r>
      <w:r w:rsidRPr="003876A6">
        <w:rPr>
          <w:rFonts w:ascii="Cambria" w:hAnsi="Cambria"/>
          <w:b/>
          <w:sz w:val="20"/>
          <w:szCs w:val="20"/>
          <w:lang w:val="es-MX"/>
        </w:rPr>
        <w:t>deber de adoptar disposiciones del derecho interno</w:t>
      </w:r>
      <w:r w:rsidRPr="007E779B">
        <w:rPr>
          <w:rFonts w:ascii="Cambria" w:hAnsi="Cambria"/>
          <w:sz w:val="20"/>
          <w:szCs w:val="20"/>
          <w:lang w:val="es-MX"/>
        </w:rPr>
        <w:t>, el Estado sostuvo que ha modificado sustancialmente su institucionalidad en materia electoral para adecuarse al estándar interamericano</w:t>
      </w:r>
      <w:r w:rsidR="000622D9">
        <w:rPr>
          <w:rFonts w:ascii="Cambria" w:hAnsi="Cambria"/>
          <w:sz w:val="20"/>
          <w:szCs w:val="20"/>
          <w:lang w:val="es-MX"/>
        </w:rPr>
        <w:t>;</w:t>
      </w:r>
      <w:r w:rsidRPr="007E779B">
        <w:rPr>
          <w:rFonts w:ascii="Cambria" w:hAnsi="Cambria"/>
          <w:sz w:val="20"/>
          <w:szCs w:val="20"/>
          <w:lang w:val="es-MX"/>
        </w:rPr>
        <w:t xml:space="preserve"> y que ello debe considera</w:t>
      </w:r>
      <w:r w:rsidR="000622D9">
        <w:rPr>
          <w:rFonts w:ascii="Cambria" w:hAnsi="Cambria"/>
          <w:sz w:val="20"/>
          <w:szCs w:val="20"/>
          <w:lang w:val="es-MX"/>
        </w:rPr>
        <w:t>r</w:t>
      </w:r>
      <w:r w:rsidRPr="007E779B">
        <w:rPr>
          <w:rFonts w:ascii="Cambria" w:hAnsi="Cambria"/>
          <w:sz w:val="20"/>
          <w:szCs w:val="20"/>
          <w:lang w:val="es-MX"/>
        </w:rPr>
        <w:t xml:space="preserve">se integralmente como una garantía de no repetición y observancia del contenido de las obligaciones </w:t>
      </w:r>
      <w:r w:rsidR="000622D9">
        <w:rPr>
          <w:rFonts w:ascii="Cambria" w:hAnsi="Cambria"/>
          <w:sz w:val="20"/>
          <w:szCs w:val="20"/>
          <w:lang w:val="es-MX"/>
        </w:rPr>
        <w:t>que se desprenden de dicho estándar.</w:t>
      </w:r>
    </w:p>
    <w:p w14:paraId="017EC554" w14:textId="77777777" w:rsidR="002D2CC4" w:rsidRPr="007E779B" w:rsidRDefault="002D2CC4"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764C688" w14:textId="77777777" w:rsidR="00CB37D9" w:rsidRPr="00364445" w:rsidRDefault="007B45AE" w:rsidP="007E779B">
      <w:pPr>
        <w:pStyle w:val="Heading1"/>
        <w:spacing w:before="0"/>
        <w:ind w:firstLine="0"/>
        <w:jc w:val="both"/>
        <w:rPr>
          <w:rFonts w:ascii="Cambria" w:hAnsi="Cambria"/>
          <w:color w:val="auto"/>
          <w:sz w:val="20"/>
          <w:szCs w:val="20"/>
          <w:lang w:val="es-VE"/>
        </w:rPr>
      </w:pPr>
      <w:bookmarkStart w:id="16" w:name="_Toc516681997"/>
      <w:bookmarkStart w:id="17" w:name="_Toc423514424"/>
      <w:bookmarkStart w:id="18" w:name="_Toc441166736"/>
      <w:r w:rsidRPr="00364445">
        <w:rPr>
          <w:rFonts w:ascii="Cambria" w:hAnsi="Cambria"/>
          <w:color w:val="auto"/>
          <w:sz w:val="20"/>
          <w:szCs w:val="20"/>
          <w:lang w:val="es-VE"/>
        </w:rPr>
        <w:t>DETERMINACIONES DE HECHO</w:t>
      </w:r>
      <w:bookmarkEnd w:id="16"/>
    </w:p>
    <w:p w14:paraId="70215740" w14:textId="77777777" w:rsidR="00511C91" w:rsidRPr="007E779B" w:rsidRDefault="00511C91"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lang w:val="es-CO"/>
        </w:rPr>
      </w:pPr>
    </w:p>
    <w:p w14:paraId="4A1D23C4" w14:textId="77777777" w:rsidR="005961DE" w:rsidRDefault="005961DE" w:rsidP="007E779B">
      <w:pPr>
        <w:pStyle w:val="Heading2"/>
        <w:numPr>
          <w:ilvl w:val="0"/>
          <w:numId w:val="53"/>
        </w:numPr>
        <w:spacing w:before="0" w:after="0"/>
        <w:jc w:val="both"/>
        <w:rPr>
          <w:rFonts w:ascii="Cambria" w:hAnsi="Cambria"/>
          <w:i w:val="0"/>
          <w:sz w:val="20"/>
          <w:szCs w:val="20"/>
          <w:lang w:val="es-VE"/>
        </w:rPr>
      </w:pPr>
      <w:bookmarkStart w:id="19" w:name="_Toc516681998"/>
      <w:r>
        <w:rPr>
          <w:rFonts w:ascii="Cambria" w:hAnsi="Cambria"/>
          <w:i w:val="0"/>
          <w:sz w:val="20"/>
          <w:szCs w:val="20"/>
          <w:lang w:val="es-VE"/>
        </w:rPr>
        <w:t>Contexto</w:t>
      </w:r>
      <w:bookmarkEnd w:id="19"/>
    </w:p>
    <w:p w14:paraId="5AF1F73C" w14:textId="77777777" w:rsidR="005961DE" w:rsidRDefault="005961DE" w:rsidP="005961DE">
      <w:pPr>
        <w:rPr>
          <w:lang w:val="es-VE"/>
        </w:rPr>
      </w:pPr>
    </w:p>
    <w:p w14:paraId="05918347" w14:textId="4D71D140" w:rsidR="00A541F0" w:rsidRDefault="00216B73" w:rsidP="003F345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Pr>
          <w:rFonts w:ascii="Cambria" w:hAnsi="Cambria"/>
          <w:sz w:val="20"/>
          <w:szCs w:val="20"/>
          <w:lang w:val="es-MX"/>
        </w:rPr>
        <w:t>La Comisión considera que resulta</w:t>
      </w:r>
      <w:r w:rsidR="00427999">
        <w:rPr>
          <w:rFonts w:ascii="Cambria" w:hAnsi="Cambria"/>
          <w:sz w:val="20"/>
          <w:szCs w:val="20"/>
          <w:lang w:val="es-MX"/>
        </w:rPr>
        <w:t>n</w:t>
      </w:r>
      <w:r>
        <w:rPr>
          <w:rFonts w:ascii="Cambria" w:hAnsi="Cambria"/>
          <w:sz w:val="20"/>
          <w:szCs w:val="20"/>
          <w:lang w:val="es-MX"/>
        </w:rPr>
        <w:t xml:space="preserve"> aplicable</w:t>
      </w:r>
      <w:r w:rsidR="001E50DF">
        <w:rPr>
          <w:rFonts w:ascii="Cambria" w:hAnsi="Cambria"/>
          <w:sz w:val="20"/>
          <w:szCs w:val="20"/>
          <w:lang w:val="es-MX"/>
        </w:rPr>
        <w:t>s</w:t>
      </w:r>
      <w:r>
        <w:rPr>
          <w:rFonts w:ascii="Cambria" w:hAnsi="Cambria"/>
          <w:sz w:val="20"/>
          <w:szCs w:val="20"/>
          <w:lang w:val="es-MX"/>
        </w:rPr>
        <w:t xml:space="preserve"> al presente caso </w:t>
      </w:r>
      <w:r w:rsidR="00427999">
        <w:rPr>
          <w:rFonts w:ascii="Cambria" w:hAnsi="Cambria"/>
          <w:sz w:val="20"/>
          <w:szCs w:val="20"/>
          <w:lang w:val="es-MX"/>
        </w:rPr>
        <w:t>los antecedentes y contexto</w:t>
      </w:r>
      <w:r>
        <w:rPr>
          <w:rFonts w:ascii="Cambria" w:hAnsi="Cambria"/>
          <w:sz w:val="20"/>
          <w:szCs w:val="20"/>
          <w:lang w:val="es-MX"/>
        </w:rPr>
        <w:t xml:space="preserve"> que la Corte Interamericana tuvo por acreditado</w:t>
      </w:r>
      <w:r w:rsidR="00427999">
        <w:rPr>
          <w:rFonts w:ascii="Cambria" w:hAnsi="Cambria"/>
          <w:sz w:val="20"/>
          <w:szCs w:val="20"/>
          <w:lang w:val="es-MX"/>
        </w:rPr>
        <w:t>s</w:t>
      </w:r>
      <w:r>
        <w:rPr>
          <w:rFonts w:ascii="Cambria" w:hAnsi="Cambria"/>
          <w:sz w:val="20"/>
          <w:szCs w:val="20"/>
          <w:lang w:val="es-MX"/>
        </w:rPr>
        <w:t xml:space="preserve"> en los casos</w:t>
      </w:r>
      <w:r>
        <w:rPr>
          <w:lang w:val="es-VE"/>
        </w:rPr>
        <w:t xml:space="preserve"> </w:t>
      </w:r>
      <w:r w:rsidRPr="00216B73">
        <w:rPr>
          <w:rFonts w:ascii="Cambria" w:hAnsi="Cambria"/>
          <w:sz w:val="20"/>
          <w:szCs w:val="20"/>
          <w:lang w:val="es-MX"/>
        </w:rPr>
        <w:t>Quintana Coello y Camba Campos contra Ecuador</w:t>
      </w:r>
      <w:r w:rsidR="00A541F0">
        <w:rPr>
          <w:rFonts w:ascii="Cambria" w:hAnsi="Cambria"/>
          <w:sz w:val="20"/>
          <w:szCs w:val="20"/>
          <w:lang w:val="es-MX"/>
        </w:rPr>
        <w:t xml:space="preserve">. En particular, la Comisión recapitula los siguientes: </w:t>
      </w:r>
    </w:p>
    <w:p w14:paraId="103D33B0" w14:textId="77777777" w:rsidR="003F345C" w:rsidRDefault="003F345C" w:rsidP="003F34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14:paraId="1BACA68F" w14:textId="77777777" w:rsidR="00995B59" w:rsidRPr="00995B59" w:rsidRDefault="00995B59" w:rsidP="00995B59">
      <w:pPr>
        <w:tabs>
          <w:tab w:val="left" w:pos="709"/>
        </w:tabs>
        <w:suppressAutoHyphens/>
        <w:ind w:left="720" w:right="720"/>
        <w:contextualSpacing/>
        <w:jc w:val="both"/>
        <w:rPr>
          <w:rFonts w:ascii="Cambria" w:hAnsi="Cambria" w:cs="Tahoma"/>
          <w:sz w:val="20"/>
          <w:szCs w:val="20"/>
          <w:lang w:val="es-CO"/>
        </w:rPr>
      </w:pPr>
      <w:r w:rsidRPr="00995B59">
        <w:rPr>
          <w:rFonts w:ascii="Cambria" w:hAnsi="Cambria" w:cs="Tahoma"/>
          <w:sz w:val="20"/>
          <w:szCs w:val="20"/>
          <w:lang w:val="es-CO"/>
        </w:rPr>
        <w:t xml:space="preserve">Desde 1996 hasta 2007 en Ecuador se desempeñaron siete presidentes de la República. En ese lapso ninguno de ellos pudo cumplir con el mandato constitucional de cuatro años. </w:t>
      </w:r>
    </w:p>
    <w:p w14:paraId="497E8F0B" w14:textId="77777777" w:rsidR="00995B59" w:rsidRPr="00995B59" w:rsidRDefault="00995B59" w:rsidP="00995B59">
      <w:pPr>
        <w:suppressAutoHyphens/>
        <w:ind w:left="720" w:right="720"/>
        <w:contextualSpacing/>
        <w:jc w:val="both"/>
        <w:rPr>
          <w:rFonts w:ascii="Cambria" w:hAnsi="Cambria" w:cs="Tahoma"/>
          <w:sz w:val="20"/>
          <w:szCs w:val="20"/>
          <w:lang w:val="es-CO"/>
        </w:rPr>
      </w:pPr>
      <w:r w:rsidRPr="00995B59">
        <w:rPr>
          <w:rFonts w:ascii="Cambria" w:hAnsi="Cambria" w:cs="Tahoma"/>
          <w:sz w:val="20"/>
          <w:szCs w:val="20"/>
          <w:lang w:val="es-CO"/>
        </w:rPr>
        <w:t>(…)</w:t>
      </w:r>
    </w:p>
    <w:p w14:paraId="174283B2" w14:textId="77777777" w:rsidR="00995B59" w:rsidRPr="00995B59" w:rsidRDefault="00995B59" w:rsidP="00995B59">
      <w:pPr>
        <w:suppressAutoHyphens/>
        <w:ind w:left="720" w:right="720"/>
        <w:contextualSpacing/>
        <w:jc w:val="both"/>
        <w:rPr>
          <w:rFonts w:ascii="Cambria" w:hAnsi="Cambria" w:cs="Tahoma"/>
          <w:sz w:val="20"/>
          <w:szCs w:val="20"/>
          <w:lang w:val="es-CO"/>
        </w:rPr>
      </w:pPr>
      <w:r w:rsidRPr="00995B59">
        <w:rPr>
          <w:rFonts w:ascii="Cambria" w:hAnsi="Cambria"/>
          <w:sz w:val="20"/>
          <w:szCs w:val="20"/>
          <w:lang w:val="es-CO"/>
        </w:rPr>
        <w:t xml:space="preserve">En Ecuador han sido frecuentes históricamente las reformas estructurales y en la composición de las Altas Cortes. En algunos momentos las Altas Cortes fueron intervenidas desde el poder político. Según la perita Mónica Rodríguez, propuesta por el Estado, “[e]n Ecuador, la independencia de la Corte Suprema de Justicia ha sido comprometida, y la institución instrumentalizada a lo largo de la historia”. </w:t>
      </w:r>
    </w:p>
    <w:p w14:paraId="6DC31050" w14:textId="77777777" w:rsidR="00995B59" w:rsidRPr="00995B59" w:rsidRDefault="00995B59" w:rsidP="00995B59">
      <w:pPr>
        <w:suppressAutoHyphens/>
        <w:ind w:left="720" w:right="720"/>
        <w:contextualSpacing/>
        <w:jc w:val="both"/>
        <w:rPr>
          <w:rFonts w:ascii="Cambria" w:hAnsi="Cambria" w:cs="Tahoma"/>
          <w:sz w:val="20"/>
          <w:szCs w:val="20"/>
          <w:lang w:val="es-CO"/>
        </w:rPr>
      </w:pPr>
    </w:p>
    <w:p w14:paraId="6F55C64B" w14:textId="77777777" w:rsidR="00995B59" w:rsidRPr="00995B59" w:rsidRDefault="00995B59" w:rsidP="00995B59">
      <w:pPr>
        <w:tabs>
          <w:tab w:val="left" w:pos="709"/>
        </w:tabs>
        <w:suppressAutoHyphens/>
        <w:ind w:left="720" w:right="720"/>
        <w:contextualSpacing/>
        <w:jc w:val="both"/>
        <w:rPr>
          <w:rFonts w:ascii="Cambria" w:hAnsi="Cambria" w:cs="Tahoma"/>
          <w:sz w:val="20"/>
          <w:szCs w:val="20"/>
          <w:lang w:val="es-CR"/>
        </w:rPr>
      </w:pPr>
      <w:r w:rsidRPr="00995B59">
        <w:rPr>
          <w:rFonts w:ascii="Cambria" w:hAnsi="Cambria" w:cs="Tahoma"/>
          <w:sz w:val="20"/>
          <w:szCs w:val="20"/>
          <w:lang w:val="es-CO"/>
        </w:rPr>
        <w:t>El contexto del presente caso se relaciona con los ceses del Tribunal Constitucional, el Tribunal Supremo Electoral y la Corte Suprema de Justicia del Ecuador, los cuales ocurrieron en noviembre y diciembre de 2004. Dichos ceses fueron impulsados por el Congreso Nacional</w:t>
      </w:r>
      <w:r w:rsidRPr="00995B59">
        <w:rPr>
          <w:rFonts w:ascii="Cambria" w:hAnsi="Cambria" w:cs="Tahoma"/>
          <w:sz w:val="20"/>
          <w:szCs w:val="20"/>
          <w:lang w:val="es-CR"/>
        </w:rPr>
        <w:t xml:space="preserve">. </w:t>
      </w:r>
    </w:p>
    <w:p w14:paraId="48A52767" w14:textId="77777777" w:rsidR="00995B59" w:rsidRPr="00995B59" w:rsidRDefault="00995B59" w:rsidP="00995B59">
      <w:pPr>
        <w:suppressAutoHyphens/>
        <w:ind w:left="720" w:right="720"/>
        <w:contextualSpacing/>
        <w:jc w:val="both"/>
        <w:rPr>
          <w:rFonts w:ascii="Cambria" w:hAnsi="Cambria" w:cs="Tahoma"/>
          <w:sz w:val="20"/>
          <w:szCs w:val="20"/>
          <w:lang w:val="es-CO"/>
        </w:rPr>
      </w:pPr>
      <w:r w:rsidRPr="00995B59">
        <w:rPr>
          <w:rFonts w:ascii="Cambria" w:hAnsi="Cambria" w:cs="Tahoma"/>
          <w:sz w:val="20"/>
          <w:szCs w:val="20"/>
          <w:lang w:val="es-CR"/>
        </w:rPr>
        <w:t>(…)</w:t>
      </w:r>
    </w:p>
    <w:p w14:paraId="02E57383" w14:textId="77777777" w:rsidR="00995B59" w:rsidRPr="00995B59" w:rsidRDefault="00995B59" w:rsidP="00995B59">
      <w:pPr>
        <w:suppressAutoHyphens/>
        <w:ind w:left="720" w:right="720"/>
        <w:contextualSpacing/>
        <w:jc w:val="both"/>
        <w:rPr>
          <w:rFonts w:ascii="Cambria" w:hAnsi="Cambria" w:cs="Tahoma"/>
          <w:sz w:val="20"/>
          <w:szCs w:val="20"/>
          <w:lang w:val="es-CO"/>
        </w:rPr>
      </w:pPr>
      <w:r w:rsidRPr="00995B59">
        <w:rPr>
          <w:rFonts w:ascii="Cambria" w:hAnsi="Cambria"/>
          <w:sz w:val="20"/>
          <w:szCs w:val="20"/>
          <w:lang w:val="es-CO"/>
        </w:rPr>
        <w:t xml:space="preserve">El presidente Abdalá Bucaram fue elegido el 10 de agosto de 1996, sin embargo su gobierno sólo duró 180 días, ya que fue destituido por el Congreso en febrero de 1997. </w:t>
      </w:r>
    </w:p>
    <w:p w14:paraId="378D1AF1" w14:textId="77777777" w:rsidR="00995B59" w:rsidRPr="00995B59" w:rsidRDefault="00995B59" w:rsidP="00995B59">
      <w:pPr>
        <w:suppressAutoHyphens/>
        <w:ind w:left="720" w:right="720"/>
        <w:contextualSpacing/>
        <w:jc w:val="both"/>
        <w:rPr>
          <w:rFonts w:ascii="Cambria" w:hAnsi="Cambria" w:cs="Tahoma"/>
          <w:sz w:val="20"/>
          <w:szCs w:val="20"/>
          <w:lang w:val="es-CO"/>
        </w:rPr>
      </w:pPr>
      <w:bookmarkStart w:id="20" w:name="_Ref369180585"/>
    </w:p>
    <w:p w14:paraId="3B4F6BCA" w14:textId="77777777" w:rsidR="00995B59" w:rsidRPr="00995B59" w:rsidRDefault="00995B59" w:rsidP="00995B59">
      <w:pPr>
        <w:suppressAutoHyphens/>
        <w:ind w:left="720" w:right="720"/>
        <w:contextualSpacing/>
        <w:jc w:val="both"/>
        <w:rPr>
          <w:rFonts w:ascii="Cambria" w:hAnsi="Cambria" w:cs="Tahoma"/>
          <w:sz w:val="20"/>
          <w:szCs w:val="20"/>
          <w:lang w:val="es-CO"/>
        </w:rPr>
      </w:pPr>
      <w:r w:rsidRPr="00995B59">
        <w:rPr>
          <w:rFonts w:ascii="Cambria" w:hAnsi="Cambria" w:cs="Tahoma"/>
          <w:sz w:val="20"/>
          <w:szCs w:val="20"/>
          <w:lang w:val="es-CO"/>
        </w:rPr>
        <w:t xml:space="preserve">Al ser destituido, se designó a Fabián Alarcón Rivera como Presidente de la República Interino. Dicho Presidente convocó a una consulta popular, </w:t>
      </w:r>
      <w:r w:rsidRPr="00995B59">
        <w:rPr>
          <w:rFonts w:ascii="Cambria" w:hAnsi="Cambria"/>
          <w:sz w:val="20"/>
          <w:szCs w:val="20"/>
          <w:lang w:val="es-CO"/>
        </w:rPr>
        <w:t xml:space="preserve">el 7 de abril de 1997, mediante Decreto Ejecutivo No. 201. La consulta popular tenía un objetivo político que era legitimar el </w:t>
      </w:r>
      <w:r w:rsidRPr="00995B59">
        <w:rPr>
          <w:rFonts w:ascii="Cambria" w:hAnsi="Cambria"/>
          <w:sz w:val="20"/>
          <w:szCs w:val="20"/>
          <w:lang w:val="es-CO"/>
        </w:rPr>
        <w:lastRenderedPageBreak/>
        <w:t xml:space="preserve">gobierno de Alarcón cuestionado en cuanto a la constitucionalidad de su designación. Asimismo, la consulta </w:t>
      </w:r>
      <w:r w:rsidRPr="00995B59">
        <w:rPr>
          <w:rFonts w:ascii="Cambria" w:hAnsi="Cambria" w:cs="Tahoma"/>
          <w:sz w:val="20"/>
          <w:szCs w:val="20"/>
          <w:lang w:val="es-CO"/>
        </w:rPr>
        <w:t>tenía otros dos claros objetivos: legitimar las actuaciones de los órganos públicos y reinstitucionalizar el país. La Consulta autorizó cambiar la Constitución y, además, constituyó la base para convocar a una Asamblea Constituyente.</w:t>
      </w:r>
      <w:bookmarkEnd w:id="20"/>
    </w:p>
    <w:p w14:paraId="70E705DD" w14:textId="77777777" w:rsidR="00995B59" w:rsidRPr="00995B59" w:rsidRDefault="00995B59" w:rsidP="00995B59">
      <w:pPr>
        <w:ind w:left="720" w:right="720"/>
        <w:jc w:val="both"/>
        <w:rPr>
          <w:rFonts w:ascii="Cambria" w:hAnsi="Cambria"/>
          <w:sz w:val="20"/>
          <w:szCs w:val="20"/>
          <w:lang w:val="es-CO"/>
        </w:rPr>
      </w:pPr>
      <w:r w:rsidRPr="00995B59">
        <w:rPr>
          <w:rFonts w:ascii="Cambria" w:hAnsi="Cambria"/>
          <w:sz w:val="20"/>
          <w:szCs w:val="20"/>
          <w:lang w:val="es-CO"/>
        </w:rPr>
        <w:t>(…)</w:t>
      </w:r>
    </w:p>
    <w:p w14:paraId="69D8D52F" w14:textId="77777777" w:rsidR="00995B59" w:rsidRPr="00995B59" w:rsidRDefault="00995B59" w:rsidP="00995B59">
      <w:pPr>
        <w:tabs>
          <w:tab w:val="left" w:pos="709"/>
        </w:tabs>
        <w:suppressAutoHyphens/>
        <w:ind w:left="720" w:right="720"/>
        <w:jc w:val="both"/>
        <w:rPr>
          <w:rFonts w:ascii="Cambria" w:hAnsi="Cambria" w:cs="Tahoma"/>
          <w:sz w:val="20"/>
          <w:szCs w:val="20"/>
          <w:lang w:val="es-CO"/>
        </w:rPr>
      </w:pPr>
      <w:r w:rsidRPr="00995B59">
        <w:rPr>
          <w:rFonts w:ascii="Cambria" w:hAnsi="Cambria" w:cs="Tahoma"/>
          <w:sz w:val="20"/>
          <w:szCs w:val="20"/>
          <w:lang w:val="es-CO"/>
        </w:rPr>
        <w:t xml:space="preserve">El 25 de mayo de 1997 tuvo lugar la Consulta Popular y todas las preguntas de la consulta fueron contestadas mayoritariamente de forma afirmativa. </w:t>
      </w:r>
    </w:p>
    <w:p w14:paraId="3E776D7A" w14:textId="77777777" w:rsidR="00995B59" w:rsidRPr="00995B59" w:rsidRDefault="00995B59" w:rsidP="00995B59">
      <w:pPr>
        <w:suppressAutoHyphens/>
        <w:ind w:left="720" w:right="720"/>
        <w:jc w:val="both"/>
        <w:rPr>
          <w:rFonts w:ascii="Cambria" w:hAnsi="Cambria" w:cs="Tahoma"/>
          <w:sz w:val="20"/>
          <w:szCs w:val="20"/>
          <w:lang w:val="es-CO"/>
        </w:rPr>
      </w:pPr>
      <w:r w:rsidRPr="00995B59">
        <w:rPr>
          <w:rFonts w:ascii="Cambria" w:hAnsi="Cambria" w:cs="Tahoma"/>
          <w:sz w:val="20"/>
          <w:szCs w:val="20"/>
          <w:lang w:val="es-CO"/>
        </w:rPr>
        <w:t>(…)</w:t>
      </w:r>
    </w:p>
    <w:p w14:paraId="1E28154F" w14:textId="77777777" w:rsidR="0054044C" w:rsidRDefault="00995B59" w:rsidP="0054044C">
      <w:pPr>
        <w:ind w:left="720" w:right="720"/>
        <w:jc w:val="both"/>
        <w:rPr>
          <w:rFonts w:ascii="Cambria" w:hAnsi="Cambria"/>
          <w:sz w:val="20"/>
          <w:szCs w:val="20"/>
          <w:lang w:val="es-CO"/>
        </w:rPr>
      </w:pPr>
      <w:r w:rsidRPr="00995B59">
        <w:rPr>
          <w:rFonts w:ascii="Cambria" w:hAnsi="Cambria"/>
          <w:sz w:val="20"/>
          <w:szCs w:val="20"/>
          <w:lang w:val="es-CO"/>
        </w:rPr>
        <w:t xml:space="preserve">Como se mencionó anteriormente, en la consulta popular también se aceptó la creación de una Asamblea Nacional Constituyente. (…) </w:t>
      </w:r>
      <w:r w:rsidRPr="00995B59">
        <w:rPr>
          <w:rFonts w:ascii="Cambria" w:hAnsi="Cambria" w:cs="Tahoma"/>
          <w:sz w:val="20"/>
          <w:szCs w:val="20"/>
          <w:lang w:val="es-CO"/>
        </w:rPr>
        <w:t>La Asamblea aprobó la nueva Constitución Política de la República del Ecuador, la cual fue publicada el 11 de agosto de 1998.</w:t>
      </w:r>
      <w:bookmarkStart w:id="21" w:name="_Ref369180478"/>
    </w:p>
    <w:p w14:paraId="0778EEC4" w14:textId="77777777" w:rsidR="0054044C" w:rsidRDefault="0054044C" w:rsidP="0054044C">
      <w:pPr>
        <w:ind w:left="720" w:right="720"/>
        <w:jc w:val="both"/>
        <w:rPr>
          <w:rFonts w:ascii="Cambria" w:hAnsi="Cambria"/>
          <w:sz w:val="20"/>
          <w:szCs w:val="20"/>
          <w:lang w:val="es-CO"/>
        </w:rPr>
      </w:pPr>
    </w:p>
    <w:p w14:paraId="77E52DC2" w14:textId="456C7FFD" w:rsidR="0054044C" w:rsidRPr="0054044C" w:rsidRDefault="00995B59" w:rsidP="0054044C">
      <w:pPr>
        <w:ind w:left="720" w:right="720"/>
        <w:jc w:val="both"/>
        <w:rPr>
          <w:rFonts w:ascii="Cambria" w:hAnsi="Cambria"/>
          <w:sz w:val="20"/>
          <w:szCs w:val="20"/>
          <w:lang w:val="es-CO"/>
        </w:rPr>
      </w:pPr>
      <w:r w:rsidRPr="00995B59">
        <w:rPr>
          <w:rFonts w:ascii="Cambria" w:hAnsi="Cambria" w:cs="Tahoma"/>
          <w:sz w:val="20"/>
          <w:szCs w:val="20"/>
          <w:lang w:val="es-CO"/>
        </w:rPr>
        <w:t>La nueva Constitución consagró normas para garantizar la independencia judicial. En primer lugar, estableció el principio de división de poderes y de independencia judicial mediante el artículo 199. En segundo lugar, determinó que en derecho público los poderes públicos sólo pueden hacer lo que está establecido en la Constitución y privó de competencia al Congreso Nacional para conocer asuntos de la Función Judicial</w:t>
      </w:r>
      <w:r w:rsidRPr="00995B59">
        <w:rPr>
          <w:rStyle w:val="FootnoteReference"/>
          <w:rFonts w:ascii="Cambria" w:hAnsi="Cambria"/>
          <w:sz w:val="20"/>
          <w:szCs w:val="20"/>
          <w:lang w:val="es-MX"/>
        </w:rPr>
        <w:footnoteReference w:id="2"/>
      </w:r>
      <w:r w:rsidRPr="00995B59">
        <w:rPr>
          <w:rFonts w:ascii="Cambria" w:hAnsi="Cambria" w:cs="Tahoma"/>
          <w:sz w:val="20"/>
          <w:szCs w:val="20"/>
          <w:lang w:val="es-CO"/>
        </w:rPr>
        <w:t>.</w:t>
      </w:r>
      <w:bookmarkEnd w:id="21"/>
      <w:r w:rsidRPr="00995B59">
        <w:rPr>
          <w:rFonts w:ascii="Cambria" w:hAnsi="Cambria" w:cs="Tahoma"/>
          <w:sz w:val="20"/>
          <w:szCs w:val="20"/>
          <w:lang w:val="es-CO"/>
        </w:rPr>
        <w:t xml:space="preserve"> </w:t>
      </w:r>
    </w:p>
    <w:p w14:paraId="2E19687F" w14:textId="77777777" w:rsidR="0054044C" w:rsidRPr="008E78CC" w:rsidRDefault="0054044C" w:rsidP="006333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14:paraId="3A1E9748" w14:textId="7F965C9F" w:rsidR="00F73497" w:rsidRPr="007E779B" w:rsidRDefault="00423F48" w:rsidP="007E779B">
      <w:pPr>
        <w:pStyle w:val="Heading2"/>
        <w:numPr>
          <w:ilvl w:val="0"/>
          <w:numId w:val="53"/>
        </w:numPr>
        <w:spacing w:before="0" w:after="0"/>
        <w:jc w:val="both"/>
        <w:rPr>
          <w:rFonts w:ascii="Cambria" w:hAnsi="Cambria"/>
          <w:i w:val="0"/>
          <w:sz w:val="20"/>
          <w:szCs w:val="20"/>
          <w:lang w:val="es-VE"/>
        </w:rPr>
      </w:pPr>
      <w:bookmarkStart w:id="22" w:name="_Toc516681999"/>
      <w:r w:rsidRPr="007E779B">
        <w:rPr>
          <w:rFonts w:ascii="Cambria" w:hAnsi="Cambria"/>
          <w:i w:val="0"/>
          <w:sz w:val="20"/>
          <w:szCs w:val="20"/>
          <w:lang w:val="es-VE"/>
        </w:rPr>
        <w:t xml:space="preserve">Marco </w:t>
      </w:r>
      <w:r w:rsidR="008B4B8A">
        <w:rPr>
          <w:rFonts w:ascii="Cambria" w:hAnsi="Cambria"/>
          <w:i w:val="0"/>
          <w:sz w:val="20"/>
          <w:szCs w:val="20"/>
          <w:lang w:val="es-VE"/>
        </w:rPr>
        <w:t>n</w:t>
      </w:r>
      <w:r w:rsidRPr="007E779B">
        <w:rPr>
          <w:rFonts w:ascii="Cambria" w:hAnsi="Cambria"/>
          <w:i w:val="0"/>
          <w:sz w:val="20"/>
          <w:szCs w:val="20"/>
          <w:lang w:val="es-VE"/>
        </w:rPr>
        <w:t xml:space="preserve">ormativo </w:t>
      </w:r>
      <w:r w:rsidR="00C87A5F">
        <w:rPr>
          <w:rFonts w:ascii="Cambria" w:hAnsi="Cambria"/>
          <w:i w:val="0"/>
          <w:sz w:val="20"/>
          <w:szCs w:val="20"/>
          <w:lang w:val="es-VE"/>
        </w:rPr>
        <w:t>relevante</w:t>
      </w:r>
      <w:bookmarkEnd w:id="22"/>
      <w:r w:rsidRPr="007E779B">
        <w:rPr>
          <w:rFonts w:ascii="Cambria" w:hAnsi="Cambria"/>
          <w:i w:val="0"/>
          <w:sz w:val="20"/>
          <w:szCs w:val="20"/>
          <w:lang w:val="es-VE"/>
        </w:rPr>
        <w:t xml:space="preserve"> </w:t>
      </w:r>
    </w:p>
    <w:p w14:paraId="429E781A" w14:textId="77777777" w:rsidR="005D3632" w:rsidRPr="007E779B" w:rsidRDefault="005D3632" w:rsidP="007E779B">
      <w:pPr>
        <w:jc w:val="both"/>
        <w:rPr>
          <w:rFonts w:ascii="Cambria" w:hAnsi="Cambria"/>
          <w:sz w:val="20"/>
          <w:szCs w:val="20"/>
          <w:lang w:val="es-VE"/>
        </w:rPr>
      </w:pPr>
    </w:p>
    <w:p w14:paraId="54725A35" w14:textId="77777777" w:rsidR="005D3632" w:rsidRPr="007E779B" w:rsidRDefault="005D3632" w:rsidP="0090741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7E779B">
        <w:rPr>
          <w:rFonts w:ascii="Cambria" w:hAnsi="Cambria"/>
          <w:sz w:val="20"/>
          <w:szCs w:val="20"/>
          <w:lang w:val="es-MX"/>
        </w:rPr>
        <w:t>La Constitución Política de la República del Ecuador de 1998</w:t>
      </w:r>
      <w:r w:rsidRPr="007E779B">
        <w:rPr>
          <w:rStyle w:val="FootnoteReference"/>
          <w:rFonts w:ascii="Cambria" w:hAnsi="Cambria"/>
          <w:sz w:val="20"/>
          <w:szCs w:val="20"/>
        </w:rPr>
        <w:footnoteReference w:id="3"/>
      </w:r>
      <w:r w:rsidRPr="007E779B">
        <w:rPr>
          <w:rFonts w:ascii="Cambria" w:hAnsi="Cambria"/>
          <w:sz w:val="20"/>
          <w:szCs w:val="20"/>
          <w:lang w:val="es-MX"/>
        </w:rPr>
        <w:t xml:space="preserve"> estipula, en lo pertinente:</w:t>
      </w:r>
    </w:p>
    <w:p w14:paraId="41FB7826" w14:textId="77777777" w:rsidR="005D3632" w:rsidRPr="007E779B" w:rsidRDefault="005D3632"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673D1BED" w14:textId="77777777" w:rsidR="005D3632" w:rsidRPr="007E779B" w:rsidRDefault="001F2AF1"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7E779B">
        <w:rPr>
          <w:rFonts w:ascii="Cambria" w:eastAsia="Calibri" w:hAnsi="Cambria" w:cs="Cambria"/>
          <w:color w:val="000000"/>
          <w:sz w:val="20"/>
          <w:szCs w:val="20"/>
          <w:u w:color="000000"/>
          <w:bdr w:val="none" w:sz="0" w:space="0" w:color="auto"/>
          <w:lang w:val="es-MX" w:eastAsia="es-ES"/>
        </w:rPr>
        <w:t>Artículo 130. El Congreso Nacional tendrá los siguientes deberes y atribuciones: (…)</w:t>
      </w:r>
    </w:p>
    <w:p w14:paraId="2E652FEF"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7E779B">
        <w:rPr>
          <w:rFonts w:ascii="Cambria" w:eastAsia="Calibri" w:hAnsi="Cambria" w:cs="Cambria"/>
          <w:color w:val="000000"/>
          <w:sz w:val="20"/>
          <w:szCs w:val="20"/>
          <w:u w:color="000000"/>
          <w:bdr w:val="none" w:sz="0" w:space="0" w:color="auto"/>
          <w:lang w:val="es-MX" w:eastAsia="es-ES"/>
        </w:rPr>
        <w:t>9. Proceder al enjuiciamiento político, a solicitud de al menos una cuarta parte de los integrantes del Congreso Nacional, (…) de los vocales del Tribunal Constitucional y del Tribunal Supremo Electoral, durante el ejercicio de sus funciones y hasta un año después de terminadas.</w:t>
      </w:r>
    </w:p>
    <w:p w14:paraId="7AECBFAF"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7E779B">
        <w:rPr>
          <w:rFonts w:ascii="Cambria" w:eastAsia="Calibri" w:hAnsi="Cambria" w:cs="Cambria"/>
          <w:color w:val="000000"/>
          <w:sz w:val="20"/>
          <w:szCs w:val="20"/>
          <w:u w:color="000000"/>
          <w:bdr w:val="none" w:sz="0" w:space="0" w:color="auto"/>
          <w:lang w:val="es-MX" w:eastAsia="es-ES"/>
        </w:rPr>
        <w:t>(…) podrán ser enjuiciados políticamente por infracciones constitucionales o legales, cometidas en el desempeño del cargo. El Congreso podrá censurarlos en el caso de declaratoria de culpabilidad, por mayoría de sus integrantes.</w:t>
      </w:r>
    </w:p>
    <w:p w14:paraId="678290F0"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7E779B">
        <w:rPr>
          <w:rFonts w:ascii="Cambria" w:eastAsia="Calibri" w:hAnsi="Cambria" w:cs="Cambria"/>
          <w:color w:val="000000"/>
          <w:sz w:val="20"/>
          <w:szCs w:val="20"/>
          <w:u w:color="000000"/>
          <w:bdr w:val="none" w:sz="0" w:space="0" w:color="auto"/>
          <w:lang w:val="es-MX" w:eastAsia="es-ES"/>
        </w:rPr>
        <w:t>La censura producirá la inmediata destitución del funcionario, salvo en el caso de los ministros de estado, cuya permanencia en el cargo corresponderá decidir al Presidente de la República.</w:t>
      </w:r>
    </w:p>
    <w:p w14:paraId="16FF247A" w14:textId="77777777" w:rsidR="005D3632" w:rsidRPr="007E779B" w:rsidRDefault="005D3632" w:rsidP="00A810C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eastAsia="Calibri"/>
          <w:bCs/>
          <w:sz w:val="20"/>
          <w:szCs w:val="20"/>
          <w:bdr w:val="none" w:sz="0" w:space="0" w:color="auto"/>
          <w:lang w:val="es-MX"/>
        </w:rPr>
      </w:pPr>
      <w:r w:rsidRPr="007E779B">
        <w:rPr>
          <w:rFonts w:eastAsia="Calibri"/>
          <w:bCs/>
          <w:sz w:val="20"/>
          <w:szCs w:val="20"/>
          <w:bdr w:val="none" w:sz="0" w:space="0" w:color="auto"/>
          <w:lang w:val="es-MX"/>
        </w:rPr>
        <w:t>11. Nombrar (…) a los vocales del Tribunal Constitucional y Tribunal Supremo Electoral (…) conocer sus excusas o renuncias, y designar a sus reemplazos.</w:t>
      </w:r>
    </w:p>
    <w:p w14:paraId="55271544" w14:textId="77777777" w:rsidR="005D3632" w:rsidRPr="007E779B" w:rsidRDefault="005D3632" w:rsidP="00A810C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eastAsia="Calibri"/>
          <w:bCs/>
          <w:sz w:val="20"/>
          <w:szCs w:val="20"/>
          <w:bdr w:val="none" w:sz="0" w:space="0" w:color="auto"/>
          <w:lang w:val="es-MX"/>
        </w:rPr>
      </w:pPr>
      <w:r w:rsidRPr="007E779B">
        <w:rPr>
          <w:rFonts w:eastAsia="Calibri"/>
          <w:bCs/>
          <w:sz w:val="20"/>
          <w:szCs w:val="20"/>
          <w:bdr w:val="none" w:sz="0" w:space="0" w:color="auto"/>
          <w:lang w:val="es-MX"/>
        </w:rPr>
        <w:t>En los casos en que los nombramientos procedan de ternas, éstas deberán ser presentadas dentro de los veinte días subsiguientes a la vacancia del cargo. De no recibirse tales ternas en este plazo, el Congreso procederá a los nombramientos, sin ellas.</w:t>
      </w:r>
    </w:p>
    <w:p w14:paraId="5767AD57" w14:textId="77777777" w:rsidR="005D3632" w:rsidRPr="007E779B" w:rsidRDefault="005D3632" w:rsidP="00A810C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eastAsia="Calibri"/>
          <w:sz w:val="20"/>
          <w:szCs w:val="20"/>
          <w:bdr w:val="none" w:sz="0" w:space="0" w:color="auto"/>
          <w:lang w:val="es-MX"/>
        </w:rPr>
      </w:pPr>
      <w:r w:rsidRPr="007E779B">
        <w:rPr>
          <w:rFonts w:eastAsia="Calibri"/>
          <w:bCs/>
          <w:sz w:val="20"/>
          <w:szCs w:val="20"/>
          <w:bdr w:val="none" w:sz="0" w:space="0" w:color="auto"/>
          <w:lang w:val="es-MX"/>
        </w:rPr>
        <w:t>El Congreso Nacional efectuará las designaciones dentro del plazo de treinta días contados a partir de la fecha de recepción de cada terna. De no hacerlo, se entenderá designada la persona que conste en el primer lugar de dicha terna. (…)</w:t>
      </w:r>
    </w:p>
    <w:p w14:paraId="3F71C211" w14:textId="77777777" w:rsidR="005D3632" w:rsidRPr="007E779B" w:rsidRDefault="001F2AF1"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color w:val="000000"/>
          <w:sz w:val="20"/>
          <w:szCs w:val="20"/>
          <w:u w:color="000000"/>
          <w:bdr w:val="none" w:sz="0" w:space="0" w:color="auto"/>
          <w:lang w:val="es-ES" w:eastAsia="es-ES"/>
        </w:rPr>
        <w:t xml:space="preserve">Artículo 209. </w:t>
      </w:r>
      <w:r w:rsidRPr="007E779B">
        <w:rPr>
          <w:rFonts w:ascii="Cambria" w:eastAsia="Calibri" w:hAnsi="Cambria" w:cs="Cambria"/>
          <w:bCs/>
          <w:color w:val="000000"/>
          <w:sz w:val="20"/>
          <w:szCs w:val="20"/>
          <w:u w:color="000000"/>
          <w:bdr w:val="none" w:sz="0" w:space="0" w:color="auto"/>
          <w:lang w:val="es-MX" w:eastAsia="es-ES"/>
        </w:rPr>
        <w:t xml:space="preserve">El Tribunal Supremo Electoral, con sede en Quito y jurisdicción en el territorio nacional, es persona jurídica de derecho público. Gozará de autonomía administrativa y económica, para su organización y el cumplimiento de sus funciones de organizar, dirigir, vigilar y garantizar los procesos electorales, y juzgar las cuentas que rindan los partidos, </w:t>
      </w:r>
      <w:r w:rsidRPr="007E779B">
        <w:rPr>
          <w:rFonts w:ascii="Cambria" w:eastAsia="Calibri" w:hAnsi="Cambria" w:cs="Cambria"/>
          <w:bCs/>
          <w:color w:val="000000"/>
          <w:sz w:val="20"/>
          <w:szCs w:val="20"/>
          <w:u w:color="000000"/>
          <w:bdr w:val="none" w:sz="0" w:space="0" w:color="auto"/>
          <w:lang w:val="es-MX" w:eastAsia="es-ES"/>
        </w:rPr>
        <w:lastRenderedPageBreak/>
        <w:t>movimientos políticos, organizaciones y candidatos, sobre el monto, origen y destino de los recursos que utilicen en las campañas electorales.</w:t>
      </w:r>
      <w:r w:rsidR="005D3632" w:rsidRPr="007E779B">
        <w:rPr>
          <w:rFonts w:ascii="Cambria" w:eastAsia="Calibri" w:hAnsi="Cambria" w:cs="Cambria"/>
          <w:bCs/>
          <w:color w:val="000000"/>
          <w:sz w:val="20"/>
          <w:szCs w:val="20"/>
          <w:u w:color="000000"/>
          <w:bdr w:val="none" w:sz="0" w:space="0" w:color="auto"/>
          <w:lang w:val="es-MX" w:eastAsia="es-ES"/>
        </w:rPr>
        <w:t xml:space="preserve"> </w:t>
      </w:r>
    </w:p>
    <w:p w14:paraId="0A2EC964"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Su organización, deberes y atribuciones se determinarán en la ley.</w:t>
      </w:r>
    </w:p>
    <w:p w14:paraId="3FF0B22F"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Se integrará con siete vocales principales, quienes tendrán sus respectivos suplentes, en representación de los partidos políticos, movimientos o alianzas políticas que hayan obtenido las más altas votaciones en las últimas elecciones pluripersonales, en el ámbito nacional, los que presentarán al Congreso Nacional las ternas de las que se elegirán los vocales principales y suplentes.</w:t>
      </w:r>
    </w:p>
    <w:p w14:paraId="0FF0790A" w14:textId="77777777" w:rsidR="00C759E6"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Los vocales serán designados por la mayoría de los integrantes del Congreso, permanecerán cuatro años en sus fu</w:t>
      </w:r>
      <w:r w:rsidR="00C759E6">
        <w:rPr>
          <w:rFonts w:ascii="Cambria" w:eastAsia="Calibri" w:hAnsi="Cambria" w:cs="Cambria"/>
          <w:bCs/>
          <w:color w:val="000000"/>
          <w:sz w:val="20"/>
          <w:szCs w:val="20"/>
          <w:u w:color="000000"/>
          <w:bdr w:val="none" w:sz="0" w:space="0" w:color="auto"/>
          <w:lang w:val="es-MX" w:eastAsia="es-ES"/>
        </w:rPr>
        <w:t>nciones y podrán ser reelegidos (…)</w:t>
      </w:r>
    </w:p>
    <w:p w14:paraId="17601E72"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Artículo 276. Competerá al Tribunal Constitucional:</w:t>
      </w:r>
    </w:p>
    <w:p w14:paraId="5D7CBC86"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1.</w:t>
      </w:r>
      <w:r w:rsidRPr="007E779B">
        <w:rPr>
          <w:rFonts w:ascii="Cambria" w:eastAsia="Calibri" w:hAnsi="Cambria" w:cs="Cambria"/>
          <w:bCs/>
          <w:color w:val="000000"/>
          <w:sz w:val="20"/>
          <w:szCs w:val="20"/>
          <w:u w:color="000000"/>
          <w:bdr w:val="none" w:sz="0" w:space="0" w:color="auto"/>
          <w:lang w:val="es-MX" w:eastAsia="es-ES"/>
        </w:rPr>
        <w:tab/>
        <w:t>Conocer y resolver las demandas de inconstitucionalidad, de fondo o de forma, que se presenten sobre leyes orgánicas y ordinarias, decretos-leyes, decretos, ordenanzas; estatutos, reglamentos y resoluciones, emitidos por órganos de las instituciones del Estado, y suspender total o parcialmente sus efectos.</w:t>
      </w:r>
    </w:p>
    <w:p w14:paraId="15595AF7" w14:textId="77777777" w:rsidR="005D3632" w:rsidRPr="007E779B" w:rsidRDefault="005D3632"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2.</w:t>
      </w:r>
      <w:r w:rsidRPr="007E779B">
        <w:rPr>
          <w:rFonts w:ascii="Cambria" w:eastAsia="Calibri" w:hAnsi="Cambria" w:cs="Cambria"/>
          <w:bCs/>
          <w:color w:val="000000"/>
          <w:sz w:val="20"/>
          <w:szCs w:val="20"/>
          <w:u w:color="000000"/>
          <w:bdr w:val="none" w:sz="0" w:space="0" w:color="auto"/>
          <w:lang w:val="es-MX" w:eastAsia="es-ES"/>
        </w:rPr>
        <w:tab/>
        <w:t>Conocer y resolver sobre la inconstitucionalidad de los actos administrativos de toda autoridad pública. La declaratoria de inconstitucionalidad conlleva la revocatoria del acto, sin perjuicio de que el órgano administrativo adopte las medidas necesarias para preservar el respeto a las normas constitucionales. (…)</w:t>
      </w:r>
    </w:p>
    <w:p w14:paraId="200379FE" w14:textId="673552C1" w:rsidR="005D3632" w:rsidRPr="007E779B" w:rsidRDefault="001F2AF1" w:rsidP="00A810C0">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bCs/>
          <w:color w:val="000000"/>
          <w:sz w:val="20"/>
          <w:szCs w:val="20"/>
          <w:u w:color="000000"/>
          <w:bdr w:val="none" w:sz="0" w:space="0" w:color="auto"/>
          <w:lang w:val="es-MX" w:eastAsia="es-ES"/>
        </w:rPr>
      </w:pPr>
      <w:r w:rsidRPr="007E779B">
        <w:rPr>
          <w:rFonts w:ascii="Cambria" w:eastAsia="Calibri" w:hAnsi="Cambria" w:cs="Cambria"/>
          <w:bCs/>
          <w:color w:val="000000"/>
          <w:sz w:val="20"/>
          <w:szCs w:val="20"/>
          <w:u w:color="000000"/>
          <w:bdr w:val="none" w:sz="0" w:space="0" w:color="auto"/>
          <w:lang w:val="es-MX" w:eastAsia="es-ES"/>
        </w:rPr>
        <w:t xml:space="preserve">Artículo 277. Las demandas de inconstitucionalidad podrán ser presentadas por: </w:t>
      </w:r>
      <w:r w:rsidR="005D3632" w:rsidRPr="007E779B">
        <w:rPr>
          <w:rFonts w:ascii="Cambria" w:eastAsia="Calibri" w:hAnsi="Cambria" w:cs="Cambria"/>
          <w:bCs/>
          <w:color w:val="000000"/>
          <w:sz w:val="20"/>
          <w:szCs w:val="20"/>
          <w:u w:color="000000"/>
          <w:bdr w:val="none" w:sz="0" w:space="0" w:color="auto"/>
          <w:lang w:val="es-MX" w:eastAsia="es-ES"/>
        </w:rPr>
        <w:t xml:space="preserve"> (…) </w:t>
      </w:r>
      <w:r w:rsidRPr="007E779B">
        <w:rPr>
          <w:rFonts w:ascii="Cambria" w:eastAsia="Calibri" w:hAnsi="Cambria" w:cs="Cambria"/>
          <w:bCs/>
          <w:color w:val="000000"/>
          <w:sz w:val="20"/>
          <w:szCs w:val="20"/>
          <w:u w:color="000000"/>
          <w:bdr w:val="none" w:sz="0" w:space="0" w:color="auto"/>
          <w:lang w:val="es-MX" w:eastAsia="es-ES"/>
        </w:rPr>
        <w:t>5.Mil ciudadanos en goce de derechos políticos, o cualquier persona previo informe favorable del Defensor del Pueblo sobre su procedencia, en los casos de los números 1 y 2 del mismo artículo (…)</w:t>
      </w:r>
      <w:r w:rsidR="00F30E47">
        <w:rPr>
          <w:rFonts w:ascii="Cambria" w:eastAsia="Calibri" w:hAnsi="Cambria" w:cs="Cambria"/>
          <w:bCs/>
          <w:color w:val="000000"/>
          <w:sz w:val="20"/>
          <w:szCs w:val="20"/>
          <w:u w:color="000000"/>
          <w:bdr w:val="none" w:sz="0" w:space="0" w:color="auto"/>
          <w:lang w:val="es-MX" w:eastAsia="es-ES"/>
        </w:rPr>
        <w:t>.</w:t>
      </w:r>
    </w:p>
    <w:p w14:paraId="406BCAF5" w14:textId="77777777" w:rsidR="005D3632" w:rsidRPr="007E779B" w:rsidRDefault="00887066" w:rsidP="0090741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rPr>
          <w:rFonts w:ascii="Cambria" w:hAnsi="Cambria"/>
          <w:bCs/>
          <w:sz w:val="20"/>
          <w:szCs w:val="20"/>
          <w:lang w:val="es-MX"/>
        </w:rPr>
      </w:pPr>
      <w:r>
        <w:rPr>
          <w:rFonts w:ascii="Cambria" w:hAnsi="Cambria"/>
          <w:sz w:val="20"/>
          <w:szCs w:val="20"/>
          <w:lang w:val="es-ES"/>
        </w:rPr>
        <w:t>Finalmente, l</w:t>
      </w:r>
      <w:r w:rsidR="005D3632" w:rsidRPr="007E779B">
        <w:rPr>
          <w:rFonts w:ascii="Cambria" w:hAnsi="Cambria"/>
          <w:sz w:val="20"/>
          <w:szCs w:val="20"/>
          <w:lang w:val="es-ES"/>
        </w:rPr>
        <w:t>a Ley de Jurisdicción Contenciosa Administrativa dispone, en lo pertinente:</w:t>
      </w:r>
    </w:p>
    <w:p w14:paraId="0255F000" w14:textId="77777777" w:rsidR="005D3632" w:rsidRPr="007E779B" w:rsidRDefault="005D3632"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35E4DF0E" w14:textId="77777777" w:rsidR="0061347F" w:rsidRPr="00907410" w:rsidRDefault="005D3632" w:rsidP="00244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bCs/>
          <w:sz w:val="20"/>
          <w:szCs w:val="20"/>
          <w:lang w:val="es-MX"/>
        </w:rPr>
      </w:pPr>
      <w:r w:rsidRPr="007E779B">
        <w:rPr>
          <w:rFonts w:ascii="Cambria" w:hAnsi="Cambria"/>
          <w:sz w:val="20"/>
          <w:szCs w:val="20"/>
          <w:lang w:val="es-ES"/>
        </w:rPr>
        <w:t xml:space="preserve">Artículo 6. No corresponden a la jurisdicción Contencioso-administrativa: (…) c) Las cuestiones que se susciten en relación con los actos políticos del Gobierno (…) d) Las resoluciones expedidas por los organismos electorales. (…) </w:t>
      </w:r>
    </w:p>
    <w:p w14:paraId="284DF8A0" w14:textId="77777777" w:rsidR="0061347F" w:rsidRPr="007E779B" w:rsidRDefault="0061347F" w:rsidP="007E779B">
      <w:pPr>
        <w:jc w:val="both"/>
        <w:rPr>
          <w:rFonts w:ascii="Cambria" w:hAnsi="Cambria"/>
          <w:sz w:val="20"/>
          <w:szCs w:val="20"/>
          <w:lang w:val="es-VE"/>
        </w:rPr>
      </w:pPr>
    </w:p>
    <w:p w14:paraId="5247E91E" w14:textId="77777777" w:rsidR="00423F48" w:rsidRPr="007E779B" w:rsidRDefault="00423F48" w:rsidP="007E779B">
      <w:pPr>
        <w:pStyle w:val="Heading2"/>
        <w:numPr>
          <w:ilvl w:val="0"/>
          <w:numId w:val="53"/>
        </w:numPr>
        <w:spacing w:before="0" w:after="0"/>
        <w:jc w:val="both"/>
        <w:rPr>
          <w:rFonts w:ascii="Cambria" w:hAnsi="Cambria"/>
          <w:i w:val="0"/>
          <w:sz w:val="20"/>
          <w:szCs w:val="20"/>
          <w:lang w:val="es-VE"/>
        </w:rPr>
      </w:pPr>
      <w:bookmarkStart w:id="23" w:name="_Toc516682000"/>
      <w:r w:rsidRPr="007E779B">
        <w:rPr>
          <w:rFonts w:ascii="Cambria" w:hAnsi="Cambria"/>
          <w:i w:val="0"/>
          <w:sz w:val="20"/>
          <w:szCs w:val="20"/>
          <w:lang w:val="es-VE"/>
        </w:rPr>
        <w:t xml:space="preserve">Proceso de nombramiento </w:t>
      </w:r>
      <w:r w:rsidR="00887066">
        <w:rPr>
          <w:rFonts w:ascii="Cambria" w:hAnsi="Cambria"/>
          <w:i w:val="0"/>
          <w:sz w:val="20"/>
          <w:szCs w:val="20"/>
          <w:lang w:val="es-VE"/>
        </w:rPr>
        <w:t xml:space="preserve"> de la presunta víctima </w:t>
      </w:r>
      <w:r w:rsidRPr="007E779B">
        <w:rPr>
          <w:rFonts w:ascii="Cambria" w:hAnsi="Cambria"/>
          <w:i w:val="0"/>
          <w:sz w:val="20"/>
          <w:szCs w:val="20"/>
          <w:lang w:val="es-VE"/>
        </w:rPr>
        <w:t>en el Tribunal Supremo Electoral</w:t>
      </w:r>
      <w:bookmarkEnd w:id="23"/>
    </w:p>
    <w:bookmarkEnd w:id="17"/>
    <w:bookmarkEnd w:id="18"/>
    <w:p w14:paraId="2BC6F951" w14:textId="77777777" w:rsidR="00887066" w:rsidRDefault="00887066" w:rsidP="00887066">
      <w:p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jc w:val="both"/>
        <w:rPr>
          <w:rFonts w:ascii="Cambria" w:hAnsi="Cambria"/>
          <w:sz w:val="20"/>
          <w:szCs w:val="20"/>
          <w:lang w:val="es-ES"/>
        </w:rPr>
      </w:pPr>
    </w:p>
    <w:p w14:paraId="0B5774F7" w14:textId="64507475" w:rsidR="00510482" w:rsidRDefault="00510482" w:rsidP="003D2A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Tal como se indicó en la sección anterior, el artículo 209 de la Constitución</w:t>
      </w:r>
      <w:r w:rsidR="00B751FF">
        <w:rPr>
          <w:rFonts w:ascii="Cambria" w:hAnsi="Cambria"/>
          <w:sz w:val="20"/>
          <w:szCs w:val="20"/>
          <w:lang w:val="es-MX"/>
        </w:rPr>
        <w:t xml:space="preserve"> de 1998</w:t>
      </w:r>
      <w:r>
        <w:rPr>
          <w:rFonts w:ascii="Cambria" w:hAnsi="Cambria"/>
          <w:sz w:val="20"/>
          <w:szCs w:val="20"/>
          <w:lang w:val="es-MX"/>
        </w:rPr>
        <w:t xml:space="preserve"> disponía que el Tribunal Supremo Electoral se integrará por siete vocales principales y siete suplentes, en representación de los partidos políticos que hayan obtenido las más altas votaciones en las elecc</w:t>
      </w:r>
      <w:r w:rsidR="0054044C">
        <w:rPr>
          <w:rFonts w:ascii="Cambria" w:hAnsi="Cambria"/>
          <w:sz w:val="20"/>
          <w:szCs w:val="20"/>
          <w:lang w:val="es-MX"/>
        </w:rPr>
        <w:t xml:space="preserve">iones pluripersonales, los que </w:t>
      </w:r>
      <w:r>
        <w:rPr>
          <w:rFonts w:ascii="Cambria" w:hAnsi="Cambria"/>
          <w:sz w:val="20"/>
          <w:szCs w:val="20"/>
          <w:lang w:val="es-MX"/>
        </w:rPr>
        <w:t>presentarán al Congreso Nacional las ternas de las que se elegirán los vocales principales y suplentes</w:t>
      </w:r>
      <w:r w:rsidR="00E963F2">
        <w:rPr>
          <w:rStyle w:val="FootnoteReference"/>
          <w:rFonts w:ascii="Cambria" w:hAnsi="Cambria"/>
          <w:sz w:val="20"/>
          <w:szCs w:val="20"/>
          <w:lang w:val="es-MX"/>
        </w:rPr>
        <w:footnoteReference w:id="4"/>
      </w:r>
      <w:r>
        <w:rPr>
          <w:rFonts w:ascii="Cambria" w:hAnsi="Cambria"/>
          <w:sz w:val="20"/>
          <w:szCs w:val="20"/>
          <w:lang w:val="es-MX"/>
        </w:rPr>
        <w:t xml:space="preserve">. </w:t>
      </w:r>
    </w:p>
    <w:p w14:paraId="352EE7B8" w14:textId="77777777" w:rsidR="00AC4D9B" w:rsidRDefault="00AC4D9B" w:rsidP="00AC4D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637C5C54" w14:textId="77777777" w:rsidR="003D2A3D" w:rsidRDefault="00AC4D9B" w:rsidP="003D2A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MX"/>
        </w:rPr>
        <w:t xml:space="preserve">El 2 de diciembre de 1998, el Congreso Nacional, tomando en cuenta los resultados electorales de 31 de mayo de 1998 y las ternas que le fueron remitidas, designó </w:t>
      </w:r>
      <w:r w:rsidR="00D805EA" w:rsidRPr="00AC4D9B">
        <w:rPr>
          <w:rFonts w:ascii="Cambria" w:hAnsi="Cambria"/>
          <w:sz w:val="20"/>
          <w:szCs w:val="20"/>
          <w:lang w:val="es-CO"/>
        </w:rPr>
        <w:t>a los vocales del Tribunal Supremo Electoral para el período 1998-2003, entre los cuales se encontraba la presunta víctima</w:t>
      </w:r>
      <w:r w:rsidR="008B7B4C" w:rsidRPr="007E779B">
        <w:rPr>
          <w:rStyle w:val="FootnoteReference"/>
          <w:rFonts w:ascii="Cambria" w:hAnsi="Cambria"/>
          <w:sz w:val="20"/>
          <w:szCs w:val="20"/>
        </w:rPr>
        <w:footnoteReference w:id="5"/>
      </w:r>
      <w:r w:rsidR="00EF17E0" w:rsidRPr="00AC4D9B">
        <w:rPr>
          <w:rFonts w:ascii="Cambria" w:hAnsi="Cambria"/>
          <w:sz w:val="20"/>
          <w:szCs w:val="20"/>
          <w:lang w:val="es-CO"/>
        </w:rPr>
        <w:t xml:space="preserve"> </w:t>
      </w:r>
      <w:r w:rsidR="00D805EA" w:rsidRPr="00AC4D9B">
        <w:rPr>
          <w:rFonts w:ascii="Cambria" w:hAnsi="Cambria"/>
          <w:sz w:val="20"/>
          <w:szCs w:val="20"/>
          <w:lang w:val="es-CO"/>
        </w:rPr>
        <w:t>.</w:t>
      </w:r>
    </w:p>
    <w:p w14:paraId="34EEDE3B" w14:textId="77777777" w:rsidR="00E972A7" w:rsidRDefault="00E972A7" w:rsidP="00E972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87644E9" w14:textId="77777777" w:rsidR="00C16812" w:rsidRDefault="00C16812" w:rsidP="00E972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C3E9183" w14:textId="77777777" w:rsidR="00C16812" w:rsidRDefault="00C16812" w:rsidP="00E972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7611387" w14:textId="77777777" w:rsidR="00C16812" w:rsidRDefault="00C16812" w:rsidP="00E972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236D9B7" w14:textId="77777777" w:rsidR="00C16812" w:rsidRPr="00AC4D9B" w:rsidRDefault="00C16812" w:rsidP="00E972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AD03D7F" w14:textId="3F770D36" w:rsidR="003D2A3D" w:rsidRDefault="008B7B4C" w:rsidP="003D2A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3D2A3D">
        <w:rPr>
          <w:rFonts w:ascii="Cambria" w:hAnsi="Cambria"/>
          <w:sz w:val="20"/>
          <w:szCs w:val="20"/>
          <w:lang w:val="es-CO"/>
        </w:rPr>
        <w:t>El 3 de diciembre de 1998</w:t>
      </w:r>
      <w:r w:rsidRPr="007E779B">
        <w:rPr>
          <w:rStyle w:val="FootnoteReference"/>
          <w:rFonts w:ascii="Cambria" w:hAnsi="Cambria"/>
          <w:sz w:val="20"/>
          <w:szCs w:val="20"/>
        </w:rPr>
        <w:footnoteReference w:id="6"/>
      </w:r>
      <w:r w:rsidRPr="003D2A3D">
        <w:rPr>
          <w:rFonts w:ascii="Cambria" w:hAnsi="Cambria"/>
          <w:sz w:val="20"/>
          <w:szCs w:val="20"/>
          <w:lang w:val="es-CO"/>
        </w:rPr>
        <w:t xml:space="preserve"> la presunta víctima fue designado como </w:t>
      </w:r>
      <w:r w:rsidR="00B722D1">
        <w:rPr>
          <w:rFonts w:ascii="Cambria" w:hAnsi="Cambria"/>
          <w:sz w:val="20"/>
          <w:szCs w:val="20"/>
          <w:lang w:val="es-CO"/>
        </w:rPr>
        <w:t>v</w:t>
      </w:r>
      <w:r w:rsidRPr="003D2A3D">
        <w:rPr>
          <w:rFonts w:ascii="Cambria" w:hAnsi="Cambria"/>
          <w:sz w:val="20"/>
          <w:szCs w:val="20"/>
          <w:lang w:val="es-CO"/>
        </w:rPr>
        <w:t>icepresidente del Tribunal Supremo Electoral, y como presidente del mismo el 7 de diciembre del 2000</w:t>
      </w:r>
      <w:r w:rsidRPr="007E779B">
        <w:rPr>
          <w:rStyle w:val="FootnoteReference"/>
          <w:rFonts w:ascii="Cambria" w:hAnsi="Cambria"/>
          <w:sz w:val="20"/>
          <w:szCs w:val="20"/>
        </w:rPr>
        <w:footnoteReference w:id="7"/>
      </w:r>
      <w:r w:rsidRPr="003D2A3D">
        <w:rPr>
          <w:rFonts w:ascii="Cambria" w:hAnsi="Cambria"/>
          <w:sz w:val="20"/>
          <w:szCs w:val="20"/>
          <w:lang w:val="es-CO"/>
        </w:rPr>
        <w:t xml:space="preserve">. </w:t>
      </w:r>
    </w:p>
    <w:p w14:paraId="4CCEF2BF" w14:textId="77777777" w:rsidR="007277DB" w:rsidRPr="00A16E82" w:rsidRDefault="007277DB" w:rsidP="007277D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31D41697" w14:textId="3EC55C2C" w:rsidR="00622F74" w:rsidRDefault="00622F74" w:rsidP="003D2A3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3D2A3D">
        <w:rPr>
          <w:rFonts w:ascii="Cambria" w:hAnsi="Cambria"/>
          <w:sz w:val="20"/>
          <w:szCs w:val="20"/>
          <w:lang w:val="es-CO"/>
        </w:rPr>
        <w:t xml:space="preserve">El </w:t>
      </w:r>
      <w:r w:rsidR="00D36A0E" w:rsidRPr="003D2A3D">
        <w:rPr>
          <w:rFonts w:ascii="Cambria" w:hAnsi="Cambria"/>
          <w:sz w:val="20"/>
          <w:szCs w:val="20"/>
          <w:lang w:val="es-CO"/>
        </w:rPr>
        <w:t>9 de enero de 2003 el Congreso Nacional, mediante Resoluci</w:t>
      </w:r>
      <w:r w:rsidR="00D43691" w:rsidRPr="003D2A3D">
        <w:rPr>
          <w:rFonts w:ascii="Cambria" w:hAnsi="Cambria"/>
          <w:sz w:val="20"/>
          <w:szCs w:val="20"/>
          <w:lang w:val="es-CO"/>
        </w:rPr>
        <w:t xml:space="preserve">ón 24-017, </w:t>
      </w:r>
      <w:r w:rsidR="00D36A0E" w:rsidRPr="003D2A3D">
        <w:rPr>
          <w:rFonts w:ascii="Cambria" w:hAnsi="Cambria"/>
          <w:sz w:val="20"/>
          <w:szCs w:val="20"/>
          <w:lang w:val="es-CO"/>
        </w:rPr>
        <w:t xml:space="preserve">y en ejercicio de las facultades establecidas en los artículos 130 numeral 11, y 209 de la Constitución de la República, designó nuevamente a los miembros del Tribunal Supremo Electoral, reeligiendo a 5 de los 7 vocales, entre los cuales se encontraba </w:t>
      </w:r>
      <w:r w:rsidR="00B722D1">
        <w:rPr>
          <w:rFonts w:ascii="Cambria" w:hAnsi="Cambria"/>
          <w:sz w:val="20"/>
          <w:szCs w:val="20"/>
          <w:lang w:val="es-CO"/>
        </w:rPr>
        <w:t>la presunta víctima</w:t>
      </w:r>
      <w:r w:rsidR="00D43691" w:rsidRPr="007E779B">
        <w:rPr>
          <w:rStyle w:val="FootnoteReference"/>
          <w:rFonts w:ascii="Cambria" w:hAnsi="Cambria"/>
          <w:sz w:val="20"/>
          <w:szCs w:val="20"/>
          <w:lang w:val="es-CO"/>
        </w:rPr>
        <w:footnoteReference w:id="8"/>
      </w:r>
      <w:r w:rsidR="00AC4D9B">
        <w:rPr>
          <w:rFonts w:ascii="Cambria" w:hAnsi="Cambria"/>
          <w:sz w:val="20"/>
          <w:szCs w:val="20"/>
          <w:lang w:val="es-CO"/>
        </w:rPr>
        <w:t xml:space="preserve"> para un período adicional </w:t>
      </w:r>
      <w:r w:rsidR="00B66622">
        <w:rPr>
          <w:rFonts w:ascii="Cambria" w:hAnsi="Cambria"/>
          <w:sz w:val="20"/>
          <w:szCs w:val="20"/>
          <w:lang w:val="es-CO"/>
        </w:rPr>
        <w:t>de 4 años</w:t>
      </w:r>
      <w:r w:rsidR="00D36A0E" w:rsidRPr="003D2A3D">
        <w:rPr>
          <w:rFonts w:ascii="Cambria" w:hAnsi="Cambria"/>
          <w:sz w:val="20"/>
          <w:szCs w:val="20"/>
          <w:lang w:val="es-CO"/>
        </w:rPr>
        <w:t xml:space="preserve">. El </w:t>
      </w:r>
      <w:r w:rsidRPr="003D2A3D">
        <w:rPr>
          <w:rFonts w:ascii="Cambria" w:hAnsi="Cambria"/>
          <w:sz w:val="20"/>
          <w:szCs w:val="20"/>
          <w:lang w:val="es-CO"/>
        </w:rPr>
        <w:t xml:space="preserve">14 de enero de 2003 la </w:t>
      </w:r>
      <w:r w:rsidR="008A3B72" w:rsidRPr="003D2A3D">
        <w:rPr>
          <w:rFonts w:ascii="Cambria" w:hAnsi="Cambria"/>
          <w:sz w:val="20"/>
          <w:szCs w:val="20"/>
          <w:lang w:val="es-CO"/>
        </w:rPr>
        <w:t xml:space="preserve">presunta </w:t>
      </w:r>
      <w:r w:rsidR="009F5F2F" w:rsidRPr="003D2A3D">
        <w:rPr>
          <w:rFonts w:ascii="Cambria" w:hAnsi="Cambria"/>
          <w:sz w:val="20"/>
          <w:szCs w:val="20"/>
          <w:lang w:val="es-CO"/>
        </w:rPr>
        <w:t>víctima</w:t>
      </w:r>
      <w:r w:rsidRPr="003D2A3D">
        <w:rPr>
          <w:rFonts w:ascii="Cambria" w:hAnsi="Cambria"/>
          <w:sz w:val="20"/>
          <w:szCs w:val="20"/>
          <w:lang w:val="es-CO"/>
        </w:rPr>
        <w:t xml:space="preserve"> tomó posesión del cargo</w:t>
      </w:r>
      <w:r w:rsidRPr="007E779B">
        <w:rPr>
          <w:rStyle w:val="FootnoteReference"/>
          <w:rFonts w:ascii="Cambria" w:hAnsi="Cambria"/>
          <w:sz w:val="20"/>
          <w:szCs w:val="20"/>
        </w:rPr>
        <w:footnoteReference w:id="9"/>
      </w:r>
      <w:r w:rsidRPr="003D2A3D">
        <w:rPr>
          <w:rFonts w:ascii="Cambria" w:hAnsi="Cambria"/>
          <w:sz w:val="20"/>
          <w:szCs w:val="20"/>
          <w:lang w:val="es-CO"/>
        </w:rPr>
        <w:t>.</w:t>
      </w:r>
    </w:p>
    <w:p w14:paraId="30737673" w14:textId="77777777" w:rsidR="00A835CF" w:rsidRPr="007E779B" w:rsidRDefault="00A835CF" w:rsidP="001C6F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893DA37" w14:textId="74D86559" w:rsidR="00A835CF" w:rsidRDefault="00784ED8" w:rsidP="00543B15">
      <w:pPr>
        <w:pStyle w:val="Heading2"/>
        <w:numPr>
          <w:ilvl w:val="0"/>
          <w:numId w:val="53"/>
        </w:numPr>
        <w:spacing w:before="0" w:after="0"/>
        <w:jc w:val="both"/>
        <w:rPr>
          <w:rFonts w:ascii="Cambria" w:hAnsi="Cambria"/>
          <w:i w:val="0"/>
          <w:sz w:val="20"/>
          <w:szCs w:val="20"/>
          <w:lang w:val="es-VE"/>
        </w:rPr>
      </w:pPr>
      <w:bookmarkStart w:id="24" w:name="_Toc516682001"/>
      <w:r>
        <w:rPr>
          <w:rFonts w:ascii="Cambria" w:hAnsi="Cambria"/>
          <w:i w:val="0"/>
          <w:sz w:val="20"/>
          <w:szCs w:val="20"/>
          <w:lang w:val="es-VE"/>
        </w:rPr>
        <w:t>Cese</w:t>
      </w:r>
      <w:r w:rsidR="00A835CF" w:rsidRPr="007E779B">
        <w:rPr>
          <w:rFonts w:ascii="Cambria" w:hAnsi="Cambria"/>
          <w:i w:val="0"/>
          <w:sz w:val="20"/>
          <w:szCs w:val="20"/>
          <w:lang w:val="es-VE"/>
        </w:rPr>
        <w:t xml:space="preserve"> del Tribunal Supremo Electoral</w:t>
      </w:r>
      <w:bookmarkEnd w:id="24"/>
      <w:r w:rsidR="00A835CF" w:rsidRPr="007E779B">
        <w:rPr>
          <w:rFonts w:ascii="Cambria" w:hAnsi="Cambria"/>
          <w:i w:val="0"/>
          <w:sz w:val="20"/>
          <w:szCs w:val="20"/>
          <w:lang w:val="es-VE"/>
        </w:rPr>
        <w:t xml:space="preserve"> </w:t>
      </w:r>
    </w:p>
    <w:p w14:paraId="1B4E7B20" w14:textId="77777777" w:rsidR="00784ED8" w:rsidRDefault="00784ED8" w:rsidP="006648EB">
      <w:pPr>
        <w:jc w:val="both"/>
        <w:rPr>
          <w:sz w:val="20"/>
          <w:szCs w:val="20"/>
          <w:lang w:val="es-CO"/>
        </w:rPr>
      </w:pPr>
    </w:p>
    <w:p w14:paraId="19787A4D" w14:textId="77777777" w:rsidR="00973E85" w:rsidRPr="00781407" w:rsidRDefault="00784ED8" w:rsidP="00973E8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73E85">
        <w:rPr>
          <w:rFonts w:ascii="Cambria" w:hAnsi="Cambria"/>
          <w:sz w:val="20"/>
          <w:szCs w:val="20"/>
          <w:lang w:val="es-CO"/>
        </w:rPr>
        <w:t xml:space="preserve">En el caso Camba Campos y otros vs. </w:t>
      </w:r>
      <w:r w:rsidRPr="00E71E6D">
        <w:rPr>
          <w:rFonts w:ascii="Cambria" w:hAnsi="Cambria"/>
          <w:sz w:val="20"/>
          <w:szCs w:val="20"/>
          <w:lang w:val="es-CO"/>
        </w:rPr>
        <w:t>Ecuador, la Corte Interamericana consideró probados los siguientes</w:t>
      </w:r>
      <w:r w:rsidRPr="00F55846">
        <w:rPr>
          <w:rFonts w:ascii="Cambria" w:hAnsi="Cambria"/>
          <w:sz w:val="20"/>
          <w:szCs w:val="20"/>
          <w:lang w:val="es-CO"/>
        </w:rPr>
        <w:t xml:space="preserve"> hechos que resultan pertinentes</w:t>
      </w:r>
      <w:r w:rsidR="0046722D" w:rsidRPr="00F55846">
        <w:rPr>
          <w:rFonts w:ascii="Cambria" w:hAnsi="Cambria"/>
          <w:sz w:val="20"/>
          <w:szCs w:val="20"/>
          <w:lang w:val="es-CO"/>
        </w:rPr>
        <w:t xml:space="preserve"> en el presente caso</w:t>
      </w:r>
      <w:r w:rsidRPr="00F55846">
        <w:rPr>
          <w:rFonts w:ascii="Cambria" w:hAnsi="Cambria"/>
          <w:sz w:val="20"/>
          <w:szCs w:val="20"/>
          <w:lang w:val="es-CO"/>
        </w:rPr>
        <w:t xml:space="preserve"> como antecedentes de la </w:t>
      </w:r>
      <w:r w:rsidR="00331B0C" w:rsidRPr="00F55846">
        <w:rPr>
          <w:rFonts w:ascii="Cambria" w:hAnsi="Cambria"/>
          <w:sz w:val="20"/>
          <w:szCs w:val="20"/>
          <w:lang w:val="es-CO"/>
        </w:rPr>
        <w:t>Resolución 25-160 de cese</w:t>
      </w:r>
      <w:r w:rsidR="00331B0C" w:rsidRPr="000E41B5">
        <w:rPr>
          <w:rFonts w:ascii="Cambria" w:hAnsi="Cambria"/>
          <w:sz w:val="20"/>
          <w:szCs w:val="20"/>
          <w:lang w:val="es-CO"/>
        </w:rPr>
        <w:t xml:space="preserve"> de los vocales del Tribunal Supremo Electoral y del Tribunal Constituci</w:t>
      </w:r>
      <w:r w:rsidR="00331B0C" w:rsidRPr="00523EA8">
        <w:rPr>
          <w:rFonts w:ascii="Cambria" w:hAnsi="Cambria"/>
          <w:sz w:val="20"/>
          <w:szCs w:val="20"/>
          <w:lang w:val="es-CO"/>
        </w:rPr>
        <w:t>onal que se describe a continuación:</w:t>
      </w:r>
      <w:bookmarkStart w:id="25" w:name="_Ref369179540"/>
    </w:p>
    <w:p w14:paraId="05646C47" w14:textId="77777777" w:rsidR="00973E85" w:rsidRPr="00973E85" w:rsidRDefault="00973E85" w:rsidP="00973E8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lang w:val="es-CO"/>
        </w:rPr>
      </w:pPr>
    </w:p>
    <w:p w14:paraId="7D65BDA4" w14:textId="77777777" w:rsidR="0054044C" w:rsidRDefault="0046722D" w:rsidP="005404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sz w:val="20"/>
          <w:szCs w:val="20"/>
          <w:lang w:val="es-CO"/>
        </w:rPr>
      </w:pPr>
      <w:r w:rsidRPr="00E71E6D">
        <w:rPr>
          <w:rFonts w:ascii="Cambria" w:hAnsi="Cambria" w:cs="Tahoma"/>
          <w:sz w:val="20"/>
          <w:szCs w:val="20"/>
          <w:lang w:val="es-CO"/>
        </w:rPr>
        <w:t>El 9 de noviembre de 2004 los partidos de oposición al gobierno preparaban en el Congreso Nacional un enjuiciamiento político al Presidente de la República por el delito de peculado. Para contrarrestar este enjuiciamiento, la prueba obrante en el expediente, no controvertida por el Estado, indica que el gobierno logró construir una mayoría parlamentaria e hizo acuerdos políticos, entre otros, con el Partido Roldosista Ecuatoriano (PRE). El líder del PRE, el ex Presidente de la República, Abdalá Bucaram Ortíz, buscaba la anulación de varios juicios penales, que se tramitaban en la Corte Suprema de Justicia, en los que tenía orden de privación de libertad y por los que se encontraba prófugo en Panamá.</w:t>
      </w:r>
      <w:bookmarkStart w:id="26" w:name="_Ref369180698"/>
      <w:bookmarkEnd w:id="25"/>
    </w:p>
    <w:p w14:paraId="214F87EC" w14:textId="77777777" w:rsidR="0054044C" w:rsidRDefault="0054044C" w:rsidP="005404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sz w:val="20"/>
          <w:szCs w:val="20"/>
          <w:lang w:val="es-CO"/>
        </w:rPr>
      </w:pPr>
    </w:p>
    <w:p w14:paraId="2CD63B5D" w14:textId="4329452C" w:rsidR="00784ED8" w:rsidRPr="0054044C" w:rsidRDefault="0046722D" w:rsidP="005404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sz w:val="20"/>
          <w:szCs w:val="20"/>
          <w:lang w:val="es-CO"/>
        </w:rPr>
      </w:pPr>
      <w:r w:rsidRPr="00E71E6D">
        <w:rPr>
          <w:rFonts w:ascii="Cambria" w:hAnsi="Cambria" w:cs="Tahoma"/>
          <w:sz w:val="20"/>
          <w:szCs w:val="20"/>
          <w:lang w:val="es-CO"/>
        </w:rPr>
        <w:t>El 23 de noviembre del 2004 el Presidente de la República, Lucio Gutiérrez, anunció el propósito del gobierno de impulsar en el Congreso la reorganización del Tribunal Constitucional, del Tribunal Supremo Electoral, así como de la Corte Suprema de Justicia</w:t>
      </w:r>
      <w:r w:rsidR="00013E46" w:rsidRPr="00995B59">
        <w:rPr>
          <w:rStyle w:val="FootnoteReference"/>
          <w:rFonts w:ascii="Cambria" w:hAnsi="Cambria"/>
          <w:sz w:val="20"/>
          <w:szCs w:val="20"/>
          <w:lang w:val="es-MX"/>
        </w:rPr>
        <w:footnoteReference w:id="10"/>
      </w:r>
      <w:r w:rsidRPr="00E71E6D">
        <w:rPr>
          <w:rFonts w:ascii="Cambria" w:hAnsi="Cambria" w:cs="Tahoma"/>
          <w:sz w:val="20"/>
          <w:szCs w:val="20"/>
          <w:lang w:val="es-CO"/>
        </w:rPr>
        <w:t>.</w:t>
      </w:r>
      <w:bookmarkEnd w:id="26"/>
      <w:r w:rsidRPr="00E71E6D">
        <w:rPr>
          <w:rFonts w:ascii="Cambria" w:hAnsi="Cambria" w:cs="Tahoma"/>
          <w:sz w:val="20"/>
          <w:szCs w:val="20"/>
          <w:lang w:val="es-CO"/>
        </w:rPr>
        <w:t xml:space="preserve"> </w:t>
      </w:r>
    </w:p>
    <w:p w14:paraId="7D909AB8" w14:textId="77777777" w:rsidR="0054044C" w:rsidRPr="006648EB" w:rsidRDefault="0054044C" w:rsidP="006648EB">
      <w:pPr>
        <w:jc w:val="both"/>
        <w:rPr>
          <w:sz w:val="20"/>
          <w:szCs w:val="20"/>
          <w:lang w:val="es-CO"/>
        </w:rPr>
      </w:pPr>
    </w:p>
    <w:p w14:paraId="6E7E40FE" w14:textId="27CAF6A3" w:rsidR="00B72ECB" w:rsidRDefault="00706917" w:rsidP="00B72EC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7E779B">
        <w:rPr>
          <w:rFonts w:ascii="Cambria" w:hAnsi="Cambria"/>
          <w:sz w:val="20"/>
          <w:szCs w:val="20"/>
          <w:lang w:val="es-CO"/>
        </w:rPr>
        <w:t>El 25 de noviembre de 2004, mediante Resolución 25-160,</w:t>
      </w:r>
      <w:r w:rsidR="00C2411C" w:rsidRPr="007E779B">
        <w:rPr>
          <w:rFonts w:ascii="Cambria" w:hAnsi="Cambria"/>
          <w:sz w:val="20"/>
          <w:szCs w:val="20"/>
          <w:lang w:val="es-CO"/>
        </w:rPr>
        <w:t xml:space="preserve"> el Congreso Nacional declaró que cesaba en sus cargos a los </w:t>
      </w:r>
      <w:r w:rsidR="00EC3B1D">
        <w:rPr>
          <w:rFonts w:ascii="Cambria" w:hAnsi="Cambria"/>
          <w:sz w:val="20"/>
          <w:szCs w:val="20"/>
          <w:lang w:val="es-CO"/>
        </w:rPr>
        <w:t>vocales</w:t>
      </w:r>
      <w:r w:rsidRPr="007E779B">
        <w:rPr>
          <w:rFonts w:ascii="Cambria" w:hAnsi="Cambria"/>
          <w:sz w:val="20"/>
          <w:szCs w:val="20"/>
          <w:lang w:val="es-CO"/>
        </w:rPr>
        <w:t xml:space="preserve"> del Tribunal Supremo Electoral y</w:t>
      </w:r>
      <w:r w:rsidR="00C2411C" w:rsidRPr="007E779B">
        <w:rPr>
          <w:rFonts w:ascii="Cambria" w:hAnsi="Cambria"/>
          <w:sz w:val="20"/>
          <w:szCs w:val="20"/>
          <w:lang w:val="es-CO"/>
        </w:rPr>
        <w:t xml:space="preserve"> del Tribunal Constitucional</w:t>
      </w:r>
      <w:r w:rsidR="00C2411C" w:rsidRPr="007E779B">
        <w:rPr>
          <w:rStyle w:val="FootnoteReference"/>
          <w:rFonts w:ascii="Cambria" w:hAnsi="Cambria"/>
          <w:sz w:val="20"/>
          <w:szCs w:val="20"/>
        </w:rPr>
        <w:footnoteReference w:id="11"/>
      </w:r>
      <w:r w:rsidR="00C2411C" w:rsidRPr="007E779B">
        <w:rPr>
          <w:rFonts w:ascii="Cambria" w:hAnsi="Cambria"/>
          <w:sz w:val="20"/>
          <w:szCs w:val="20"/>
          <w:lang w:val="es-CO"/>
        </w:rPr>
        <w:t xml:space="preserve">. </w:t>
      </w:r>
    </w:p>
    <w:p w14:paraId="7C9038F2" w14:textId="77777777" w:rsidR="00B72ECB" w:rsidRDefault="00B72ECB" w:rsidP="00B72EC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43E592AD" w14:textId="77777777" w:rsidR="00622F74" w:rsidRPr="00B72ECB" w:rsidRDefault="00622F74" w:rsidP="00B72EC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B72ECB">
        <w:rPr>
          <w:rFonts w:ascii="Cambria" w:hAnsi="Cambria"/>
          <w:sz w:val="20"/>
          <w:szCs w:val="20"/>
          <w:lang w:val="es-CO"/>
        </w:rPr>
        <w:t xml:space="preserve"> </w:t>
      </w:r>
      <w:r w:rsidR="00752471" w:rsidRPr="00B72ECB">
        <w:rPr>
          <w:rFonts w:ascii="Cambria" w:hAnsi="Cambria"/>
          <w:sz w:val="20"/>
          <w:szCs w:val="20"/>
          <w:lang w:val="es-CO"/>
        </w:rPr>
        <w:t xml:space="preserve">En dicha resolución, el Congreso efectuó las siguientes consideraciones: </w:t>
      </w:r>
    </w:p>
    <w:p w14:paraId="5938CCF0" w14:textId="77777777" w:rsidR="00622F74" w:rsidRPr="007E779B" w:rsidRDefault="00622F74" w:rsidP="007E779B">
      <w:pPr>
        <w:ind w:left="720"/>
        <w:jc w:val="both"/>
        <w:rPr>
          <w:rFonts w:ascii="Cambria" w:hAnsi="Cambria"/>
          <w:sz w:val="20"/>
          <w:szCs w:val="20"/>
          <w:lang w:val="es-CO"/>
        </w:rPr>
      </w:pPr>
    </w:p>
    <w:p w14:paraId="731B0813" w14:textId="77777777" w:rsidR="00622F74" w:rsidRPr="007E779B" w:rsidRDefault="00622F74" w:rsidP="007468E8">
      <w:pPr>
        <w:ind w:left="720" w:right="720"/>
        <w:jc w:val="both"/>
        <w:rPr>
          <w:rFonts w:ascii="Cambria" w:hAnsi="Cambria"/>
          <w:sz w:val="20"/>
          <w:szCs w:val="20"/>
          <w:lang w:val="es-CO"/>
        </w:rPr>
      </w:pPr>
      <w:r w:rsidRPr="007E779B">
        <w:rPr>
          <w:rFonts w:ascii="Cambria" w:hAnsi="Cambria"/>
          <w:sz w:val="20"/>
          <w:szCs w:val="20"/>
          <w:lang w:val="es-CO"/>
        </w:rPr>
        <w:t>Que existe un clamor unánime de la población ecuatoriana por terminar el estado de caos constitucional que prevalece en los organismos públicos;</w:t>
      </w:r>
    </w:p>
    <w:p w14:paraId="6F11A887" w14:textId="77777777" w:rsidR="00622F74" w:rsidRPr="007E779B" w:rsidRDefault="00622F74" w:rsidP="007468E8">
      <w:pPr>
        <w:ind w:left="720" w:right="720"/>
        <w:jc w:val="both"/>
        <w:rPr>
          <w:rFonts w:ascii="Cambria" w:hAnsi="Cambria"/>
          <w:sz w:val="20"/>
          <w:szCs w:val="20"/>
          <w:lang w:val="es-CO"/>
        </w:rPr>
      </w:pPr>
      <w:r w:rsidRPr="007E779B">
        <w:rPr>
          <w:rFonts w:ascii="Cambria" w:hAnsi="Cambria"/>
          <w:sz w:val="20"/>
          <w:szCs w:val="20"/>
          <w:lang w:val="es-CO"/>
        </w:rPr>
        <w:t xml:space="preserve">Que los vocales principales y suplentes del </w:t>
      </w:r>
      <w:r w:rsidR="00AC272E" w:rsidRPr="007E779B">
        <w:rPr>
          <w:rFonts w:ascii="Cambria" w:hAnsi="Cambria"/>
          <w:sz w:val="20"/>
          <w:szCs w:val="20"/>
          <w:lang w:val="es-CO"/>
        </w:rPr>
        <w:t>Tribunal Constitucional</w:t>
      </w:r>
      <w:r w:rsidRPr="007E779B">
        <w:rPr>
          <w:rFonts w:ascii="Cambria" w:hAnsi="Cambria"/>
          <w:sz w:val="20"/>
          <w:szCs w:val="20"/>
          <w:lang w:val="es-CO"/>
        </w:rPr>
        <w:t xml:space="preserve"> fueron designados en forma ilegal (…)</w:t>
      </w:r>
    </w:p>
    <w:p w14:paraId="137B24FA" w14:textId="77777777" w:rsidR="00622F74" w:rsidRPr="007E779B" w:rsidRDefault="00622F74" w:rsidP="007468E8">
      <w:pPr>
        <w:ind w:left="720" w:right="720"/>
        <w:jc w:val="both"/>
        <w:rPr>
          <w:rFonts w:ascii="Cambria" w:hAnsi="Cambria"/>
          <w:sz w:val="20"/>
          <w:szCs w:val="20"/>
        </w:rPr>
      </w:pPr>
      <w:r w:rsidRPr="007E779B">
        <w:rPr>
          <w:rFonts w:ascii="Cambria" w:hAnsi="Cambria"/>
          <w:sz w:val="20"/>
          <w:szCs w:val="20"/>
          <w:lang w:val="es-CO"/>
        </w:rPr>
        <w:t>Que los vocales principales y suplentes del Tribunal Supremo Electoral fueron designados sin considerar lo que establece el artículo 209 de la Constitución Política de la República y las leyes</w:t>
      </w:r>
      <w:r w:rsidR="00B07010" w:rsidRPr="007E779B">
        <w:rPr>
          <w:rFonts w:ascii="Cambria" w:hAnsi="Cambria"/>
          <w:sz w:val="20"/>
          <w:szCs w:val="20"/>
          <w:lang w:val="es-CO"/>
        </w:rPr>
        <w:t xml:space="preserve"> (…)</w:t>
      </w:r>
      <w:r w:rsidR="00B07010" w:rsidRPr="007E779B">
        <w:rPr>
          <w:rStyle w:val="FootnoteReference"/>
          <w:rFonts w:ascii="Cambria" w:hAnsi="Cambria"/>
          <w:sz w:val="20"/>
          <w:szCs w:val="20"/>
        </w:rPr>
        <w:footnoteReference w:id="12"/>
      </w:r>
      <w:r w:rsidR="00B07010" w:rsidRPr="007E779B">
        <w:rPr>
          <w:rFonts w:ascii="Cambria" w:hAnsi="Cambria"/>
          <w:sz w:val="20"/>
          <w:szCs w:val="20"/>
        </w:rPr>
        <w:t>.</w:t>
      </w:r>
    </w:p>
    <w:p w14:paraId="76464DE1" w14:textId="77777777" w:rsidR="00B07010" w:rsidRPr="007E779B" w:rsidRDefault="00B07010" w:rsidP="007E779B">
      <w:pPr>
        <w:jc w:val="both"/>
        <w:rPr>
          <w:rFonts w:ascii="Cambria" w:hAnsi="Cambria"/>
          <w:sz w:val="20"/>
          <w:szCs w:val="20"/>
          <w:lang w:val="es-CO"/>
        </w:rPr>
      </w:pPr>
    </w:p>
    <w:p w14:paraId="0226A063" w14:textId="77777777" w:rsidR="004F2A05" w:rsidRPr="007E779B" w:rsidRDefault="00E57ABF" w:rsidP="00B72EC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7E779B">
        <w:rPr>
          <w:rFonts w:ascii="Cambria" w:hAnsi="Cambria"/>
          <w:sz w:val="20"/>
          <w:szCs w:val="20"/>
          <w:lang w:val="es-CO"/>
        </w:rPr>
        <w:t>En virtud de lo anterior, el Congreso dispuso, en lo pertinente para el caso:</w:t>
      </w:r>
    </w:p>
    <w:p w14:paraId="1EE39BF5" w14:textId="77777777" w:rsidR="00E57ABF" w:rsidRPr="007E779B" w:rsidRDefault="00E57ABF"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CE2BD02" w14:textId="77777777" w:rsidR="00622F74" w:rsidRPr="007E779B" w:rsidRDefault="00622F74" w:rsidP="007468E8">
      <w:pPr>
        <w:tabs>
          <w:tab w:val="left" w:pos="1620"/>
        </w:tabs>
        <w:ind w:left="720" w:right="720"/>
        <w:jc w:val="both"/>
        <w:rPr>
          <w:rFonts w:ascii="Cambria" w:hAnsi="Cambria"/>
          <w:sz w:val="20"/>
          <w:szCs w:val="20"/>
          <w:lang w:val="es-CO"/>
        </w:rPr>
      </w:pPr>
      <w:r w:rsidRPr="007E779B">
        <w:rPr>
          <w:rFonts w:ascii="Cambria" w:hAnsi="Cambria"/>
          <w:sz w:val="20"/>
          <w:szCs w:val="20"/>
          <w:lang w:val="es-CO"/>
        </w:rPr>
        <w:t xml:space="preserve">2. Declarar cesantes en sus cargos a los señores vocales principales y suplentes del Tribunal Supremo Electoral por haber sido designados sin contemplar lo que establece el artículo 209 </w:t>
      </w:r>
      <w:r w:rsidRPr="007E779B">
        <w:rPr>
          <w:rFonts w:ascii="Cambria" w:hAnsi="Cambria"/>
          <w:sz w:val="20"/>
          <w:szCs w:val="20"/>
          <w:lang w:val="es-CO"/>
        </w:rPr>
        <w:lastRenderedPageBreak/>
        <w:t>de la Constitución Política de la República, en relación a la forma de designación, y, proceder a su designación de conformidad a la norma constitucional señalada, de acuerdo a los resultados electora</w:t>
      </w:r>
      <w:r w:rsidR="00E57ABF" w:rsidRPr="007E779B">
        <w:rPr>
          <w:rFonts w:ascii="Cambria" w:hAnsi="Cambria"/>
          <w:sz w:val="20"/>
          <w:szCs w:val="20"/>
          <w:lang w:val="es-CO"/>
        </w:rPr>
        <w:t>les del 20 de octubre de 2002.</w:t>
      </w:r>
    </w:p>
    <w:p w14:paraId="4179A648" w14:textId="77777777" w:rsidR="00B72ECB" w:rsidRDefault="00622F74" w:rsidP="007468E8">
      <w:pPr>
        <w:ind w:left="720" w:right="720"/>
        <w:jc w:val="both"/>
        <w:rPr>
          <w:rFonts w:ascii="Cambria" w:hAnsi="Cambria"/>
          <w:sz w:val="20"/>
          <w:szCs w:val="20"/>
          <w:lang w:val="es-CO"/>
        </w:rPr>
      </w:pPr>
      <w:r w:rsidRPr="007E779B">
        <w:rPr>
          <w:rFonts w:ascii="Cambria" w:hAnsi="Cambria"/>
          <w:sz w:val="20"/>
          <w:szCs w:val="20"/>
          <w:lang w:val="es-CO"/>
        </w:rPr>
        <w:t>3. Esta resolución entrará en vigencia de inmediato, sin perjuicio de su publica</w:t>
      </w:r>
      <w:r w:rsidR="00E57ABF" w:rsidRPr="007E779B">
        <w:rPr>
          <w:rFonts w:ascii="Cambria" w:hAnsi="Cambria"/>
          <w:sz w:val="20"/>
          <w:szCs w:val="20"/>
          <w:lang w:val="es-CO"/>
        </w:rPr>
        <w:t>ción en el Registro Oficial (…)</w:t>
      </w:r>
      <w:r w:rsidRPr="007E779B">
        <w:rPr>
          <w:rStyle w:val="FootnoteReference"/>
          <w:rFonts w:ascii="Cambria" w:hAnsi="Cambria"/>
          <w:sz w:val="20"/>
          <w:szCs w:val="20"/>
        </w:rPr>
        <w:footnoteReference w:id="13"/>
      </w:r>
      <w:r w:rsidR="00E57ABF" w:rsidRPr="007E779B">
        <w:rPr>
          <w:rFonts w:ascii="Cambria" w:hAnsi="Cambria"/>
          <w:sz w:val="20"/>
          <w:szCs w:val="20"/>
          <w:lang w:val="es-CO"/>
        </w:rPr>
        <w:t>.</w:t>
      </w:r>
    </w:p>
    <w:p w14:paraId="72ECE69A" w14:textId="77777777" w:rsidR="008E78CC" w:rsidRDefault="008E78CC" w:rsidP="00B72ECB">
      <w:pPr>
        <w:ind w:left="720"/>
        <w:jc w:val="both"/>
        <w:rPr>
          <w:rFonts w:ascii="Cambria" w:hAnsi="Cambria"/>
          <w:sz w:val="20"/>
          <w:szCs w:val="20"/>
          <w:lang w:val="es-CO"/>
        </w:rPr>
      </w:pPr>
    </w:p>
    <w:p w14:paraId="0EF9F1DC" w14:textId="443A2AE4" w:rsidR="001C6BA4" w:rsidRPr="00A12658" w:rsidRDefault="001C6BA4" w:rsidP="00A1265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El 26 de noviembre de 2004 el Congreso designó nuevos vocales principales y suplentes del Tribunal Supremo Electoral</w:t>
      </w:r>
      <w:r>
        <w:rPr>
          <w:rStyle w:val="FootnoteReference"/>
          <w:rFonts w:ascii="Cambria" w:hAnsi="Cambria"/>
          <w:sz w:val="20"/>
          <w:szCs w:val="20"/>
          <w:lang w:val="es-CO"/>
        </w:rPr>
        <w:footnoteReference w:id="14"/>
      </w:r>
      <w:r>
        <w:rPr>
          <w:rFonts w:ascii="Cambria" w:hAnsi="Cambria"/>
          <w:sz w:val="20"/>
          <w:szCs w:val="20"/>
          <w:lang w:val="es-CO"/>
        </w:rPr>
        <w:t xml:space="preserve">. </w:t>
      </w:r>
    </w:p>
    <w:p w14:paraId="08A228B6" w14:textId="068C5176" w:rsidR="008A7B55" w:rsidRPr="00664E77" w:rsidRDefault="00E10650" w:rsidP="00664E7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La Comisión observa</w:t>
      </w:r>
      <w:r w:rsidR="00807C76">
        <w:rPr>
          <w:rFonts w:ascii="Cambria" w:hAnsi="Cambria"/>
          <w:sz w:val="20"/>
          <w:szCs w:val="20"/>
          <w:lang w:val="es-CO"/>
        </w:rPr>
        <w:t xml:space="preserve"> que</w:t>
      </w:r>
      <w:r w:rsidR="00B601C4" w:rsidRPr="007E779B">
        <w:rPr>
          <w:rFonts w:ascii="Cambria" w:hAnsi="Cambria"/>
          <w:sz w:val="20"/>
          <w:szCs w:val="20"/>
          <w:lang w:val="es-CO"/>
        </w:rPr>
        <w:t xml:space="preserve"> la Constitución vigente a la época de los hechos </w:t>
      </w:r>
      <w:r w:rsidR="006766F4">
        <w:rPr>
          <w:rFonts w:ascii="Cambria" w:hAnsi="Cambria"/>
          <w:sz w:val="20"/>
          <w:szCs w:val="20"/>
          <w:lang w:val="es-CO"/>
        </w:rPr>
        <w:t xml:space="preserve">preveía en su artículo 95 </w:t>
      </w:r>
      <w:r w:rsidR="00807C76">
        <w:rPr>
          <w:rFonts w:ascii="Cambria" w:hAnsi="Cambria"/>
          <w:sz w:val="20"/>
          <w:szCs w:val="20"/>
          <w:lang w:val="es-CO"/>
        </w:rPr>
        <w:t xml:space="preserve">la posibilidad de interponer </w:t>
      </w:r>
      <w:r w:rsidR="00B601C4" w:rsidRPr="007E779B">
        <w:rPr>
          <w:rFonts w:ascii="Cambria" w:hAnsi="Cambria"/>
          <w:sz w:val="20"/>
          <w:szCs w:val="20"/>
          <w:lang w:val="es-CO"/>
        </w:rPr>
        <w:t xml:space="preserve">acción de amparo. No obstante, </w:t>
      </w:r>
      <w:r w:rsidR="00A109F3" w:rsidRPr="007E779B">
        <w:rPr>
          <w:rFonts w:ascii="Cambria" w:hAnsi="Cambria"/>
          <w:sz w:val="20"/>
          <w:szCs w:val="20"/>
          <w:lang w:val="es-CO"/>
        </w:rPr>
        <w:t xml:space="preserve">existían dos Resoluciones que </w:t>
      </w:r>
      <w:r w:rsidR="00B601C4" w:rsidRPr="007E779B">
        <w:rPr>
          <w:rFonts w:ascii="Cambria" w:hAnsi="Cambria"/>
          <w:sz w:val="20"/>
          <w:szCs w:val="20"/>
          <w:lang w:val="es-CO"/>
        </w:rPr>
        <w:t>coart</w:t>
      </w:r>
      <w:r w:rsidR="00A109F3" w:rsidRPr="007E779B">
        <w:rPr>
          <w:rFonts w:ascii="Cambria" w:hAnsi="Cambria"/>
          <w:sz w:val="20"/>
          <w:szCs w:val="20"/>
          <w:lang w:val="es-CO"/>
        </w:rPr>
        <w:t xml:space="preserve">aban </w:t>
      </w:r>
      <w:r w:rsidR="00B601C4" w:rsidRPr="007E779B">
        <w:rPr>
          <w:rFonts w:ascii="Cambria" w:hAnsi="Cambria"/>
          <w:sz w:val="20"/>
          <w:szCs w:val="20"/>
          <w:lang w:val="es-CO"/>
        </w:rPr>
        <w:t>la posibilidad de in</w:t>
      </w:r>
      <w:r w:rsidR="00F55846">
        <w:rPr>
          <w:rFonts w:ascii="Cambria" w:hAnsi="Cambria"/>
          <w:sz w:val="20"/>
          <w:szCs w:val="20"/>
          <w:lang w:val="es-CO"/>
        </w:rPr>
        <w:t>terponerla</w:t>
      </w:r>
      <w:r w:rsidR="0041155E" w:rsidRPr="007E779B">
        <w:rPr>
          <w:rFonts w:ascii="Cambria" w:hAnsi="Cambria"/>
          <w:sz w:val="20"/>
          <w:szCs w:val="20"/>
          <w:lang w:val="es-CO"/>
        </w:rPr>
        <w:t xml:space="preserve"> en el caso concreto</w:t>
      </w:r>
      <w:r w:rsidR="00664E77">
        <w:rPr>
          <w:rFonts w:ascii="Cambria" w:hAnsi="Cambria"/>
          <w:sz w:val="20"/>
          <w:szCs w:val="20"/>
          <w:lang w:val="es-CO"/>
        </w:rPr>
        <w:t>. P</w:t>
      </w:r>
      <w:r w:rsidR="00F477CA" w:rsidRPr="00B72ECB">
        <w:rPr>
          <w:rFonts w:ascii="Cambria" w:hAnsi="Cambria"/>
          <w:sz w:val="20"/>
          <w:szCs w:val="20"/>
          <w:lang w:val="es-CO"/>
        </w:rPr>
        <w:t xml:space="preserve">or un lado, la Corte Suprema de Justicia, </w:t>
      </w:r>
      <w:r w:rsidR="004C32F8" w:rsidRPr="00B72ECB">
        <w:rPr>
          <w:rFonts w:ascii="Cambria" w:hAnsi="Cambria"/>
          <w:sz w:val="20"/>
          <w:szCs w:val="20"/>
          <w:lang w:val="es-CO"/>
        </w:rPr>
        <w:t>el 27 de juni</w:t>
      </w:r>
      <w:r w:rsidR="00F477CA" w:rsidRPr="00B72ECB">
        <w:rPr>
          <w:rFonts w:ascii="Cambria" w:hAnsi="Cambria"/>
          <w:sz w:val="20"/>
          <w:szCs w:val="20"/>
          <w:lang w:val="es-CO"/>
        </w:rPr>
        <w:t>o de 2001 emiti</w:t>
      </w:r>
      <w:r w:rsidR="009E1EC4" w:rsidRPr="00B72ECB">
        <w:rPr>
          <w:rFonts w:ascii="Cambria" w:hAnsi="Cambria"/>
          <w:sz w:val="20"/>
          <w:szCs w:val="20"/>
          <w:lang w:val="es-CO"/>
        </w:rPr>
        <w:t xml:space="preserve">ó </w:t>
      </w:r>
      <w:r w:rsidR="00F477CA" w:rsidRPr="00B72ECB">
        <w:rPr>
          <w:rFonts w:ascii="Cambria" w:hAnsi="Cambria"/>
          <w:sz w:val="20"/>
          <w:szCs w:val="20"/>
          <w:lang w:val="es-CO"/>
        </w:rPr>
        <w:t>Resolución 01-027, en la que limitó el alcance de las acciones de amparo,</w:t>
      </w:r>
      <w:r w:rsidR="009E1EC4" w:rsidRPr="00B72ECB">
        <w:rPr>
          <w:rFonts w:ascii="Cambria" w:hAnsi="Cambria"/>
          <w:sz w:val="20"/>
          <w:szCs w:val="20"/>
          <w:lang w:val="es-CO"/>
        </w:rPr>
        <w:t xml:space="preserve"> y dispuso que las mismas no proceden y se las rechazará de pleno cuando se las interponga respecto de los actos de gobierno</w:t>
      </w:r>
      <w:r w:rsidR="00AC1260" w:rsidRPr="007E779B">
        <w:rPr>
          <w:rStyle w:val="FootnoteReference"/>
          <w:rFonts w:ascii="Cambria" w:hAnsi="Cambria"/>
          <w:sz w:val="20"/>
          <w:szCs w:val="20"/>
          <w:lang w:val="es-CO"/>
        </w:rPr>
        <w:footnoteReference w:id="15"/>
      </w:r>
      <w:r w:rsidR="009E1EC4" w:rsidRPr="00B72ECB">
        <w:rPr>
          <w:rFonts w:ascii="Cambria" w:hAnsi="Cambria"/>
          <w:sz w:val="20"/>
          <w:szCs w:val="20"/>
          <w:lang w:val="es-CO"/>
        </w:rPr>
        <w:t xml:space="preserve">. </w:t>
      </w:r>
      <w:r w:rsidR="00803B0D" w:rsidRPr="00664E77">
        <w:rPr>
          <w:rFonts w:ascii="Cambria" w:hAnsi="Cambria"/>
          <w:sz w:val="20"/>
          <w:szCs w:val="20"/>
          <w:lang w:val="es-CO"/>
        </w:rPr>
        <w:t>Asimismo, e</w:t>
      </w:r>
      <w:r w:rsidR="00752471" w:rsidRPr="00664E77">
        <w:rPr>
          <w:rFonts w:ascii="Cambria" w:hAnsi="Cambria"/>
          <w:sz w:val="20"/>
          <w:szCs w:val="20"/>
          <w:lang w:val="es-CO"/>
        </w:rPr>
        <w:t>l 2 de diciemb</w:t>
      </w:r>
      <w:r w:rsidR="00275093" w:rsidRPr="00664E77">
        <w:rPr>
          <w:rFonts w:ascii="Cambria" w:hAnsi="Cambria"/>
          <w:sz w:val="20"/>
          <w:szCs w:val="20"/>
          <w:lang w:val="es-CO"/>
        </w:rPr>
        <w:t>re</w:t>
      </w:r>
      <w:r w:rsidR="00640628" w:rsidRPr="00664E77">
        <w:rPr>
          <w:rFonts w:ascii="Cambria" w:hAnsi="Cambria"/>
          <w:sz w:val="20"/>
          <w:szCs w:val="20"/>
          <w:lang w:val="es-CO"/>
        </w:rPr>
        <w:t xml:space="preserve"> de 2004, el </w:t>
      </w:r>
      <w:r w:rsidR="009557C2">
        <w:rPr>
          <w:rFonts w:ascii="Cambria" w:hAnsi="Cambria"/>
          <w:sz w:val="20"/>
          <w:szCs w:val="20"/>
          <w:lang w:val="es-CO"/>
        </w:rPr>
        <w:t xml:space="preserve">nuevo </w:t>
      </w:r>
      <w:r w:rsidR="00640628" w:rsidRPr="00664E77">
        <w:rPr>
          <w:rFonts w:ascii="Cambria" w:hAnsi="Cambria"/>
          <w:sz w:val="20"/>
          <w:szCs w:val="20"/>
          <w:lang w:val="es-CO"/>
        </w:rPr>
        <w:t>Tribunal Constitucional</w:t>
      </w:r>
      <w:r w:rsidR="009557C2">
        <w:rPr>
          <w:rFonts w:ascii="Cambria" w:hAnsi="Cambria"/>
          <w:sz w:val="20"/>
          <w:szCs w:val="20"/>
          <w:lang w:val="es-CO"/>
        </w:rPr>
        <w:t xml:space="preserve"> constituido tras el cese de todos sus vocales mediante la Resolución 25-160 ya citada</w:t>
      </w:r>
      <w:r w:rsidR="00230401" w:rsidRPr="00664E77">
        <w:rPr>
          <w:rFonts w:ascii="Cambria" w:hAnsi="Cambria"/>
          <w:sz w:val="20"/>
          <w:szCs w:val="20"/>
          <w:lang w:val="es-CO"/>
        </w:rPr>
        <w:t>, a pedido del Presidente de la República</w:t>
      </w:r>
      <w:r w:rsidR="00230401">
        <w:rPr>
          <w:rStyle w:val="FootnoteReference"/>
          <w:rFonts w:ascii="Cambria" w:hAnsi="Cambria"/>
          <w:sz w:val="20"/>
          <w:szCs w:val="20"/>
          <w:lang w:val="es-CO"/>
        </w:rPr>
        <w:footnoteReference w:id="16"/>
      </w:r>
      <w:r w:rsidR="00230401" w:rsidRPr="00664E77">
        <w:rPr>
          <w:rFonts w:ascii="Cambria" w:hAnsi="Cambria"/>
          <w:sz w:val="20"/>
          <w:szCs w:val="20"/>
          <w:lang w:val="es-CO"/>
        </w:rPr>
        <w:t>,</w:t>
      </w:r>
      <w:r w:rsidR="00275093" w:rsidRPr="00664E77">
        <w:rPr>
          <w:rFonts w:ascii="Cambria" w:hAnsi="Cambria"/>
          <w:sz w:val="20"/>
          <w:szCs w:val="20"/>
          <w:lang w:val="es-CO"/>
        </w:rPr>
        <w:t xml:space="preserve"> </w:t>
      </w:r>
      <w:r w:rsidR="0041155E" w:rsidRPr="00664E77">
        <w:rPr>
          <w:rFonts w:ascii="Cambria" w:hAnsi="Cambria"/>
          <w:sz w:val="20"/>
          <w:szCs w:val="20"/>
          <w:lang w:val="es-CO"/>
        </w:rPr>
        <w:t>emitió</w:t>
      </w:r>
      <w:r w:rsidR="00B601C4" w:rsidRPr="00664E77">
        <w:rPr>
          <w:rFonts w:ascii="Cambria" w:hAnsi="Cambria"/>
          <w:sz w:val="20"/>
          <w:szCs w:val="20"/>
          <w:lang w:val="es-CO"/>
        </w:rPr>
        <w:t xml:space="preserve"> </w:t>
      </w:r>
      <w:r w:rsidR="008A7B55" w:rsidRPr="00664E77">
        <w:rPr>
          <w:rFonts w:ascii="Cambria" w:hAnsi="Cambria"/>
          <w:sz w:val="20"/>
          <w:szCs w:val="20"/>
          <w:lang w:val="es-CO"/>
        </w:rPr>
        <w:t>una r</w:t>
      </w:r>
      <w:r w:rsidR="00B601C4" w:rsidRPr="00664E77">
        <w:rPr>
          <w:rFonts w:ascii="Cambria" w:hAnsi="Cambria"/>
          <w:sz w:val="20"/>
          <w:szCs w:val="20"/>
          <w:lang w:val="es-CO"/>
        </w:rPr>
        <w:t>esolución</w:t>
      </w:r>
      <w:r w:rsidR="00752471" w:rsidRPr="00664E77">
        <w:rPr>
          <w:rFonts w:ascii="Cambria" w:hAnsi="Cambria"/>
          <w:sz w:val="20"/>
          <w:szCs w:val="20"/>
          <w:lang w:val="es-CO"/>
        </w:rPr>
        <w:t xml:space="preserve"> en la cual estableció que el único </w:t>
      </w:r>
      <w:r w:rsidR="00B07010" w:rsidRPr="00664E77">
        <w:rPr>
          <w:rFonts w:ascii="Cambria" w:hAnsi="Cambria"/>
          <w:sz w:val="20"/>
          <w:szCs w:val="20"/>
          <w:lang w:val="es-CO"/>
        </w:rPr>
        <w:t>recurso</w:t>
      </w:r>
      <w:r w:rsidR="00752471" w:rsidRPr="00664E77">
        <w:rPr>
          <w:rFonts w:ascii="Cambria" w:hAnsi="Cambria"/>
          <w:sz w:val="20"/>
          <w:szCs w:val="20"/>
          <w:lang w:val="es-CO"/>
        </w:rPr>
        <w:t xml:space="preserve"> pa</w:t>
      </w:r>
      <w:r w:rsidR="00B601C4" w:rsidRPr="00664E77">
        <w:rPr>
          <w:rFonts w:ascii="Cambria" w:hAnsi="Cambria"/>
          <w:sz w:val="20"/>
          <w:szCs w:val="20"/>
          <w:lang w:val="es-CO"/>
        </w:rPr>
        <w:t>ra suspender los efectos de la R</w:t>
      </w:r>
      <w:r w:rsidR="00752471" w:rsidRPr="00664E77">
        <w:rPr>
          <w:rFonts w:ascii="Cambria" w:hAnsi="Cambria"/>
          <w:sz w:val="20"/>
          <w:szCs w:val="20"/>
          <w:lang w:val="es-CO"/>
        </w:rPr>
        <w:t>esolución 25-160</w:t>
      </w:r>
      <w:r w:rsidR="00622F74" w:rsidRPr="00664E77">
        <w:rPr>
          <w:rFonts w:ascii="Cambria" w:hAnsi="Cambria"/>
          <w:sz w:val="20"/>
          <w:szCs w:val="20"/>
          <w:lang w:val="es-CO"/>
        </w:rPr>
        <w:t xml:space="preserve"> </w:t>
      </w:r>
      <w:r w:rsidR="00B07010" w:rsidRPr="00664E77">
        <w:rPr>
          <w:rFonts w:ascii="Cambria" w:hAnsi="Cambria"/>
          <w:sz w:val="20"/>
          <w:szCs w:val="20"/>
          <w:lang w:val="es-CO"/>
        </w:rPr>
        <w:t>era la acción de inconstitucionalidad, y “</w:t>
      </w:r>
      <w:r w:rsidR="00622F74" w:rsidRPr="00664E77">
        <w:rPr>
          <w:rFonts w:ascii="Cambria" w:hAnsi="Cambria"/>
          <w:sz w:val="20"/>
          <w:szCs w:val="20"/>
          <w:lang w:val="es-CO"/>
        </w:rPr>
        <w:t>que cualquier recurso de amparo que se presentara en los juzgados del país relacionado con la referida resolución, los jueces deben rechazarla de plano e inadmitirla, pues en caso contrario se estaría despachando una causa contra ley expresa, que acarrearía las acciones judiciales correspondientes</w:t>
      </w:r>
      <w:r w:rsidR="00B07010" w:rsidRPr="00664E77">
        <w:rPr>
          <w:rFonts w:ascii="Cambria" w:hAnsi="Cambria"/>
          <w:sz w:val="20"/>
          <w:szCs w:val="20"/>
          <w:lang w:val="es-CO"/>
        </w:rPr>
        <w:t>”</w:t>
      </w:r>
      <w:r w:rsidR="00622F74" w:rsidRPr="00664E77">
        <w:rPr>
          <w:rFonts w:ascii="Cambria" w:hAnsi="Cambria"/>
          <w:sz w:val="20"/>
          <w:szCs w:val="20"/>
          <w:lang w:val="es-CO"/>
        </w:rPr>
        <w:t>(…)</w:t>
      </w:r>
      <w:r w:rsidR="00622F74" w:rsidRPr="007E779B">
        <w:rPr>
          <w:rStyle w:val="FootnoteReference"/>
          <w:rFonts w:ascii="Cambria" w:hAnsi="Cambria"/>
          <w:sz w:val="20"/>
          <w:szCs w:val="20"/>
        </w:rPr>
        <w:footnoteReference w:id="17"/>
      </w:r>
      <w:r w:rsidR="00B07010" w:rsidRPr="00664E77">
        <w:rPr>
          <w:rFonts w:ascii="Cambria" w:hAnsi="Cambria"/>
          <w:sz w:val="20"/>
          <w:szCs w:val="20"/>
          <w:lang w:val="es-CO"/>
        </w:rPr>
        <w:t>.</w:t>
      </w:r>
    </w:p>
    <w:p w14:paraId="50007168" w14:textId="77777777" w:rsidR="008E78CC" w:rsidRDefault="008E78CC" w:rsidP="008E78CC">
      <w:pPr>
        <w:pStyle w:val="ListParagraph"/>
        <w:rPr>
          <w:sz w:val="20"/>
          <w:szCs w:val="20"/>
          <w:lang w:val="es-CO"/>
        </w:rPr>
      </w:pPr>
    </w:p>
    <w:p w14:paraId="3C0B91D3" w14:textId="12286803" w:rsidR="008E78CC" w:rsidRDefault="008E78CC" w:rsidP="008A7B5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Varios de los vocales cesados tanto de</w:t>
      </w:r>
      <w:r w:rsidR="001E6D70">
        <w:rPr>
          <w:rFonts w:ascii="Cambria" w:hAnsi="Cambria"/>
          <w:sz w:val="20"/>
          <w:szCs w:val="20"/>
          <w:lang w:val="es-CO"/>
        </w:rPr>
        <w:t>l Tribunal Constitucional</w:t>
      </w:r>
      <w:r>
        <w:rPr>
          <w:rFonts w:ascii="Cambria" w:hAnsi="Cambria"/>
          <w:sz w:val="20"/>
          <w:szCs w:val="20"/>
          <w:lang w:val="es-CO"/>
        </w:rPr>
        <w:t xml:space="preserve"> interpusieron acciones de amparo, las cuales fueron rechazadas en aplicación de la </w:t>
      </w:r>
      <w:r w:rsidR="009557C2">
        <w:rPr>
          <w:rFonts w:ascii="Cambria" w:hAnsi="Cambria"/>
          <w:sz w:val="20"/>
          <w:szCs w:val="20"/>
          <w:lang w:val="es-CO"/>
        </w:rPr>
        <w:t>R</w:t>
      </w:r>
      <w:r>
        <w:rPr>
          <w:rFonts w:ascii="Cambria" w:hAnsi="Cambria"/>
          <w:sz w:val="20"/>
          <w:szCs w:val="20"/>
          <w:lang w:val="es-CO"/>
        </w:rPr>
        <w:t>esolución 25-160</w:t>
      </w:r>
      <w:r>
        <w:rPr>
          <w:rStyle w:val="FootnoteReference"/>
          <w:rFonts w:ascii="Cambria" w:hAnsi="Cambria"/>
          <w:sz w:val="20"/>
          <w:szCs w:val="20"/>
          <w:lang w:val="es-CO"/>
        </w:rPr>
        <w:footnoteReference w:id="18"/>
      </w:r>
      <w:r>
        <w:rPr>
          <w:rFonts w:ascii="Cambria" w:hAnsi="Cambria"/>
          <w:sz w:val="20"/>
          <w:szCs w:val="20"/>
          <w:lang w:val="es-CO"/>
        </w:rPr>
        <w:t>.</w:t>
      </w:r>
    </w:p>
    <w:p w14:paraId="4C2C8C17" w14:textId="77777777" w:rsidR="008E78CC" w:rsidRPr="00C7771E" w:rsidRDefault="008E78CC" w:rsidP="001C6F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4071B01" w14:textId="77777777" w:rsidR="00C93141" w:rsidRPr="009B7C97" w:rsidRDefault="00A92E4A" w:rsidP="00C93141">
      <w:pPr>
        <w:pStyle w:val="Heading1"/>
        <w:spacing w:before="0"/>
        <w:ind w:firstLine="0"/>
        <w:jc w:val="both"/>
        <w:rPr>
          <w:rFonts w:ascii="Cambria" w:eastAsia="Yu Gothic Light" w:hAnsi="Cambria"/>
          <w:color w:val="auto"/>
          <w:sz w:val="20"/>
          <w:szCs w:val="20"/>
          <w:lang w:val="es-VE"/>
        </w:rPr>
      </w:pPr>
      <w:bookmarkStart w:id="27" w:name="_Toc477355360"/>
      <w:bookmarkStart w:id="28" w:name="_Toc480897202"/>
      <w:bookmarkStart w:id="29" w:name="_Toc516682002"/>
      <w:r w:rsidRPr="00C93141">
        <w:rPr>
          <w:rFonts w:ascii="Cambria" w:eastAsia="Yu Gothic Light" w:hAnsi="Cambria"/>
          <w:color w:val="auto"/>
          <w:sz w:val="20"/>
          <w:szCs w:val="20"/>
          <w:lang w:val="es-VE"/>
        </w:rPr>
        <w:t>ANALISIS DE DERECHO</w:t>
      </w:r>
      <w:bookmarkEnd w:id="27"/>
      <w:bookmarkEnd w:id="28"/>
      <w:bookmarkEnd w:id="29"/>
    </w:p>
    <w:p w14:paraId="4F053960" w14:textId="7F73F52F" w:rsidR="00CD624B" w:rsidRDefault="009B7C97" w:rsidP="00CD624B">
      <w:pPr>
        <w:pStyle w:val="Heading2"/>
        <w:numPr>
          <w:ilvl w:val="0"/>
          <w:numId w:val="54"/>
        </w:numPr>
        <w:ind w:firstLine="0"/>
        <w:rPr>
          <w:rFonts w:ascii="Cambria" w:eastAsia="Cambria" w:hAnsi="Cambria"/>
          <w:i w:val="0"/>
          <w:sz w:val="20"/>
          <w:szCs w:val="20"/>
          <w:u w:color="000000"/>
          <w:lang w:val="es-ES_tradnl" w:eastAsia="es-ES"/>
        </w:rPr>
      </w:pPr>
      <w:bookmarkStart w:id="30" w:name="_Toc516682003"/>
      <w:r w:rsidRPr="009B7C97">
        <w:rPr>
          <w:rFonts w:ascii="Cambria" w:eastAsia="Cambria" w:hAnsi="Cambria"/>
          <w:i w:val="0"/>
          <w:sz w:val="20"/>
          <w:szCs w:val="20"/>
          <w:u w:color="000000"/>
          <w:lang w:val="es-ES_tradnl" w:eastAsia="es-ES"/>
        </w:rPr>
        <w:t>Cuestión previa</w:t>
      </w:r>
      <w:bookmarkEnd w:id="30"/>
      <w:r w:rsidRPr="009B7C97">
        <w:rPr>
          <w:rFonts w:ascii="Cambria" w:eastAsia="Cambria" w:hAnsi="Cambria"/>
          <w:i w:val="0"/>
          <w:sz w:val="20"/>
          <w:szCs w:val="20"/>
          <w:u w:color="000000"/>
          <w:lang w:val="es-ES_tradnl" w:eastAsia="es-ES"/>
        </w:rPr>
        <w:t xml:space="preserve"> </w:t>
      </w:r>
    </w:p>
    <w:p w14:paraId="1E92035D" w14:textId="77777777" w:rsidR="00A12658" w:rsidRPr="00A12658" w:rsidRDefault="00A12658" w:rsidP="00A12658">
      <w:pPr>
        <w:rPr>
          <w:lang w:val="es-ES_tradnl" w:eastAsia="es-ES"/>
        </w:rPr>
      </w:pPr>
    </w:p>
    <w:p w14:paraId="1667957A" w14:textId="20FC3969" w:rsidR="00397AAE" w:rsidRDefault="00C80E8E" w:rsidP="00CD624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Pr>
          <w:rFonts w:ascii="Cambria" w:hAnsi="Cambria"/>
          <w:sz w:val="20"/>
          <w:szCs w:val="20"/>
          <w:lang w:val="es-CO"/>
        </w:rPr>
        <w:t xml:space="preserve">La Comisión toma nota del argumento del Estado según el cual </w:t>
      </w:r>
      <w:r w:rsidR="0053671A">
        <w:rPr>
          <w:rFonts w:ascii="Cambria" w:hAnsi="Cambria"/>
          <w:sz w:val="20"/>
          <w:szCs w:val="20"/>
          <w:lang w:val="es-CO"/>
        </w:rPr>
        <w:t>el Tribunal</w:t>
      </w:r>
      <w:r w:rsidR="003D11CC">
        <w:rPr>
          <w:rFonts w:ascii="Cambria" w:hAnsi="Cambria"/>
          <w:sz w:val="20"/>
          <w:szCs w:val="20"/>
          <w:lang w:val="es-CO"/>
        </w:rPr>
        <w:t xml:space="preserve"> Supremo</w:t>
      </w:r>
      <w:r w:rsidR="0053671A">
        <w:rPr>
          <w:rFonts w:ascii="Cambria" w:hAnsi="Cambria"/>
          <w:sz w:val="20"/>
          <w:szCs w:val="20"/>
          <w:lang w:val="es-CO"/>
        </w:rPr>
        <w:t xml:space="preserve"> Electoral no tenía funciones jurisdiccionales por lo que no puede ser asimilado a un</w:t>
      </w:r>
      <w:r w:rsidR="00E53AD9">
        <w:rPr>
          <w:rFonts w:ascii="Cambria" w:hAnsi="Cambria"/>
          <w:sz w:val="20"/>
          <w:szCs w:val="20"/>
          <w:lang w:val="es-CO"/>
        </w:rPr>
        <w:t>a autoridad j</w:t>
      </w:r>
      <w:r w:rsidR="0053671A">
        <w:rPr>
          <w:rFonts w:ascii="Cambria" w:hAnsi="Cambria"/>
          <w:sz w:val="20"/>
          <w:szCs w:val="20"/>
          <w:lang w:val="es-CO"/>
        </w:rPr>
        <w:t xml:space="preserve">udicial. </w:t>
      </w:r>
    </w:p>
    <w:p w14:paraId="49993491" w14:textId="77777777" w:rsidR="00397AAE" w:rsidRDefault="00397AAE" w:rsidP="00397AA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6C070C71" w14:textId="7E96E28E" w:rsidR="00ED32DF" w:rsidRDefault="0053671A" w:rsidP="00A1265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53671A">
        <w:rPr>
          <w:rFonts w:ascii="Cambria" w:hAnsi="Cambria"/>
          <w:sz w:val="20"/>
          <w:szCs w:val="20"/>
          <w:lang w:val="es-CO"/>
        </w:rPr>
        <w:t xml:space="preserve">Respecto de este argumento, la CIDH subraya </w:t>
      </w:r>
      <w:r w:rsidR="00883F6F">
        <w:rPr>
          <w:rFonts w:ascii="Cambria" w:hAnsi="Cambria"/>
          <w:sz w:val="20"/>
          <w:szCs w:val="20"/>
          <w:lang w:val="es-CO"/>
        </w:rPr>
        <w:t xml:space="preserve">que independientemente de la ubicación orgánica del Tribunal Supremo Electoral en el diseño institucional del Estado, dicha autoridad ejercía funciones materialmente jurisdiccionales, pues </w:t>
      </w:r>
      <w:r w:rsidRPr="0053671A">
        <w:rPr>
          <w:rFonts w:ascii="Cambria" w:hAnsi="Cambria"/>
          <w:sz w:val="20"/>
          <w:szCs w:val="20"/>
          <w:lang w:val="es-CO"/>
        </w:rPr>
        <w:t xml:space="preserve">conforme </w:t>
      </w:r>
      <w:r w:rsidR="00883F6F">
        <w:rPr>
          <w:rFonts w:ascii="Cambria" w:hAnsi="Cambria"/>
          <w:sz w:val="20"/>
          <w:szCs w:val="20"/>
          <w:lang w:val="es-CO"/>
        </w:rPr>
        <w:t>al propio</w:t>
      </w:r>
      <w:r w:rsidRPr="0053671A">
        <w:rPr>
          <w:rFonts w:ascii="Cambria" w:hAnsi="Cambria"/>
          <w:sz w:val="20"/>
          <w:szCs w:val="20"/>
          <w:lang w:val="es-CO"/>
        </w:rPr>
        <w:t xml:space="preserve"> artículo 209 de la Constitución Política de 1998, tenía la potestad de, entre otras cuestiones, juzgar las cuentas que rindan los partidos, movimientos políticos, organizaciones y candidatos. En virtud de lo anterior, la CIDH considera que la presunta víctima </w:t>
      </w:r>
      <w:r>
        <w:rPr>
          <w:rFonts w:ascii="Cambria" w:hAnsi="Cambria"/>
          <w:sz w:val="20"/>
          <w:szCs w:val="20"/>
          <w:lang w:val="es-CO"/>
        </w:rPr>
        <w:t xml:space="preserve">desempeñaba una función de operador de justicia, por lo que en las secciones subsiguientes aplicará los estándares </w:t>
      </w:r>
      <w:r w:rsidR="00397AAE">
        <w:rPr>
          <w:rFonts w:ascii="Cambria" w:hAnsi="Cambria"/>
          <w:sz w:val="20"/>
          <w:szCs w:val="20"/>
          <w:lang w:val="es-CO"/>
        </w:rPr>
        <w:t xml:space="preserve">internacionales que se desprenden del principio de independencia judicial en lo relativo a procesos de remoción </w:t>
      </w:r>
      <w:r>
        <w:rPr>
          <w:rFonts w:ascii="Cambria" w:hAnsi="Cambria"/>
          <w:sz w:val="20"/>
          <w:szCs w:val="20"/>
          <w:lang w:val="es-CO"/>
        </w:rPr>
        <w:t>de</w:t>
      </w:r>
      <w:r w:rsidR="00397AAE">
        <w:rPr>
          <w:rFonts w:ascii="Cambria" w:hAnsi="Cambria"/>
          <w:sz w:val="20"/>
          <w:szCs w:val="20"/>
          <w:lang w:val="es-CO"/>
        </w:rPr>
        <w:t xml:space="preserve"> autoridades judiciales. </w:t>
      </w:r>
    </w:p>
    <w:p w14:paraId="7D7E7079" w14:textId="77777777" w:rsidR="00A12658" w:rsidRDefault="00A12658"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D4B19C0" w14:textId="77777777" w:rsidR="00C16812" w:rsidRDefault="00C16812"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5278D2D" w14:textId="77777777" w:rsidR="00C16812" w:rsidRDefault="00C16812"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395FDA8E" w14:textId="77777777" w:rsidR="00C16812" w:rsidRDefault="00C16812"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D503FF2" w14:textId="77777777" w:rsidR="00C16812" w:rsidRDefault="00C16812"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AB1EFE4" w14:textId="77777777" w:rsidR="00C16812" w:rsidRDefault="00C16812"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74CFAE3" w14:textId="77777777" w:rsidR="00C16812" w:rsidRPr="00A12658" w:rsidRDefault="00C16812" w:rsidP="00A126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5754DA6" w14:textId="77777777" w:rsidR="009B7C97" w:rsidRPr="009B7C97" w:rsidRDefault="009B7C97" w:rsidP="009B7C97">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jc w:val="both"/>
        <w:rPr>
          <w:rFonts w:ascii="Cambria" w:eastAsia="Cambria" w:hAnsi="Cambria" w:cs="Cambria"/>
          <w:b/>
          <w:sz w:val="20"/>
          <w:szCs w:val="20"/>
          <w:u w:color="000000"/>
          <w:lang w:val="es-ES_tradnl" w:eastAsia="es-ES"/>
        </w:rPr>
      </w:pPr>
      <w:r>
        <w:rPr>
          <w:rFonts w:ascii="Cambria" w:eastAsia="Cambria" w:hAnsi="Cambria" w:cs="Cambria"/>
          <w:b/>
          <w:sz w:val="20"/>
          <w:szCs w:val="20"/>
          <w:u w:color="000000"/>
          <w:lang w:val="es-ES_tradnl" w:eastAsia="es-ES"/>
        </w:rPr>
        <w:t xml:space="preserve">Derecho a las garantías </w:t>
      </w:r>
      <w:r w:rsidRPr="009B7C97">
        <w:rPr>
          <w:rFonts w:ascii="Cambria" w:eastAsia="Times New Roman" w:hAnsi="Cambria" w:cs="Arial"/>
          <w:b/>
          <w:bCs/>
          <w:iCs/>
          <w:sz w:val="20"/>
          <w:szCs w:val="20"/>
          <w:bdr w:val="none" w:sz="0" w:space="0" w:color="auto"/>
          <w:lang w:val="es-ES"/>
        </w:rPr>
        <w:t>judiciales</w:t>
      </w:r>
      <w:r w:rsidR="0017114C">
        <w:rPr>
          <w:rFonts w:ascii="Cambria" w:eastAsia="Times New Roman" w:hAnsi="Cambria" w:cs="Arial"/>
          <w:b/>
          <w:bCs/>
          <w:iCs/>
          <w:sz w:val="20"/>
          <w:szCs w:val="20"/>
          <w:bdr w:val="none" w:sz="0" w:space="0" w:color="auto"/>
          <w:lang w:val="es-ES"/>
        </w:rPr>
        <w:t xml:space="preserve"> y principio de legalidad</w:t>
      </w:r>
      <w:r w:rsidRPr="009B7C97">
        <w:rPr>
          <w:rFonts w:ascii="Cambria" w:eastAsia="Times New Roman" w:hAnsi="Cambria" w:cs="Arial"/>
          <w:b/>
          <w:bCs/>
          <w:iCs/>
          <w:sz w:val="20"/>
          <w:szCs w:val="20"/>
          <w:bdr w:val="none" w:sz="0" w:space="0" w:color="auto"/>
          <w:lang w:val="es-ES"/>
        </w:rPr>
        <w:t xml:space="preserve"> (Artículos 8.1, 8.2</w:t>
      </w:r>
      <w:r w:rsidRPr="0017114C">
        <w:rPr>
          <w:rFonts w:ascii="Cambria" w:eastAsia="Times New Roman" w:hAnsi="Cambria" w:cs="Arial"/>
          <w:b/>
          <w:bCs/>
          <w:iCs/>
          <w:sz w:val="20"/>
          <w:szCs w:val="20"/>
          <w:bdr w:val="none" w:sz="0" w:space="0" w:color="auto"/>
          <w:vertAlign w:val="superscript"/>
        </w:rPr>
        <w:footnoteReference w:id="19"/>
      </w:r>
      <w:r w:rsidRPr="009B7C97">
        <w:rPr>
          <w:rFonts w:ascii="Cambria" w:eastAsia="Times New Roman" w:hAnsi="Cambria" w:cs="Arial"/>
          <w:b/>
          <w:bCs/>
          <w:iCs/>
          <w:sz w:val="20"/>
          <w:szCs w:val="20"/>
          <w:bdr w:val="none" w:sz="0" w:space="0" w:color="auto"/>
          <w:lang w:val="es-ES"/>
        </w:rPr>
        <w:t xml:space="preserve">, </w:t>
      </w:r>
      <w:r w:rsidR="0017114C">
        <w:rPr>
          <w:rFonts w:ascii="Cambria" w:eastAsia="Times New Roman" w:hAnsi="Cambria" w:cs="Arial"/>
          <w:b/>
          <w:bCs/>
          <w:iCs/>
          <w:sz w:val="20"/>
          <w:szCs w:val="20"/>
          <w:bdr w:val="none" w:sz="0" w:space="0" w:color="auto"/>
          <w:lang w:val="es-ES"/>
        </w:rPr>
        <w:t xml:space="preserve"> 9, </w:t>
      </w:r>
      <w:r w:rsidRPr="009B7C97">
        <w:rPr>
          <w:rFonts w:ascii="Cambria" w:eastAsia="Times New Roman" w:hAnsi="Cambria" w:cs="Arial"/>
          <w:b/>
          <w:bCs/>
          <w:iCs/>
          <w:sz w:val="20"/>
          <w:szCs w:val="20"/>
          <w:bdr w:val="none" w:sz="0" w:space="0" w:color="auto"/>
          <w:lang w:val="es-ES"/>
        </w:rPr>
        <w:t>1.1 y 2</w:t>
      </w:r>
      <w:r w:rsidRPr="0017114C">
        <w:rPr>
          <w:rFonts w:ascii="Cambria" w:eastAsia="Times New Roman" w:hAnsi="Cambria" w:cs="Arial"/>
          <w:b/>
          <w:bCs/>
          <w:iCs/>
          <w:sz w:val="20"/>
          <w:szCs w:val="20"/>
          <w:bdr w:val="none" w:sz="0" w:space="0" w:color="auto"/>
          <w:vertAlign w:val="superscript"/>
        </w:rPr>
        <w:footnoteReference w:id="20"/>
      </w:r>
      <w:r w:rsidRPr="009B7C97">
        <w:rPr>
          <w:rFonts w:ascii="Cambria" w:eastAsia="Times New Roman" w:hAnsi="Cambria" w:cs="Arial"/>
          <w:b/>
          <w:bCs/>
          <w:iCs/>
          <w:sz w:val="20"/>
          <w:szCs w:val="20"/>
          <w:bdr w:val="none" w:sz="0" w:space="0" w:color="auto"/>
          <w:lang w:val="es-ES"/>
        </w:rPr>
        <w:t xml:space="preserve"> de la Convención)</w:t>
      </w:r>
    </w:p>
    <w:p w14:paraId="6030CA38" w14:textId="77777777" w:rsidR="00C93141" w:rsidRDefault="009B7C97" w:rsidP="005979E4">
      <w:pPr>
        <w:pStyle w:val="Heading3"/>
        <w:numPr>
          <w:ilvl w:val="0"/>
          <w:numId w:val="64"/>
        </w:numPr>
        <w:ind w:hanging="720"/>
        <w:jc w:val="both"/>
        <w:rPr>
          <w:rFonts w:ascii="Cambria" w:hAnsi="Cambria"/>
          <w:sz w:val="20"/>
          <w:szCs w:val="20"/>
          <w:lang w:val="es-ES_tradnl"/>
        </w:rPr>
      </w:pPr>
      <w:bookmarkStart w:id="31" w:name="_Toc516682004"/>
      <w:r w:rsidRPr="009B7C97">
        <w:rPr>
          <w:rFonts w:ascii="Cambria" w:hAnsi="Cambria"/>
          <w:sz w:val="20"/>
          <w:szCs w:val="20"/>
          <w:lang w:val="es-ES_tradnl"/>
        </w:rPr>
        <w:t>Consideraciones generales sobre las garantías aplicables y el principio de independencia judicial</w:t>
      </w:r>
      <w:bookmarkEnd w:id="31"/>
      <w:r w:rsidRPr="009B7C97">
        <w:rPr>
          <w:rFonts w:ascii="Cambria" w:hAnsi="Cambria"/>
          <w:sz w:val="20"/>
          <w:szCs w:val="20"/>
          <w:lang w:val="es-ES_tradnl"/>
        </w:rPr>
        <w:t xml:space="preserve"> </w:t>
      </w:r>
    </w:p>
    <w:p w14:paraId="4ACABC48" w14:textId="77777777" w:rsidR="0064521C" w:rsidRPr="0064521C" w:rsidRDefault="0064521C" w:rsidP="0064521C">
      <w:pPr>
        <w:rPr>
          <w:lang w:val="es-ES_tradnl"/>
        </w:rPr>
      </w:pPr>
    </w:p>
    <w:p w14:paraId="5EA5EC3F" w14:textId="57400308" w:rsidR="0066797B" w:rsidRPr="00FE60A7" w:rsidRDefault="0064521C" w:rsidP="0017199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mbria" w:hAnsi="Cambria" w:cs="Cambria"/>
          <w:b/>
          <w:sz w:val="20"/>
          <w:szCs w:val="20"/>
          <w:u w:color="000000"/>
          <w:lang w:val="es-ES_tradnl" w:eastAsia="es-ES"/>
        </w:rPr>
      </w:pPr>
      <w:r w:rsidRPr="00D276E7">
        <w:rPr>
          <w:rFonts w:ascii="Cambria" w:hAnsi="Cambria"/>
          <w:sz w:val="20"/>
          <w:szCs w:val="20"/>
          <w:lang w:val="es-CO"/>
        </w:rPr>
        <w:t>La Comisión recuerda que ambos órganos del sistema interamericano han indicado que las garantías establecidas en el artículo 8 de la Convención Americana,  no se limitan a procesos penales</w:t>
      </w:r>
      <w:r w:rsidRPr="00D276E7">
        <w:rPr>
          <w:rFonts w:ascii="Cambria" w:hAnsi="Cambria"/>
          <w:sz w:val="20"/>
          <w:szCs w:val="20"/>
          <w:lang w:val="es-ES" w:eastAsia="es-ES"/>
        </w:rPr>
        <w:t>, sino que aplican a procesos de otra naturaleza</w:t>
      </w:r>
      <w:r w:rsidRPr="00D276E7">
        <w:rPr>
          <w:rFonts w:ascii="Cambria" w:hAnsi="Cambria"/>
          <w:sz w:val="20"/>
          <w:szCs w:val="20"/>
          <w:vertAlign w:val="superscript"/>
          <w:lang w:eastAsia="es-ES"/>
        </w:rPr>
        <w:footnoteReference w:id="21"/>
      </w:r>
      <w:r w:rsidRPr="00D276E7">
        <w:rPr>
          <w:rFonts w:ascii="Cambria" w:hAnsi="Cambria"/>
          <w:sz w:val="20"/>
          <w:szCs w:val="20"/>
          <w:lang w:val="es-ES" w:eastAsia="es-ES"/>
        </w:rPr>
        <w:t xml:space="preserve">. Específicamente, cuando se trata de procesos sancionatorios, ambos órganos han </w:t>
      </w:r>
      <w:r w:rsidRPr="00FE60A7">
        <w:rPr>
          <w:rFonts w:ascii="Cambria" w:hAnsi="Cambria"/>
          <w:sz w:val="20"/>
          <w:szCs w:val="20"/>
          <w:lang w:val="es-ES" w:eastAsia="es-ES"/>
        </w:rPr>
        <w:t>indicado que aplican, análogamente, las garantías establecidas en el artículo 8.2 de la Convención Americana</w:t>
      </w:r>
      <w:r w:rsidRPr="00FE60A7">
        <w:rPr>
          <w:rFonts w:ascii="Cambria" w:hAnsi="Cambria"/>
          <w:sz w:val="20"/>
          <w:szCs w:val="20"/>
          <w:vertAlign w:val="superscript"/>
          <w:lang w:eastAsia="es-ES"/>
        </w:rPr>
        <w:footnoteReference w:id="22"/>
      </w:r>
      <w:r w:rsidR="0066797B" w:rsidRPr="00FE60A7">
        <w:rPr>
          <w:rFonts w:ascii="Cambria" w:hAnsi="Cambria"/>
          <w:sz w:val="20"/>
          <w:szCs w:val="20"/>
          <w:lang w:val="es-ES" w:eastAsia="es-ES"/>
        </w:rPr>
        <w:t>.</w:t>
      </w:r>
      <w:r w:rsidR="00A12658">
        <w:rPr>
          <w:rFonts w:ascii="Cambria" w:eastAsia="Cambria" w:hAnsi="Cambria" w:cs="Cambria"/>
          <w:b/>
          <w:sz w:val="20"/>
          <w:szCs w:val="20"/>
          <w:u w:color="000000"/>
          <w:lang w:val="es-ES_tradnl" w:eastAsia="es-ES"/>
        </w:rPr>
        <w:t xml:space="preserve"> </w:t>
      </w:r>
      <w:r w:rsidR="0066797B" w:rsidRPr="00FE60A7">
        <w:rPr>
          <w:rFonts w:ascii="Cambria" w:eastAsia="Cambria" w:hAnsi="Cambria" w:cs="Cambria"/>
          <w:sz w:val="20"/>
          <w:szCs w:val="20"/>
          <w:u w:color="000000"/>
          <w:lang w:val="es-ES_tradnl" w:eastAsia="es-ES"/>
        </w:rPr>
        <w:t>Igualmente, e</w:t>
      </w:r>
      <w:r w:rsidR="0017199E" w:rsidRPr="00FE60A7">
        <w:rPr>
          <w:rFonts w:ascii="Cambria" w:eastAsia="Cambria" w:hAnsi="Cambria" w:cs="Cambria"/>
          <w:sz w:val="20"/>
          <w:szCs w:val="20"/>
          <w:u w:color="000000"/>
          <w:lang w:val="es-ES_tradnl" w:eastAsia="es-ES"/>
        </w:rPr>
        <w:t xml:space="preserve">l principio de legalidad es aplicable a los </w:t>
      </w:r>
      <w:r w:rsidR="00A12658">
        <w:rPr>
          <w:rFonts w:ascii="Cambria" w:eastAsia="Cambria" w:hAnsi="Cambria" w:cs="Cambria"/>
          <w:sz w:val="20"/>
          <w:szCs w:val="20"/>
          <w:u w:color="000000"/>
          <w:lang w:val="es-ES_tradnl" w:eastAsia="es-ES"/>
        </w:rPr>
        <w:t xml:space="preserve">procesos disciplinarios que son </w:t>
      </w:r>
      <w:r w:rsidR="0066797B" w:rsidRPr="00FE60A7">
        <w:rPr>
          <w:rFonts w:ascii="Cambria" w:hAnsi="Cambria" w:cs="Verdana"/>
          <w:sz w:val="20"/>
          <w:szCs w:val="20"/>
          <w:lang w:val="es-UY"/>
        </w:rPr>
        <w:t>“una expresión del poder punitivo del Estado” puesto que implican un menoscabo o alteración de los derechos de las personas como consecuencia de una conducta ilícita</w:t>
      </w:r>
      <w:r w:rsidR="0066797B" w:rsidRPr="00FE60A7">
        <w:rPr>
          <w:rFonts w:ascii="Cambria" w:hAnsi="Cambria" w:cs="Verdana"/>
          <w:sz w:val="20"/>
          <w:szCs w:val="20"/>
          <w:vertAlign w:val="superscript"/>
          <w:lang w:val="es-UY"/>
        </w:rPr>
        <w:footnoteReference w:id="23"/>
      </w:r>
      <w:r w:rsidR="0066797B" w:rsidRPr="00FE60A7">
        <w:rPr>
          <w:rFonts w:ascii="Cambria" w:hAnsi="Cambria" w:cs="Verdana"/>
          <w:sz w:val="20"/>
          <w:szCs w:val="20"/>
          <w:lang w:val="es-UY"/>
        </w:rPr>
        <w:t xml:space="preserve">. </w:t>
      </w:r>
    </w:p>
    <w:p w14:paraId="1E6521C7" w14:textId="77777777" w:rsidR="0066797B" w:rsidRPr="00FE60A7" w:rsidRDefault="0066797B" w:rsidP="00A16E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b/>
          <w:sz w:val="20"/>
          <w:szCs w:val="20"/>
          <w:u w:color="000000"/>
          <w:lang w:val="es-ES_tradnl" w:eastAsia="es-ES"/>
        </w:rPr>
      </w:pPr>
    </w:p>
    <w:p w14:paraId="1E51B12A" w14:textId="4DC11E33" w:rsidR="00DF29B5" w:rsidRPr="00DF29B5" w:rsidRDefault="000E41B5" w:rsidP="00DF29B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mbria" w:hAnsi="Cambria" w:cs="Cambria"/>
          <w:b/>
          <w:sz w:val="20"/>
          <w:szCs w:val="20"/>
          <w:u w:color="000000"/>
          <w:lang w:val="es-ES_tradnl" w:eastAsia="es-ES"/>
        </w:rPr>
      </w:pPr>
      <w:r w:rsidRPr="00FE60A7">
        <w:rPr>
          <w:rFonts w:ascii="Cambria" w:hAnsi="Cambria"/>
          <w:sz w:val="20"/>
          <w:szCs w:val="20"/>
          <w:lang w:val="es-ES" w:eastAsia="es-ES"/>
        </w:rPr>
        <w:t>E</w:t>
      </w:r>
      <w:r w:rsidR="008037EA" w:rsidRPr="00FE60A7">
        <w:rPr>
          <w:rFonts w:ascii="Cambria" w:hAnsi="Cambria"/>
          <w:sz w:val="20"/>
          <w:szCs w:val="20"/>
          <w:lang w:val="es-ES" w:eastAsia="es-ES"/>
        </w:rPr>
        <w:t>n el presente</w:t>
      </w:r>
      <w:r w:rsidR="00C118DF" w:rsidRPr="00FE60A7">
        <w:rPr>
          <w:rFonts w:ascii="Cambria" w:hAnsi="Cambria"/>
          <w:sz w:val="20"/>
          <w:szCs w:val="20"/>
          <w:lang w:val="es-ES" w:eastAsia="es-ES"/>
        </w:rPr>
        <w:t xml:space="preserve"> caso</w:t>
      </w:r>
      <w:r w:rsidR="008037EA" w:rsidRPr="00FE60A7">
        <w:rPr>
          <w:rFonts w:ascii="Cambria" w:hAnsi="Cambria"/>
          <w:sz w:val="20"/>
          <w:szCs w:val="20"/>
          <w:lang w:val="es-ES" w:eastAsia="es-ES"/>
        </w:rPr>
        <w:t xml:space="preserve"> </w:t>
      </w:r>
      <w:r w:rsidR="0017114C" w:rsidRPr="00FE60A7">
        <w:rPr>
          <w:rFonts w:ascii="Cambria" w:hAnsi="Cambria"/>
          <w:sz w:val="20"/>
          <w:szCs w:val="20"/>
          <w:lang w:val="es-ES" w:eastAsia="es-ES"/>
        </w:rPr>
        <w:t xml:space="preserve">la presunta víctima fue cesada de su </w:t>
      </w:r>
      <w:r w:rsidR="008037EA" w:rsidRPr="00FE60A7">
        <w:rPr>
          <w:rFonts w:ascii="Cambria" w:hAnsi="Cambria"/>
          <w:sz w:val="20"/>
          <w:szCs w:val="20"/>
          <w:lang w:val="es-ES" w:eastAsia="es-ES"/>
        </w:rPr>
        <w:t>cargo de vocal del Tribunal Supremo Electoral</w:t>
      </w:r>
      <w:r w:rsidRPr="00FE60A7">
        <w:rPr>
          <w:rFonts w:ascii="Cambria" w:hAnsi="Cambria"/>
          <w:sz w:val="20"/>
          <w:szCs w:val="20"/>
          <w:lang w:val="es-ES" w:eastAsia="es-ES"/>
        </w:rPr>
        <w:t xml:space="preserve"> como consecuencia de una decisión del órgano legislativo que tenía la finalidad declarada de corregir un supuesto nombramiento contrario al ordenamiento jurídico. En ese sentido, el carácter sancionatorio de este acto del Estado y la consecuente determinación de las garantías aplicables no se deriva, como en otros casos, del carácter formal del proceso. Para esta determinación, la Comisión se remite a lo ya decidido por la Corte Interamericana </w:t>
      </w:r>
      <w:r w:rsidR="004A4C03">
        <w:rPr>
          <w:rFonts w:ascii="Cambria" w:hAnsi="Cambria"/>
          <w:sz w:val="20"/>
          <w:szCs w:val="20"/>
          <w:lang w:val="es-ES" w:eastAsia="es-ES"/>
        </w:rPr>
        <w:t xml:space="preserve">en el caso </w:t>
      </w:r>
      <w:r w:rsidR="004A4C03" w:rsidRPr="00DD3CF8">
        <w:rPr>
          <w:rFonts w:ascii="Cambria" w:hAnsi="Cambria"/>
          <w:i/>
          <w:sz w:val="20"/>
          <w:szCs w:val="20"/>
          <w:lang w:val="es-ES" w:eastAsia="es-ES"/>
        </w:rPr>
        <w:t>Camba Campos</w:t>
      </w:r>
      <w:r w:rsidR="008E4263" w:rsidRPr="00DD3CF8">
        <w:rPr>
          <w:rFonts w:ascii="Cambria" w:hAnsi="Cambria"/>
          <w:i/>
          <w:sz w:val="20"/>
          <w:szCs w:val="20"/>
          <w:lang w:val="es-ES" w:eastAsia="es-ES"/>
        </w:rPr>
        <w:t xml:space="preserve"> y otros</w:t>
      </w:r>
      <w:r w:rsidR="008E4263">
        <w:rPr>
          <w:rFonts w:ascii="Cambria" w:hAnsi="Cambria"/>
          <w:sz w:val="20"/>
          <w:szCs w:val="20"/>
          <w:lang w:val="es-ES" w:eastAsia="es-ES"/>
        </w:rPr>
        <w:t xml:space="preserve"> vs.</w:t>
      </w:r>
      <w:r w:rsidR="008E4263" w:rsidRPr="00DD3CF8">
        <w:rPr>
          <w:rFonts w:ascii="Cambria" w:hAnsi="Cambria"/>
          <w:i/>
          <w:sz w:val="20"/>
          <w:szCs w:val="20"/>
          <w:lang w:val="es-ES" w:eastAsia="es-ES"/>
        </w:rPr>
        <w:t xml:space="preserve"> Ecuador</w:t>
      </w:r>
      <w:r w:rsidR="004A4C03">
        <w:rPr>
          <w:rFonts w:ascii="Cambria" w:hAnsi="Cambria"/>
          <w:sz w:val="20"/>
          <w:szCs w:val="20"/>
          <w:lang w:val="es-ES" w:eastAsia="es-ES"/>
        </w:rPr>
        <w:t xml:space="preserve"> en cuanto a la verdadera naturaleza sancionatoria de la Resolución 25-160</w:t>
      </w:r>
      <w:r w:rsidR="00DF29B5">
        <w:rPr>
          <w:rFonts w:ascii="Cambria" w:hAnsi="Cambria"/>
          <w:sz w:val="20"/>
          <w:szCs w:val="20"/>
          <w:lang w:val="es-ES" w:eastAsia="es-ES"/>
        </w:rPr>
        <w:t xml:space="preserve">. En palabras de la Corte: </w:t>
      </w:r>
      <w:r w:rsidR="00DF29B5" w:rsidRPr="00DF29B5">
        <w:rPr>
          <w:rFonts w:ascii="Cambria" w:hAnsi="Cambria" w:cs="Verdana"/>
          <w:sz w:val="20"/>
          <w:szCs w:val="20"/>
          <w:lang w:val="es-UY"/>
        </w:rPr>
        <w:t>“</w:t>
      </w:r>
      <w:r w:rsidR="00DF29B5">
        <w:rPr>
          <w:rFonts w:ascii="Cambria" w:hAnsi="Cambria" w:cs="Verdana"/>
          <w:sz w:val="20"/>
          <w:szCs w:val="20"/>
          <w:lang w:val="es-UY"/>
        </w:rPr>
        <w:t>l</w:t>
      </w:r>
      <w:r w:rsidR="00DF29B5" w:rsidRPr="00DF29B5">
        <w:rPr>
          <w:rFonts w:ascii="Cambria" w:hAnsi="Cambria" w:cs="Verdana"/>
          <w:sz w:val="20"/>
          <w:szCs w:val="20"/>
          <w:lang w:val="es-UY"/>
        </w:rPr>
        <w:t>a supuesta ilegalidad en el nombramiento constituyó tan solo una justificación pa</w:t>
      </w:r>
      <w:r w:rsidR="00031309">
        <w:rPr>
          <w:rFonts w:ascii="Cambria" w:hAnsi="Cambria" w:cs="Verdana"/>
          <w:sz w:val="20"/>
          <w:szCs w:val="20"/>
          <w:lang w:val="es-UY"/>
        </w:rPr>
        <w:t>ra imponer una sanción de facto</w:t>
      </w:r>
      <w:r w:rsidR="00DF29B5">
        <w:rPr>
          <w:rFonts w:ascii="Cambria" w:hAnsi="Cambria" w:cs="Verdana"/>
          <w:sz w:val="20"/>
          <w:szCs w:val="20"/>
          <w:lang w:val="es-UY"/>
        </w:rPr>
        <w:t>”</w:t>
      </w:r>
      <w:r w:rsidR="00DF29B5" w:rsidRPr="00DF29B5">
        <w:rPr>
          <w:rFonts w:ascii="Cambria" w:hAnsi="Cambria" w:cs="Verdana"/>
          <w:sz w:val="20"/>
          <w:szCs w:val="20"/>
          <w:vertAlign w:val="superscript"/>
          <w:lang w:val="es-UY"/>
        </w:rPr>
        <w:footnoteReference w:id="24"/>
      </w:r>
      <w:r w:rsidR="00DF29B5" w:rsidRPr="00DF29B5">
        <w:rPr>
          <w:rFonts w:ascii="Cambria" w:hAnsi="Cambria" w:cs="Verdana"/>
          <w:sz w:val="20"/>
          <w:szCs w:val="20"/>
          <w:lang w:val="es-UY"/>
        </w:rPr>
        <w:t xml:space="preserve">. </w:t>
      </w:r>
    </w:p>
    <w:p w14:paraId="36AAF21B" w14:textId="77777777" w:rsidR="00DF29B5" w:rsidRDefault="00DF29B5" w:rsidP="00DF29B5">
      <w:pPr>
        <w:pStyle w:val="ListParagraph"/>
        <w:rPr>
          <w:sz w:val="20"/>
          <w:szCs w:val="20"/>
          <w:lang w:val="es-ES"/>
        </w:rPr>
      </w:pPr>
    </w:p>
    <w:p w14:paraId="262AF81A" w14:textId="6508829B" w:rsidR="00FE60A7" w:rsidRPr="00A12658" w:rsidRDefault="004A4C03" w:rsidP="00A1265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mbria" w:hAnsi="Cambria" w:cs="Cambria"/>
          <w:b/>
          <w:sz w:val="20"/>
          <w:szCs w:val="20"/>
          <w:u w:color="000000"/>
          <w:lang w:val="es-ES_tradnl" w:eastAsia="es-ES"/>
        </w:rPr>
      </w:pPr>
      <w:r>
        <w:rPr>
          <w:rFonts w:ascii="Cambria" w:hAnsi="Cambria"/>
          <w:sz w:val="20"/>
          <w:szCs w:val="20"/>
          <w:lang w:val="es-ES" w:eastAsia="es-ES"/>
        </w:rPr>
        <w:t xml:space="preserve"> </w:t>
      </w:r>
      <w:r w:rsidR="007B65C8">
        <w:rPr>
          <w:rFonts w:ascii="Cambria" w:hAnsi="Cambria"/>
          <w:sz w:val="20"/>
          <w:szCs w:val="20"/>
          <w:lang w:val="es-ES" w:eastAsia="es-ES"/>
        </w:rPr>
        <w:t xml:space="preserve">En ese sentido, la Comisión considera que el presente caso debe ser analizado a la luz de las </w:t>
      </w:r>
      <w:r w:rsidR="008037EA" w:rsidRPr="00FE60A7">
        <w:rPr>
          <w:rFonts w:ascii="Cambria" w:hAnsi="Cambria"/>
          <w:sz w:val="20"/>
          <w:szCs w:val="20"/>
          <w:lang w:val="es-ES" w:eastAsia="es-ES"/>
        </w:rPr>
        <w:t>garantías del debido proceso establecidas en el artículo 8 de la Convención</w:t>
      </w:r>
      <w:r w:rsidR="0017199E" w:rsidRPr="004A4C03">
        <w:rPr>
          <w:rFonts w:ascii="Cambria" w:hAnsi="Cambria"/>
          <w:sz w:val="20"/>
          <w:szCs w:val="20"/>
          <w:lang w:val="es-ES" w:eastAsia="es-ES"/>
        </w:rPr>
        <w:t xml:space="preserve"> y el principio de legalidad establecido en el artículo 9 del mismo instrumento.</w:t>
      </w:r>
      <w:r w:rsidR="008037EA" w:rsidRPr="004A4C03">
        <w:rPr>
          <w:rFonts w:ascii="Cambria" w:hAnsi="Cambria"/>
          <w:sz w:val="20"/>
          <w:szCs w:val="20"/>
          <w:lang w:val="es-ES" w:eastAsia="es-ES"/>
        </w:rPr>
        <w:t xml:space="preserve"> </w:t>
      </w:r>
    </w:p>
    <w:p w14:paraId="597CB411" w14:textId="77777777" w:rsidR="00FE60A7" w:rsidRDefault="00FE60A7" w:rsidP="00DF33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mbria" w:hAnsi="Cambria" w:cs="Cambria"/>
          <w:b/>
          <w:sz w:val="20"/>
          <w:szCs w:val="20"/>
          <w:u w:color="000000"/>
          <w:lang w:val="es-ES_tradnl" w:eastAsia="es-ES"/>
        </w:rPr>
      </w:pPr>
    </w:p>
    <w:p w14:paraId="7F419015" w14:textId="77777777" w:rsidR="00C16812" w:rsidRDefault="00C16812" w:rsidP="00DF33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mbria" w:hAnsi="Cambria" w:cs="Cambria"/>
          <w:b/>
          <w:sz w:val="20"/>
          <w:szCs w:val="20"/>
          <w:u w:color="000000"/>
          <w:lang w:val="es-ES_tradnl" w:eastAsia="es-ES"/>
        </w:rPr>
      </w:pPr>
    </w:p>
    <w:p w14:paraId="1141699F" w14:textId="77777777" w:rsidR="00C16812" w:rsidRDefault="00C16812" w:rsidP="00DF33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mbria" w:hAnsi="Cambria" w:cs="Cambria"/>
          <w:b/>
          <w:sz w:val="20"/>
          <w:szCs w:val="20"/>
          <w:u w:color="000000"/>
          <w:lang w:val="es-ES_tradnl" w:eastAsia="es-ES"/>
        </w:rPr>
      </w:pPr>
    </w:p>
    <w:p w14:paraId="157DB322" w14:textId="77777777" w:rsidR="00C16812" w:rsidRPr="00FE60A7" w:rsidRDefault="00C16812" w:rsidP="00DF33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mbria" w:hAnsi="Cambria" w:cs="Cambria"/>
          <w:b/>
          <w:sz w:val="20"/>
          <w:szCs w:val="20"/>
          <w:u w:color="000000"/>
          <w:lang w:val="es-ES_tradnl" w:eastAsia="es-ES"/>
        </w:rPr>
      </w:pPr>
    </w:p>
    <w:p w14:paraId="4552C66E" w14:textId="052E3DFB" w:rsidR="0017114C" w:rsidRPr="00523EA8" w:rsidRDefault="00236235" w:rsidP="002720D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_tradnl"/>
        </w:rPr>
      </w:pPr>
      <w:r>
        <w:rPr>
          <w:rFonts w:ascii="Cambria" w:hAnsi="Cambria"/>
          <w:sz w:val="20"/>
          <w:szCs w:val="20"/>
          <w:lang w:val="es-ES" w:eastAsia="es-ES"/>
        </w:rPr>
        <w:t xml:space="preserve">Además, </w:t>
      </w:r>
      <w:r w:rsidR="00DF3393" w:rsidRPr="00DF29B5">
        <w:rPr>
          <w:rFonts w:ascii="Cambria" w:hAnsi="Cambria"/>
          <w:sz w:val="20"/>
          <w:szCs w:val="20"/>
          <w:lang w:val="es-ES" w:eastAsia="es-ES"/>
        </w:rPr>
        <w:t xml:space="preserve">la CIDH destaca que los procesos disciplinarios en contra de operadores de justicia deben ejercerse de manera compatible con el principio de independencia judicial. </w:t>
      </w:r>
      <w:r w:rsidR="00DF3393" w:rsidRPr="00DF29B5">
        <w:rPr>
          <w:rFonts w:ascii="Cambria" w:hAnsi="Cambria"/>
          <w:sz w:val="20"/>
          <w:szCs w:val="20"/>
          <w:lang w:val="es-CO"/>
        </w:rPr>
        <w:t>Los órganos del sistema interamericano han interpretado el principio de inde</w:t>
      </w:r>
      <w:r w:rsidR="00DF3393" w:rsidRPr="00523EA8">
        <w:rPr>
          <w:rFonts w:ascii="Cambria" w:hAnsi="Cambria"/>
          <w:sz w:val="20"/>
          <w:szCs w:val="20"/>
          <w:lang w:val="es-CO"/>
        </w:rPr>
        <w:t>pendencia judicial en el sentido de incorporar las siguientes garantías: adecuado proceso de nombramiento, inamovilidad en el cargo y garantía contra presiones externas</w:t>
      </w:r>
      <w:r w:rsidR="00DF3393" w:rsidRPr="00523EA8">
        <w:rPr>
          <w:rStyle w:val="FootnoteReference"/>
          <w:rFonts w:ascii="Cambria" w:hAnsi="Cambria"/>
          <w:sz w:val="20"/>
          <w:szCs w:val="20"/>
          <w:lang w:val="es-CO"/>
        </w:rPr>
        <w:footnoteReference w:id="25"/>
      </w:r>
      <w:r w:rsidR="00DF3393" w:rsidRPr="00523EA8">
        <w:rPr>
          <w:rFonts w:ascii="Cambria" w:hAnsi="Cambria"/>
          <w:sz w:val="20"/>
          <w:szCs w:val="20"/>
          <w:lang w:val="es-CO"/>
        </w:rPr>
        <w:t>. Específicamente, en lo relevante para el presente caso, respecto de las garantías reforzadas para asegurar la inamovilidad, la Corte ha indicado que “</w:t>
      </w:r>
      <w:r w:rsidR="00DF3393" w:rsidRPr="00781407">
        <w:rPr>
          <w:rFonts w:ascii="Cambria" w:eastAsia="Times New Roman" w:hAnsi="Cambria"/>
          <w:sz w:val="20"/>
          <w:szCs w:val="20"/>
          <w:lang w:val="es-MX"/>
        </w:rPr>
        <w:t>se traducen en el derecho subjetivo del juez a que su separación del cargo obedezca exclusivamente a las causales permitidas, ya sea por medio de un</w:t>
      </w:r>
      <w:r w:rsidR="00DF3393" w:rsidRPr="00FE60A7">
        <w:rPr>
          <w:rFonts w:ascii="Cambria" w:eastAsia="Times New Roman" w:hAnsi="Cambria"/>
          <w:sz w:val="20"/>
          <w:szCs w:val="20"/>
          <w:lang w:val="es-MX"/>
        </w:rPr>
        <w:t xml:space="preserve"> proceso que cumpla con las garantías judiciales o porque se ha cumplido el término o período de su mandato”</w:t>
      </w:r>
      <w:r w:rsidR="00DF3393" w:rsidRPr="00523EA8">
        <w:rPr>
          <w:rStyle w:val="FootnoteReference"/>
          <w:rFonts w:ascii="Cambria" w:hAnsi="Cambria"/>
          <w:sz w:val="20"/>
          <w:szCs w:val="20"/>
          <w:lang w:val="es-CO"/>
        </w:rPr>
        <w:footnoteReference w:id="26"/>
      </w:r>
      <w:r w:rsidR="00DF3393" w:rsidRPr="00523EA8">
        <w:rPr>
          <w:rFonts w:ascii="Cambria" w:eastAsia="Times New Roman" w:hAnsi="Cambria"/>
          <w:sz w:val="20"/>
          <w:szCs w:val="20"/>
          <w:lang w:val="es-MX"/>
        </w:rPr>
        <w:t>. Cuando se afecta en forma arbitraria la permanencia de los y las juezas en su cargo, “se vulnera el derecho a la independencia judicial consagrado en el artículo 8.1 de la Convención”</w:t>
      </w:r>
      <w:r w:rsidR="00DF3393" w:rsidRPr="00523EA8">
        <w:rPr>
          <w:rStyle w:val="FootnoteReference"/>
          <w:rFonts w:ascii="Cambria" w:hAnsi="Cambria"/>
          <w:sz w:val="20"/>
          <w:szCs w:val="20"/>
          <w:lang w:val="es-CO"/>
        </w:rPr>
        <w:footnoteReference w:id="27"/>
      </w:r>
      <w:r w:rsidR="00DF3393" w:rsidRPr="00523EA8">
        <w:rPr>
          <w:rFonts w:ascii="Cambria" w:eastAsia="Times New Roman" w:hAnsi="Cambria"/>
          <w:sz w:val="20"/>
          <w:szCs w:val="20"/>
          <w:lang w:val="es-MX"/>
        </w:rPr>
        <w:t>.</w:t>
      </w:r>
    </w:p>
    <w:p w14:paraId="139356D6" w14:textId="076A9F6E" w:rsidR="00A91FA9" w:rsidRPr="00781407" w:rsidRDefault="00A91FA9" w:rsidP="00FF0215">
      <w:pPr>
        <w:pStyle w:val="Heading3"/>
        <w:numPr>
          <w:ilvl w:val="0"/>
          <w:numId w:val="64"/>
        </w:numPr>
        <w:ind w:hanging="720"/>
        <w:jc w:val="both"/>
        <w:rPr>
          <w:rFonts w:ascii="Cambria" w:hAnsi="Cambria"/>
          <w:sz w:val="20"/>
          <w:szCs w:val="20"/>
          <w:lang w:val="es-ES_tradnl"/>
        </w:rPr>
      </w:pPr>
      <w:bookmarkStart w:id="32" w:name="_Toc516682005"/>
      <w:r w:rsidRPr="00781407">
        <w:rPr>
          <w:rFonts w:ascii="Cambria" w:hAnsi="Cambria"/>
          <w:sz w:val="20"/>
          <w:szCs w:val="20"/>
          <w:lang w:val="es-ES_tradnl"/>
        </w:rPr>
        <w:t>El derecho a contar con una autoridad competente</w:t>
      </w:r>
      <w:r w:rsidR="00242F79" w:rsidRPr="00781407">
        <w:rPr>
          <w:rFonts w:ascii="Cambria" w:hAnsi="Cambria"/>
          <w:sz w:val="20"/>
          <w:szCs w:val="20"/>
          <w:lang w:val="es-ES_tradnl"/>
        </w:rPr>
        <w:t xml:space="preserve"> </w:t>
      </w:r>
      <w:r w:rsidR="00034E50">
        <w:rPr>
          <w:rFonts w:ascii="Cambria" w:hAnsi="Cambria"/>
          <w:sz w:val="20"/>
          <w:szCs w:val="20"/>
          <w:lang w:val="es-ES_tradnl"/>
        </w:rPr>
        <w:t xml:space="preserve">mediante procedimientos previamente establecidos </w:t>
      </w:r>
      <w:r w:rsidR="00F5168B" w:rsidRPr="00781407">
        <w:rPr>
          <w:rFonts w:ascii="Cambria" w:hAnsi="Cambria"/>
          <w:sz w:val="20"/>
          <w:szCs w:val="20"/>
          <w:lang w:val="es-ES_tradnl"/>
        </w:rPr>
        <w:t>y</w:t>
      </w:r>
      <w:r w:rsidR="00543515">
        <w:rPr>
          <w:rFonts w:ascii="Cambria" w:hAnsi="Cambria"/>
          <w:sz w:val="20"/>
          <w:szCs w:val="20"/>
          <w:lang w:val="es-ES_tradnl"/>
        </w:rPr>
        <w:t xml:space="preserve"> </w:t>
      </w:r>
      <w:r w:rsidR="00242F79" w:rsidRPr="00781407">
        <w:rPr>
          <w:rFonts w:ascii="Cambria" w:hAnsi="Cambria"/>
          <w:sz w:val="20"/>
          <w:szCs w:val="20"/>
          <w:lang w:val="es-ES_tradnl"/>
        </w:rPr>
        <w:t>principio de legalidad</w:t>
      </w:r>
      <w:bookmarkEnd w:id="32"/>
    </w:p>
    <w:p w14:paraId="1677004C" w14:textId="77777777" w:rsidR="000F5CC5" w:rsidRPr="00781407" w:rsidRDefault="000F5CC5" w:rsidP="008E7B56">
      <w:pPr>
        <w:rPr>
          <w:rFonts w:cs="Verdana"/>
          <w:sz w:val="20"/>
          <w:szCs w:val="20"/>
          <w:lang w:val="es-UY"/>
        </w:rPr>
      </w:pPr>
    </w:p>
    <w:p w14:paraId="6E53320F" w14:textId="5A0C86C5" w:rsidR="000A64C2" w:rsidRPr="00781407" w:rsidRDefault="000A64C2" w:rsidP="008D37C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781407">
        <w:rPr>
          <w:rFonts w:ascii="Cambria" w:hAnsi="Cambria" w:cs="Verdana"/>
          <w:sz w:val="20"/>
          <w:szCs w:val="20"/>
          <w:lang w:val="es-UY"/>
        </w:rPr>
        <w:t xml:space="preserve">La CIDH recuerda que la garantía de competencia de la autoridad </w:t>
      </w:r>
      <w:r w:rsidR="00781407">
        <w:rPr>
          <w:rFonts w:ascii="Cambria" w:hAnsi="Cambria" w:cs="Verdana"/>
          <w:sz w:val="20"/>
          <w:szCs w:val="20"/>
          <w:lang w:val="es-UY"/>
        </w:rPr>
        <w:t>sancionatoria</w:t>
      </w:r>
      <w:r w:rsidRPr="00781407">
        <w:rPr>
          <w:rFonts w:ascii="Cambria" w:hAnsi="Cambria" w:cs="Verdana"/>
          <w:sz w:val="20"/>
          <w:szCs w:val="20"/>
          <w:lang w:val="es-UY"/>
        </w:rPr>
        <w:t>, implica el derecho a ser juzgado por las autoridades respectivas con arreglo a procedimientos previamente establecidos, de tal manera que el Estado no cree autoridades que no apliquen normas procesales debidamente establecidas para sustituir la jurisdicción que corresponda normalmente</w:t>
      </w:r>
      <w:r w:rsidR="00A81EE5" w:rsidRPr="00523EA8">
        <w:rPr>
          <w:rStyle w:val="FootnoteReference"/>
          <w:rFonts w:ascii="Cambria" w:hAnsi="Cambria" w:cs="Verdana"/>
          <w:sz w:val="20"/>
          <w:szCs w:val="20"/>
          <w:lang w:val="es-UY"/>
        </w:rPr>
        <w:footnoteReference w:id="28"/>
      </w:r>
      <w:r w:rsidRPr="00523EA8">
        <w:rPr>
          <w:rFonts w:ascii="Cambria" w:hAnsi="Cambria" w:cs="Verdana"/>
          <w:sz w:val="20"/>
          <w:szCs w:val="20"/>
          <w:lang w:val="es-UY"/>
        </w:rPr>
        <w:t xml:space="preserve">. </w:t>
      </w:r>
      <w:r w:rsidR="00781407" w:rsidRPr="00781407">
        <w:rPr>
          <w:rFonts w:ascii="Cambria" w:hAnsi="Cambria"/>
          <w:sz w:val="20"/>
          <w:szCs w:val="20"/>
          <w:lang w:val="es-CO"/>
        </w:rPr>
        <w:t xml:space="preserve">Tal garantía se encuentra satisfecha cuando la autoridad </w:t>
      </w:r>
      <w:r w:rsidR="00781407">
        <w:rPr>
          <w:rFonts w:ascii="Cambria" w:hAnsi="Cambria"/>
          <w:sz w:val="20"/>
          <w:szCs w:val="20"/>
          <w:lang w:val="es-CO"/>
        </w:rPr>
        <w:t xml:space="preserve">sancionatoria </w:t>
      </w:r>
      <w:r w:rsidR="00781407" w:rsidRPr="00781407">
        <w:rPr>
          <w:rFonts w:ascii="Cambria" w:hAnsi="Cambria"/>
          <w:sz w:val="20"/>
          <w:szCs w:val="20"/>
          <w:lang w:val="es-CO"/>
        </w:rPr>
        <w:t>se origina en una norma establecida con anterioridad a la causa</w:t>
      </w:r>
      <w:r w:rsidR="00781407" w:rsidRPr="00781407">
        <w:rPr>
          <w:rStyle w:val="FootnoteReference"/>
          <w:rFonts w:ascii="Cambria" w:hAnsi="Cambria"/>
          <w:sz w:val="20"/>
          <w:szCs w:val="20"/>
          <w:lang w:val="es-CO"/>
        </w:rPr>
        <w:footnoteReference w:id="29"/>
      </w:r>
      <w:r w:rsidR="00781407" w:rsidRPr="00781407">
        <w:rPr>
          <w:rFonts w:ascii="Cambria" w:hAnsi="Cambria"/>
          <w:sz w:val="20"/>
          <w:szCs w:val="20"/>
          <w:lang w:val="es-CO"/>
        </w:rPr>
        <w:t xml:space="preserve"> y, correlativamente, dicha norma se viola cuando el </w:t>
      </w:r>
      <w:r w:rsidR="00781407" w:rsidRPr="00781407">
        <w:rPr>
          <w:rFonts w:ascii="Cambria" w:hAnsi="Cambria"/>
          <w:bCs/>
          <w:sz w:val="20"/>
          <w:szCs w:val="20"/>
          <w:lang w:val="es-CO"/>
        </w:rPr>
        <w:t xml:space="preserve">órgano carece </w:t>
      </w:r>
      <w:r w:rsidR="00781407" w:rsidRPr="00781407">
        <w:rPr>
          <w:rFonts w:ascii="Cambria" w:hAnsi="Cambria"/>
          <w:sz w:val="20"/>
          <w:szCs w:val="20"/>
          <w:lang w:val="es-UY"/>
        </w:rPr>
        <w:t>de competencia, establecida por ley</w:t>
      </w:r>
      <w:r w:rsidR="00781407" w:rsidRPr="00781407">
        <w:rPr>
          <w:rStyle w:val="FootnoteReference"/>
          <w:rFonts w:ascii="Cambria" w:hAnsi="Cambria"/>
          <w:sz w:val="20"/>
          <w:szCs w:val="20"/>
          <w:lang w:val="es-UY"/>
        </w:rPr>
        <w:footnoteReference w:id="30"/>
      </w:r>
      <w:r w:rsidR="00781407" w:rsidRPr="00781407">
        <w:rPr>
          <w:rFonts w:ascii="Cambria" w:hAnsi="Cambria"/>
          <w:sz w:val="20"/>
          <w:szCs w:val="20"/>
          <w:lang w:val="es-UY"/>
        </w:rPr>
        <w:t>.</w:t>
      </w:r>
    </w:p>
    <w:p w14:paraId="08B44A1C" w14:textId="77777777" w:rsidR="001F37E8" w:rsidRPr="00FE60A7" w:rsidRDefault="001F37E8" w:rsidP="001F37E8">
      <w:pPr>
        <w:pStyle w:val="ListParagraph"/>
        <w:rPr>
          <w:rFonts w:cs="Verdana"/>
          <w:color w:val="auto"/>
          <w:sz w:val="20"/>
          <w:szCs w:val="20"/>
          <w:lang w:val="es-UY"/>
        </w:rPr>
      </w:pPr>
    </w:p>
    <w:p w14:paraId="078BD3F1" w14:textId="33AB3A6F" w:rsidR="0066797B" w:rsidRPr="00523EA8" w:rsidRDefault="001F37E8" w:rsidP="001F37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FE60A7">
        <w:rPr>
          <w:rFonts w:ascii="Cambria" w:hAnsi="Cambria" w:cs="Verdana"/>
          <w:sz w:val="20"/>
          <w:szCs w:val="20"/>
          <w:lang w:val="es-UY"/>
        </w:rPr>
        <w:t xml:space="preserve">Asimismo, la Comisión ha indicado que en el marco de procedimientos </w:t>
      </w:r>
      <w:r w:rsidR="00435C1E">
        <w:rPr>
          <w:rFonts w:ascii="Cambria" w:hAnsi="Cambria" w:cs="Verdana"/>
          <w:sz w:val="20"/>
          <w:szCs w:val="20"/>
          <w:lang w:val="es-UY"/>
        </w:rPr>
        <w:t>sancionatorios</w:t>
      </w:r>
      <w:r w:rsidR="0066797B" w:rsidRPr="00DF29B5">
        <w:rPr>
          <w:rFonts w:ascii="Cambria" w:hAnsi="Cambria" w:cs="Verdana"/>
          <w:sz w:val="20"/>
          <w:szCs w:val="20"/>
          <w:lang w:val="es-UY"/>
        </w:rPr>
        <w:t xml:space="preserve"> en contra de operadores de justicia </w:t>
      </w:r>
      <w:r w:rsidR="0066797B" w:rsidRPr="00DF29B5">
        <w:rPr>
          <w:rFonts w:ascii="Cambria" w:hAnsi="Cambria"/>
          <w:sz w:val="20"/>
          <w:szCs w:val="20"/>
          <w:lang w:val="es-VE" w:eastAsia="es-ES"/>
        </w:rPr>
        <w:t xml:space="preserve">deben existir reglas claras en cuanto a las causales y procedimiento de separación del cargo de jueces y juezas, y su ausencia además de fomentar dudas sobre la </w:t>
      </w:r>
      <w:r w:rsidRPr="00523EA8">
        <w:rPr>
          <w:rFonts w:ascii="Cambria" w:hAnsi="Cambria"/>
          <w:sz w:val="20"/>
          <w:szCs w:val="20"/>
          <w:lang w:val="es-VE" w:eastAsia="es-ES"/>
        </w:rPr>
        <w:t>independencia</w:t>
      </w:r>
      <w:r w:rsidR="00497946">
        <w:rPr>
          <w:rFonts w:ascii="Cambria" w:hAnsi="Cambria"/>
          <w:sz w:val="20"/>
          <w:szCs w:val="20"/>
          <w:lang w:val="es-VE" w:eastAsia="es-ES"/>
        </w:rPr>
        <w:t xml:space="preserve"> judicial</w:t>
      </w:r>
      <w:r w:rsidRPr="00523EA8">
        <w:rPr>
          <w:rFonts w:ascii="Cambria" w:hAnsi="Cambria"/>
          <w:sz w:val="20"/>
          <w:szCs w:val="20"/>
          <w:lang w:val="es-VE" w:eastAsia="es-ES"/>
        </w:rPr>
        <w:t xml:space="preserve">, puede dar lugar </w:t>
      </w:r>
      <w:r w:rsidR="0066797B" w:rsidRPr="00523EA8">
        <w:rPr>
          <w:rFonts w:ascii="Cambria" w:hAnsi="Cambria"/>
          <w:sz w:val="20"/>
          <w:szCs w:val="20"/>
          <w:lang w:val="es-VE" w:eastAsia="es-ES"/>
        </w:rPr>
        <w:t>a actuaciones arbitrarias de abuso de poder, con repercusiones directas en los derechos al debido proceso y a la legalidad</w:t>
      </w:r>
      <w:r w:rsidR="0066797B" w:rsidRPr="00523EA8">
        <w:rPr>
          <w:rFonts w:ascii="Cambria" w:hAnsi="Cambria"/>
          <w:sz w:val="20"/>
          <w:szCs w:val="20"/>
          <w:vertAlign w:val="superscript"/>
        </w:rPr>
        <w:footnoteReference w:id="31"/>
      </w:r>
      <w:r w:rsidR="0066797B" w:rsidRPr="00523EA8">
        <w:rPr>
          <w:rFonts w:ascii="Cambria" w:hAnsi="Cambria"/>
          <w:sz w:val="20"/>
          <w:szCs w:val="20"/>
          <w:lang w:val="es-VE" w:eastAsia="es-ES"/>
        </w:rPr>
        <w:t xml:space="preserve">.  </w:t>
      </w:r>
    </w:p>
    <w:p w14:paraId="1A4E67C5" w14:textId="77777777" w:rsidR="004F737D" w:rsidRPr="00FE60A7" w:rsidRDefault="004F737D" w:rsidP="004F737D">
      <w:pPr>
        <w:pStyle w:val="ListParagraph"/>
        <w:rPr>
          <w:rFonts w:cs="Verdana"/>
          <w:color w:val="auto"/>
          <w:sz w:val="20"/>
          <w:szCs w:val="20"/>
          <w:lang w:val="es-UY"/>
        </w:rPr>
      </w:pPr>
    </w:p>
    <w:p w14:paraId="4CEFB247" w14:textId="23591154" w:rsidR="00432924" w:rsidRPr="00523EA8" w:rsidRDefault="009C0524" w:rsidP="0059357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FE60A7">
        <w:rPr>
          <w:rFonts w:ascii="Cambria" w:hAnsi="Cambria" w:cs="Verdana"/>
          <w:sz w:val="20"/>
          <w:szCs w:val="20"/>
          <w:lang w:val="es-UY"/>
        </w:rPr>
        <w:t xml:space="preserve">En el presente caso la Comisión </w:t>
      </w:r>
      <w:r w:rsidR="0062415B">
        <w:rPr>
          <w:rFonts w:ascii="Cambria" w:hAnsi="Cambria" w:cs="Verdana"/>
          <w:sz w:val="20"/>
          <w:szCs w:val="20"/>
          <w:lang w:val="es-UY"/>
        </w:rPr>
        <w:t xml:space="preserve">reitera </w:t>
      </w:r>
      <w:r w:rsidRPr="00FE60A7">
        <w:rPr>
          <w:rFonts w:ascii="Cambria" w:hAnsi="Cambria" w:cs="Verdana"/>
          <w:sz w:val="20"/>
          <w:szCs w:val="20"/>
          <w:lang w:val="es-UY"/>
        </w:rPr>
        <w:t xml:space="preserve">que </w:t>
      </w:r>
      <w:r w:rsidR="00DC6903" w:rsidRPr="00FE60A7">
        <w:rPr>
          <w:rFonts w:ascii="Cambria" w:hAnsi="Cambria" w:cs="Verdana"/>
          <w:sz w:val="20"/>
          <w:szCs w:val="20"/>
          <w:lang w:val="es-UY"/>
        </w:rPr>
        <w:t xml:space="preserve">la presunta víctima y los demás miembros del Tribunal Supremo Electoral y del Tribunal Constitucional fueron cesados por medio de la </w:t>
      </w:r>
      <w:r w:rsidR="0062415B">
        <w:rPr>
          <w:rFonts w:ascii="Cambria" w:hAnsi="Cambria" w:cs="Verdana"/>
          <w:sz w:val="20"/>
          <w:szCs w:val="20"/>
          <w:lang w:val="es-UY"/>
        </w:rPr>
        <w:t>R</w:t>
      </w:r>
      <w:r w:rsidR="00DC6903" w:rsidRPr="00FE60A7">
        <w:rPr>
          <w:rFonts w:ascii="Cambria" w:hAnsi="Cambria" w:cs="Verdana"/>
          <w:sz w:val="20"/>
          <w:szCs w:val="20"/>
          <w:lang w:val="es-UY"/>
        </w:rPr>
        <w:t xml:space="preserve">esolución 25-160 del Congreso Nacional bajo el fundamento de que fueron designados de manera </w:t>
      </w:r>
      <w:r w:rsidR="0062415B">
        <w:rPr>
          <w:rFonts w:ascii="Cambria" w:hAnsi="Cambria" w:cs="Verdana"/>
          <w:sz w:val="20"/>
          <w:szCs w:val="20"/>
          <w:lang w:val="es-UY"/>
        </w:rPr>
        <w:t>contraria al ordenamiento jurídico</w:t>
      </w:r>
      <w:r w:rsidR="00DC6903" w:rsidRPr="00FE60A7">
        <w:rPr>
          <w:rFonts w:ascii="Cambria" w:hAnsi="Cambria" w:cs="Verdana"/>
          <w:sz w:val="20"/>
          <w:szCs w:val="20"/>
          <w:lang w:val="es-UY"/>
        </w:rPr>
        <w:t>. P</w:t>
      </w:r>
      <w:r w:rsidR="00A47000" w:rsidRPr="00DF29B5">
        <w:rPr>
          <w:rFonts w:ascii="Cambria" w:hAnsi="Cambria" w:cs="Verdana"/>
          <w:sz w:val="20"/>
          <w:szCs w:val="20"/>
          <w:lang w:val="es-UY"/>
        </w:rPr>
        <w:t>ara el momento de los hechos</w:t>
      </w:r>
      <w:r w:rsidR="00DC6903" w:rsidRPr="00DF29B5">
        <w:rPr>
          <w:rFonts w:ascii="Cambria" w:hAnsi="Cambria" w:cs="Verdana"/>
          <w:sz w:val="20"/>
          <w:szCs w:val="20"/>
          <w:lang w:val="es-UY"/>
        </w:rPr>
        <w:t xml:space="preserve"> la ley establecía que </w:t>
      </w:r>
      <w:r w:rsidR="00432924" w:rsidRPr="00DF29B5">
        <w:rPr>
          <w:rFonts w:ascii="Cambria" w:hAnsi="Cambria" w:cs="Verdana"/>
          <w:sz w:val="20"/>
          <w:szCs w:val="20"/>
          <w:lang w:val="es-UY"/>
        </w:rPr>
        <w:t xml:space="preserve">su mandato era de cuatro años y la única forma prevista en la Constitución para removerlos era mediante juicio político. </w:t>
      </w:r>
    </w:p>
    <w:p w14:paraId="22973319" w14:textId="77777777" w:rsidR="00176469" w:rsidRPr="00781407" w:rsidRDefault="00176469" w:rsidP="0017646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UY"/>
        </w:rPr>
      </w:pPr>
    </w:p>
    <w:p w14:paraId="1D900FBD" w14:textId="65DBFE22" w:rsidR="00432924" w:rsidRPr="00935064" w:rsidRDefault="00935064" w:rsidP="001F37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Pr>
          <w:rFonts w:ascii="Cambria" w:hAnsi="Cambria" w:cs="Verdana"/>
          <w:sz w:val="20"/>
          <w:szCs w:val="20"/>
          <w:lang w:val="es-UY"/>
        </w:rPr>
        <w:t xml:space="preserve">En el presente informe, la Comisión ya recordó que dicho fundamento constituyó una justificación aparente que encubría una sanción </w:t>
      </w:r>
      <w:r>
        <w:rPr>
          <w:rFonts w:ascii="Cambria" w:hAnsi="Cambria" w:cs="Verdana"/>
          <w:i/>
          <w:sz w:val="20"/>
          <w:szCs w:val="20"/>
          <w:lang w:val="es-UY"/>
        </w:rPr>
        <w:t xml:space="preserve">de facto. </w:t>
      </w:r>
      <w:r w:rsidR="008E7B56" w:rsidRPr="00935064">
        <w:rPr>
          <w:rFonts w:ascii="Cambria" w:hAnsi="Cambria" w:cs="Verdana"/>
          <w:sz w:val="20"/>
          <w:szCs w:val="20"/>
          <w:lang w:val="es-UY"/>
        </w:rPr>
        <w:t>En particular,</w:t>
      </w:r>
      <w:r w:rsidR="003D68A8">
        <w:rPr>
          <w:rFonts w:ascii="Cambria" w:hAnsi="Cambria" w:cs="Verdana"/>
          <w:sz w:val="20"/>
          <w:szCs w:val="20"/>
          <w:lang w:val="es-UY"/>
        </w:rPr>
        <w:t xml:space="preserve"> respecto de la manera en que dicha Resolución violó el derecho a contar con autoridad competente mediante los procedimientos previamente establecidos, </w:t>
      </w:r>
      <w:r w:rsidR="008E7B56" w:rsidRPr="00935064">
        <w:rPr>
          <w:rFonts w:ascii="Cambria" w:hAnsi="Cambria" w:cs="Verdana"/>
          <w:sz w:val="20"/>
          <w:szCs w:val="20"/>
          <w:lang w:val="es-UY"/>
        </w:rPr>
        <w:t xml:space="preserve">en el caso </w:t>
      </w:r>
      <w:r w:rsidR="008E7B56" w:rsidRPr="007012D9">
        <w:rPr>
          <w:rFonts w:ascii="Cambria" w:hAnsi="Cambria" w:cs="Verdana"/>
          <w:i/>
          <w:sz w:val="20"/>
          <w:szCs w:val="20"/>
          <w:lang w:val="es-UY"/>
        </w:rPr>
        <w:t>Camba Campos</w:t>
      </w:r>
      <w:r w:rsidRPr="007012D9">
        <w:rPr>
          <w:rFonts w:ascii="Cambria" w:hAnsi="Cambria" w:cs="Verdana"/>
          <w:i/>
          <w:sz w:val="20"/>
          <w:szCs w:val="20"/>
          <w:lang w:val="es-UY"/>
        </w:rPr>
        <w:t xml:space="preserve"> y otros vs. Ecuador</w:t>
      </w:r>
      <w:r w:rsidR="008E7B56" w:rsidRPr="00935064">
        <w:rPr>
          <w:rFonts w:ascii="Cambria" w:hAnsi="Cambria" w:cs="Verdana"/>
          <w:sz w:val="20"/>
          <w:szCs w:val="20"/>
          <w:lang w:val="es-UY"/>
        </w:rPr>
        <w:t>, la CIDH indic</w:t>
      </w:r>
      <w:r w:rsidR="007012D9">
        <w:rPr>
          <w:rFonts w:ascii="Cambria" w:hAnsi="Cambria" w:cs="Verdana"/>
          <w:sz w:val="20"/>
          <w:szCs w:val="20"/>
          <w:lang w:val="es-UY"/>
        </w:rPr>
        <w:t>ó lo siguiente respecto del Tribunal Constitucional, que resulta plenamente aplicable al Tribunal Supremo Electoral</w:t>
      </w:r>
      <w:r w:rsidR="00855A1F">
        <w:rPr>
          <w:rFonts w:ascii="Cambria" w:hAnsi="Cambria" w:cs="Verdana"/>
          <w:sz w:val="20"/>
          <w:szCs w:val="20"/>
          <w:lang w:val="es-UY"/>
        </w:rPr>
        <w:t xml:space="preserve"> conforme a lo indicado en la sección de marco normativo relevante: </w:t>
      </w:r>
    </w:p>
    <w:p w14:paraId="3AB88E57" w14:textId="77777777" w:rsidR="00D349F4" w:rsidRPr="003D68A8" w:rsidRDefault="00D349F4" w:rsidP="008E7B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UY"/>
        </w:rPr>
      </w:pPr>
    </w:p>
    <w:p w14:paraId="1A0E8F6A" w14:textId="5FB10C1F" w:rsidR="00D349F4" w:rsidRPr="00523EA8" w:rsidRDefault="008E7B56" w:rsidP="007012D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Cambria" w:hAnsi="Cambria" w:cs="Verdana"/>
          <w:sz w:val="20"/>
          <w:szCs w:val="20"/>
          <w:lang w:val="es-UY"/>
        </w:rPr>
      </w:pPr>
      <w:r w:rsidRPr="003D68A8">
        <w:rPr>
          <w:rFonts w:ascii="Cambria" w:hAnsi="Cambria" w:cs="Verdana"/>
          <w:sz w:val="20"/>
          <w:szCs w:val="20"/>
          <w:lang w:val="es-UY"/>
        </w:rPr>
        <w:lastRenderedPageBreak/>
        <w:t>(…)</w:t>
      </w:r>
      <w:r w:rsidR="008A65F4" w:rsidRPr="003D68A8">
        <w:rPr>
          <w:rFonts w:ascii="Cambria" w:hAnsi="Cambria" w:cs="Verdana"/>
          <w:sz w:val="20"/>
          <w:szCs w:val="20"/>
          <w:lang w:val="es-UY"/>
        </w:rPr>
        <w:t xml:space="preserve"> </w:t>
      </w:r>
      <w:r w:rsidR="00D349F4" w:rsidRPr="003D68A8">
        <w:rPr>
          <w:rFonts w:ascii="Cambria" w:hAnsi="Cambria" w:cs="Verdana"/>
          <w:sz w:val="20"/>
          <w:szCs w:val="20"/>
          <w:lang w:val="es-UY"/>
        </w:rPr>
        <w:t>la Constitución y la legislación establecían expresamente que su mandato era de cuatro años y la única forma prevista en la Constitución para removerlos era mediante juicio</w:t>
      </w:r>
      <w:r w:rsidR="00D349F4" w:rsidRPr="007012D9">
        <w:rPr>
          <w:rFonts w:ascii="Cambria" w:hAnsi="Cambria" w:cs="Verdana"/>
          <w:sz w:val="20"/>
          <w:szCs w:val="20"/>
          <w:lang w:val="es-UY"/>
        </w:rPr>
        <w:t xml:space="preserve"> político. Sin embargo, en un álgido contexto político de tensión entre los distintos poderes del Estado, el Congreso creó un mecanismo ad hoc no previsto por la Constitución ni la ley para proceder a cesar a todos los vocales del Tribunal Constitucional b</w:t>
      </w:r>
      <w:r w:rsidR="00D349F4" w:rsidRPr="00FE60A7">
        <w:rPr>
          <w:rFonts w:ascii="Cambria" w:hAnsi="Cambria" w:cs="Verdana"/>
          <w:sz w:val="20"/>
          <w:szCs w:val="20"/>
          <w:lang w:val="es-UY"/>
        </w:rPr>
        <w:t>ajo el argumento de que habían sido elegidos ilegalmente en el año 2003 y que esa ilegalidad deb</w:t>
      </w:r>
      <w:r w:rsidR="00206601" w:rsidRPr="00FE60A7">
        <w:rPr>
          <w:rFonts w:ascii="Cambria" w:hAnsi="Cambria" w:cs="Verdana"/>
          <w:sz w:val="20"/>
          <w:szCs w:val="20"/>
          <w:lang w:val="es-UY"/>
        </w:rPr>
        <w:t>ía ser corregida</w:t>
      </w:r>
      <w:r w:rsidR="00EE3F54" w:rsidRPr="00523EA8">
        <w:rPr>
          <w:rStyle w:val="FootnoteReference"/>
          <w:rFonts w:ascii="Cambria" w:hAnsi="Cambria" w:cs="Verdana"/>
          <w:sz w:val="20"/>
          <w:szCs w:val="20"/>
          <w:lang w:val="es-UY"/>
        </w:rPr>
        <w:footnoteReference w:id="32"/>
      </w:r>
      <w:r w:rsidR="00D349F4" w:rsidRPr="00523EA8">
        <w:rPr>
          <w:rFonts w:ascii="Cambria" w:hAnsi="Cambria" w:cs="Verdana"/>
          <w:sz w:val="20"/>
          <w:szCs w:val="20"/>
          <w:lang w:val="es-UY"/>
        </w:rPr>
        <w:t>.</w:t>
      </w:r>
    </w:p>
    <w:p w14:paraId="3BA09AAB" w14:textId="77777777" w:rsidR="00206601" w:rsidRPr="00781407" w:rsidRDefault="00206601" w:rsidP="0020660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14:paraId="1B5A5EB3" w14:textId="5A2AD8E1" w:rsidR="0059357A" w:rsidRPr="00781407" w:rsidRDefault="008E7B56" w:rsidP="008E7B5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781407">
        <w:rPr>
          <w:rFonts w:ascii="Cambria" w:hAnsi="Cambria" w:cs="Verdana"/>
          <w:sz w:val="20"/>
          <w:szCs w:val="20"/>
          <w:lang w:val="es-UY"/>
        </w:rPr>
        <w:t>Por su parte, en el mismo caso la Corte refirió que</w:t>
      </w:r>
      <w:r w:rsidR="0059357A" w:rsidRPr="00781407">
        <w:rPr>
          <w:rFonts w:ascii="Cambria" w:hAnsi="Cambria" w:cs="Verdana"/>
          <w:sz w:val="20"/>
          <w:szCs w:val="20"/>
          <w:lang w:val="es-UY"/>
        </w:rPr>
        <w:t>:</w:t>
      </w:r>
    </w:p>
    <w:p w14:paraId="74EFC4ED" w14:textId="77777777" w:rsidR="0059357A" w:rsidRPr="00082CBC" w:rsidRDefault="0059357A" w:rsidP="0059357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14:paraId="2D62B860" w14:textId="6B26073B" w:rsidR="0059357A" w:rsidRPr="00722683" w:rsidRDefault="0059357A" w:rsidP="00082C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Cambria" w:hAnsi="Cambria" w:cs="Verdana"/>
          <w:sz w:val="20"/>
          <w:szCs w:val="20"/>
          <w:lang w:val="es-UY"/>
        </w:rPr>
      </w:pPr>
      <w:r w:rsidRPr="00FE60A7">
        <w:rPr>
          <w:rFonts w:ascii="Cambria" w:hAnsi="Cambria" w:cs="Verdana"/>
          <w:sz w:val="20"/>
          <w:szCs w:val="20"/>
          <w:lang w:val="es-UY"/>
        </w:rPr>
        <w:t>N</w:t>
      </w:r>
      <w:r w:rsidR="00206601" w:rsidRPr="00FE60A7">
        <w:rPr>
          <w:rFonts w:ascii="Cambria" w:hAnsi="Cambria" w:cs="Verdana"/>
          <w:sz w:val="20"/>
          <w:szCs w:val="20"/>
          <w:lang w:val="es-UY"/>
        </w:rPr>
        <w:t>o existía competencia del Congreso Nacional para tomar la decisión de cesar a los vocales ni resulta una decisión oportuna a la luz de los principio</w:t>
      </w:r>
      <w:r w:rsidR="00681A99">
        <w:rPr>
          <w:rFonts w:ascii="Cambria" w:hAnsi="Cambria" w:cs="Verdana"/>
          <w:sz w:val="20"/>
          <w:szCs w:val="20"/>
          <w:lang w:val="es-UY"/>
        </w:rPr>
        <w:t>s de independencia judicial (…)</w:t>
      </w:r>
      <w:r w:rsidR="00206601" w:rsidRPr="00523EA8">
        <w:rPr>
          <w:rStyle w:val="FootnoteReference"/>
          <w:rFonts w:ascii="Cambria" w:hAnsi="Cambria" w:cs="Verdana"/>
          <w:sz w:val="20"/>
          <w:szCs w:val="20"/>
          <w:lang w:val="es-UY"/>
        </w:rPr>
        <w:footnoteReference w:id="33"/>
      </w:r>
      <w:r w:rsidR="00206601" w:rsidRPr="00523EA8">
        <w:rPr>
          <w:rFonts w:ascii="Cambria" w:hAnsi="Cambria" w:cs="Verdana"/>
          <w:sz w:val="20"/>
          <w:szCs w:val="20"/>
          <w:lang w:val="es-UY"/>
        </w:rPr>
        <w:t>.</w:t>
      </w:r>
    </w:p>
    <w:p w14:paraId="3F481384" w14:textId="19EB7CA8" w:rsidR="008E7B56" w:rsidRPr="00722683" w:rsidRDefault="0059357A" w:rsidP="00082CB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Cambria" w:hAnsi="Cambria" w:cs="Verdana"/>
          <w:sz w:val="20"/>
          <w:szCs w:val="20"/>
          <w:lang w:val="es-UY"/>
        </w:rPr>
      </w:pPr>
      <w:r w:rsidRPr="00781407">
        <w:rPr>
          <w:rFonts w:ascii="Cambria" w:hAnsi="Cambria" w:cs="Verdana"/>
          <w:sz w:val="20"/>
          <w:szCs w:val="20"/>
          <w:lang w:val="es-UY"/>
        </w:rPr>
        <w:t>(…)</w:t>
      </w:r>
      <w:r w:rsidR="00082CBC">
        <w:rPr>
          <w:rFonts w:ascii="Cambria" w:hAnsi="Cambria" w:cs="Verdana"/>
          <w:sz w:val="20"/>
          <w:szCs w:val="20"/>
          <w:lang w:val="es-UY"/>
        </w:rPr>
        <w:t xml:space="preserve"> </w:t>
      </w:r>
      <w:r w:rsidR="005F43FB" w:rsidRPr="00781407">
        <w:rPr>
          <w:rFonts w:ascii="Cambria" w:hAnsi="Cambria" w:cs="Verdana"/>
          <w:sz w:val="20"/>
          <w:szCs w:val="20"/>
          <w:lang w:val="es-UY"/>
        </w:rPr>
        <w:t xml:space="preserve">en el término de 14 días se destituyó no solo al Tribunal Constitucional, sino también al Tribunal Electoral y a la Corte Suprema de Justicia, </w:t>
      </w:r>
      <w:r w:rsidR="005F43FB" w:rsidRPr="00082CBC">
        <w:rPr>
          <w:rFonts w:ascii="Cambria" w:hAnsi="Cambria" w:cs="Verdana"/>
          <w:sz w:val="20"/>
          <w:szCs w:val="20"/>
          <w:lang w:val="es-UY"/>
        </w:rPr>
        <w:t>lo cual constituye un actuar intempestivo totalmente inaceptable. Todos estos hechos constituyen una afectac</w:t>
      </w:r>
      <w:r w:rsidR="00681A99">
        <w:rPr>
          <w:rFonts w:ascii="Cambria" w:hAnsi="Cambria" w:cs="Verdana"/>
          <w:sz w:val="20"/>
          <w:szCs w:val="20"/>
          <w:lang w:val="es-UY"/>
        </w:rPr>
        <w:t>ión a la independencia judicial</w:t>
      </w:r>
      <w:r w:rsidR="005F43FB" w:rsidRPr="00FE60A7">
        <w:rPr>
          <w:rStyle w:val="FootnoteReference"/>
          <w:rFonts w:ascii="Cambria" w:hAnsi="Cambria" w:cs="Verdana"/>
          <w:sz w:val="20"/>
          <w:szCs w:val="20"/>
          <w:lang w:val="es-UY"/>
        </w:rPr>
        <w:t xml:space="preserve"> </w:t>
      </w:r>
      <w:r w:rsidR="005F43FB" w:rsidRPr="00523EA8">
        <w:rPr>
          <w:rStyle w:val="FootnoteReference"/>
          <w:rFonts w:ascii="Cambria" w:hAnsi="Cambria" w:cs="Verdana"/>
          <w:sz w:val="20"/>
          <w:szCs w:val="20"/>
          <w:lang w:val="es-UY"/>
        </w:rPr>
        <w:footnoteReference w:id="34"/>
      </w:r>
      <w:r w:rsidR="005F43FB" w:rsidRPr="00523EA8">
        <w:rPr>
          <w:rFonts w:ascii="Cambria" w:hAnsi="Cambria" w:cs="Verdana"/>
          <w:sz w:val="20"/>
          <w:szCs w:val="20"/>
          <w:lang w:val="es-UY"/>
        </w:rPr>
        <w:t xml:space="preserve">. </w:t>
      </w:r>
    </w:p>
    <w:p w14:paraId="4B218439" w14:textId="77777777" w:rsidR="005F43FB" w:rsidRPr="00781407" w:rsidRDefault="005F43FB" w:rsidP="00082CBC">
      <w:pPr>
        <w:ind w:right="720"/>
        <w:rPr>
          <w:sz w:val="20"/>
          <w:szCs w:val="20"/>
          <w:lang w:val="es-ES"/>
        </w:rPr>
      </w:pPr>
    </w:p>
    <w:p w14:paraId="141AFBC2" w14:textId="77777777" w:rsidR="00681A99" w:rsidRDefault="00F65B04" w:rsidP="000D7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781407">
        <w:rPr>
          <w:rFonts w:ascii="Cambria" w:hAnsi="Cambria" w:cs="Verdana"/>
          <w:sz w:val="20"/>
          <w:szCs w:val="20"/>
          <w:lang w:val="es-UY"/>
        </w:rPr>
        <w:t>Por las consideraciones esgrimidas, la CIDH estima que el Estado cesó a</w:t>
      </w:r>
      <w:r w:rsidR="00924BDC">
        <w:rPr>
          <w:rFonts w:ascii="Cambria" w:hAnsi="Cambria" w:cs="Verdana"/>
          <w:sz w:val="20"/>
          <w:szCs w:val="20"/>
          <w:lang w:val="es-UY"/>
        </w:rPr>
        <w:t>l señor Aguinaga Aillón</w:t>
      </w:r>
      <w:r w:rsidR="00681A99">
        <w:rPr>
          <w:rFonts w:ascii="Cambria" w:hAnsi="Cambria" w:cs="Verdana"/>
          <w:sz w:val="20"/>
          <w:szCs w:val="20"/>
          <w:lang w:val="es-UY"/>
        </w:rPr>
        <w:t xml:space="preserve"> </w:t>
      </w:r>
      <w:r w:rsidRPr="00781407">
        <w:rPr>
          <w:rFonts w:ascii="Cambria" w:hAnsi="Cambria" w:cs="Verdana"/>
          <w:sz w:val="20"/>
          <w:szCs w:val="20"/>
          <w:lang w:val="es-UY"/>
        </w:rPr>
        <w:t>de manera arbitra</w:t>
      </w:r>
      <w:r w:rsidRPr="00924BDC">
        <w:rPr>
          <w:rFonts w:ascii="Cambria" w:hAnsi="Cambria" w:cs="Verdana"/>
          <w:sz w:val="20"/>
          <w:szCs w:val="20"/>
          <w:lang w:val="es-UY"/>
        </w:rPr>
        <w:t>ria, por medio de un procedimiento</w:t>
      </w:r>
      <w:r w:rsidR="000A7F25">
        <w:rPr>
          <w:rFonts w:ascii="Cambria" w:hAnsi="Cambria" w:cs="Verdana"/>
          <w:sz w:val="20"/>
          <w:szCs w:val="20"/>
          <w:lang w:val="es-UY"/>
        </w:rPr>
        <w:t xml:space="preserve"> y causales</w:t>
      </w:r>
      <w:r w:rsidRPr="00924BDC">
        <w:rPr>
          <w:rFonts w:ascii="Cambria" w:hAnsi="Cambria" w:cs="Verdana"/>
          <w:sz w:val="20"/>
          <w:szCs w:val="20"/>
          <w:lang w:val="es-UY"/>
        </w:rPr>
        <w:t xml:space="preserve"> no previst</w:t>
      </w:r>
      <w:r w:rsidR="000A7F25">
        <w:rPr>
          <w:rFonts w:ascii="Cambria" w:hAnsi="Cambria" w:cs="Verdana"/>
          <w:sz w:val="20"/>
          <w:szCs w:val="20"/>
          <w:lang w:val="es-UY"/>
        </w:rPr>
        <w:t>as</w:t>
      </w:r>
      <w:r w:rsidRPr="00924BDC">
        <w:rPr>
          <w:rFonts w:ascii="Cambria" w:hAnsi="Cambria" w:cs="Verdana"/>
          <w:sz w:val="20"/>
          <w:szCs w:val="20"/>
          <w:lang w:val="es-UY"/>
        </w:rPr>
        <w:t xml:space="preserve"> en la legislación interna,</w:t>
      </w:r>
      <w:r w:rsidR="00F53F95">
        <w:rPr>
          <w:rFonts w:ascii="Cambria" w:hAnsi="Cambria" w:cs="Verdana"/>
          <w:sz w:val="20"/>
          <w:szCs w:val="20"/>
          <w:lang w:val="es-UY"/>
        </w:rPr>
        <w:t xml:space="preserve"> sin que el Congreso Nacional tuviera competencia para ello salvo en el supuesto no ocurrido de un juicio político</w:t>
      </w:r>
      <w:r w:rsidR="006927D4">
        <w:rPr>
          <w:rFonts w:ascii="Cambria" w:hAnsi="Cambria" w:cs="Verdana"/>
          <w:sz w:val="20"/>
          <w:szCs w:val="20"/>
          <w:lang w:val="es-UY"/>
        </w:rPr>
        <w:t>,</w:t>
      </w:r>
      <w:r w:rsidRPr="00924BDC">
        <w:rPr>
          <w:rFonts w:ascii="Cambria" w:hAnsi="Cambria" w:cs="Verdana"/>
          <w:sz w:val="20"/>
          <w:szCs w:val="20"/>
          <w:lang w:val="es-UY"/>
        </w:rPr>
        <w:t xml:space="preserve"> lo cual afectó</w:t>
      </w:r>
      <w:r w:rsidR="006927D4">
        <w:rPr>
          <w:rFonts w:ascii="Cambria" w:hAnsi="Cambria" w:cs="Verdana"/>
          <w:sz w:val="20"/>
          <w:szCs w:val="20"/>
          <w:lang w:val="es-UY"/>
        </w:rPr>
        <w:t xml:space="preserve"> </w:t>
      </w:r>
      <w:r w:rsidRPr="00924BDC">
        <w:rPr>
          <w:rFonts w:ascii="Cambria" w:hAnsi="Cambria" w:cs="Verdana"/>
          <w:sz w:val="20"/>
          <w:szCs w:val="20"/>
          <w:lang w:val="es-UY"/>
        </w:rPr>
        <w:t>el principio de independencia judicial</w:t>
      </w:r>
      <w:r w:rsidR="007A0D07">
        <w:rPr>
          <w:rFonts w:ascii="Cambria" w:hAnsi="Cambria" w:cs="Verdana"/>
          <w:sz w:val="20"/>
          <w:szCs w:val="20"/>
          <w:lang w:val="es-UY"/>
        </w:rPr>
        <w:t xml:space="preserve">, el principio de legalidad y el </w:t>
      </w:r>
      <w:r w:rsidR="00C21179">
        <w:rPr>
          <w:rFonts w:ascii="Cambria" w:hAnsi="Cambria" w:cs="Verdana"/>
          <w:sz w:val="20"/>
          <w:szCs w:val="20"/>
          <w:lang w:val="es-UY"/>
        </w:rPr>
        <w:t>derecho a contar con autoridad competente mediante procedimientos previamente establecidos.</w:t>
      </w:r>
    </w:p>
    <w:p w14:paraId="2A195846" w14:textId="77777777" w:rsidR="00681A99" w:rsidRDefault="00681A99" w:rsidP="00681A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14:paraId="618B8F0D" w14:textId="6A390FA0" w:rsidR="00515137" w:rsidRPr="00681A99" w:rsidRDefault="00591371" w:rsidP="000D7A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681A99">
        <w:rPr>
          <w:rFonts w:ascii="Cambria" w:hAnsi="Cambria"/>
          <w:sz w:val="20"/>
          <w:szCs w:val="20"/>
          <w:lang w:val="es-ES"/>
        </w:rPr>
        <w:t xml:space="preserve">En virtud de lo anterior, la CIDH concluye que el Estado violó los artículos 8.1 y 9 de la Convención Americana en relación con el artículo 1.1 del mismo instrumento en perjuicio </w:t>
      </w:r>
      <w:r w:rsidR="005F43FB" w:rsidRPr="00681A99">
        <w:rPr>
          <w:rFonts w:ascii="Cambria" w:hAnsi="Cambria"/>
          <w:sz w:val="20"/>
          <w:szCs w:val="20"/>
          <w:lang w:val="es-ES"/>
        </w:rPr>
        <w:t xml:space="preserve">de Carlos Julio Aguinaga Aillón. </w:t>
      </w:r>
    </w:p>
    <w:p w14:paraId="529DA358" w14:textId="77777777" w:rsidR="000D7A15" w:rsidRPr="000D7A15" w:rsidRDefault="000D7A15" w:rsidP="000D7A1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UY"/>
        </w:rPr>
      </w:pPr>
    </w:p>
    <w:p w14:paraId="674B57EB" w14:textId="77777777" w:rsidR="001E4A8B" w:rsidRDefault="002E5E79" w:rsidP="00515137">
      <w:pPr>
        <w:pStyle w:val="Heading3"/>
        <w:numPr>
          <w:ilvl w:val="0"/>
          <w:numId w:val="64"/>
        </w:numPr>
        <w:spacing w:before="0" w:after="0"/>
        <w:ind w:hanging="720"/>
        <w:jc w:val="both"/>
        <w:rPr>
          <w:rFonts w:ascii="Cambria" w:hAnsi="Cambria"/>
          <w:sz w:val="20"/>
          <w:szCs w:val="20"/>
          <w:lang w:val="es-ES_tradnl"/>
        </w:rPr>
      </w:pPr>
      <w:bookmarkStart w:id="33" w:name="_Toc516682006"/>
      <w:r w:rsidRPr="00FE60A7">
        <w:rPr>
          <w:rFonts w:ascii="Cambria" w:hAnsi="Cambria"/>
          <w:sz w:val="20"/>
          <w:szCs w:val="20"/>
          <w:lang w:val="es-ES_tradnl"/>
        </w:rPr>
        <w:t>Derecho a conocer previa y detalladamente la acusación formulada y de tener el tiempo y los medios adecuados para la defensa</w:t>
      </w:r>
      <w:bookmarkEnd w:id="33"/>
    </w:p>
    <w:p w14:paraId="0739481A" w14:textId="77777777" w:rsidR="00964DC3" w:rsidRPr="00964DC3" w:rsidRDefault="00964DC3" w:rsidP="00964D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14:paraId="42C94A64" w14:textId="416AB50C" w:rsidR="00094EAF" w:rsidRPr="00964DC3" w:rsidRDefault="001E4A8B" w:rsidP="00964DC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64DC3">
        <w:rPr>
          <w:rFonts w:ascii="Cambria" w:hAnsi="Cambria" w:cs="Verdana"/>
          <w:sz w:val="20"/>
          <w:szCs w:val="20"/>
          <w:lang w:val="es-UY"/>
        </w:rPr>
        <w:t>L</w:t>
      </w:r>
      <w:r w:rsidRPr="00964DC3" w:rsidDel="00044636">
        <w:rPr>
          <w:rFonts w:ascii="Cambria" w:hAnsi="Cambria" w:cs="Verdana"/>
          <w:sz w:val="20"/>
          <w:szCs w:val="20"/>
          <w:lang w:val="es-UY"/>
        </w:rPr>
        <w:t>a Comisión recuerda que</w:t>
      </w:r>
      <w:r w:rsidRPr="00964DC3">
        <w:rPr>
          <w:rFonts w:ascii="Cambria" w:hAnsi="Cambria" w:cs="Verdana"/>
          <w:sz w:val="20"/>
          <w:szCs w:val="20"/>
          <w:lang w:val="es-UY"/>
        </w:rPr>
        <w:t xml:space="preserve"> el derecho a la defensa </w:t>
      </w:r>
      <w:r w:rsidRPr="00964DC3" w:rsidDel="00044636">
        <w:rPr>
          <w:rFonts w:ascii="Cambria" w:hAnsi="Cambria" w:cs="Verdana"/>
          <w:sz w:val="20"/>
          <w:szCs w:val="20"/>
          <w:lang w:val="es-UY"/>
        </w:rPr>
        <w:t xml:space="preserve">implica que </w:t>
      </w:r>
      <w:r w:rsidRPr="00964DC3">
        <w:rPr>
          <w:rFonts w:ascii="Cambria" w:hAnsi="Cambria" w:cs="Verdana"/>
          <w:sz w:val="20"/>
          <w:szCs w:val="20"/>
          <w:lang w:val="es-UY"/>
        </w:rPr>
        <w:t>la persona sometida a un proceso, incluyendo uno de carácter administrativo, pueda defender sus intereses o derechos en forma efectiva y en “condiciones de igualdad procesal (…) siendo plenamente informado de las acusaciones que se formulan en su contra</w:t>
      </w:r>
      <w:r w:rsidRPr="00964DC3">
        <w:rPr>
          <w:rFonts w:ascii="Cambria" w:hAnsi="Cambria" w:cs="Verdana"/>
          <w:sz w:val="20"/>
          <w:szCs w:val="20"/>
          <w:vertAlign w:val="superscript"/>
          <w:lang w:val="es-UY"/>
        </w:rPr>
        <w:footnoteReference w:id="35"/>
      </w:r>
      <w:r w:rsidRPr="00964DC3">
        <w:rPr>
          <w:rFonts w:ascii="Cambria" w:hAnsi="Cambria" w:cs="Verdana"/>
          <w:sz w:val="20"/>
          <w:szCs w:val="20"/>
          <w:lang w:val="es-UY"/>
        </w:rPr>
        <w:t>”.</w:t>
      </w:r>
      <w:r w:rsidRPr="00964DC3">
        <w:rPr>
          <w:rFonts w:ascii="Cambria" w:hAnsi="Cambria"/>
          <w:sz w:val="20"/>
          <w:szCs w:val="20"/>
          <w:lang w:val="es-ES_tradnl"/>
        </w:rPr>
        <w:t xml:space="preserve"> </w:t>
      </w:r>
      <w:r w:rsidRPr="00964DC3">
        <w:rPr>
          <w:rFonts w:ascii="Cambria" w:hAnsi="Cambria"/>
          <w:sz w:val="20"/>
          <w:szCs w:val="20"/>
          <w:lang w:val="es-ES" w:eastAsia="es-ES"/>
        </w:rPr>
        <w:t>Específicamente</w:t>
      </w:r>
      <w:r w:rsidRPr="00964DC3">
        <w:rPr>
          <w:rFonts w:ascii="Cambria" w:hAnsi="Cambria"/>
          <w:sz w:val="20"/>
          <w:szCs w:val="20"/>
          <w:lang w:val="es-CL"/>
        </w:rPr>
        <w:t xml:space="preserve"> respecto de los procedimientos disciplinarios de las y los jueces, la Corte Interamericana, siguiendo lo establecido en los Principios Básicos, ha señalado que la autoridad a cargo del proceso </w:t>
      </w:r>
      <w:r w:rsidR="00CA635C" w:rsidRPr="00964DC3">
        <w:rPr>
          <w:rFonts w:ascii="Cambria" w:hAnsi="Cambria"/>
          <w:sz w:val="20"/>
          <w:szCs w:val="20"/>
          <w:lang w:val="es-CL"/>
        </w:rPr>
        <w:t xml:space="preserve">sancionatorio </w:t>
      </w:r>
      <w:r w:rsidRPr="00964DC3">
        <w:rPr>
          <w:rFonts w:ascii="Cambria" w:hAnsi="Cambria"/>
          <w:sz w:val="20"/>
          <w:szCs w:val="20"/>
          <w:lang w:val="es-CL"/>
        </w:rPr>
        <w:t>debe conducirse conforme el procedimiento establecido para el efecto y permitir el ejercicio del derecho de defensa</w:t>
      </w:r>
      <w:r w:rsidRPr="00910616">
        <w:rPr>
          <w:rStyle w:val="FootnoteReference"/>
          <w:rFonts w:ascii="Cambria" w:hAnsi="Cambria"/>
          <w:sz w:val="20"/>
          <w:szCs w:val="20"/>
          <w:lang w:val="es-CL"/>
        </w:rPr>
        <w:footnoteReference w:id="36"/>
      </w:r>
      <w:r w:rsidRPr="00964DC3">
        <w:rPr>
          <w:rFonts w:ascii="Cambria" w:hAnsi="Cambria"/>
          <w:sz w:val="20"/>
          <w:szCs w:val="20"/>
          <w:lang w:val="es-CL"/>
        </w:rPr>
        <w:t>.</w:t>
      </w:r>
      <w:r w:rsidRPr="00964DC3">
        <w:rPr>
          <w:rFonts w:ascii="Cambria" w:hAnsi="Cambria"/>
          <w:sz w:val="20"/>
          <w:szCs w:val="20"/>
          <w:lang w:val="es-ES"/>
        </w:rPr>
        <w:t xml:space="preserve"> </w:t>
      </w:r>
    </w:p>
    <w:p w14:paraId="3F37AA88" w14:textId="77777777" w:rsidR="00176469" w:rsidRDefault="00176469" w:rsidP="0017646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5595F2D4" w14:textId="6ADA4ED7" w:rsidR="00094EAF" w:rsidRDefault="00E57B06" w:rsidP="00094EA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094EAF">
        <w:rPr>
          <w:rFonts w:ascii="Cambria" w:hAnsi="Cambria"/>
          <w:sz w:val="20"/>
          <w:szCs w:val="20"/>
          <w:lang w:val="es-ES"/>
        </w:rPr>
        <w:t xml:space="preserve">La CIDH observa que en el presente caso no consta que el Estado haya notificado a la presunta víctima sobre el inicio de un procedimiento </w:t>
      </w:r>
      <w:r w:rsidR="00E03283">
        <w:rPr>
          <w:rFonts w:ascii="Cambria" w:hAnsi="Cambria"/>
          <w:sz w:val="20"/>
          <w:szCs w:val="20"/>
          <w:lang w:val="es-ES"/>
        </w:rPr>
        <w:t xml:space="preserve">que podría terminar con su cese, </w:t>
      </w:r>
      <w:r w:rsidRPr="00094EAF">
        <w:rPr>
          <w:rFonts w:ascii="Cambria" w:hAnsi="Cambria"/>
          <w:sz w:val="20"/>
          <w:szCs w:val="20"/>
          <w:lang w:val="es-ES"/>
        </w:rPr>
        <w:t>ni que le haya otorgado posibilidad</w:t>
      </w:r>
      <w:r w:rsidR="00E03283">
        <w:rPr>
          <w:rFonts w:ascii="Cambria" w:hAnsi="Cambria"/>
          <w:sz w:val="20"/>
          <w:szCs w:val="20"/>
          <w:lang w:val="es-ES"/>
        </w:rPr>
        <w:t xml:space="preserve"> alguna </w:t>
      </w:r>
      <w:r w:rsidRPr="00094EAF">
        <w:rPr>
          <w:rFonts w:ascii="Cambria" w:hAnsi="Cambria"/>
          <w:sz w:val="20"/>
          <w:szCs w:val="20"/>
          <w:lang w:val="es-ES"/>
        </w:rPr>
        <w:t>de</w:t>
      </w:r>
      <w:r w:rsidR="00E03283">
        <w:rPr>
          <w:rFonts w:ascii="Cambria" w:hAnsi="Cambria"/>
          <w:sz w:val="20"/>
          <w:szCs w:val="20"/>
          <w:lang w:val="es-ES"/>
        </w:rPr>
        <w:t xml:space="preserve"> ser oído y de formular </w:t>
      </w:r>
      <w:r w:rsidRPr="00094EAF">
        <w:rPr>
          <w:rFonts w:ascii="Cambria" w:hAnsi="Cambria"/>
          <w:sz w:val="20"/>
          <w:szCs w:val="20"/>
          <w:lang w:val="es-ES"/>
        </w:rPr>
        <w:t>defen</w:t>
      </w:r>
      <w:r w:rsidR="00E03283">
        <w:rPr>
          <w:rFonts w:ascii="Cambria" w:hAnsi="Cambria"/>
          <w:sz w:val="20"/>
          <w:szCs w:val="20"/>
          <w:lang w:val="es-ES"/>
        </w:rPr>
        <w:t>sa</w:t>
      </w:r>
      <w:r w:rsidRPr="00094EAF">
        <w:rPr>
          <w:rFonts w:ascii="Cambria" w:hAnsi="Cambria"/>
          <w:sz w:val="20"/>
          <w:szCs w:val="20"/>
          <w:lang w:val="es-ES"/>
        </w:rPr>
        <w:t xml:space="preserve"> previo a su cese del cargo de vocal del Tribunal Supremo Electoral, mediante la </w:t>
      </w:r>
      <w:r w:rsidR="00E03283">
        <w:rPr>
          <w:rFonts w:ascii="Cambria" w:hAnsi="Cambria"/>
          <w:sz w:val="20"/>
          <w:szCs w:val="20"/>
          <w:lang w:val="es-ES"/>
        </w:rPr>
        <w:t>R</w:t>
      </w:r>
      <w:r w:rsidRPr="00094EAF">
        <w:rPr>
          <w:rFonts w:ascii="Cambria" w:hAnsi="Cambria"/>
          <w:sz w:val="20"/>
          <w:szCs w:val="20"/>
          <w:lang w:val="es-ES"/>
        </w:rPr>
        <w:t xml:space="preserve">esolución 25-160 del Congreso Nacional. </w:t>
      </w:r>
    </w:p>
    <w:p w14:paraId="74919D88" w14:textId="77777777" w:rsidR="00094EAF" w:rsidRDefault="00094EAF" w:rsidP="00094EA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14:paraId="1155678A" w14:textId="77777777" w:rsidR="00404EDE" w:rsidRDefault="001E4A8B" w:rsidP="00404ED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094EAF">
        <w:rPr>
          <w:rFonts w:ascii="Cambria" w:hAnsi="Cambria"/>
          <w:sz w:val="20"/>
          <w:szCs w:val="20"/>
          <w:lang w:val="es-ES"/>
        </w:rPr>
        <w:t>En virtud de lo anterior, la CIDH concluye que el Estado violó los artículos 8.2 b) y 8.2 c) de la Convenci</w:t>
      </w:r>
      <w:r w:rsidR="00FF3C5D" w:rsidRPr="00094EAF">
        <w:rPr>
          <w:rFonts w:ascii="Cambria" w:hAnsi="Cambria"/>
          <w:sz w:val="20"/>
          <w:szCs w:val="20"/>
          <w:lang w:val="es-ES"/>
        </w:rPr>
        <w:t>ón Americana en relación con el artículo 1.1 del mismo instrumento en perjuicio de Carlos Julio Aguinaga Aillón.</w:t>
      </w:r>
    </w:p>
    <w:p w14:paraId="614AFB0E" w14:textId="77777777" w:rsidR="003E28E7" w:rsidRDefault="003E28E7" w:rsidP="003E28E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124DE5F0" w14:textId="77777777" w:rsidR="00C16812" w:rsidRDefault="00C16812" w:rsidP="003E28E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5065A571" w14:textId="77777777" w:rsidR="00C16812" w:rsidRPr="004B7A49" w:rsidRDefault="00C16812" w:rsidP="003E28E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1471D9CD" w14:textId="77777777" w:rsidR="00725198" w:rsidRDefault="00132771" w:rsidP="003E28E7">
      <w:pPr>
        <w:pStyle w:val="Heading3"/>
        <w:numPr>
          <w:ilvl w:val="0"/>
          <w:numId w:val="64"/>
        </w:numPr>
        <w:spacing w:before="0" w:after="0"/>
        <w:ind w:hanging="720"/>
        <w:jc w:val="both"/>
        <w:rPr>
          <w:rFonts w:ascii="Cambria" w:hAnsi="Cambria"/>
          <w:sz w:val="20"/>
          <w:szCs w:val="20"/>
          <w:lang w:val="es-ES_tradnl"/>
        </w:rPr>
      </w:pPr>
      <w:bookmarkStart w:id="34" w:name="_Toc516682007"/>
      <w:r>
        <w:rPr>
          <w:rFonts w:ascii="Cambria" w:hAnsi="Cambria"/>
          <w:sz w:val="20"/>
          <w:szCs w:val="20"/>
          <w:lang w:val="es-ES_tradnl"/>
        </w:rPr>
        <w:t>E</w:t>
      </w:r>
      <w:r w:rsidRPr="00132771">
        <w:rPr>
          <w:rFonts w:ascii="Cambria" w:hAnsi="Cambria"/>
          <w:sz w:val="20"/>
          <w:szCs w:val="20"/>
          <w:lang w:val="es-ES_tradnl"/>
        </w:rPr>
        <w:t>l derecho a recurrir el fallo</w:t>
      </w:r>
      <w:r w:rsidRPr="00132771">
        <w:rPr>
          <w:rFonts w:ascii="Cambria" w:hAnsi="Cambria"/>
          <w:sz w:val="20"/>
          <w:szCs w:val="20"/>
          <w:vertAlign w:val="superscript"/>
          <w:lang w:val="es-ES_tradnl"/>
        </w:rPr>
        <w:footnoteReference w:id="37"/>
      </w:r>
      <w:r w:rsidRPr="00132771">
        <w:rPr>
          <w:rFonts w:ascii="Cambria" w:hAnsi="Cambria"/>
          <w:sz w:val="20"/>
          <w:szCs w:val="20"/>
          <w:lang w:val="es-ES_tradnl"/>
        </w:rPr>
        <w:t xml:space="preserve"> y el derecho a la protección judicial</w:t>
      </w:r>
      <w:r w:rsidRPr="00132771">
        <w:rPr>
          <w:rFonts w:ascii="Cambria" w:hAnsi="Cambria"/>
          <w:sz w:val="20"/>
          <w:szCs w:val="20"/>
          <w:vertAlign w:val="superscript"/>
          <w:lang w:val="es-ES_tradnl"/>
        </w:rPr>
        <w:footnoteReference w:id="38"/>
      </w:r>
      <w:bookmarkEnd w:id="34"/>
    </w:p>
    <w:p w14:paraId="6EBD3794" w14:textId="77777777" w:rsidR="007768AF" w:rsidRPr="007768AF" w:rsidRDefault="007768AF" w:rsidP="007768AF">
      <w:pPr>
        <w:rPr>
          <w:lang w:val="es-ES_tradnl"/>
        </w:rPr>
      </w:pPr>
    </w:p>
    <w:p w14:paraId="6C0A2C1D" w14:textId="5918048A" w:rsidR="007E63D7" w:rsidRDefault="007768AF" w:rsidP="007E63D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D276E7">
        <w:rPr>
          <w:rFonts w:ascii="Cambria" w:hAnsi="Cambria"/>
          <w:sz w:val="20"/>
          <w:szCs w:val="20"/>
          <w:lang w:val="es-CO"/>
        </w:rPr>
        <w:t xml:space="preserve">La CIDH recuerda que el derecho a recurrir el fallo hace parte del debido proceso legal de un procedimiento </w:t>
      </w:r>
      <w:r w:rsidRPr="00EA7772">
        <w:rPr>
          <w:rFonts w:ascii="Cambria" w:hAnsi="Cambria"/>
          <w:sz w:val="20"/>
          <w:szCs w:val="20"/>
          <w:lang w:val="es-CO"/>
        </w:rPr>
        <w:t>sancionatorio</w:t>
      </w:r>
      <w:r w:rsidRPr="00D276E7">
        <w:rPr>
          <w:rFonts w:ascii="Cambria" w:hAnsi="Cambria"/>
          <w:sz w:val="20"/>
          <w:szCs w:val="20"/>
          <w:vertAlign w:val="superscript"/>
        </w:rPr>
        <w:footnoteReference w:id="39"/>
      </w:r>
      <w:r w:rsidRPr="00D276E7">
        <w:rPr>
          <w:rFonts w:ascii="Cambria" w:hAnsi="Cambria"/>
          <w:sz w:val="20"/>
          <w:szCs w:val="20"/>
          <w:lang w:val="es-CO"/>
        </w:rPr>
        <w:t xml:space="preserve"> y es una garantía primordial cuya finalidad es evitar que se consolide una situación de injusticia</w:t>
      </w:r>
      <w:r w:rsidRPr="00D276E7">
        <w:rPr>
          <w:rStyle w:val="FootnoteReference"/>
          <w:rFonts w:ascii="Cambria" w:hAnsi="Cambria"/>
          <w:sz w:val="20"/>
          <w:szCs w:val="20"/>
          <w:lang w:val="es-CO"/>
        </w:rPr>
        <w:footnoteReference w:id="40"/>
      </w:r>
      <w:r w:rsidR="00A4174E">
        <w:rPr>
          <w:rFonts w:ascii="Cambria" w:hAnsi="Cambria"/>
          <w:sz w:val="20"/>
          <w:szCs w:val="20"/>
          <w:lang w:val="es-CO"/>
        </w:rPr>
        <w:t xml:space="preserve">. </w:t>
      </w:r>
      <w:r w:rsidRPr="00D276E7">
        <w:rPr>
          <w:rFonts w:ascii="Cambria" w:hAnsi="Cambria"/>
          <w:sz w:val="20"/>
          <w:szCs w:val="20"/>
          <w:lang w:val="es-CO"/>
        </w:rPr>
        <w:t>En cuanto al alcance del derecho a recurrir, tanto la CIDH como la Corte han indicado que este implica un examen por un juez o tribunal distinto y de superior jerarquía tanto de aspectos de hecho como de derecho de la decisión recurrida</w:t>
      </w:r>
      <w:r w:rsidRPr="00D276E7">
        <w:rPr>
          <w:rStyle w:val="FootnoteReference"/>
          <w:rFonts w:ascii="Cambria" w:hAnsi="Cambria"/>
          <w:sz w:val="20"/>
          <w:szCs w:val="20"/>
          <w:lang w:val="es-CO"/>
        </w:rPr>
        <w:footnoteReference w:id="41"/>
      </w:r>
      <w:r w:rsidRPr="00D276E7">
        <w:rPr>
          <w:rFonts w:ascii="Cambria" w:hAnsi="Cambria"/>
          <w:sz w:val="20"/>
          <w:szCs w:val="20"/>
          <w:lang w:val="es-CO"/>
        </w:rPr>
        <w:t>. Debe proceder antes que la sentencia adquiera calidad de cosa juzgada, debe ser resuelto en un plazo razonable, debe ser oportuno y eficaz, es decir, debe dar resultado o respuesta al fin para el cual fue concebido. Además, debe ser accesible, sin requerir mayores formalidades que tornen ilusorio el derecho</w:t>
      </w:r>
      <w:r w:rsidRPr="00D276E7">
        <w:rPr>
          <w:rStyle w:val="FootnoteReference"/>
          <w:rFonts w:ascii="Cambria" w:hAnsi="Cambria"/>
          <w:sz w:val="20"/>
          <w:szCs w:val="20"/>
          <w:lang w:val="es-CO"/>
        </w:rPr>
        <w:footnoteReference w:id="42"/>
      </w:r>
      <w:r w:rsidRPr="00D276E7">
        <w:rPr>
          <w:rFonts w:ascii="Cambria" w:hAnsi="Cambria"/>
          <w:sz w:val="20"/>
          <w:szCs w:val="20"/>
          <w:lang w:val="es-CO"/>
        </w:rPr>
        <w:t xml:space="preserve">.  </w:t>
      </w:r>
    </w:p>
    <w:p w14:paraId="5D4B3E68" w14:textId="77777777" w:rsidR="007E63D7" w:rsidRDefault="007E63D7" w:rsidP="007E63D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CO"/>
        </w:rPr>
      </w:pPr>
    </w:p>
    <w:p w14:paraId="2AA60EF3" w14:textId="018621B1" w:rsidR="007768AF" w:rsidRDefault="007768AF" w:rsidP="007E63D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7E63D7">
        <w:rPr>
          <w:rFonts w:ascii="Cambria" w:hAnsi="Cambria"/>
          <w:sz w:val="20"/>
          <w:szCs w:val="20"/>
          <w:lang w:val="es-CO"/>
        </w:rPr>
        <w:t>Finalmente, la CIDH recuerda que el Estado está en la obligación general de proveer recursos judiciales efectivos a las personas que aleguen ser víctimas de violaciones de derechos humanos, los cuales deben ser sustanciados de conformidad con las reglas del debido proceso legal. Para que exista un recurso efectivo no basta con que esté previsto legalmente sino que deber ser realmente idóneo para establecer si se ha incurrido en una violación a los derechos humanos, y proveer lo necesario para remediarla</w:t>
      </w:r>
      <w:r w:rsidRPr="00D276E7">
        <w:rPr>
          <w:rFonts w:ascii="Cambria" w:hAnsi="Cambria"/>
          <w:sz w:val="20"/>
          <w:szCs w:val="20"/>
          <w:vertAlign w:val="superscript"/>
        </w:rPr>
        <w:footnoteReference w:id="43"/>
      </w:r>
      <w:r w:rsidRPr="007E63D7">
        <w:rPr>
          <w:rFonts w:ascii="Cambria" w:hAnsi="Cambria"/>
          <w:sz w:val="20"/>
          <w:szCs w:val="20"/>
          <w:lang w:val="es-CO"/>
        </w:rPr>
        <w:t xml:space="preserve">. </w:t>
      </w:r>
    </w:p>
    <w:p w14:paraId="3F983AB9" w14:textId="77777777" w:rsidR="00560281" w:rsidRDefault="00560281" w:rsidP="00560281">
      <w:pPr>
        <w:pStyle w:val="ListParagraph"/>
        <w:rPr>
          <w:sz w:val="20"/>
          <w:szCs w:val="20"/>
          <w:lang w:val="es-CO"/>
        </w:rPr>
      </w:pPr>
    </w:p>
    <w:p w14:paraId="4E1198C2" w14:textId="027506D2" w:rsidR="00ED47E1" w:rsidRDefault="00560281" w:rsidP="00ED47E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Pr>
          <w:rFonts w:ascii="Cambria" w:hAnsi="Cambria"/>
          <w:sz w:val="20"/>
          <w:szCs w:val="20"/>
          <w:lang w:val="es-CO"/>
        </w:rPr>
        <w:t xml:space="preserve">La Comisión ya declaró que el Estado </w:t>
      </w:r>
      <w:r w:rsidR="0059357A">
        <w:rPr>
          <w:rFonts w:ascii="Cambria" w:hAnsi="Cambria"/>
          <w:sz w:val="20"/>
          <w:szCs w:val="20"/>
          <w:lang w:val="es-CO"/>
        </w:rPr>
        <w:t xml:space="preserve">cesó a la presunta víctima </w:t>
      </w:r>
      <w:r w:rsidR="00E901F7">
        <w:rPr>
          <w:rFonts w:ascii="Cambria" w:hAnsi="Cambria"/>
          <w:sz w:val="20"/>
          <w:szCs w:val="20"/>
          <w:lang w:val="es-CO"/>
        </w:rPr>
        <w:t xml:space="preserve">como una forma de sanción </w:t>
      </w:r>
      <w:r w:rsidR="00E901F7">
        <w:rPr>
          <w:rFonts w:ascii="Cambria" w:hAnsi="Cambria"/>
          <w:i/>
          <w:sz w:val="20"/>
          <w:szCs w:val="20"/>
          <w:lang w:val="es-CO"/>
        </w:rPr>
        <w:t>de facto</w:t>
      </w:r>
      <w:r w:rsidR="00E901F7">
        <w:rPr>
          <w:rFonts w:ascii="Cambria" w:hAnsi="Cambria"/>
          <w:sz w:val="20"/>
          <w:szCs w:val="20"/>
          <w:lang w:val="es-CO"/>
        </w:rPr>
        <w:t xml:space="preserve">, en violación al principio de independencia judicial, a las garantías del debido proceso y al principio de legalidad. Conforme a lo hechos probados, el señor Aguinaga Aillón no contaba con ningún mecanismo para </w:t>
      </w:r>
      <w:r w:rsidR="0059357A">
        <w:rPr>
          <w:rFonts w:ascii="Cambria" w:hAnsi="Cambria"/>
          <w:sz w:val="20"/>
          <w:szCs w:val="20"/>
          <w:lang w:val="es-CO"/>
        </w:rPr>
        <w:t xml:space="preserve">cuestionar </w:t>
      </w:r>
      <w:r w:rsidR="00E901F7">
        <w:rPr>
          <w:rFonts w:ascii="Cambria" w:hAnsi="Cambria"/>
          <w:sz w:val="20"/>
          <w:szCs w:val="20"/>
          <w:lang w:val="es-CO"/>
        </w:rPr>
        <w:t xml:space="preserve">la decisión de cese </w:t>
      </w:r>
      <w:r w:rsidR="0059357A">
        <w:rPr>
          <w:rFonts w:ascii="Cambria" w:hAnsi="Cambria"/>
          <w:sz w:val="20"/>
          <w:szCs w:val="20"/>
          <w:lang w:val="es-CO"/>
        </w:rPr>
        <w:t>por dos razones fundamentales</w:t>
      </w:r>
      <w:r w:rsidR="00E901F7">
        <w:rPr>
          <w:rFonts w:ascii="Cambria" w:hAnsi="Cambria"/>
          <w:sz w:val="20"/>
          <w:szCs w:val="20"/>
          <w:lang w:val="es-CO"/>
        </w:rPr>
        <w:t>.</w:t>
      </w:r>
      <w:r w:rsidR="0059357A">
        <w:rPr>
          <w:rFonts w:ascii="Cambria" w:hAnsi="Cambria"/>
          <w:sz w:val="20"/>
          <w:szCs w:val="20"/>
          <w:lang w:val="es-CO"/>
        </w:rPr>
        <w:t xml:space="preserve"> </w:t>
      </w:r>
      <w:r w:rsidR="00E901F7">
        <w:rPr>
          <w:rFonts w:ascii="Cambria" w:hAnsi="Cambria"/>
          <w:sz w:val="20"/>
          <w:szCs w:val="20"/>
          <w:lang w:val="es-CO"/>
        </w:rPr>
        <w:t>E</w:t>
      </w:r>
      <w:r w:rsidR="0059357A">
        <w:rPr>
          <w:rFonts w:ascii="Cambria" w:hAnsi="Cambria"/>
          <w:sz w:val="20"/>
          <w:szCs w:val="20"/>
          <w:lang w:val="es-CO"/>
        </w:rPr>
        <w:t>n primer lugar porque</w:t>
      </w:r>
      <w:r w:rsidR="00842F2D">
        <w:rPr>
          <w:rFonts w:ascii="Cambria" w:hAnsi="Cambria"/>
          <w:sz w:val="20"/>
          <w:szCs w:val="20"/>
          <w:lang w:val="es-CO"/>
        </w:rPr>
        <w:t xml:space="preserve"> como y</w:t>
      </w:r>
      <w:r w:rsidR="000B610E">
        <w:rPr>
          <w:rFonts w:ascii="Cambria" w:hAnsi="Cambria"/>
          <w:sz w:val="20"/>
          <w:szCs w:val="20"/>
          <w:lang w:val="es-CO"/>
        </w:rPr>
        <w:t xml:space="preserve">a se analizó, </w:t>
      </w:r>
      <w:r w:rsidR="0059357A">
        <w:rPr>
          <w:rFonts w:ascii="Cambria" w:hAnsi="Cambria"/>
          <w:sz w:val="20"/>
          <w:szCs w:val="20"/>
          <w:lang w:val="es-CO"/>
        </w:rPr>
        <w:t xml:space="preserve">el procedimiento seguido no estaba previsto en la legislación y por ende no existía un recurso para </w:t>
      </w:r>
      <w:r w:rsidR="0059357A" w:rsidRPr="00842F2D">
        <w:rPr>
          <w:rFonts w:ascii="Cambria" w:hAnsi="Cambria"/>
          <w:sz w:val="20"/>
          <w:szCs w:val="20"/>
          <w:lang w:val="es-CO"/>
        </w:rPr>
        <w:t xml:space="preserve">impugnar </w:t>
      </w:r>
      <w:r w:rsidR="00842F2D">
        <w:rPr>
          <w:rFonts w:ascii="Cambria" w:hAnsi="Cambria"/>
          <w:sz w:val="20"/>
          <w:szCs w:val="20"/>
          <w:lang w:val="es-CO"/>
        </w:rPr>
        <w:t>la decisión</w:t>
      </w:r>
      <w:r w:rsidR="0059357A" w:rsidRPr="00842F2D">
        <w:rPr>
          <w:rFonts w:ascii="Cambria" w:hAnsi="Cambria"/>
          <w:sz w:val="20"/>
          <w:szCs w:val="20"/>
          <w:lang w:val="es-CO"/>
        </w:rPr>
        <w:t>.</w:t>
      </w:r>
      <w:r w:rsidR="0059357A">
        <w:rPr>
          <w:rFonts w:ascii="Cambria" w:hAnsi="Cambria"/>
          <w:sz w:val="20"/>
          <w:szCs w:val="20"/>
          <w:lang w:val="es-CO"/>
        </w:rPr>
        <w:t xml:space="preserve"> En segundo lugar, porque </w:t>
      </w:r>
      <w:r w:rsidR="000C5020">
        <w:rPr>
          <w:rFonts w:ascii="Cambria" w:hAnsi="Cambria"/>
          <w:sz w:val="20"/>
          <w:szCs w:val="20"/>
          <w:lang w:val="es-CO"/>
        </w:rPr>
        <w:t xml:space="preserve">como se estableció en los hechos probados, </w:t>
      </w:r>
      <w:r w:rsidR="0059357A">
        <w:rPr>
          <w:rFonts w:ascii="Cambria" w:hAnsi="Cambria"/>
          <w:sz w:val="20"/>
          <w:szCs w:val="20"/>
          <w:lang w:val="es-CO"/>
        </w:rPr>
        <w:t xml:space="preserve">el Estado </w:t>
      </w:r>
      <w:r w:rsidR="0059357A" w:rsidRPr="000E614C">
        <w:rPr>
          <w:rFonts w:ascii="Cambria" w:hAnsi="Cambria"/>
          <w:sz w:val="20"/>
          <w:szCs w:val="20"/>
          <w:lang w:val="es-CO"/>
        </w:rPr>
        <w:t xml:space="preserve">emitió </w:t>
      </w:r>
      <w:r w:rsidR="00842F2D" w:rsidRPr="000E614C">
        <w:rPr>
          <w:rFonts w:ascii="Cambria" w:hAnsi="Cambria"/>
          <w:sz w:val="20"/>
          <w:szCs w:val="20"/>
          <w:lang w:val="es-CO"/>
        </w:rPr>
        <w:t xml:space="preserve">una </w:t>
      </w:r>
      <w:r w:rsidR="00ED47E1" w:rsidRPr="000E614C">
        <w:rPr>
          <w:rFonts w:ascii="Cambria" w:hAnsi="Cambria"/>
          <w:sz w:val="20"/>
          <w:szCs w:val="20"/>
          <w:lang w:val="es-CO"/>
        </w:rPr>
        <w:t>resoluci</w:t>
      </w:r>
      <w:r w:rsidR="00842F2D" w:rsidRPr="000E614C">
        <w:rPr>
          <w:rFonts w:ascii="Cambria" w:hAnsi="Cambria"/>
          <w:sz w:val="20"/>
          <w:szCs w:val="20"/>
          <w:lang w:val="es-CO"/>
        </w:rPr>
        <w:t>ón</w:t>
      </w:r>
      <w:r w:rsidR="00ED47E1" w:rsidRPr="000E614C">
        <w:rPr>
          <w:rFonts w:ascii="Cambria" w:hAnsi="Cambria"/>
          <w:sz w:val="20"/>
          <w:szCs w:val="20"/>
          <w:lang w:val="es-CO"/>
        </w:rPr>
        <w:t xml:space="preserve"> para obstaculizar la posibilidad de plantear el recurso de amparo cont</w:t>
      </w:r>
      <w:r w:rsidR="00ED47E1">
        <w:rPr>
          <w:rFonts w:ascii="Cambria" w:hAnsi="Cambria"/>
          <w:sz w:val="20"/>
          <w:szCs w:val="20"/>
          <w:lang w:val="es-CO"/>
        </w:rPr>
        <w:t xml:space="preserve">ra la resolución del Congreso. </w:t>
      </w:r>
      <w:r w:rsidR="00F500C2">
        <w:rPr>
          <w:rFonts w:ascii="Cambria" w:hAnsi="Cambria"/>
          <w:sz w:val="20"/>
          <w:szCs w:val="20"/>
          <w:lang w:val="es-CO"/>
        </w:rPr>
        <w:t xml:space="preserve">En ese sentido, </w:t>
      </w:r>
      <w:r w:rsidR="00ED47E1">
        <w:rPr>
          <w:rFonts w:ascii="Cambria" w:hAnsi="Cambria"/>
          <w:sz w:val="20"/>
          <w:szCs w:val="20"/>
          <w:lang w:val="es-CO"/>
        </w:rPr>
        <w:t>el único recurso disponible era la acción de inconstitucionalidad,</w:t>
      </w:r>
      <w:r w:rsidR="00F500C2">
        <w:rPr>
          <w:rFonts w:ascii="Cambria" w:hAnsi="Cambria"/>
          <w:sz w:val="20"/>
          <w:szCs w:val="20"/>
          <w:lang w:val="es-CO"/>
        </w:rPr>
        <w:t xml:space="preserve"> la cual </w:t>
      </w:r>
      <w:r w:rsidR="00ED47E1">
        <w:rPr>
          <w:rFonts w:ascii="Cambria" w:hAnsi="Cambria"/>
          <w:sz w:val="20"/>
          <w:szCs w:val="20"/>
          <w:lang w:val="es-CO"/>
        </w:rPr>
        <w:t xml:space="preserve">debía ser resuelta por el </w:t>
      </w:r>
      <w:r w:rsidR="00F500C2">
        <w:rPr>
          <w:rFonts w:ascii="Cambria" w:hAnsi="Cambria"/>
          <w:sz w:val="20"/>
          <w:szCs w:val="20"/>
          <w:lang w:val="es-CO"/>
        </w:rPr>
        <w:t xml:space="preserve">nuevo </w:t>
      </w:r>
      <w:r w:rsidR="00ED47E1">
        <w:rPr>
          <w:rFonts w:ascii="Cambria" w:hAnsi="Cambria"/>
          <w:sz w:val="20"/>
          <w:szCs w:val="20"/>
          <w:lang w:val="es-CO"/>
        </w:rPr>
        <w:t>Tribunal Constitucional designado</w:t>
      </w:r>
      <w:r w:rsidR="00F500C2">
        <w:rPr>
          <w:rFonts w:ascii="Cambria" w:hAnsi="Cambria"/>
          <w:sz w:val="20"/>
          <w:szCs w:val="20"/>
          <w:lang w:val="es-CO"/>
        </w:rPr>
        <w:t xml:space="preserve"> precisamente como con</w:t>
      </w:r>
      <w:r w:rsidR="003E28E7">
        <w:rPr>
          <w:rFonts w:ascii="Cambria" w:hAnsi="Cambria"/>
          <w:sz w:val="20"/>
          <w:szCs w:val="20"/>
          <w:lang w:val="es-CO"/>
        </w:rPr>
        <w:t>secuencia de la Resolución</w:t>
      </w:r>
      <w:r w:rsidR="00F500C2">
        <w:rPr>
          <w:rFonts w:ascii="Cambria" w:hAnsi="Cambria"/>
          <w:sz w:val="20"/>
          <w:szCs w:val="20"/>
          <w:lang w:val="es-CO"/>
        </w:rPr>
        <w:t xml:space="preserve"> 25-060</w:t>
      </w:r>
      <w:r w:rsidR="00ED47E1">
        <w:rPr>
          <w:rFonts w:ascii="Cambria" w:hAnsi="Cambria"/>
          <w:sz w:val="20"/>
          <w:szCs w:val="20"/>
          <w:lang w:val="es-CO"/>
        </w:rPr>
        <w:t xml:space="preserve">, haciendo nula toda posibilidad de una decisión </w:t>
      </w:r>
      <w:r w:rsidR="00D5796C">
        <w:rPr>
          <w:rFonts w:ascii="Cambria" w:hAnsi="Cambria"/>
          <w:sz w:val="20"/>
          <w:szCs w:val="20"/>
          <w:lang w:val="es-CO"/>
        </w:rPr>
        <w:t xml:space="preserve">imparcial y </w:t>
      </w:r>
      <w:r w:rsidR="00ED47E1">
        <w:rPr>
          <w:rFonts w:ascii="Cambria" w:hAnsi="Cambria"/>
          <w:sz w:val="20"/>
          <w:szCs w:val="20"/>
          <w:lang w:val="es-CO"/>
        </w:rPr>
        <w:t xml:space="preserve">efectiva, porque ello implicaría </w:t>
      </w:r>
      <w:r w:rsidR="00D5796C">
        <w:rPr>
          <w:rFonts w:ascii="Cambria" w:hAnsi="Cambria"/>
          <w:sz w:val="20"/>
          <w:szCs w:val="20"/>
          <w:lang w:val="es-CO"/>
        </w:rPr>
        <w:t>determinar la constitucionalidad del acto que permitió su propio nombramiento</w:t>
      </w:r>
      <w:r w:rsidR="003A5091">
        <w:rPr>
          <w:rStyle w:val="FootnoteReference"/>
          <w:rFonts w:ascii="Cambria" w:hAnsi="Cambria"/>
          <w:sz w:val="20"/>
          <w:szCs w:val="20"/>
          <w:lang w:val="es-CO"/>
        </w:rPr>
        <w:footnoteReference w:id="44"/>
      </w:r>
      <w:r w:rsidR="00ED47E1">
        <w:rPr>
          <w:rFonts w:ascii="Cambria" w:hAnsi="Cambria"/>
          <w:sz w:val="20"/>
          <w:szCs w:val="20"/>
          <w:lang w:val="es-CO"/>
        </w:rPr>
        <w:t>.</w:t>
      </w:r>
    </w:p>
    <w:p w14:paraId="21777395" w14:textId="77777777" w:rsidR="00A4174E" w:rsidRPr="00176469" w:rsidRDefault="00A4174E" w:rsidP="00176469">
      <w:pPr>
        <w:rPr>
          <w:sz w:val="20"/>
          <w:szCs w:val="20"/>
          <w:lang w:val="es-CO"/>
        </w:rPr>
      </w:pPr>
    </w:p>
    <w:p w14:paraId="7E99E8FA" w14:textId="2BF2F7A4" w:rsidR="00592E86" w:rsidRDefault="00A4174E" w:rsidP="0025056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A4174E">
        <w:rPr>
          <w:rFonts w:ascii="Cambria" w:hAnsi="Cambria"/>
          <w:sz w:val="20"/>
          <w:szCs w:val="20"/>
          <w:lang w:val="es-CO"/>
        </w:rPr>
        <w:t xml:space="preserve">En </w:t>
      </w:r>
      <w:r w:rsidRPr="00A4174E">
        <w:rPr>
          <w:rFonts w:ascii="Cambria" w:hAnsi="Cambria"/>
          <w:sz w:val="20"/>
          <w:szCs w:val="20"/>
          <w:lang w:val="es-US"/>
        </w:rPr>
        <w:t>virtud</w:t>
      </w:r>
      <w:r w:rsidRPr="00A4174E">
        <w:rPr>
          <w:rFonts w:ascii="Cambria" w:hAnsi="Cambria"/>
          <w:sz w:val="20"/>
          <w:szCs w:val="20"/>
          <w:lang w:val="es-CO"/>
        </w:rPr>
        <w:t xml:space="preserve"> de las razones anteriores, </w:t>
      </w:r>
      <w:r w:rsidRPr="00A4174E">
        <w:rPr>
          <w:rFonts w:ascii="Cambria" w:hAnsi="Cambria"/>
          <w:sz w:val="20"/>
          <w:szCs w:val="20"/>
          <w:lang w:val="es-CL"/>
        </w:rPr>
        <w:t xml:space="preserve">la Comisión concluye que el Estado ecuatoriano violó los artículos 8.2 h) y 25.1 de la Convención Americana en relación con las obligaciones establecidas en el artículo 1.1 y 2 del mismo instrumento, en perjuicio de </w:t>
      </w:r>
      <w:r>
        <w:rPr>
          <w:rFonts w:ascii="Cambria" w:hAnsi="Cambria"/>
          <w:sz w:val="20"/>
          <w:szCs w:val="20"/>
          <w:lang w:val="es-CL"/>
        </w:rPr>
        <w:t>Carlos Julio Aguinaga Aillón.</w:t>
      </w:r>
    </w:p>
    <w:p w14:paraId="718BB474" w14:textId="77777777" w:rsidR="00250560" w:rsidRPr="00250560" w:rsidRDefault="00250560" w:rsidP="002505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CO"/>
        </w:rPr>
      </w:pPr>
    </w:p>
    <w:p w14:paraId="1796CD3D" w14:textId="77777777" w:rsidR="00A610DA" w:rsidRPr="00A610DA" w:rsidRDefault="00A610DA" w:rsidP="00250560">
      <w:pPr>
        <w:pStyle w:val="Heading1"/>
        <w:spacing w:before="0"/>
        <w:ind w:firstLine="0"/>
        <w:jc w:val="both"/>
        <w:rPr>
          <w:rFonts w:ascii="Cambria" w:hAnsi="Cambria"/>
          <w:color w:val="auto"/>
          <w:sz w:val="20"/>
          <w:szCs w:val="20"/>
          <w:lang w:val="es-VE"/>
        </w:rPr>
      </w:pPr>
      <w:bookmarkStart w:id="35" w:name="_Toc477355364"/>
      <w:bookmarkStart w:id="36" w:name="_Toc480897210"/>
      <w:bookmarkStart w:id="37" w:name="_Toc516682008"/>
      <w:r w:rsidRPr="00A610DA">
        <w:rPr>
          <w:rFonts w:ascii="Cambria" w:hAnsi="Cambria"/>
          <w:color w:val="auto"/>
          <w:sz w:val="20"/>
          <w:szCs w:val="20"/>
          <w:lang w:val="es-VE"/>
        </w:rPr>
        <w:t>CONCLUSIONES</w:t>
      </w:r>
      <w:bookmarkEnd w:id="35"/>
      <w:bookmarkEnd w:id="36"/>
      <w:r w:rsidR="00671D71">
        <w:rPr>
          <w:rFonts w:ascii="Cambria" w:hAnsi="Cambria"/>
          <w:color w:val="auto"/>
          <w:sz w:val="20"/>
          <w:szCs w:val="20"/>
          <w:lang w:val="es-VE"/>
        </w:rPr>
        <w:t xml:space="preserve"> Y RECOMENDACIONES</w:t>
      </w:r>
      <w:bookmarkEnd w:id="37"/>
      <w:r w:rsidR="00671D71">
        <w:rPr>
          <w:rFonts w:ascii="Cambria" w:hAnsi="Cambria"/>
          <w:color w:val="auto"/>
          <w:sz w:val="20"/>
          <w:szCs w:val="20"/>
          <w:lang w:val="es-VE"/>
        </w:rPr>
        <w:t xml:space="preserve"> </w:t>
      </w:r>
    </w:p>
    <w:p w14:paraId="0F4C63D2" w14:textId="77777777" w:rsidR="00A610DA" w:rsidRPr="00A610DA" w:rsidRDefault="00A610DA" w:rsidP="00A610DA">
      <w:pPr>
        <w:ind w:left="720"/>
        <w:jc w:val="both"/>
        <w:rPr>
          <w:rFonts w:ascii="Cambria" w:eastAsia="Times New Roman" w:hAnsi="Cambria"/>
          <w:sz w:val="20"/>
          <w:szCs w:val="20"/>
          <w:lang w:val="es-AR"/>
        </w:rPr>
      </w:pPr>
    </w:p>
    <w:p w14:paraId="009E2DC9" w14:textId="425D3495" w:rsidR="00A610DA" w:rsidRPr="00B6518A" w:rsidRDefault="00A610DA" w:rsidP="00B6518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VE"/>
        </w:rPr>
      </w:pPr>
      <w:r w:rsidRPr="00A610DA">
        <w:rPr>
          <w:rFonts w:ascii="Cambria" w:eastAsia="Times New Roman" w:hAnsi="Cambria"/>
          <w:sz w:val="20"/>
          <w:szCs w:val="20"/>
          <w:lang w:val="es-CL" w:eastAsia="es-ES"/>
        </w:rPr>
        <w:t xml:space="preserve">La Comisión concluye que el Estado ecuatoriano es responsable por la violación del derecho  </w:t>
      </w:r>
      <w:r w:rsidRPr="00A610DA">
        <w:rPr>
          <w:rFonts w:ascii="Cambria" w:hAnsi="Cambria" w:cs="Arial"/>
          <w:sz w:val="20"/>
          <w:szCs w:val="20"/>
          <w:lang w:val="es-MX"/>
        </w:rPr>
        <w:t xml:space="preserve">a las garantías judiciales, al principio de legalidad y a la protección judicial, </w:t>
      </w:r>
      <w:r w:rsidRPr="00A610DA">
        <w:rPr>
          <w:rFonts w:ascii="Cambria" w:hAnsi="Cambria"/>
          <w:sz w:val="20"/>
          <w:szCs w:val="20"/>
          <w:lang w:val="es-MX"/>
        </w:rPr>
        <w:t>consagrados</w:t>
      </w:r>
      <w:r w:rsidRPr="00A610DA">
        <w:rPr>
          <w:rFonts w:ascii="Cambria" w:hAnsi="Cambria" w:cs="Arial"/>
          <w:sz w:val="20"/>
          <w:szCs w:val="20"/>
          <w:lang w:val="es-MX"/>
        </w:rPr>
        <w:t xml:space="preserve"> en los artículos 8</w:t>
      </w:r>
      <w:r w:rsidR="00B6518A">
        <w:rPr>
          <w:rFonts w:ascii="Cambria" w:hAnsi="Cambria" w:cs="Arial"/>
          <w:sz w:val="20"/>
          <w:szCs w:val="20"/>
          <w:lang w:val="es-MX"/>
        </w:rPr>
        <w:t xml:space="preserve">.1, 8.2 b), 8.2 c), 8.2 h), </w:t>
      </w:r>
      <w:r w:rsidRPr="00A610DA">
        <w:rPr>
          <w:rFonts w:ascii="Cambria" w:hAnsi="Cambria" w:cs="Arial"/>
          <w:sz w:val="20"/>
          <w:szCs w:val="20"/>
          <w:lang w:val="es-MX"/>
        </w:rPr>
        <w:t xml:space="preserve"> 9</w:t>
      </w:r>
      <w:r w:rsidR="00CB4272">
        <w:rPr>
          <w:rFonts w:ascii="Cambria" w:hAnsi="Cambria" w:cs="Arial"/>
          <w:sz w:val="20"/>
          <w:szCs w:val="20"/>
          <w:lang w:val="es-MX"/>
        </w:rPr>
        <w:t xml:space="preserve"> </w:t>
      </w:r>
      <w:r w:rsidRPr="00A610DA">
        <w:rPr>
          <w:rFonts w:ascii="Cambria" w:hAnsi="Cambria" w:cs="Arial"/>
          <w:sz w:val="20"/>
          <w:szCs w:val="20"/>
          <w:lang w:val="es-MX"/>
        </w:rPr>
        <w:t xml:space="preserve"> y 25</w:t>
      </w:r>
      <w:r w:rsidR="00B6518A">
        <w:rPr>
          <w:rFonts w:ascii="Cambria" w:hAnsi="Cambria" w:cs="Arial"/>
          <w:sz w:val="20"/>
          <w:szCs w:val="20"/>
          <w:lang w:val="es-MX"/>
        </w:rPr>
        <w:t>.1</w:t>
      </w:r>
      <w:r w:rsidRPr="00A610DA">
        <w:rPr>
          <w:rFonts w:ascii="Cambria" w:hAnsi="Cambria" w:cs="Arial"/>
          <w:sz w:val="20"/>
          <w:szCs w:val="20"/>
          <w:lang w:val="es-MX"/>
        </w:rPr>
        <w:t xml:space="preserve"> de la Convención Americana, en relación con las obligaciones establecidas en los artículos 1.1 y 2 del mismo instrumento, en perjuicio de Carlos Julio Aguinaga Aillón.</w:t>
      </w:r>
    </w:p>
    <w:p w14:paraId="4F4F17DD" w14:textId="77777777" w:rsidR="00B6518A" w:rsidRDefault="00B6518A" w:rsidP="00B651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VE"/>
        </w:rPr>
      </w:pPr>
    </w:p>
    <w:p w14:paraId="6688B4B8" w14:textId="77777777" w:rsidR="00C16812" w:rsidRDefault="00C16812" w:rsidP="00B651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VE"/>
        </w:rPr>
      </w:pPr>
    </w:p>
    <w:p w14:paraId="28535AB2" w14:textId="77777777" w:rsidR="00B6518A" w:rsidRDefault="00B6518A" w:rsidP="00B6518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VE"/>
        </w:rPr>
      </w:pPr>
      <w:r>
        <w:rPr>
          <w:rFonts w:ascii="Cambria" w:hAnsi="Cambria" w:cs="Verdana"/>
          <w:sz w:val="20"/>
          <w:szCs w:val="20"/>
          <w:lang w:val="es-VE"/>
        </w:rPr>
        <w:t>Con fundamento en el análisis y las conclusiones del presente informe,</w:t>
      </w:r>
    </w:p>
    <w:p w14:paraId="20CB22B4" w14:textId="77777777" w:rsidR="00B6518A" w:rsidRDefault="00B6518A" w:rsidP="00B6518A">
      <w:pPr>
        <w:pStyle w:val="ListParagraph"/>
        <w:rPr>
          <w:b/>
          <w:sz w:val="20"/>
          <w:szCs w:val="20"/>
          <w:lang w:val="es-ES_tradnl"/>
        </w:rPr>
      </w:pPr>
    </w:p>
    <w:p w14:paraId="2BFF042C" w14:textId="77777777" w:rsidR="00322E09" w:rsidRPr="00B6518A" w:rsidRDefault="00322E09" w:rsidP="00B6518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VE"/>
        </w:rPr>
      </w:pPr>
      <w:r w:rsidRPr="00B6518A">
        <w:rPr>
          <w:rFonts w:ascii="Cambria" w:hAnsi="Cambria"/>
          <w:b/>
          <w:sz w:val="20"/>
          <w:szCs w:val="20"/>
          <w:lang w:val="es-ES_tradnl"/>
        </w:rPr>
        <w:t>LA COMISIÓN INTERAMERICANA DE DERECHOS HUMANOS,</w:t>
      </w:r>
      <w:r w:rsidR="00242A9A" w:rsidRPr="00B6518A">
        <w:rPr>
          <w:rFonts w:ascii="Cambria" w:hAnsi="Cambria"/>
          <w:b/>
          <w:sz w:val="20"/>
          <w:szCs w:val="20"/>
          <w:lang w:val="es-ES_tradnl"/>
        </w:rPr>
        <w:t xml:space="preserve"> RECOMIENDA AL ESTADO DE</w:t>
      </w:r>
      <w:r w:rsidR="00586A63" w:rsidRPr="00B6518A">
        <w:rPr>
          <w:rFonts w:ascii="Cambria" w:hAnsi="Cambria"/>
          <w:b/>
          <w:sz w:val="20"/>
          <w:szCs w:val="20"/>
          <w:lang w:val="es-ES_tradnl"/>
        </w:rPr>
        <w:t xml:space="preserve"> ECUADOR</w:t>
      </w:r>
      <w:r w:rsidRPr="00B6518A">
        <w:rPr>
          <w:rFonts w:ascii="Cambria" w:hAnsi="Cambria"/>
          <w:b/>
          <w:sz w:val="20"/>
          <w:szCs w:val="20"/>
          <w:lang w:val="es-ES_tradnl"/>
        </w:rPr>
        <w:t>,</w:t>
      </w:r>
    </w:p>
    <w:p w14:paraId="714FC8F9" w14:textId="77777777" w:rsidR="00322E09" w:rsidRPr="00CB025A" w:rsidRDefault="00322E09" w:rsidP="00322E09">
      <w:pPr>
        <w:ind w:firstLine="720"/>
        <w:jc w:val="both"/>
        <w:rPr>
          <w:rFonts w:ascii="Cambria" w:hAnsi="Cambria"/>
          <w:b/>
          <w:sz w:val="20"/>
          <w:szCs w:val="20"/>
          <w:lang w:val="es-ES_tradnl"/>
        </w:rPr>
      </w:pPr>
    </w:p>
    <w:p w14:paraId="1CDDF31E" w14:textId="77777777" w:rsidR="00322E09" w:rsidRPr="00601FEF" w:rsidRDefault="00322E09" w:rsidP="00601F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15"/>
          <w:szCs w:val="15"/>
          <w:bdr w:val="none" w:sz="0" w:space="0" w:color="auto"/>
          <w:lang w:val="es-US"/>
        </w:rPr>
      </w:pPr>
      <w:r w:rsidRPr="00CB025A">
        <w:rPr>
          <w:rFonts w:ascii="Helvetica" w:eastAsia="Times New Roman" w:hAnsi="Helvetica"/>
          <w:color w:val="666666"/>
          <w:sz w:val="15"/>
          <w:szCs w:val="15"/>
          <w:bdr w:val="none" w:sz="0" w:space="0" w:color="auto"/>
          <w:lang w:val="es-US"/>
        </w:rPr>
        <w:t> </w:t>
      </w:r>
    </w:p>
    <w:p w14:paraId="09C486B7" w14:textId="72AF71F9" w:rsidR="00B6518A" w:rsidRPr="00B6518A" w:rsidRDefault="00586A63" w:rsidP="00B6518A">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lang w:val="es-CO"/>
        </w:rPr>
      </w:pPr>
      <w:r w:rsidRPr="00B6518A">
        <w:rPr>
          <w:spacing w:val="-2"/>
          <w:sz w:val="20"/>
          <w:szCs w:val="20"/>
          <w:lang w:val="es-CO"/>
        </w:rPr>
        <w:t>Reincorporar a</w:t>
      </w:r>
      <w:r w:rsidR="00155471">
        <w:rPr>
          <w:spacing w:val="-2"/>
          <w:sz w:val="20"/>
          <w:szCs w:val="20"/>
          <w:lang w:val="es-CO"/>
        </w:rPr>
        <w:t xml:space="preserve"> Carlos Julio Aguinaga Aillón </w:t>
      </w:r>
      <w:r w:rsidR="00BC0445" w:rsidRPr="00B6518A">
        <w:rPr>
          <w:spacing w:val="-2"/>
          <w:sz w:val="20"/>
          <w:szCs w:val="20"/>
          <w:lang w:val="es-CO"/>
        </w:rPr>
        <w:t>en un c</w:t>
      </w:r>
      <w:r w:rsidRPr="00B6518A">
        <w:rPr>
          <w:spacing w:val="-2"/>
          <w:sz w:val="20"/>
          <w:szCs w:val="20"/>
          <w:lang w:val="es-CO"/>
        </w:rPr>
        <w:t>argo similar al que desempeñaba</w:t>
      </w:r>
      <w:r w:rsidR="00BC0445" w:rsidRPr="00B6518A">
        <w:rPr>
          <w:spacing w:val="-2"/>
          <w:sz w:val="20"/>
          <w:szCs w:val="20"/>
          <w:lang w:val="es-CO"/>
        </w:rPr>
        <w:t>, con la misma remuneración, beneficios sociales y rango equiparables a los que les corresponde</w:t>
      </w:r>
      <w:r w:rsidRPr="00B6518A">
        <w:rPr>
          <w:spacing w:val="-2"/>
          <w:sz w:val="20"/>
          <w:szCs w:val="20"/>
          <w:lang w:val="es-CO"/>
        </w:rPr>
        <w:t>ría el día de hoy si no hubiera sido cesado</w:t>
      </w:r>
      <w:r w:rsidR="00BC0445" w:rsidRPr="00B6518A">
        <w:rPr>
          <w:spacing w:val="-2"/>
          <w:sz w:val="20"/>
          <w:szCs w:val="20"/>
          <w:lang w:val="es-CO"/>
        </w:rPr>
        <w:t>, por el plazo de tiempo que qu</w:t>
      </w:r>
      <w:r w:rsidR="00B6518A">
        <w:rPr>
          <w:spacing w:val="-2"/>
          <w:sz w:val="20"/>
          <w:szCs w:val="20"/>
          <w:lang w:val="es-CO"/>
        </w:rPr>
        <w:t xml:space="preserve">edaba pendiente de su mandato. Si por razones objetivas y fundadas no es posible la reincorporación, pagar una indemnización alternativa. </w:t>
      </w:r>
    </w:p>
    <w:p w14:paraId="5370D287" w14:textId="77777777" w:rsidR="00B6518A" w:rsidRPr="00B6518A" w:rsidRDefault="00B6518A" w:rsidP="00B6518A">
      <w:pPr>
        <w:pStyle w:val="ListParagraph"/>
        <w:rPr>
          <w:spacing w:val="-2"/>
          <w:sz w:val="20"/>
          <w:szCs w:val="20"/>
          <w:lang w:val="es-CO"/>
        </w:rPr>
      </w:pPr>
    </w:p>
    <w:p w14:paraId="2A4959CA" w14:textId="51370F2F" w:rsidR="00B6518A" w:rsidRPr="00B6518A" w:rsidRDefault="00B6518A" w:rsidP="00B6518A">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pacing w:val="-2"/>
          <w:sz w:val="20"/>
          <w:szCs w:val="20"/>
          <w:lang w:val="es-CO"/>
        </w:rPr>
      </w:pPr>
      <w:r>
        <w:rPr>
          <w:spacing w:val="-2"/>
          <w:sz w:val="20"/>
          <w:szCs w:val="20"/>
          <w:lang w:val="es-CO"/>
        </w:rPr>
        <w:t xml:space="preserve">Reparar integralmente las consecuencias de las violaciones declaradas en el presente informe, incluyendo </w:t>
      </w:r>
      <w:r w:rsidR="00D43927">
        <w:rPr>
          <w:spacing w:val="-2"/>
          <w:sz w:val="20"/>
          <w:szCs w:val="20"/>
          <w:lang w:val="es-CO"/>
        </w:rPr>
        <w:t xml:space="preserve">las medidas de compensación y satisfacción necesarias respecto el </w:t>
      </w:r>
      <w:r>
        <w:rPr>
          <w:spacing w:val="-2"/>
          <w:sz w:val="20"/>
          <w:szCs w:val="20"/>
          <w:lang w:val="es-CO"/>
        </w:rPr>
        <w:t xml:space="preserve">daño material </w:t>
      </w:r>
      <w:r w:rsidR="00D43927">
        <w:rPr>
          <w:spacing w:val="-2"/>
          <w:sz w:val="20"/>
          <w:szCs w:val="20"/>
          <w:lang w:val="es-CO"/>
        </w:rPr>
        <w:t xml:space="preserve">e inmaterial sufrido por la víctima. </w:t>
      </w:r>
    </w:p>
    <w:p w14:paraId="6ECE5C33" w14:textId="33CE8E2D" w:rsidR="00C16812" w:rsidRDefault="00C16812" w:rsidP="00C16812">
      <w:pPr>
        <w:pStyle w:val="BodyTextIndent3"/>
        <w:tabs>
          <w:tab w:val="left" w:pos="1440"/>
          <w:tab w:val="left" w:pos="8640"/>
        </w:tabs>
        <w:ind w:left="0"/>
        <w:jc w:val="both"/>
        <w:rPr>
          <w:rFonts w:eastAsia="Times New Roman"/>
          <w:sz w:val="20"/>
          <w:szCs w:val="20"/>
          <w:lang w:val="es-ES"/>
        </w:rPr>
      </w:pPr>
    </w:p>
    <w:p w14:paraId="7DB3F800" w14:textId="77777777" w:rsidR="00C16812" w:rsidRDefault="00C16812" w:rsidP="00C16812">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Boulder, Colorado, a los 5 días del mes de octubre de 2018.  (Firmado): Margarette May Macaulay, Presidenta; Esmeralda Arosemena de Troitiño, Primera Vicepresidenta; Francisco José Eguiguren Praeli; Joel Hernández García, Antonia Urrejola y Flavia Piovesan, Miembros de la Comisión.</w:t>
      </w:r>
      <w:r>
        <w:rPr>
          <w:rFonts w:ascii="Cambria" w:hAnsi="Cambria"/>
          <w:sz w:val="20"/>
          <w:szCs w:val="20"/>
          <w:lang w:val="es-CL"/>
        </w:rPr>
        <w:t xml:space="preserve"> </w:t>
      </w:r>
    </w:p>
    <w:p w14:paraId="7C3E125B" w14:textId="77777777" w:rsidR="00C16812" w:rsidRDefault="00C16812" w:rsidP="00C16812">
      <w:pPr>
        <w:ind w:firstLine="720"/>
        <w:jc w:val="both"/>
        <w:rPr>
          <w:rFonts w:ascii="Cambria" w:hAnsi="Cambria"/>
          <w:spacing w:val="-2"/>
          <w:sz w:val="20"/>
          <w:szCs w:val="20"/>
          <w:lang w:val="es-CL"/>
        </w:rPr>
      </w:pPr>
    </w:p>
    <w:p w14:paraId="6A38AC40" w14:textId="77777777" w:rsidR="00C16812" w:rsidRDefault="00C16812" w:rsidP="00C16812">
      <w:pPr>
        <w:ind w:firstLine="720"/>
        <w:jc w:val="both"/>
        <w:rPr>
          <w:rFonts w:ascii="Cambria" w:hAnsi="Cambria"/>
          <w:sz w:val="20"/>
          <w:szCs w:val="20"/>
          <w:lang w:val="es-CL"/>
        </w:rPr>
      </w:pPr>
      <w:r>
        <w:rPr>
          <w:rFonts w:ascii="Cambria" w:hAnsi="Cambria"/>
          <w:sz w:val="20"/>
          <w:szCs w:val="20"/>
          <w:lang w:val="es-CL"/>
        </w:rPr>
        <w:t xml:space="preserve">El que suscribe, </w:t>
      </w:r>
      <w:r w:rsidRPr="00C16812">
        <w:rPr>
          <w:rFonts w:ascii="Cambria" w:hAnsi="Cambria" w:cs="Arial"/>
          <w:sz w:val="20"/>
          <w:szCs w:val="20"/>
          <w:lang w:val="es-PE"/>
        </w:rPr>
        <w:t>Mario López-Garelli</w:t>
      </w:r>
      <w:r>
        <w:rPr>
          <w:rFonts w:ascii="Cambria" w:hAnsi="Cambria"/>
          <w:sz w:val="20"/>
          <w:szCs w:val="20"/>
          <w:lang w:val="es-CL"/>
        </w:rPr>
        <w:t>, por autorización del Secretario Ejecutivo de la Comisión Interamericana de Derechos Humanos, de conformidad con el artículo 49 del Reglamento de la Comisión, certifica que es copia fiel del original depositado en los archivos de la Secretaría de la CIDH.</w:t>
      </w:r>
    </w:p>
    <w:p w14:paraId="1B34F662" w14:textId="77777777" w:rsidR="00C16812" w:rsidRDefault="00C16812" w:rsidP="00C16812">
      <w:pPr>
        <w:rPr>
          <w:rFonts w:ascii="Cambria" w:hAnsi="Cambria"/>
          <w:sz w:val="20"/>
          <w:szCs w:val="20"/>
          <w:lang w:val="es-CL"/>
        </w:rPr>
      </w:pPr>
    </w:p>
    <w:p w14:paraId="2EB7A3E7" w14:textId="77777777" w:rsidR="003828B0" w:rsidRDefault="003828B0" w:rsidP="00C16812">
      <w:pPr>
        <w:rPr>
          <w:rFonts w:ascii="Cambria" w:hAnsi="Cambria"/>
          <w:sz w:val="20"/>
          <w:szCs w:val="20"/>
          <w:lang w:val="es-CL"/>
        </w:rPr>
      </w:pPr>
    </w:p>
    <w:p w14:paraId="56179761" w14:textId="77777777" w:rsidR="003828B0" w:rsidRDefault="003828B0" w:rsidP="00C16812">
      <w:pPr>
        <w:rPr>
          <w:rFonts w:ascii="Cambria" w:hAnsi="Cambria"/>
          <w:sz w:val="20"/>
          <w:szCs w:val="20"/>
          <w:lang w:val="es-CL"/>
        </w:rPr>
      </w:pPr>
    </w:p>
    <w:p w14:paraId="6217427F" w14:textId="77777777" w:rsidR="003828B0" w:rsidRDefault="003828B0" w:rsidP="00C16812">
      <w:pPr>
        <w:rPr>
          <w:rFonts w:ascii="Cambria" w:hAnsi="Cambria"/>
          <w:sz w:val="20"/>
          <w:szCs w:val="20"/>
          <w:lang w:val="es-CL"/>
        </w:rPr>
      </w:pPr>
    </w:p>
    <w:p w14:paraId="315EEF4F" w14:textId="77777777" w:rsidR="003828B0" w:rsidRPr="003828B0" w:rsidRDefault="003828B0" w:rsidP="00C16812">
      <w:pPr>
        <w:rPr>
          <w:rFonts w:ascii="Cambria" w:hAnsi="Cambria"/>
          <w:sz w:val="20"/>
          <w:szCs w:val="20"/>
          <w:lang w:val="es-CL"/>
        </w:rPr>
      </w:pPr>
    </w:p>
    <w:p w14:paraId="59DCCCFD" w14:textId="77777777" w:rsidR="00C16812" w:rsidRPr="00C16812" w:rsidRDefault="00C16812" w:rsidP="00C16812">
      <w:pPr>
        <w:ind w:left="2160" w:firstLine="720"/>
        <w:jc w:val="center"/>
        <w:rPr>
          <w:rFonts w:ascii="Cambria" w:hAnsi="Cambria"/>
          <w:sz w:val="20"/>
          <w:szCs w:val="20"/>
          <w:lang w:val="es-PE"/>
        </w:rPr>
      </w:pPr>
      <w:r w:rsidRPr="00C16812">
        <w:rPr>
          <w:rFonts w:ascii="Cambria" w:hAnsi="Cambria" w:cs="Arial"/>
          <w:sz w:val="20"/>
          <w:szCs w:val="20"/>
          <w:lang w:val="es-PE"/>
        </w:rPr>
        <w:t>Mario López-Garelli</w:t>
      </w:r>
    </w:p>
    <w:p w14:paraId="06B0F961" w14:textId="77777777" w:rsidR="00C16812" w:rsidRPr="00C16812" w:rsidRDefault="00C16812" w:rsidP="00C16812">
      <w:pPr>
        <w:ind w:left="2160" w:firstLine="720"/>
        <w:jc w:val="center"/>
        <w:rPr>
          <w:rFonts w:ascii="Cambria" w:hAnsi="Cambria"/>
          <w:sz w:val="20"/>
          <w:szCs w:val="20"/>
          <w:lang w:val="es-PE"/>
        </w:rPr>
      </w:pPr>
      <w:r>
        <w:rPr>
          <w:rFonts w:ascii="Cambria" w:hAnsi="Cambria"/>
          <w:sz w:val="20"/>
          <w:szCs w:val="20"/>
          <w:lang w:val="es-CL"/>
        </w:rPr>
        <w:t>Por autorización del Secretario Ejecutivo</w:t>
      </w:r>
    </w:p>
    <w:p w14:paraId="4E5BAE31" w14:textId="77777777" w:rsidR="00C16812" w:rsidRPr="00C16812" w:rsidRDefault="00C16812" w:rsidP="00C16812">
      <w:pPr>
        <w:jc w:val="both"/>
        <w:rPr>
          <w:rFonts w:ascii="Cambria" w:hAnsi="Cambria"/>
          <w:sz w:val="20"/>
          <w:szCs w:val="20"/>
          <w:lang w:val="es-PE"/>
        </w:rPr>
      </w:pPr>
    </w:p>
    <w:p w14:paraId="2589DA6D" w14:textId="77777777" w:rsidR="00C16812" w:rsidRPr="00C16812" w:rsidRDefault="00C16812" w:rsidP="00C16812">
      <w:pPr>
        <w:pStyle w:val="BodyTextIndent3"/>
        <w:tabs>
          <w:tab w:val="left" w:pos="1440"/>
          <w:tab w:val="left" w:pos="8640"/>
        </w:tabs>
        <w:ind w:left="0"/>
        <w:jc w:val="both"/>
        <w:rPr>
          <w:rFonts w:ascii="Cambria" w:hAnsi="Cambria"/>
          <w:sz w:val="20"/>
          <w:lang w:val="es-PE"/>
        </w:rPr>
      </w:pPr>
    </w:p>
    <w:sectPr w:rsidR="00C16812" w:rsidRPr="00C16812" w:rsidSect="00125DAD">
      <w:type w:val="oddPage"/>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1493" w14:textId="77777777" w:rsidR="000D7A15" w:rsidRDefault="000D7A15" w:rsidP="00610A15">
      <w:r>
        <w:separator/>
      </w:r>
    </w:p>
  </w:endnote>
  <w:endnote w:type="continuationSeparator" w:id="0">
    <w:p w14:paraId="0A2B543D" w14:textId="77777777" w:rsidR="000D7A15" w:rsidRDefault="000D7A15"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D49D7E8" w14:textId="77777777" w:rsidR="000D7A15" w:rsidRPr="00934A2C" w:rsidRDefault="000D7A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F3BE6">
          <w:rPr>
            <w:noProof/>
            <w:sz w:val="16"/>
            <w:szCs w:val="22"/>
          </w:rPr>
          <w:t>14</w:t>
        </w:r>
        <w:r w:rsidRPr="00934A2C">
          <w:rPr>
            <w:noProof/>
            <w:sz w:val="16"/>
            <w:szCs w:val="22"/>
          </w:rPr>
          <w:fldChar w:fldCharType="end"/>
        </w:r>
      </w:p>
    </w:sdtContent>
  </w:sdt>
  <w:p w14:paraId="34ECB1DA" w14:textId="77777777" w:rsidR="000D7A15" w:rsidRDefault="000D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A9D2" w14:textId="77777777" w:rsidR="000D7A15" w:rsidRPr="00934A2C" w:rsidRDefault="000D7A15">
    <w:pPr>
      <w:pStyle w:val="Footer"/>
      <w:jc w:val="center"/>
      <w:rPr>
        <w:sz w:val="16"/>
        <w:szCs w:val="22"/>
      </w:rPr>
    </w:pPr>
  </w:p>
  <w:p w14:paraId="180FAD8A" w14:textId="77777777" w:rsidR="000D7A15" w:rsidRDefault="000D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41E1" w14:textId="77777777" w:rsidR="000D7A15" w:rsidRDefault="000D7A15" w:rsidP="00610A15">
      <w:r>
        <w:separator/>
      </w:r>
    </w:p>
  </w:footnote>
  <w:footnote w:type="continuationSeparator" w:id="0">
    <w:p w14:paraId="53237455" w14:textId="77777777" w:rsidR="000D7A15" w:rsidRDefault="000D7A15" w:rsidP="00610A15">
      <w:r>
        <w:continuationSeparator/>
      </w:r>
    </w:p>
  </w:footnote>
  <w:footnote w:id="1">
    <w:p w14:paraId="2FEE8692" w14:textId="77777777" w:rsidR="000D7A15" w:rsidRPr="00FC019B" w:rsidRDefault="000D7A15" w:rsidP="006E24AF">
      <w:pPr>
        <w:pStyle w:val="FootnoteText"/>
        <w:spacing w:after="120"/>
        <w:jc w:val="both"/>
        <w:rPr>
          <w:rFonts w:ascii="Cambria" w:hAnsi="Cambria"/>
          <w:sz w:val="16"/>
          <w:szCs w:val="16"/>
          <w:lang w:val="es-CO"/>
        </w:rPr>
      </w:pPr>
      <w:r w:rsidRPr="00FC019B">
        <w:rPr>
          <w:rStyle w:val="FootnoteReference"/>
          <w:rFonts w:ascii="Cambria" w:hAnsi="Cambria"/>
          <w:sz w:val="16"/>
          <w:szCs w:val="16"/>
        </w:rPr>
        <w:footnoteRef/>
      </w:r>
      <w:r w:rsidRPr="00FC019B">
        <w:rPr>
          <w:rFonts w:ascii="Cambria" w:hAnsi="Cambria"/>
          <w:sz w:val="16"/>
          <w:szCs w:val="16"/>
          <w:lang w:val="es-CO"/>
        </w:rPr>
        <w:t xml:space="preserve"> </w:t>
      </w:r>
      <w:r>
        <w:rPr>
          <w:rFonts w:ascii="Cambria" w:hAnsi="Cambria"/>
          <w:sz w:val="16"/>
          <w:szCs w:val="16"/>
          <w:lang w:val="es-ES"/>
        </w:rPr>
        <w:t>CIDH.</w:t>
      </w:r>
      <w:r w:rsidRPr="00FC019B">
        <w:rPr>
          <w:rFonts w:ascii="Cambria" w:hAnsi="Cambria"/>
          <w:sz w:val="16"/>
          <w:szCs w:val="16"/>
          <w:lang w:val="es-ES"/>
        </w:rPr>
        <w:t xml:space="preserve"> Informe No. 42/13, </w:t>
      </w:r>
      <w:r>
        <w:rPr>
          <w:rFonts w:ascii="Cambria" w:hAnsi="Cambria"/>
          <w:sz w:val="16"/>
          <w:szCs w:val="16"/>
          <w:lang w:val="es-ES"/>
        </w:rPr>
        <w:t>Caso 12.910</w:t>
      </w:r>
      <w:r w:rsidRPr="00FC019B">
        <w:rPr>
          <w:rFonts w:ascii="Cambria" w:hAnsi="Cambria"/>
          <w:sz w:val="16"/>
          <w:szCs w:val="16"/>
          <w:lang w:val="es-ES"/>
        </w:rPr>
        <w:t>, Carlos Julio Aguinaga Aillón (Vocal del Trib</w:t>
      </w:r>
      <w:r>
        <w:rPr>
          <w:rFonts w:ascii="Cambria" w:hAnsi="Cambria"/>
          <w:sz w:val="16"/>
          <w:szCs w:val="16"/>
          <w:lang w:val="es-ES"/>
        </w:rPr>
        <w:t>unal Supremo Electoral)</w:t>
      </w:r>
      <w:r w:rsidRPr="00FC019B">
        <w:rPr>
          <w:rFonts w:ascii="Cambria" w:hAnsi="Cambria"/>
          <w:sz w:val="16"/>
          <w:szCs w:val="16"/>
          <w:lang w:val="es-ES"/>
        </w:rPr>
        <w:t>, 11 de julio de 2013</w:t>
      </w:r>
      <w:r w:rsidRPr="00FC019B">
        <w:rPr>
          <w:rFonts w:ascii="Cambria" w:hAnsi="Cambria"/>
          <w:sz w:val="16"/>
          <w:szCs w:val="16"/>
          <w:lang w:val="es-CO"/>
        </w:rPr>
        <w:t xml:space="preserve">. En dicho informe la CIDH declaró la petición admisible por la presunta violación de los artículos 8, 9 y 25 en concordancia con el artículo 1.1 de la Convención Americana e inadmisible por la presunta violación de los artículos 11, 23 y 24. </w:t>
      </w:r>
    </w:p>
    <w:p w14:paraId="6CAD55D8" w14:textId="77777777" w:rsidR="000D7A15" w:rsidRPr="00FC019B" w:rsidRDefault="000D7A15" w:rsidP="002D2CC4">
      <w:pPr>
        <w:pStyle w:val="FootnoteText"/>
        <w:ind w:firstLine="720"/>
        <w:rPr>
          <w:rFonts w:ascii="Cambria" w:hAnsi="Cambria"/>
          <w:sz w:val="16"/>
          <w:szCs w:val="16"/>
          <w:lang w:val="es-CO"/>
        </w:rPr>
      </w:pPr>
    </w:p>
    <w:p w14:paraId="50C33242" w14:textId="77777777" w:rsidR="000D7A15" w:rsidRPr="00FC019B" w:rsidRDefault="000D7A15" w:rsidP="002D2CC4">
      <w:pPr>
        <w:pStyle w:val="FootnoteText"/>
        <w:ind w:firstLine="720"/>
        <w:rPr>
          <w:rFonts w:ascii="Cambria" w:hAnsi="Cambria"/>
          <w:sz w:val="16"/>
          <w:szCs w:val="16"/>
          <w:lang w:val="es-CO"/>
        </w:rPr>
      </w:pPr>
    </w:p>
  </w:footnote>
  <w:footnote w:id="2">
    <w:p w14:paraId="6AD1BB90" w14:textId="484E51FE" w:rsidR="000D7A15" w:rsidRPr="00D742C4" w:rsidRDefault="000D7A15" w:rsidP="00995B59">
      <w:pPr>
        <w:pStyle w:val="FootnoteText"/>
        <w:rPr>
          <w:rFonts w:ascii="Cambria" w:hAnsi="Cambria"/>
          <w:sz w:val="16"/>
          <w:szCs w:val="16"/>
          <w:lang w:val="es-VE"/>
        </w:rPr>
      </w:pPr>
      <w:r w:rsidRPr="00D742C4">
        <w:rPr>
          <w:rStyle w:val="FootnoteReference"/>
          <w:rFonts w:ascii="Cambria" w:hAnsi="Cambria"/>
          <w:sz w:val="16"/>
          <w:szCs w:val="16"/>
        </w:rPr>
        <w:footnoteRef/>
      </w:r>
      <w:r w:rsidRPr="00D742C4">
        <w:rPr>
          <w:rFonts w:ascii="Cambria" w:hAnsi="Cambria"/>
          <w:sz w:val="16"/>
          <w:szCs w:val="16"/>
          <w:lang w:val="es-VE"/>
        </w:rPr>
        <w:t xml:space="preserve"> </w:t>
      </w:r>
      <w:r>
        <w:rPr>
          <w:rFonts w:ascii="Cambria" w:hAnsi="Cambria"/>
          <w:sz w:val="16"/>
          <w:szCs w:val="16"/>
          <w:lang w:val="es-VE"/>
        </w:rPr>
        <w:t xml:space="preserve">Corte IDH. Caso del Tribunal Constitucional (Camba Campos y otros) vs. Ecuador. Excepciones Preliminares, Fondo, Reparaciones y Costas. Sentencia de 28 de agosto de 2013. Serie C No. 268, párrs. 40-49 (citas originales omitidas). </w:t>
      </w:r>
    </w:p>
  </w:footnote>
  <w:footnote w:id="3">
    <w:p w14:paraId="273B7C7E" w14:textId="77777777" w:rsidR="000D7A15" w:rsidRPr="00C759E6" w:rsidRDefault="000D7A15" w:rsidP="00C759E6">
      <w:pPr>
        <w:pStyle w:val="FootnoteText"/>
        <w:rPr>
          <w:rFonts w:ascii="Cambria" w:hAnsi="Cambria"/>
          <w:sz w:val="16"/>
          <w:szCs w:val="16"/>
          <w:lang w:val="es-MX"/>
        </w:rPr>
      </w:pPr>
      <w:r w:rsidRPr="00C759E6">
        <w:rPr>
          <w:rStyle w:val="FootnoteReference"/>
          <w:rFonts w:ascii="Cambria" w:hAnsi="Cambria"/>
          <w:sz w:val="16"/>
          <w:szCs w:val="16"/>
        </w:rPr>
        <w:footnoteRef/>
      </w:r>
      <w:r w:rsidRPr="00C759E6">
        <w:rPr>
          <w:rFonts w:ascii="Cambria" w:hAnsi="Cambria"/>
          <w:sz w:val="16"/>
          <w:szCs w:val="16"/>
          <w:lang w:val="es-MX"/>
        </w:rPr>
        <w:t xml:space="preserve"> </w:t>
      </w:r>
      <w:hyperlink r:id="rId1" w:history="1">
        <w:r w:rsidRPr="00C759E6">
          <w:rPr>
            <w:rStyle w:val="Hyperlink"/>
            <w:rFonts w:ascii="Cambria" w:hAnsi="Cambria"/>
            <w:sz w:val="16"/>
            <w:szCs w:val="16"/>
            <w:lang w:val="es-MX"/>
          </w:rPr>
          <w:t>Constitución Política de la República del Ecuador de 1998</w:t>
        </w:r>
      </w:hyperlink>
      <w:r w:rsidRPr="00C759E6">
        <w:rPr>
          <w:rStyle w:val="Hyperlink"/>
          <w:rFonts w:ascii="Cambria" w:hAnsi="Cambria"/>
          <w:sz w:val="16"/>
          <w:szCs w:val="16"/>
          <w:lang w:val="es-MX"/>
        </w:rPr>
        <w:t>.</w:t>
      </w:r>
    </w:p>
  </w:footnote>
  <w:footnote w:id="4">
    <w:p w14:paraId="3023C5D1" w14:textId="466C2B49" w:rsidR="000D7A15" w:rsidRPr="00AC4D9B" w:rsidRDefault="000D7A15" w:rsidP="00E972A7">
      <w:pPr>
        <w:pStyle w:val="FootnoteText"/>
        <w:jc w:val="both"/>
        <w:rPr>
          <w:rFonts w:ascii="Cambria" w:hAnsi="Cambria"/>
          <w:sz w:val="16"/>
          <w:szCs w:val="16"/>
          <w:lang w:val="es-VE"/>
        </w:rPr>
      </w:pPr>
      <w:r w:rsidRPr="00AC4D9B">
        <w:rPr>
          <w:rStyle w:val="FootnoteReference"/>
          <w:rFonts w:ascii="Cambria" w:hAnsi="Cambria"/>
          <w:sz w:val="16"/>
          <w:szCs w:val="16"/>
        </w:rPr>
        <w:footnoteRef/>
      </w:r>
      <w:r w:rsidRPr="00AC4D9B">
        <w:rPr>
          <w:rFonts w:ascii="Cambria" w:hAnsi="Cambria"/>
          <w:sz w:val="16"/>
          <w:szCs w:val="16"/>
          <w:lang w:val="es-VE"/>
        </w:rPr>
        <w:t xml:space="preserve"> Dicha norma es resultado de una consulta popular </w:t>
      </w:r>
      <w:r>
        <w:rPr>
          <w:rFonts w:ascii="Cambria" w:hAnsi="Cambria"/>
          <w:sz w:val="16"/>
          <w:szCs w:val="16"/>
          <w:lang w:val="es-VE"/>
        </w:rPr>
        <w:t>referida anteriormente en el presente informe</w:t>
      </w:r>
      <w:r w:rsidRPr="00AC4D9B">
        <w:rPr>
          <w:rFonts w:ascii="Cambria" w:hAnsi="Cambria"/>
          <w:sz w:val="16"/>
          <w:szCs w:val="16"/>
          <w:lang w:val="es-VE"/>
        </w:rPr>
        <w:t xml:space="preserve">. Con anterioridad a la reforma el artículo 137 constitucional disponía que el Tribunal Supremo Electoral se constituiría con siete vocales en representación de cada una de las siete listas que hayan obtenido las más altas votaciones a nivel nacional. </w:t>
      </w:r>
    </w:p>
  </w:footnote>
  <w:footnote w:id="5">
    <w:p w14:paraId="6768A6CF" w14:textId="20E45325" w:rsidR="000D7A15" w:rsidRPr="006E0DFF" w:rsidRDefault="000D7A15" w:rsidP="00E972A7">
      <w:pPr>
        <w:pStyle w:val="FootnoteText"/>
        <w:jc w:val="both"/>
        <w:rPr>
          <w:rFonts w:ascii="Cambria" w:hAnsi="Cambria"/>
          <w:sz w:val="16"/>
          <w:szCs w:val="16"/>
          <w:lang w:val="es-MX"/>
        </w:rPr>
      </w:pPr>
      <w:r w:rsidRPr="006E0DFF">
        <w:rPr>
          <w:rStyle w:val="FootnoteReference"/>
          <w:rFonts w:ascii="Cambria" w:hAnsi="Cambria"/>
          <w:sz w:val="16"/>
          <w:szCs w:val="16"/>
        </w:rPr>
        <w:footnoteRef/>
      </w:r>
      <w:r w:rsidRPr="006E0DFF">
        <w:rPr>
          <w:rFonts w:ascii="Cambria" w:hAnsi="Cambria"/>
          <w:sz w:val="16"/>
          <w:szCs w:val="16"/>
          <w:lang w:val="es-ES_tradnl"/>
        </w:rPr>
        <w:t>Anexo</w:t>
      </w:r>
      <w:r w:rsidR="006A6783">
        <w:rPr>
          <w:rFonts w:ascii="Cambria" w:hAnsi="Cambria"/>
          <w:sz w:val="16"/>
          <w:szCs w:val="16"/>
          <w:lang w:val="es-ES_tradnl"/>
        </w:rPr>
        <w:t xml:space="preserve"> 1.</w:t>
      </w:r>
      <w:r w:rsidRPr="006E0DFF">
        <w:rPr>
          <w:rFonts w:ascii="Cambria" w:hAnsi="Cambria"/>
          <w:sz w:val="16"/>
          <w:szCs w:val="16"/>
          <w:lang w:val="es-ES_tradnl"/>
        </w:rPr>
        <w:t xml:space="preserve"> </w:t>
      </w:r>
      <w:r>
        <w:rPr>
          <w:rFonts w:ascii="Cambria" w:hAnsi="Cambria"/>
          <w:sz w:val="16"/>
          <w:szCs w:val="16"/>
          <w:lang w:val="es-ES_tradnl"/>
        </w:rPr>
        <w:t>Resolución de designación como V</w:t>
      </w:r>
      <w:r w:rsidRPr="006E0DFF">
        <w:rPr>
          <w:rFonts w:ascii="Cambria" w:hAnsi="Cambria"/>
          <w:sz w:val="16"/>
          <w:szCs w:val="16"/>
          <w:lang w:val="es-ES_tradnl"/>
        </w:rPr>
        <w:t>ocal de 2 de diciembre de 1998.  Ane</w:t>
      </w:r>
      <w:r>
        <w:rPr>
          <w:rFonts w:ascii="Cambria" w:hAnsi="Cambria"/>
          <w:sz w:val="16"/>
          <w:szCs w:val="16"/>
          <w:lang w:val="es-ES_tradnl"/>
        </w:rPr>
        <w:t>xo 1 a la petición inicial recibida el 26</w:t>
      </w:r>
      <w:r w:rsidRPr="006E0DFF">
        <w:rPr>
          <w:rFonts w:ascii="Cambria" w:hAnsi="Cambria"/>
          <w:sz w:val="16"/>
          <w:szCs w:val="16"/>
          <w:lang w:val="es-ES_tradnl"/>
        </w:rPr>
        <w:t xml:space="preserve"> de mayo de 2005, documento 1.</w:t>
      </w:r>
    </w:p>
  </w:footnote>
  <w:footnote w:id="6">
    <w:p w14:paraId="34D442C5" w14:textId="044AAB8E" w:rsidR="000D7A15" w:rsidRPr="006E0DFF" w:rsidRDefault="000D7A15" w:rsidP="00E972A7">
      <w:pPr>
        <w:pStyle w:val="FootnoteText"/>
        <w:jc w:val="both"/>
        <w:rPr>
          <w:rFonts w:ascii="Cambria" w:hAnsi="Cambria"/>
          <w:sz w:val="16"/>
          <w:szCs w:val="16"/>
          <w:lang w:val="es-MX"/>
        </w:rPr>
      </w:pPr>
      <w:r w:rsidRPr="006E0DFF">
        <w:rPr>
          <w:rStyle w:val="FootnoteReference"/>
          <w:rFonts w:ascii="Cambria" w:hAnsi="Cambria"/>
          <w:sz w:val="16"/>
          <w:szCs w:val="16"/>
        </w:rPr>
        <w:footnoteRef/>
      </w:r>
      <w:r>
        <w:rPr>
          <w:rFonts w:ascii="Cambria" w:hAnsi="Cambria"/>
          <w:sz w:val="16"/>
          <w:szCs w:val="16"/>
          <w:lang w:val="es-ES_tradnl"/>
        </w:rPr>
        <w:t xml:space="preserve">Anexo </w:t>
      </w:r>
      <w:r w:rsidR="009A5466">
        <w:rPr>
          <w:rFonts w:ascii="Cambria" w:hAnsi="Cambria"/>
          <w:sz w:val="16"/>
          <w:szCs w:val="16"/>
          <w:lang w:val="es-ES_tradnl"/>
        </w:rPr>
        <w:t>2</w:t>
      </w:r>
      <w:r w:rsidRPr="006E0DFF">
        <w:rPr>
          <w:rFonts w:ascii="Cambria" w:hAnsi="Cambria"/>
          <w:sz w:val="16"/>
          <w:szCs w:val="16"/>
          <w:lang w:val="es-ES_tradnl"/>
        </w:rPr>
        <w:t>. Certificación de 15 de noviembre de 1999. Anex</w:t>
      </w:r>
      <w:r>
        <w:rPr>
          <w:rFonts w:ascii="Cambria" w:hAnsi="Cambria"/>
          <w:sz w:val="16"/>
          <w:szCs w:val="16"/>
          <w:lang w:val="es-ES_tradnl"/>
        </w:rPr>
        <w:t>o 12 a la petición inicial recibida el 26</w:t>
      </w:r>
      <w:r w:rsidRPr="006E0DFF">
        <w:rPr>
          <w:rFonts w:ascii="Cambria" w:hAnsi="Cambria"/>
          <w:sz w:val="16"/>
          <w:szCs w:val="16"/>
          <w:lang w:val="es-ES_tradnl"/>
        </w:rPr>
        <w:t xml:space="preserve"> de mayo de 2005, documento 7.</w:t>
      </w:r>
    </w:p>
  </w:footnote>
  <w:footnote w:id="7">
    <w:p w14:paraId="4E1244CD" w14:textId="572D838D" w:rsidR="000D7A15" w:rsidRPr="00D43691" w:rsidRDefault="000D7A15" w:rsidP="00E972A7">
      <w:pPr>
        <w:pStyle w:val="FootnoteText"/>
        <w:jc w:val="both"/>
        <w:rPr>
          <w:rFonts w:ascii="Cambria" w:hAnsi="Cambria"/>
          <w:sz w:val="16"/>
          <w:szCs w:val="16"/>
          <w:lang w:val="es-MX"/>
        </w:rPr>
      </w:pPr>
      <w:r w:rsidRPr="006E0DFF">
        <w:rPr>
          <w:rStyle w:val="FootnoteReference"/>
          <w:rFonts w:ascii="Cambria" w:hAnsi="Cambria"/>
          <w:sz w:val="16"/>
          <w:szCs w:val="16"/>
        </w:rPr>
        <w:footnoteRef/>
      </w:r>
      <w:r>
        <w:rPr>
          <w:rFonts w:ascii="Cambria" w:hAnsi="Cambria"/>
          <w:sz w:val="16"/>
          <w:szCs w:val="16"/>
          <w:lang w:val="es-ES_tradnl"/>
        </w:rPr>
        <w:t xml:space="preserve">Anexo </w:t>
      </w:r>
      <w:r w:rsidR="009A5466">
        <w:rPr>
          <w:rFonts w:ascii="Cambria" w:hAnsi="Cambria"/>
          <w:sz w:val="16"/>
          <w:szCs w:val="16"/>
          <w:lang w:val="es-ES_tradnl"/>
        </w:rPr>
        <w:t>3</w:t>
      </w:r>
      <w:r w:rsidRPr="00D43691">
        <w:rPr>
          <w:rFonts w:ascii="Cambria" w:hAnsi="Cambria"/>
          <w:sz w:val="16"/>
          <w:szCs w:val="16"/>
          <w:lang w:val="es-ES_tradnl"/>
        </w:rPr>
        <w:t>. Certificación de 1 de febrero de 2001. Anexo</w:t>
      </w:r>
      <w:r>
        <w:rPr>
          <w:rFonts w:ascii="Cambria" w:hAnsi="Cambria"/>
          <w:sz w:val="16"/>
          <w:szCs w:val="16"/>
          <w:lang w:val="es-ES_tradnl"/>
        </w:rPr>
        <w:t xml:space="preserve"> 12 a la petición inicial recibida el 26 </w:t>
      </w:r>
      <w:r w:rsidRPr="00D43691">
        <w:rPr>
          <w:rFonts w:ascii="Cambria" w:hAnsi="Cambria"/>
          <w:sz w:val="16"/>
          <w:szCs w:val="16"/>
          <w:lang w:val="es-ES_tradnl"/>
        </w:rPr>
        <w:t>de mayo de 2005, documento 7.</w:t>
      </w:r>
    </w:p>
  </w:footnote>
  <w:footnote w:id="8">
    <w:p w14:paraId="2DE64005" w14:textId="408E70E6" w:rsidR="000D7A15" w:rsidRPr="00D43691" w:rsidRDefault="000D7A15" w:rsidP="00D43691">
      <w:pPr>
        <w:pStyle w:val="FootnoteText"/>
        <w:jc w:val="both"/>
        <w:rPr>
          <w:lang w:val="es-MX"/>
        </w:rPr>
      </w:pPr>
      <w:r w:rsidRPr="00D43691">
        <w:rPr>
          <w:rStyle w:val="FootnoteReference"/>
          <w:rFonts w:ascii="Cambria" w:hAnsi="Cambria"/>
          <w:sz w:val="16"/>
          <w:szCs w:val="16"/>
        </w:rPr>
        <w:footnoteRef/>
      </w:r>
      <w:r w:rsidR="009A5466">
        <w:rPr>
          <w:rFonts w:ascii="Cambria" w:hAnsi="Cambria"/>
          <w:sz w:val="16"/>
          <w:szCs w:val="16"/>
          <w:lang w:val="es-MX"/>
        </w:rPr>
        <w:t>Anexo  4</w:t>
      </w:r>
      <w:r w:rsidRPr="00D43691">
        <w:rPr>
          <w:rFonts w:ascii="Cambria" w:hAnsi="Cambria"/>
          <w:sz w:val="16"/>
          <w:szCs w:val="16"/>
          <w:lang w:val="es-MX"/>
        </w:rPr>
        <w:t>. Resolución de designación como Vocal de 9 de enero de 2003. Ane</w:t>
      </w:r>
      <w:r>
        <w:rPr>
          <w:rFonts w:ascii="Cambria" w:hAnsi="Cambria"/>
          <w:sz w:val="16"/>
          <w:szCs w:val="16"/>
          <w:lang w:val="es-MX"/>
        </w:rPr>
        <w:t>xo 1 a la petición inicial recibida el 26</w:t>
      </w:r>
      <w:r w:rsidRPr="00D43691">
        <w:rPr>
          <w:rFonts w:ascii="Cambria" w:hAnsi="Cambria"/>
          <w:sz w:val="16"/>
          <w:szCs w:val="16"/>
          <w:lang w:val="es-MX"/>
        </w:rPr>
        <w:t xml:space="preserve"> de mayo de 2005, documento 1.</w:t>
      </w:r>
    </w:p>
  </w:footnote>
  <w:footnote w:id="9">
    <w:p w14:paraId="7532C798" w14:textId="3D532D17" w:rsidR="000D7A15" w:rsidRPr="006E0DFF" w:rsidRDefault="000D7A15" w:rsidP="00E972A7">
      <w:pPr>
        <w:pStyle w:val="FootnoteText"/>
        <w:jc w:val="both"/>
        <w:rPr>
          <w:rFonts w:ascii="Cambria" w:hAnsi="Cambria"/>
          <w:sz w:val="16"/>
          <w:szCs w:val="16"/>
          <w:lang w:val="es-MX"/>
        </w:rPr>
      </w:pPr>
      <w:r w:rsidRPr="006E0DFF">
        <w:rPr>
          <w:rStyle w:val="FootnoteReference"/>
          <w:rFonts w:ascii="Cambria" w:hAnsi="Cambria"/>
          <w:sz w:val="16"/>
          <w:szCs w:val="16"/>
        </w:rPr>
        <w:footnoteRef/>
      </w:r>
      <w:r w:rsidR="009A5466">
        <w:rPr>
          <w:rFonts w:ascii="Cambria" w:hAnsi="Cambria"/>
          <w:sz w:val="16"/>
          <w:szCs w:val="16"/>
          <w:lang w:val="es-ES_tradnl"/>
        </w:rPr>
        <w:t>Anexo  5</w:t>
      </w:r>
      <w:r w:rsidRPr="006E0DFF">
        <w:rPr>
          <w:rFonts w:ascii="Cambria" w:hAnsi="Cambria"/>
          <w:sz w:val="16"/>
          <w:szCs w:val="16"/>
          <w:lang w:val="es-ES_tradnl"/>
        </w:rPr>
        <w:t>. Acta de posesión de 14 de enero de 2003. Ane</w:t>
      </w:r>
      <w:r>
        <w:rPr>
          <w:rFonts w:ascii="Cambria" w:hAnsi="Cambria"/>
          <w:sz w:val="16"/>
          <w:szCs w:val="16"/>
          <w:lang w:val="es-ES_tradnl"/>
        </w:rPr>
        <w:t>xo 1 a la petición inicial recibida el 26</w:t>
      </w:r>
      <w:r w:rsidRPr="006E0DFF">
        <w:rPr>
          <w:rFonts w:ascii="Cambria" w:hAnsi="Cambria"/>
          <w:sz w:val="16"/>
          <w:szCs w:val="16"/>
          <w:lang w:val="es-ES_tradnl"/>
        </w:rPr>
        <w:t xml:space="preserve"> de mayo de 2005, documento 2.</w:t>
      </w:r>
    </w:p>
  </w:footnote>
  <w:footnote w:id="10">
    <w:p w14:paraId="0203C052" w14:textId="7FAC67E5" w:rsidR="000D7A15" w:rsidRPr="00D742C4" w:rsidRDefault="000D7A15" w:rsidP="00013E46">
      <w:pPr>
        <w:pStyle w:val="FootnoteText"/>
        <w:rPr>
          <w:rFonts w:ascii="Cambria" w:hAnsi="Cambria"/>
          <w:sz w:val="16"/>
          <w:szCs w:val="16"/>
          <w:lang w:val="es-VE"/>
        </w:rPr>
      </w:pPr>
      <w:r w:rsidRPr="00D742C4">
        <w:rPr>
          <w:rStyle w:val="FootnoteReference"/>
          <w:rFonts w:ascii="Cambria" w:hAnsi="Cambria"/>
          <w:sz w:val="16"/>
          <w:szCs w:val="16"/>
        </w:rPr>
        <w:footnoteRef/>
      </w:r>
      <w:r w:rsidRPr="00D742C4">
        <w:rPr>
          <w:rFonts w:ascii="Cambria" w:hAnsi="Cambria"/>
          <w:sz w:val="16"/>
          <w:szCs w:val="16"/>
          <w:lang w:val="es-VE"/>
        </w:rPr>
        <w:t xml:space="preserve"> </w:t>
      </w:r>
      <w:r>
        <w:rPr>
          <w:rFonts w:ascii="Cambria" w:hAnsi="Cambria"/>
          <w:sz w:val="16"/>
          <w:szCs w:val="16"/>
          <w:lang w:val="es-VE"/>
        </w:rPr>
        <w:t xml:space="preserve">Corte IDH. Caso del Tribunal Constitucional (Camba Campos y otros) vs. Ecuador. Excepciones Preliminares, Fondo, Reparaciones y Costas. Sentencia de 28 de agosto de 2013. Serie C No. 268, párrs. 55 y 56 (citas originales omitidas). </w:t>
      </w:r>
    </w:p>
  </w:footnote>
  <w:footnote w:id="11">
    <w:p w14:paraId="382012DF" w14:textId="72C83A4D" w:rsidR="000D7A15" w:rsidRPr="00FC019B" w:rsidRDefault="000D7A15" w:rsidP="00B72ECB">
      <w:pPr>
        <w:pStyle w:val="FootnoteText"/>
        <w:jc w:val="both"/>
        <w:rPr>
          <w:rFonts w:ascii="Cambria" w:hAnsi="Cambria"/>
          <w:sz w:val="16"/>
          <w:szCs w:val="16"/>
          <w:lang w:val="es-MX"/>
        </w:rPr>
      </w:pPr>
      <w:r w:rsidRPr="006E0DFF">
        <w:rPr>
          <w:rStyle w:val="FootnoteReference"/>
          <w:rFonts w:ascii="Cambria" w:hAnsi="Cambria"/>
          <w:sz w:val="16"/>
          <w:szCs w:val="16"/>
        </w:rPr>
        <w:footnoteRef/>
      </w:r>
      <w:r w:rsidR="009A5466">
        <w:rPr>
          <w:rFonts w:ascii="Cambria" w:hAnsi="Cambria"/>
          <w:sz w:val="16"/>
          <w:szCs w:val="16"/>
          <w:lang w:val="es-CO"/>
        </w:rPr>
        <w:t xml:space="preserve">  Anexo  6</w:t>
      </w:r>
      <w:r w:rsidRPr="008D37CE">
        <w:rPr>
          <w:rFonts w:ascii="Cambria" w:hAnsi="Cambria"/>
          <w:sz w:val="16"/>
          <w:szCs w:val="16"/>
          <w:lang w:val="es-CO"/>
        </w:rPr>
        <w:t xml:space="preserve">. R-O de 20 de diciembre de 2004. </w:t>
      </w:r>
      <w:r w:rsidRPr="006E0DFF">
        <w:rPr>
          <w:rFonts w:ascii="Cambria" w:hAnsi="Cambria"/>
          <w:sz w:val="16"/>
          <w:szCs w:val="16"/>
          <w:lang w:val="es-ES_tradnl"/>
        </w:rPr>
        <w:t>Anex</w:t>
      </w:r>
      <w:r>
        <w:rPr>
          <w:rFonts w:ascii="Cambria" w:hAnsi="Cambria"/>
          <w:sz w:val="16"/>
          <w:szCs w:val="16"/>
          <w:lang w:val="es-ES_tradnl"/>
        </w:rPr>
        <w:t xml:space="preserve">o 4 a la petición inicial recibida el 26 </w:t>
      </w:r>
      <w:r w:rsidRPr="006E0DFF">
        <w:rPr>
          <w:rFonts w:ascii="Cambria" w:hAnsi="Cambria"/>
          <w:sz w:val="16"/>
          <w:szCs w:val="16"/>
          <w:lang w:val="es-ES_tradnl"/>
        </w:rPr>
        <w:t>de mayo de 2005, documento 1</w:t>
      </w:r>
      <w:r w:rsidRPr="00FC019B">
        <w:rPr>
          <w:rFonts w:ascii="Cambria" w:hAnsi="Cambria"/>
          <w:sz w:val="16"/>
          <w:szCs w:val="16"/>
          <w:lang w:val="es-ES_tradnl"/>
        </w:rPr>
        <w:t>.</w:t>
      </w:r>
    </w:p>
  </w:footnote>
  <w:footnote w:id="12">
    <w:p w14:paraId="4180CA35" w14:textId="5634E396" w:rsidR="000D7A15" w:rsidRPr="00FC019B" w:rsidRDefault="000D7A15" w:rsidP="00B72ECB">
      <w:pPr>
        <w:pStyle w:val="FootnoteText"/>
        <w:jc w:val="both"/>
        <w:rPr>
          <w:rFonts w:ascii="Cambria" w:hAnsi="Cambria"/>
          <w:sz w:val="16"/>
          <w:szCs w:val="16"/>
          <w:lang w:val="es-MX"/>
        </w:rPr>
      </w:pPr>
      <w:r w:rsidRPr="00FC019B">
        <w:rPr>
          <w:rStyle w:val="FootnoteReference"/>
          <w:rFonts w:ascii="Cambria" w:hAnsi="Cambria"/>
          <w:sz w:val="16"/>
          <w:szCs w:val="16"/>
        </w:rPr>
        <w:footnoteRef/>
      </w:r>
      <w:r w:rsidRPr="00C16812">
        <w:rPr>
          <w:rFonts w:ascii="Cambria" w:hAnsi="Cambria"/>
          <w:sz w:val="16"/>
          <w:szCs w:val="16"/>
          <w:lang w:val="pt-BR"/>
        </w:rPr>
        <w:t xml:space="preserve"> </w:t>
      </w:r>
      <w:r w:rsidR="009A5466" w:rsidRPr="00C16812">
        <w:rPr>
          <w:rFonts w:ascii="Cambria" w:hAnsi="Cambria"/>
          <w:sz w:val="16"/>
          <w:szCs w:val="16"/>
          <w:lang w:val="pt-BR"/>
        </w:rPr>
        <w:t>Anexo  6.</w:t>
      </w:r>
      <w:r w:rsidRPr="00C16812">
        <w:rPr>
          <w:rFonts w:ascii="Cambria" w:hAnsi="Cambria"/>
          <w:sz w:val="16"/>
          <w:szCs w:val="16"/>
          <w:lang w:val="pt-BR"/>
        </w:rPr>
        <w:t xml:space="preserve"> R-O de 20 de diciembre de 2004, R-25-160. </w:t>
      </w:r>
      <w:r w:rsidRPr="00FC019B">
        <w:rPr>
          <w:rFonts w:ascii="Cambria" w:hAnsi="Cambria"/>
          <w:sz w:val="16"/>
          <w:szCs w:val="16"/>
          <w:lang w:val="es-ES_tradnl"/>
        </w:rPr>
        <w:t>A</w:t>
      </w:r>
      <w:r>
        <w:rPr>
          <w:rFonts w:ascii="Cambria" w:hAnsi="Cambria"/>
          <w:sz w:val="16"/>
          <w:szCs w:val="16"/>
          <w:lang w:val="es-ES_tradnl"/>
        </w:rPr>
        <w:t>nexo 4 a la petición inicial recibida el 26</w:t>
      </w:r>
      <w:r w:rsidRPr="00FC019B">
        <w:rPr>
          <w:rFonts w:ascii="Cambria" w:hAnsi="Cambria"/>
          <w:sz w:val="16"/>
          <w:szCs w:val="16"/>
          <w:lang w:val="es-ES_tradnl"/>
        </w:rPr>
        <w:t xml:space="preserve"> de mayo de 2005, documento 1.</w:t>
      </w:r>
    </w:p>
  </w:footnote>
  <w:footnote w:id="13">
    <w:p w14:paraId="04DA1AE4" w14:textId="367F33A0" w:rsidR="000D7A15" w:rsidRPr="00FC019B" w:rsidRDefault="000D7A15" w:rsidP="00B72ECB">
      <w:pPr>
        <w:pStyle w:val="FootnoteText"/>
        <w:jc w:val="both"/>
        <w:rPr>
          <w:rFonts w:ascii="Cambria" w:hAnsi="Cambria"/>
          <w:sz w:val="16"/>
          <w:szCs w:val="16"/>
          <w:lang w:val="es-MX"/>
        </w:rPr>
      </w:pPr>
      <w:r w:rsidRPr="00FC019B">
        <w:rPr>
          <w:rStyle w:val="FootnoteReference"/>
          <w:rFonts w:ascii="Cambria" w:hAnsi="Cambria"/>
          <w:sz w:val="16"/>
          <w:szCs w:val="16"/>
        </w:rPr>
        <w:footnoteRef/>
      </w:r>
      <w:r w:rsidR="009A5466" w:rsidRPr="00C16812">
        <w:rPr>
          <w:rFonts w:ascii="Cambria" w:hAnsi="Cambria"/>
          <w:sz w:val="16"/>
          <w:szCs w:val="16"/>
          <w:lang w:val="pt-BR"/>
        </w:rPr>
        <w:t xml:space="preserve"> Anexo  6</w:t>
      </w:r>
      <w:r w:rsidRPr="00C16812">
        <w:rPr>
          <w:rFonts w:ascii="Cambria" w:hAnsi="Cambria"/>
          <w:sz w:val="16"/>
          <w:szCs w:val="16"/>
          <w:lang w:val="pt-BR"/>
        </w:rPr>
        <w:t xml:space="preserve">. R-O de 20 de diciembre de 2004, </w:t>
      </w:r>
      <w:r w:rsidRPr="00FC019B">
        <w:rPr>
          <w:rFonts w:ascii="Cambria" w:hAnsi="Cambria"/>
          <w:sz w:val="16"/>
          <w:szCs w:val="16"/>
          <w:lang w:val="pt-BR"/>
        </w:rPr>
        <w:t xml:space="preserve">R-25-160. </w:t>
      </w:r>
      <w:r w:rsidRPr="00FC019B">
        <w:rPr>
          <w:rFonts w:ascii="Cambria" w:hAnsi="Cambria"/>
          <w:sz w:val="16"/>
          <w:szCs w:val="16"/>
          <w:lang w:val="es-ES_tradnl"/>
        </w:rPr>
        <w:t>Anexo 4 a la petición inicial</w:t>
      </w:r>
      <w:r>
        <w:rPr>
          <w:rFonts w:ascii="Cambria" w:hAnsi="Cambria"/>
          <w:sz w:val="16"/>
          <w:szCs w:val="16"/>
          <w:lang w:val="es-ES_tradnl"/>
        </w:rPr>
        <w:t xml:space="preserve"> recibida el 26</w:t>
      </w:r>
      <w:r w:rsidRPr="00FC019B">
        <w:rPr>
          <w:rFonts w:ascii="Cambria" w:hAnsi="Cambria"/>
          <w:sz w:val="16"/>
          <w:szCs w:val="16"/>
          <w:lang w:val="es-ES_tradnl"/>
        </w:rPr>
        <w:t xml:space="preserve"> de mayo de 2005, documento 1.</w:t>
      </w:r>
    </w:p>
  </w:footnote>
  <w:footnote w:id="14">
    <w:p w14:paraId="3E4642D1" w14:textId="77777777" w:rsidR="000D7A15" w:rsidRPr="001C6BA4" w:rsidRDefault="000D7A15">
      <w:pPr>
        <w:pStyle w:val="FootnoteText"/>
        <w:rPr>
          <w:rFonts w:ascii="Cambria" w:hAnsi="Cambria"/>
          <w:sz w:val="16"/>
          <w:szCs w:val="16"/>
          <w:lang w:val="es-VE"/>
        </w:rPr>
      </w:pPr>
      <w:r w:rsidRPr="001C6BA4">
        <w:rPr>
          <w:rStyle w:val="FootnoteReference"/>
          <w:rFonts w:ascii="Cambria" w:hAnsi="Cambria"/>
          <w:sz w:val="16"/>
          <w:szCs w:val="16"/>
        </w:rPr>
        <w:footnoteRef/>
      </w:r>
      <w:r w:rsidRPr="001C6BA4">
        <w:rPr>
          <w:rFonts w:ascii="Cambria" w:hAnsi="Cambria"/>
          <w:sz w:val="16"/>
          <w:szCs w:val="16"/>
          <w:lang w:val="es-VE"/>
        </w:rPr>
        <w:t xml:space="preserve"> Ver resoluciones 25-170, 25-171, 25-172, 25, 173, 25-174, 25-175, 25-176 de 26 de noviembre de 2004. </w:t>
      </w:r>
    </w:p>
  </w:footnote>
  <w:footnote w:id="15">
    <w:p w14:paraId="287E294A" w14:textId="420791A6" w:rsidR="000D7A15" w:rsidRPr="00D011F5" w:rsidRDefault="000D7A15" w:rsidP="00B72ECB">
      <w:pPr>
        <w:pStyle w:val="FootnoteText"/>
        <w:jc w:val="both"/>
        <w:rPr>
          <w:rFonts w:ascii="Cambria" w:hAnsi="Cambria"/>
          <w:sz w:val="16"/>
          <w:szCs w:val="16"/>
          <w:lang w:val="es-MX"/>
        </w:rPr>
      </w:pPr>
      <w:r w:rsidRPr="00D011F5">
        <w:rPr>
          <w:rStyle w:val="FootnoteReference"/>
          <w:rFonts w:ascii="Cambria" w:hAnsi="Cambria"/>
          <w:sz w:val="16"/>
          <w:szCs w:val="16"/>
        </w:rPr>
        <w:footnoteRef/>
      </w:r>
      <w:r w:rsidR="009A5466">
        <w:rPr>
          <w:rFonts w:ascii="Cambria" w:hAnsi="Cambria"/>
          <w:sz w:val="16"/>
          <w:szCs w:val="16"/>
          <w:lang w:val="pt-BR"/>
        </w:rPr>
        <w:t xml:space="preserve"> Anexo  7</w:t>
      </w:r>
      <w:r w:rsidRPr="00D011F5">
        <w:rPr>
          <w:rFonts w:ascii="Cambria" w:hAnsi="Cambria"/>
          <w:sz w:val="16"/>
          <w:szCs w:val="16"/>
          <w:lang w:val="pt-BR"/>
        </w:rPr>
        <w:t xml:space="preserve">. R-O de 27 de julio de 2001, R 01-027 de la Corte Suprema de Justicia. </w:t>
      </w:r>
      <w:r w:rsidRPr="00D011F5">
        <w:rPr>
          <w:rFonts w:ascii="Cambria" w:hAnsi="Cambria"/>
          <w:sz w:val="16"/>
          <w:szCs w:val="16"/>
          <w:lang w:val="es-ES_tradnl"/>
        </w:rPr>
        <w:t>Anexo E a las observaciones adicionales a las observaciones del Estado de 18 de septiembre  de 2014.</w:t>
      </w:r>
    </w:p>
  </w:footnote>
  <w:footnote w:id="16">
    <w:p w14:paraId="0B02BBCD" w14:textId="77777777" w:rsidR="000D7A15" w:rsidRPr="00230401" w:rsidRDefault="000D7A15" w:rsidP="00B72ECB">
      <w:pPr>
        <w:pStyle w:val="FootnoteText"/>
        <w:jc w:val="both"/>
        <w:rPr>
          <w:lang w:val="es-MX"/>
        </w:rPr>
      </w:pPr>
      <w:r>
        <w:rPr>
          <w:rStyle w:val="FootnoteReference"/>
        </w:rPr>
        <w:footnoteRef/>
      </w:r>
      <w:r w:rsidRPr="00230401">
        <w:rPr>
          <w:lang w:val="es-MX"/>
        </w:rPr>
        <w:t xml:space="preserve"> </w:t>
      </w:r>
      <w:r w:rsidRPr="005F320C">
        <w:rPr>
          <w:rFonts w:ascii="Cambria" w:hAnsi="Cambria"/>
          <w:sz w:val="16"/>
          <w:szCs w:val="16"/>
          <w:lang w:val="es-MX"/>
        </w:rPr>
        <w:t xml:space="preserve">Informe No 99/11. Caso 12.597. </w:t>
      </w:r>
      <w:r w:rsidRPr="005F320C">
        <w:rPr>
          <w:rFonts w:ascii="Cambria" w:hAnsi="Cambria"/>
          <w:sz w:val="16"/>
          <w:szCs w:val="16"/>
          <w:lang w:val="es-ES_tradnl"/>
        </w:rPr>
        <w:t xml:space="preserve">Miguel Camba Campos y otros. Vocales del Tribunal Constitucional. 22 de julio de 2011, párr. 54; e </w:t>
      </w:r>
      <w:r w:rsidRPr="005F320C">
        <w:rPr>
          <w:rFonts w:ascii="Cambria" w:hAnsi="Cambria"/>
          <w:sz w:val="16"/>
          <w:szCs w:val="16"/>
          <w:lang w:val="es-MX"/>
        </w:rPr>
        <w:t xml:space="preserve">Informe No 65/11. Caso 12.600. </w:t>
      </w:r>
      <w:r w:rsidRPr="005F320C">
        <w:rPr>
          <w:rFonts w:ascii="Cambria" w:hAnsi="Cambria"/>
          <w:sz w:val="16"/>
          <w:szCs w:val="16"/>
          <w:lang w:val="es-ES_tradnl"/>
        </w:rPr>
        <w:t>Hugo Quintana Coello y otros. Magistrados de la Corte Suprema de Justicia</w:t>
      </w:r>
      <w:r>
        <w:rPr>
          <w:rFonts w:ascii="Cambria" w:hAnsi="Cambria"/>
          <w:sz w:val="16"/>
          <w:szCs w:val="16"/>
          <w:lang w:val="es-ES_tradnl"/>
        </w:rPr>
        <w:t>. 31 de marzo de 2011, párr. 46</w:t>
      </w:r>
      <w:r w:rsidRPr="005F320C">
        <w:rPr>
          <w:rFonts w:ascii="Cambria" w:hAnsi="Cambria"/>
          <w:sz w:val="16"/>
          <w:szCs w:val="16"/>
          <w:lang w:val="es-ES_tradnl"/>
        </w:rPr>
        <w:t>.</w:t>
      </w:r>
    </w:p>
  </w:footnote>
  <w:footnote w:id="17">
    <w:p w14:paraId="02EB58A1" w14:textId="74A1DCCE" w:rsidR="000D7A15" w:rsidRPr="00912B5D" w:rsidRDefault="000D7A15" w:rsidP="00B72ECB">
      <w:pPr>
        <w:pStyle w:val="FootnoteText"/>
        <w:jc w:val="both"/>
        <w:rPr>
          <w:rFonts w:ascii="Cambria" w:hAnsi="Cambria"/>
          <w:sz w:val="16"/>
          <w:szCs w:val="16"/>
          <w:lang w:val="es-MX"/>
        </w:rPr>
      </w:pPr>
      <w:r w:rsidRPr="00D011F5">
        <w:rPr>
          <w:rStyle w:val="FootnoteReference"/>
          <w:rFonts w:ascii="Cambria" w:hAnsi="Cambria"/>
          <w:sz w:val="16"/>
          <w:szCs w:val="16"/>
        </w:rPr>
        <w:footnoteRef/>
      </w:r>
      <w:r w:rsidRPr="00D011F5">
        <w:rPr>
          <w:rFonts w:ascii="Cambria" w:hAnsi="Cambria"/>
          <w:sz w:val="16"/>
          <w:szCs w:val="16"/>
          <w:lang w:val="es-MX"/>
        </w:rPr>
        <w:t xml:space="preserve"> </w:t>
      </w:r>
      <w:r w:rsidR="009A5466">
        <w:rPr>
          <w:rFonts w:ascii="Cambria" w:hAnsi="Cambria"/>
          <w:sz w:val="16"/>
          <w:szCs w:val="16"/>
          <w:lang w:val="es-ES_tradnl"/>
        </w:rPr>
        <w:t>Anexo 8</w:t>
      </w:r>
      <w:r w:rsidRPr="00912B5D">
        <w:rPr>
          <w:rFonts w:ascii="Cambria" w:hAnsi="Cambria"/>
          <w:sz w:val="16"/>
          <w:szCs w:val="16"/>
          <w:lang w:val="es-ES_tradnl"/>
        </w:rPr>
        <w:t xml:space="preserve">. Resolución del Tribunal Constitucional emitida el 2 de diciembre del 2004, publicada en el R-O 477 el 8 de diciembre de 2004. Anexo E a las observaciones adicionales a las observaciones del Estado de 18 de septiembre  de 2014. </w:t>
      </w:r>
    </w:p>
  </w:footnote>
  <w:footnote w:id="18">
    <w:p w14:paraId="19B3D1F6" w14:textId="77777777" w:rsidR="000D7A15" w:rsidRPr="008E78CC" w:rsidRDefault="000D7A15">
      <w:pPr>
        <w:pStyle w:val="FootnoteText"/>
        <w:rPr>
          <w:rFonts w:ascii="Cambria" w:hAnsi="Cambria"/>
          <w:sz w:val="16"/>
          <w:szCs w:val="16"/>
          <w:lang w:val="es-VE"/>
        </w:rPr>
      </w:pPr>
      <w:r w:rsidRPr="008E78CC">
        <w:rPr>
          <w:rStyle w:val="FootnoteReference"/>
          <w:rFonts w:ascii="Cambria" w:hAnsi="Cambria"/>
          <w:sz w:val="16"/>
          <w:szCs w:val="16"/>
        </w:rPr>
        <w:footnoteRef/>
      </w:r>
      <w:r w:rsidRPr="008E78CC">
        <w:rPr>
          <w:rFonts w:ascii="Cambria" w:hAnsi="Cambria"/>
          <w:sz w:val="16"/>
          <w:szCs w:val="16"/>
          <w:lang w:val="es-VE"/>
        </w:rPr>
        <w:t xml:space="preserve"> Corte IDH. Caso del Tribunal Constitucional (Camba Campos y otros) vs. Ecuador. Excepciones Preliminares, Fondo, Reparaciones y Costas. Sentencia de 28 de agosto de 2013. Serie C no. 268, párr.101 y ss.</w:t>
      </w:r>
    </w:p>
  </w:footnote>
  <w:footnote w:id="19">
    <w:p w14:paraId="09E9B7F2" w14:textId="77777777" w:rsidR="000D7A15" w:rsidRPr="0064521C" w:rsidRDefault="000D7A15" w:rsidP="0064521C">
      <w:pPr>
        <w:tabs>
          <w:tab w:val="left" w:pos="360"/>
        </w:tabs>
        <w:suppressAutoHyphens/>
        <w:jc w:val="both"/>
        <w:rPr>
          <w:rFonts w:ascii="Cambria" w:hAnsi="Cambria"/>
          <w:spacing w:val="-3"/>
          <w:sz w:val="16"/>
          <w:szCs w:val="16"/>
          <w:lang w:val="es-ES"/>
        </w:rPr>
      </w:pPr>
      <w:r w:rsidRPr="0064521C">
        <w:rPr>
          <w:rStyle w:val="FootnoteReference"/>
          <w:rFonts w:ascii="Cambria" w:hAnsi="Cambria"/>
          <w:sz w:val="16"/>
          <w:szCs w:val="16"/>
        </w:rPr>
        <w:footnoteRef/>
      </w:r>
      <w:r w:rsidRPr="0064521C">
        <w:rPr>
          <w:rFonts w:ascii="Cambria" w:hAnsi="Cambria"/>
          <w:sz w:val="16"/>
          <w:szCs w:val="16"/>
          <w:lang w:val="es-VE"/>
        </w:rPr>
        <w:t xml:space="preserve"> </w:t>
      </w:r>
      <w:r w:rsidRPr="0064521C">
        <w:rPr>
          <w:rFonts w:ascii="Cambria" w:hAnsi="Cambria"/>
          <w:spacing w:val="-3"/>
          <w:sz w:val="16"/>
          <w:szCs w:val="16"/>
          <w:lang w:val="es-ES"/>
        </w:rPr>
        <w:t>El artículo 8 de la Convención Americana establece, en lo pertinente: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 b. comunicación previa y detallada al inculpado de la acusación formulada; c. concesión al inculpado del tiempo y de los medios adecuados para la preparación de su defensa; (…) h. derecho de recurrir del fallo ante juez o tribunal superior.</w:t>
      </w:r>
    </w:p>
  </w:footnote>
  <w:footnote w:id="20">
    <w:p w14:paraId="66427E4D" w14:textId="77777777" w:rsidR="000D7A15" w:rsidRPr="0064521C" w:rsidRDefault="000D7A15" w:rsidP="0064521C">
      <w:pPr>
        <w:tabs>
          <w:tab w:val="left" w:pos="360"/>
        </w:tabs>
        <w:suppressAutoHyphens/>
        <w:jc w:val="both"/>
        <w:rPr>
          <w:rFonts w:ascii="Cambria" w:hAnsi="Cambria"/>
          <w:spacing w:val="-3"/>
          <w:sz w:val="16"/>
          <w:szCs w:val="16"/>
          <w:lang w:val="es-ES"/>
        </w:rPr>
      </w:pPr>
      <w:r w:rsidRPr="0064521C">
        <w:rPr>
          <w:rStyle w:val="FootnoteReference"/>
          <w:rFonts w:ascii="Cambria" w:hAnsi="Cambria"/>
          <w:sz w:val="16"/>
          <w:szCs w:val="16"/>
        </w:rPr>
        <w:footnoteRef/>
      </w:r>
      <w:r w:rsidRPr="0064521C">
        <w:rPr>
          <w:rFonts w:ascii="Cambria" w:hAnsi="Cambria"/>
          <w:sz w:val="16"/>
          <w:szCs w:val="16"/>
          <w:lang w:val="es-VE"/>
        </w:rPr>
        <w:t xml:space="preserve"> </w:t>
      </w:r>
      <w:r w:rsidRPr="0064521C">
        <w:rPr>
          <w:rFonts w:ascii="Cambria" w:hAnsi="Cambria"/>
          <w:spacing w:val="-3"/>
          <w:sz w:val="16"/>
          <w:szCs w:val="16"/>
          <w:lang w:val="es-ES"/>
        </w:rPr>
        <w:t>El artículo 1.1 de la Convención Americana establece: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El artículo 2 de la Convención Americana establece: 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21">
    <w:p w14:paraId="1FF44370" w14:textId="77777777" w:rsidR="000D7A15" w:rsidRPr="0064521C" w:rsidRDefault="000D7A15" w:rsidP="0064521C">
      <w:pPr>
        <w:pStyle w:val="FootnoteText"/>
        <w:jc w:val="both"/>
        <w:rPr>
          <w:rFonts w:ascii="Cambria" w:hAnsi="Cambria"/>
          <w:sz w:val="16"/>
          <w:szCs w:val="16"/>
          <w:lang w:val="es-ES"/>
        </w:rPr>
      </w:pPr>
      <w:r w:rsidRPr="0064521C">
        <w:rPr>
          <w:rStyle w:val="FootnoteReference"/>
          <w:rFonts w:ascii="Cambria" w:hAnsi="Cambria"/>
          <w:sz w:val="16"/>
          <w:szCs w:val="16"/>
        </w:rPr>
        <w:footnoteRef/>
      </w:r>
      <w:r w:rsidRPr="0064521C">
        <w:rPr>
          <w:rFonts w:ascii="Cambria" w:hAnsi="Cambria"/>
          <w:sz w:val="16"/>
          <w:szCs w:val="16"/>
          <w:lang w:val="es-ES"/>
        </w:rPr>
        <w:t xml:space="preserve"> CIDH, Informe No. 65/11, Caso 12.600, Fondo, Hugo Quintana Coello y otros “Magistrados de la Corte Suprema de Justicia”, Ecuador, 31 de marzo de 2011, párr. 102; Corte IDH. </w:t>
      </w:r>
      <w:hyperlink r:id="rId2" w:history="1">
        <w:r w:rsidRPr="0064521C">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hyperlink>
      <w:r w:rsidRPr="0064521C">
        <w:rPr>
          <w:rFonts w:ascii="Cambria" w:hAnsi="Cambria"/>
          <w:sz w:val="16"/>
          <w:szCs w:val="16"/>
          <w:lang w:val="es-ES"/>
        </w:rPr>
        <w:t xml:space="preserve">, párrs. 126-127; </w:t>
      </w:r>
      <w:hyperlink r:id="rId3" w:history="1">
        <w:r w:rsidRPr="0064521C">
          <w:rPr>
            <w:rStyle w:val="Hyperlink"/>
            <w:rFonts w:ascii="Cambria" w:hAnsi="Cambria" w:cs="Arial"/>
            <w:color w:val="auto"/>
            <w:sz w:val="16"/>
            <w:szCs w:val="16"/>
            <w:u w:val="none"/>
            <w:shd w:val="clear" w:color="auto" w:fill="FFFFFF"/>
            <w:lang w:val="es-ES"/>
          </w:rPr>
          <w:t>Caso del Tribunal Constitucional Vs. Perú. Fondo, Reparaciones y Costas. Sentencia de 31 de enero de 2001. Serie C No. 71</w:t>
        </w:r>
      </w:hyperlink>
      <w:r w:rsidRPr="0064521C">
        <w:rPr>
          <w:rFonts w:ascii="Cambria" w:hAnsi="Cambria"/>
          <w:sz w:val="16"/>
          <w:szCs w:val="16"/>
          <w:lang w:val="es-ES"/>
        </w:rPr>
        <w:t xml:space="preserve">, párrs. 69-70; y </w:t>
      </w:r>
      <w:hyperlink r:id="rId4" w:history="1">
        <w:r w:rsidRPr="0064521C">
          <w:rPr>
            <w:rStyle w:val="Hyperlink"/>
            <w:rFonts w:ascii="Cambria" w:hAnsi="Cambria" w:cs="Arial"/>
            <w:color w:val="auto"/>
            <w:sz w:val="16"/>
            <w:szCs w:val="16"/>
            <w:u w:val="none"/>
            <w:shd w:val="clear" w:color="auto" w:fill="FFFFFF"/>
            <w:lang w:val="es-ES"/>
          </w:rPr>
          <w:t>Caso López Mendoza Vs. Venezuela. Fondo Reparaciones y Costas. Sentencia de 1 de septiembre de 2011 Serie C No. 233</w:t>
        </w:r>
      </w:hyperlink>
      <w:r w:rsidRPr="0064521C">
        <w:rPr>
          <w:rFonts w:ascii="Cambria" w:hAnsi="Cambria"/>
          <w:sz w:val="16"/>
          <w:szCs w:val="16"/>
          <w:lang w:val="es-ES"/>
        </w:rPr>
        <w:t xml:space="preserve">, párr. 111. </w:t>
      </w:r>
    </w:p>
  </w:footnote>
  <w:footnote w:id="22">
    <w:p w14:paraId="78CBF600" w14:textId="77777777" w:rsidR="000D7A15" w:rsidRPr="0064521C" w:rsidRDefault="000D7A15" w:rsidP="0064521C">
      <w:pPr>
        <w:pStyle w:val="FootnoteText"/>
        <w:jc w:val="both"/>
        <w:rPr>
          <w:rFonts w:ascii="Cambria" w:hAnsi="Cambria"/>
          <w:sz w:val="16"/>
          <w:szCs w:val="16"/>
          <w:lang w:val="es-ES"/>
        </w:rPr>
      </w:pPr>
      <w:r w:rsidRPr="0064521C">
        <w:rPr>
          <w:rStyle w:val="FootnoteReference"/>
          <w:rFonts w:ascii="Cambria" w:hAnsi="Cambria"/>
          <w:sz w:val="16"/>
          <w:szCs w:val="16"/>
        </w:rPr>
        <w:footnoteRef/>
      </w:r>
      <w:r w:rsidRPr="0064521C">
        <w:rPr>
          <w:rFonts w:ascii="Cambria" w:hAnsi="Cambria"/>
          <w:sz w:val="16"/>
          <w:szCs w:val="16"/>
          <w:lang w:val="es-ES"/>
        </w:rPr>
        <w:t xml:space="preserve"> CIDH. El Acceso a la Justicia como Garantía de los Derechos Económicos, Sociales y Culturales. Estudio de los Estándares Fijados por el Sistema Interamericano de Derechos Humanos. </w:t>
      </w:r>
      <w:r w:rsidRPr="0064521C">
        <w:rPr>
          <w:rFonts w:ascii="Cambria" w:hAnsi="Cambria"/>
          <w:sz w:val="16"/>
          <w:szCs w:val="16"/>
          <w:lang w:val="es-ES_tradnl"/>
        </w:rPr>
        <w:t xml:space="preserve">OEA/Ser.L/V/II.129. 7 de septiembre de 2007, párrs. 98-123; y Caso No. 12.828, Informe 112/12, Marcel Granier y otros, Venezuela, Fondo, 9 de noviembre de 2012, párr. 188; </w:t>
      </w:r>
      <w:r w:rsidRPr="0064521C">
        <w:rPr>
          <w:rFonts w:ascii="Cambria" w:hAnsi="Cambria"/>
          <w:sz w:val="16"/>
          <w:szCs w:val="16"/>
          <w:lang w:val="es-ES"/>
        </w:rPr>
        <w:t xml:space="preserve">Corte IDH. </w:t>
      </w:r>
      <w:hyperlink r:id="rId5" w:history="1">
        <w:r w:rsidRPr="0064521C">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hyperlink>
      <w:r w:rsidRPr="0064521C">
        <w:rPr>
          <w:rFonts w:ascii="Cambria" w:hAnsi="Cambria"/>
          <w:sz w:val="16"/>
          <w:szCs w:val="16"/>
          <w:lang w:val="es-ES"/>
        </w:rPr>
        <w:t>, párrs. 126-127.</w:t>
      </w:r>
    </w:p>
  </w:footnote>
  <w:footnote w:id="23">
    <w:p w14:paraId="43A967CB" w14:textId="77777777" w:rsidR="000D7A15" w:rsidRPr="00E0359A" w:rsidRDefault="000D7A15" w:rsidP="0066797B">
      <w:pPr>
        <w:pStyle w:val="FootnoteText"/>
        <w:tabs>
          <w:tab w:val="num" w:pos="0"/>
        </w:tabs>
        <w:jc w:val="both"/>
        <w:rPr>
          <w:rFonts w:ascii="Cambria" w:hAnsi="Cambria"/>
          <w:sz w:val="16"/>
          <w:szCs w:val="16"/>
          <w:lang w:val="es-VE"/>
        </w:rPr>
      </w:pPr>
      <w:r w:rsidRPr="00E0359A">
        <w:rPr>
          <w:rStyle w:val="FootnoteReference"/>
          <w:rFonts w:ascii="Cambria" w:hAnsi="Cambria"/>
          <w:sz w:val="16"/>
          <w:szCs w:val="16"/>
        </w:rPr>
        <w:footnoteRef/>
      </w:r>
      <w:r w:rsidRPr="00E0359A">
        <w:rPr>
          <w:rFonts w:ascii="Cambria" w:hAnsi="Cambria"/>
          <w:sz w:val="16"/>
          <w:szCs w:val="16"/>
          <w:lang w:val="es-VE"/>
        </w:rPr>
        <w:t xml:space="preserve"> </w:t>
      </w:r>
      <w:r>
        <w:rPr>
          <w:rFonts w:ascii="Cambria" w:hAnsi="Cambria"/>
          <w:sz w:val="16"/>
          <w:szCs w:val="16"/>
          <w:lang w:val="es-VE"/>
        </w:rPr>
        <w:t>CIDH, Informe No 99/11, Caso 12.597,  Informe de Fondo, Miguel Camba Campos y otros “Vocales del Tribunal Constitucional”, Ecuador, 22 de julio de 2011, párr.94;</w:t>
      </w:r>
      <w:r w:rsidRPr="00E0359A">
        <w:rPr>
          <w:rFonts w:ascii="Cambria" w:hAnsi="Cambria"/>
          <w:sz w:val="16"/>
          <w:szCs w:val="16"/>
          <w:lang w:val="es-VE"/>
        </w:rPr>
        <w:t xml:space="preserve">Corte IDH, Caso López Lone y otros Vs. </w:t>
      </w:r>
      <w:r w:rsidRPr="00E0359A">
        <w:rPr>
          <w:rFonts w:ascii="Cambria" w:hAnsi="Cambria"/>
          <w:sz w:val="16"/>
          <w:szCs w:val="16"/>
          <w:lang w:val="es-CO"/>
        </w:rPr>
        <w:t xml:space="preserve">Honduras. </w:t>
      </w:r>
      <w:r w:rsidRPr="00E0359A">
        <w:rPr>
          <w:rFonts w:ascii="Cambria" w:hAnsi="Cambria"/>
          <w:sz w:val="16"/>
          <w:szCs w:val="16"/>
          <w:lang w:val="es-VE"/>
        </w:rPr>
        <w:t xml:space="preserve">Excepción Preliminar, Fondo, Reparaciones y Costas. Sentencia de 05 de octubre de 2015. Serie C No. 302, párr. 257 y Caso Maldonado Ordoñez Vs. </w:t>
      </w:r>
      <w:r w:rsidRPr="00E0359A">
        <w:rPr>
          <w:rFonts w:ascii="Cambria" w:hAnsi="Cambria"/>
          <w:sz w:val="16"/>
          <w:szCs w:val="16"/>
          <w:lang w:val="es-CO"/>
        </w:rPr>
        <w:t xml:space="preserve">Guatemala. </w:t>
      </w:r>
      <w:r w:rsidRPr="00E0359A">
        <w:rPr>
          <w:rFonts w:ascii="Cambria" w:hAnsi="Cambria"/>
          <w:sz w:val="16"/>
          <w:szCs w:val="16"/>
          <w:lang w:val="es-VE"/>
        </w:rPr>
        <w:t xml:space="preserve">Excepción Preliminar, Fondo, Reparaciones y Costas. Sentencia de 3 de mayo de 2016. Serie C No. 311, párr. 89. </w:t>
      </w:r>
      <w:r w:rsidRPr="00E0359A">
        <w:rPr>
          <w:rFonts w:ascii="Cambria" w:hAnsi="Cambria"/>
          <w:sz w:val="16"/>
          <w:szCs w:val="16"/>
          <w:lang w:val="es-US"/>
        </w:rPr>
        <w:t xml:space="preserve">Corte IDH. </w:t>
      </w:r>
      <w:r w:rsidRPr="00E0359A">
        <w:rPr>
          <w:rFonts w:ascii="Cambria" w:hAnsi="Cambria"/>
          <w:bCs/>
          <w:sz w:val="16"/>
          <w:szCs w:val="16"/>
          <w:lang w:val="es-AR"/>
        </w:rPr>
        <w:t xml:space="preserve">Caso Baena Ricardo y otros Vs. Panamá. </w:t>
      </w:r>
      <w:r w:rsidRPr="00E0359A">
        <w:rPr>
          <w:rFonts w:ascii="Cambria" w:hAnsi="Cambria"/>
          <w:sz w:val="16"/>
          <w:szCs w:val="16"/>
          <w:lang w:val="es-AR"/>
        </w:rPr>
        <w:t>Fondo, Reparaciones y Costas. Sentencia de 2 de febrero de 2001. Serie C No. 72, párrs. 106 y 108.</w:t>
      </w:r>
    </w:p>
  </w:footnote>
  <w:footnote w:id="24">
    <w:p w14:paraId="3F064A16" w14:textId="77777777" w:rsidR="000D7A15" w:rsidRPr="00EE3F54" w:rsidRDefault="000D7A15" w:rsidP="008D37CE">
      <w:pPr>
        <w:pStyle w:val="FootnoteText"/>
        <w:jc w:val="both"/>
        <w:rPr>
          <w:rFonts w:ascii="Cambria" w:hAnsi="Cambria"/>
          <w:sz w:val="16"/>
          <w:szCs w:val="16"/>
          <w:lang w:val="es-VE"/>
        </w:rPr>
      </w:pPr>
      <w:r w:rsidRPr="00EE3F54">
        <w:rPr>
          <w:rStyle w:val="FootnoteReference"/>
          <w:rFonts w:ascii="Cambria" w:hAnsi="Cambria"/>
          <w:sz w:val="16"/>
          <w:szCs w:val="16"/>
        </w:rPr>
        <w:footnoteRef/>
      </w:r>
      <w:r w:rsidRPr="00EE3F54">
        <w:rPr>
          <w:rFonts w:ascii="Cambria" w:hAnsi="Cambria"/>
          <w:sz w:val="16"/>
          <w:szCs w:val="16"/>
          <w:lang w:val="es-VE"/>
        </w:rPr>
        <w:t>Corte IDH. Caso del Tribunal Constitucional (Camba Campos y otros) vs. Ecuador. Excepciones Preliminares, Fondo, Reparaciones y Costas. Sentencia de 28 de agosto de 2013. Serie C No. 268, párr.130.</w:t>
      </w:r>
    </w:p>
  </w:footnote>
  <w:footnote w:id="25">
    <w:p w14:paraId="54FFB215" w14:textId="77777777" w:rsidR="000D7A15" w:rsidRPr="00E0359A" w:rsidRDefault="000D7A15" w:rsidP="00E0359A">
      <w:pPr>
        <w:jc w:val="both"/>
        <w:rPr>
          <w:rFonts w:ascii="Cambria" w:eastAsia="Times New Roman" w:hAnsi="Cambria"/>
          <w:sz w:val="16"/>
          <w:szCs w:val="16"/>
          <w:lang w:val="es-MX"/>
        </w:rPr>
      </w:pPr>
      <w:r w:rsidRPr="00E0359A">
        <w:rPr>
          <w:rStyle w:val="FootnoteReference"/>
          <w:rFonts w:ascii="Cambria" w:hAnsi="Cambria"/>
          <w:sz w:val="16"/>
          <w:szCs w:val="16"/>
        </w:rPr>
        <w:footnoteRef/>
      </w:r>
      <w:r w:rsidRPr="00E0359A">
        <w:rPr>
          <w:rFonts w:ascii="Cambria" w:hAnsi="Cambria"/>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E0359A">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191.</w:t>
      </w:r>
    </w:p>
  </w:footnote>
  <w:footnote w:id="26">
    <w:p w14:paraId="705FB993" w14:textId="77777777" w:rsidR="000D7A15" w:rsidRPr="00E0359A" w:rsidRDefault="000D7A15" w:rsidP="00DF3393">
      <w:pPr>
        <w:jc w:val="both"/>
        <w:rPr>
          <w:rFonts w:ascii="Cambria" w:eastAsia="Times New Roman" w:hAnsi="Cambria"/>
          <w:sz w:val="16"/>
          <w:szCs w:val="16"/>
          <w:lang w:val="es-MX"/>
        </w:rPr>
      </w:pPr>
      <w:r w:rsidRPr="00E0359A">
        <w:rPr>
          <w:rStyle w:val="FootnoteReference"/>
          <w:rFonts w:ascii="Cambria" w:hAnsi="Cambria"/>
          <w:sz w:val="16"/>
          <w:szCs w:val="16"/>
        </w:rPr>
        <w:footnoteRef/>
      </w:r>
      <w:r w:rsidRPr="00E0359A">
        <w:rPr>
          <w:rFonts w:ascii="Cambria" w:hAnsi="Cambria"/>
          <w:sz w:val="16"/>
          <w:szCs w:val="16"/>
          <w:lang w:val="es-MX"/>
        </w:rPr>
        <w:t xml:space="preserve"> </w:t>
      </w:r>
      <w:r w:rsidRPr="00E0359A">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192.</w:t>
      </w:r>
    </w:p>
  </w:footnote>
  <w:footnote w:id="27">
    <w:p w14:paraId="235F3676" w14:textId="77777777" w:rsidR="000D7A15" w:rsidRPr="00E0359A" w:rsidRDefault="000D7A15" w:rsidP="003D68A8">
      <w:pPr>
        <w:jc w:val="both"/>
        <w:rPr>
          <w:rFonts w:ascii="Cambria" w:eastAsia="Times New Roman" w:hAnsi="Cambria"/>
          <w:sz w:val="16"/>
          <w:szCs w:val="16"/>
          <w:lang w:val="es-MX"/>
        </w:rPr>
      </w:pPr>
      <w:r w:rsidRPr="00E0359A">
        <w:rPr>
          <w:rStyle w:val="FootnoteReference"/>
          <w:rFonts w:ascii="Cambria" w:hAnsi="Cambria"/>
          <w:sz w:val="16"/>
          <w:szCs w:val="16"/>
        </w:rPr>
        <w:footnoteRef/>
      </w:r>
      <w:r w:rsidRPr="00E0359A">
        <w:rPr>
          <w:rFonts w:ascii="Cambria" w:hAnsi="Cambria"/>
          <w:sz w:val="16"/>
          <w:szCs w:val="16"/>
          <w:lang w:val="es-MX"/>
        </w:rPr>
        <w:t xml:space="preserve"> </w:t>
      </w:r>
      <w:r w:rsidRPr="00E0359A">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192.</w:t>
      </w:r>
    </w:p>
  </w:footnote>
  <w:footnote w:id="28">
    <w:p w14:paraId="16B922AA" w14:textId="77777777" w:rsidR="000D7A15" w:rsidRPr="00E0359A" w:rsidRDefault="000D7A15" w:rsidP="003D68A8">
      <w:pPr>
        <w:pStyle w:val="FootnoteText"/>
        <w:rPr>
          <w:rFonts w:ascii="Cambria" w:hAnsi="Cambria"/>
          <w:sz w:val="16"/>
          <w:szCs w:val="16"/>
          <w:lang w:val="es-VE"/>
        </w:rPr>
      </w:pPr>
      <w:r w:rsidRPr="00E0359A">
        <w:rPr>
          <w:rStyle w:val="FootnoteReference"/>
          <w:rFonts w:ascii="Cambria" w:hAnsi="Cambria"/>
          <w:sz w:val="16"/>
          <w:szCs w:val="16"/>
        </w:rPr>
        <w:footnoteRef/>
      </w:r>
      <w:r w:rsidRPr="00E0359A">
        <w:rPr>
          <w:rFonts w:ascii="Cambria" w:hAnsi="Cambria"/>
          <w:sz w:val="16"/>
          <w:szCs w:val="16"/>
          <w:lang w:val="es-VE"/>
        </w:rPr>
        <w:t xml:space="preserve"> Corte IDH. Caso Apitz Barbera y otros (“Corte Primera de lo Contencioso Administrativo”) Vs. Venezuela. Excepción Preliminar, Fondo, Reparaciones y Costas. Sentencia de 5 de agosto de 2008. Serie C No 182, párr. 50.</w:t>
      </w:r>
    </w:p>
  </w:footnote>
  <w:footnote w:id="29">
    <w:p w14:paraId="53A2D7A7" w14:textId="77777777" w:rsidR="000D7A15" w:rsidRPr="00BB3DC0" w:rsidRDefault="000D7A15" w:rsidP="003D68A8">
      <w:pPr>
        <w:pStyle w:val="FootnoteText"/>
        <w:jc w:val="both"/>
        <w:rPr>
          <w:rFonts w:ascii="Cambria" w:hAnsi="Cambria"/>
          <w:sz w:val="16"/>
          <w:szCs w:val="16"/>
          <w:lang w:val="es-CO"/>
        </w:rPr>
      </w:pPr>
      <w:r w:rsidRPr="003D68A8">
        <w:rPr>
          <w:rStyle w:val="FootnoteReference"/>
          <w:rFonts w:ascii="Cambria" w:hAnsi="Cambria"/>
          <w:sz w:val="16"/>
          <w:szCs w:val="16"/>
        </w:rPr>
        <w:footnoteRef/>
      </w:r>
      <w:r w:rsidRPr="00BB3DC0">
        <w:rPr>
          <w:rFonts w:ascii="Cambria" w:hAnsi="Cambria"/>
          <w:sz w:val="16"/>
          <w:szCs w:val="16"/>
          <w:lang w:val="es-CO"/>
        </w:rPr>
        <w:t xml:space="preserve">Cfr. Corte IDH. </w:t>
      </w:r>
      <w:r w:rsidRPr="00BB3DC0">
        <w:rPr>
          <w:rFonts w:ascii="Cambria" w:hAnsi="Cambria"/>
          <w:bCs/>
          <w:sz w:val="16"/>
          <w:szCs w:val="16"/>
          <w:lang w:val="es-CO"/>
        </w:rPr>
        <w:t xml:space="preserve">Caso Apitz Barbera y otros (“Corte Primera de lo Contencioso Administrativo”) Vs. Venezuela. </w:t>
      </w:r>
      <w:r w:rsidRPr="00BB3DC0">
        <w:rPr>
          <w:rFonts w:ascii="Cambria" w:hAnsi="Cambria"/>
          <w:sz w:val="16"/>
          <w:szCs w:val="16"/>
          <w:lang w:val="es-CO"/>
        </w:rPr>
        <w:t>Excepción Preliminar, Fondo, Reparaciones y Costas. Sentencia de 5 de agosto de 2008. Serie C No 182, párr. 53.</w:t>
      </w:r>
    </w:p>
  </w:footnote>
  <w:footnote w:id="30">
    <w:p w14:paraId="2937F849" w14:textId="77777777" w:rsidR="000D7A15" w:rsidRPr="00BB3DC0" w:rsidRDefault="000D7A15" w:rsidP="003D68A8">
      <w:pPr>
        <w:pStyle w:val="FootnoteText"/>
        <w:jc w:val="both"/>
        <w:rPr>
          <w:rFonts w:asciiTheme="majorHAnsi" w:hAnsiTheme="majorHAnsi"/>
          <w:szCs w:val="16"/>
          <w:lang w:val="es-CO"/>
        </w:rPr>
      </w:pPr>
      <w:r w:rsidRPr="003D68A8">
        <w:rPr>
          <w:rStyle w:val="FootnoteReference"/>
          <w:rFonts w:ascii="Cambria" w:hAnsi="Cambria"/>
          <w:sz w:val="16"/>
          <w:szCs w:val="16"/>
        </w:rPr>
        <w:footnoteRef/>
      </w:r>
      <w:r w:rsidRPr="00BB3DC0">
        <w:rPr>
          <w:rFonts w:ascii="Cambria" w:hAnsi="Cambria"/>
          <w:sz w:val="16"/>
          <w:szCs w:val="16"/>
          <w:lang w:val="es-CO"/>
        </w:rPr>
        <w:t xml:space="preserve"> </w:t>
      </w:r>
      <w:r w:rsidRPr="003D68A8">
        <w:rPr>
          <w:rFonts w:ascii="Cambria" w:hAnsi="Cambria"/>
          <w:sz w:val="16"/>
          <w:szCs w:val="16"/>
          <w:lang w:val="es-CO"/>
        </w:rPr>
        <w:t>Corte IDH. Caso López Lone y otros Vs. Honduras. Excepción Preliminar, Fondo, Reparaciones y Costas. Sentencia de  05 de octubre de 2015. Serie C No. 302, párr. 221.</w:t>
      </w:r>
    </w:p>
  </w:footnote>
  <w:footnote w:id="31">
    <w:p w14:paraId="05F83BE5" w14:textId="77777777" w:rsidR="000D7A15" w:rsidRPr="00E0359A" w:rsidRDefault="000D7A15" w:rsidP="003D68A8">
      <w:pPr>
        <w:pStyle w:val="FootnoteText"/>
        <w:rPr>
          <w:rFonts w:ascii="Cambria" w:hAnsi="Cambria"/>
          <w:sz w:val="16"/>
          <w:szCs w:val="16"/>
          <w:lang w:val="es-VE"/>
        </w:rPr>
      </w:pPr>
      <w:r w:rsidRPr="00E0359A">
        <w:rPr>
          <w:rStyle w:val="FootnoteReference"/>
          <w:rFonts w:ascii="Cambria" w:hAnsi="Cambria"/>
          <w:sz w:val="16"/>
          <w:szCs w:val="16"/>
        </w:rPr>
        <w:footnoteRef/>
      </w:r>
      <w:r w:rsidRPr="00E0359A">
        <w:rPr>
          <w:rStyle w:val="FootnoteReference"/>
          <w:rFonts w:ascii="Cambria" w:hAnsi="Cambria"/>
          <w:sz w:val="16"/>
          <w:szCs w:val="16"/>
          <w:lang w:val="es-VE"/>
        </w:rPr>
        <w:t xml:space="preserve"> </w:t>
      </w:r>
      <w:r w:rsidRPr="00E0359A">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 206 y 207.</w:t>
      </w:r>
    </w:p>
  </w:footnote>
  <w:footnote w:id="32">
    <w:p w14:paraId="6F424D8A" w14:textId="77777777" w:rsidR="000D7A15" w:rsidRPr="00EE3F54" w:rsidRDefault="000D7A15">
      <w:pPr>
        <w:pStyle w:val="FootnoteText"/>
        <w:rPr>
          <w:lang w:val="es-VE"/>
        </w:rPr>
      </w:pPr>
      <w:r w:rsidRPr="00EE3F54">
        <w:rPr>
          <w:rStyle w:val="FootnoteReference"/>
          <w:rFonts w:ascii="Cambria" w:hAnsi="Cambria"/>
          <w:sz w:val="16"/>
          <w:szCs w:val="16"/>
        </w:rPr>
        <w:footnoteRef/>
      </w:r>
      <w:r w:rsidRPr="00EE3F54">
        <w:rPr>
          <w:rFonts w:ascii="Cambria" w:hAnsi="Cambria"/>
          <w:sz w:val="16"/>
          <w:szCs w:val="16"/>
          <w:lang w:val="es-VE"/>
        </w:rPr>
        <w:t>Corte IDH.</w:t>
      </w:r>
      <w:r>
        <w:rPr>
          <w:rFonts w:ascii="Cambria" w:hAnsi="Cambria"/>
          <w:sz w:val="16"/>
          <w:szCs w:val="16"/>
          <w:lang w:val="es-VE"/>
        </w:rPr>
        <w:t xml:space="preserve"> Caso del Tribunal Constitucional (Camba Campos y otros) vs. Ecuador. Excepciones Preliminares, Fondo, Reparaciones y Costas. Sentencia de 28 de agosto de 2013. Serie C No. 268, p</w:t>
      </w:r>
      <w:r w:rsidRPr="00EE3F54">
        <w:rPr>
          <w:rFonts w:ascii="Cambria" w:hAnsi="Cambria"/>
          <w:sz w:val="16"/>
          <w:szCs w:val="16"/>
          <w:lang w:val="es-VE"/>
        </w:rPr>
        <w:t>árr.103.</w:t>
      </w:r>
    </w:p>
  </w:footnote>
  <w:footnote w:id="33">
    <w:p w14:paraId="5DA5999F" w14:textId="77777777" w:rsidR="000D7A15" w:rsidRPr="00EE3F54" w:rsidRDefault="000D7A15" w:rsidP="00206601">
      <w:pPr>
        <w:pStyle w:val="FootnoteText"/>
        <w:rPr>
          <w:lang w:val="es-VE"/>
        </w:rPr>
      </w:pPr>
      <w:r w:rsidRPr="00EE3F54">
        <w:rPr>
          <w:rStyle w:val="FootnoteReference"/>
          <w:rFonts w:ascii="Cambria" w:hAnsi="Cambria"/>
          <w:sz w:val="16"/>
          <w:szCs w:val="16"/>
        </w:rPr>
        <w:footnoteRef/>
      </w:r>
      <w:r w:rsidRPr="00EE3F54">
        <w:rPr>
          <w:rFonts w:ascii="Cambria" w:hAnsi="Cambria"/>
          <w:sz w:val="16"/>
          <w:szCs w:val="16"/>
          <w:lang w:val="es-VE"/>
        </w:rPr>
        <w:t>Corte IDH.</w:t>
      </w:r>
      <w:r>
        <w:rPr>
          <w:rFonts w:ascii="Cambria" w:hAnsi="Cambria"/>
          <w:sz w:val="16"/>
          <w:szCs w:val="16"/>
          <w:lang w:val="es-VE"/>
        </w:rPr>
        <w:t xml:space="preserve"> Caso del Tribunal Constitucional (Camba Campos y otros) vs. Ecuador. Excepciones Preliminares, Fondo, Reparaciones y Costas. Sentencia de 28 de agosto de 2013. Serie C No. 268, p</w:t>
      </w:r>
      <w:r w:rsidRPr="00EE3F54">
        <w:rPr>
          <w:rFonts w:ascii="Cambria" w:hAnsi="Cambria"/>
          <w:sz w:val="16"/>
          <w:szCs w:val="16"/>
          <w:lang w:val="es-VE"/>
        </w:rPr>
        <w:t>á</w:t>
      </w:r>
      <w:r>
        <w:rPr>
          <w:rFonts w:ascii="Cambria" w:hAnsi="Cambria"/>
          <w:sz w:val="16"/>
          <w:szCs w:val="16"/>
          <w:lang w:val="es-VE"/>
        </w:rPr>
        <w:t>rr.176</w:t>
      </w:r>
      <w:r w:rsidRPr="00EE3F54">
        <w:rPr>
          <w:rFonts w:ascii="Cambria" w:hAnsi="Cambria"/>
          <w:sz w:val="16"/>
          <w:szCs w:val="16"/>
          <w:lang w:val="es-VE"/>
        </w:rPr>
        <w:t>.</w:t>
      </w:r>
    </w:p>
  </w:footnote>
  <w:footnote w:id="34">
    <w:p w14:paraId="35035795" w14:textId="77777777" w:rsidR="000D7A15" w:rsidRPr="00EE3F54" w:rsidRDefault="000D7A15" w:rsidP="005F43FB">
      <w:pPr>
        <w:pStyle w:val="FootnoteText"/>
        <w:rPr>
          <w:lang w:val="es-VE"/>
        </w:rPr>
      </w:pPr>
      <w:r w:rsidRPr="00EE3F54">
        <w:rPr>
          <w:rStyle w:val="FootnoteReference"/>
          <w:rFonts w:ascii="Cambria" w:hAnsi="Cambria"/>
          <w:sz w:val="16"/>
          <w:szCs w:val="16"/>
        </w:rPr>
        <w:footnoteRef/>
      </w:r>
      <w:r w:rsidRPr="00EE3F54">
        <w:rPr>
          <w:rFonts w:ascii="Cambria" w:hAnsi="Cambria"/>
          <w:sz w:val="16"/>
          <w:szCs w:val="16"/>
          <w:lang w:val="es-VE"/>
        </w:rPr>
        <w:t>Corte IDH.</w:t>
      </w:r>
      <w:r>
        <w:rPr>
          <w:rFonts w:ascii="Cambria" w:hAnsi="Cambria"/>
          <w:sz w:val="16"/>
          <w:szCs w:val="16"/>
          <w:lang w:val="es-VE"/>
        </w:rPr>
        <w:t xml:space="preserve"> Caso del Tribunal Constitucional (Camba Campos y otros) vs. Ecuador. Excepciones Preliminares, Fondo, Reparaciones y Costas. Sentencia de 28 de agosto de 2013. Serie C No. 268, p</w:t>
      </w:r>
      <w:r w:rsidRPr="00EE3F54">
        <w:rPr>
          <w:rFonts w:ascii="Cambria" w:hAnsi="Cambria"/>
          <w:sz w:val="16"/>
          <w:szCs w:val="16"/>
          <w:lang w:val="es-VE"/>
        </w:rPr>
        <w:t>á</w:t>
      </w:r>
      <w:r>
        <w:rPr>
          <w:rFonts w:ascii="Cambria" w:hAnsi="Cambria"/>
          <w:sz w:val="16"/>
          <w:szCs w:val="16"/>
          <w:lang w:val="es-VE"/>
        </w:rPr>
        <w:t>rr.212.</w:t>
      </w:r>
    </w:p>
  </w:footnote>
  <w:footnote w:id="35">
    <w:p w14:paraId="5C43BB68" w14:textId="77777777" w:rsidR="000D7A15" w:rsidRPr="00910616" w:rsidRDefault="000D7A15" w:rsidP="00206601">
      <w:pPr>
        <w:jc w:val="both"/>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ES"/>
        </w:rPr>
        <w:t xml:space="preserve"> Corte IDH. Condición Jurídica y Derechos de los Migrantes Indocumentados. Opinión Consultiva OC-18/03 de 17 de septiembre  de 2003. Serie A No. 18. párr. </w:t>
      </w:r>
      <w:r w:rsidRPr="00910616">
        <w:rPr>
          <w:rFonts w:ascii="Cambria" w:hAnsi="Cambria"/>
          <w:sz w:val="16"/>
          <w:szCs w:val="16"/>
          <w:lang w:val="es-VE"/>
        </w:rPr>
        <w:t>117.</w:t>
      </w:r>
    </w:p>
  </w:footnote>
  <w:footnote w:id="36">
    <w:p w14:paraId="2D795B2D" w14:textId="77777777" w:rsidR="000D7A15" w:rsidRPr="00910616" w:rsidRDefault="000D7A15" w:rsidP="00206601">
      <w:pPr>
        <w:pStyle w:val="FootnoteText"/>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CIDH, Informe No. 103/13, Caso 12.816, Informe de Fondo, Adan Guillermo López Lone y otros, Honduras, párr.143.</w:t>
      </w:r>
      <w:r w:rsidRPr="00910616">
        <w:rPr>
          <w:rFonts w:ascii="Cambria" w:hAnsi="Cambria"/>
          <w:sz w:val="16"/>
          <w:szCs w:val="16"/>
          <w:lang w:val="es-VE"/>
        </w:rPr>
        <w:tab/>
      </w:r>
    </w:p>
  </w:footnote>
  <w:footnote w:id="37">
    <w:p w14:paraId="07F533BF" w14:textId="77777777" w:rsidR="000D7A15" w:rsidRPr="008C14AB" w:rsidRDefault="000D7A15" w:rsidP="00AF64C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16"/>
          <w:szCs w:val="16"/>
          <w:lang w:val="es-VE"/>
        </w:rPr>
      </w:pPr>
      <w:r w:rsidRPr="008C14AB">
        <w:rPr>
          <w:rStyle w:val="FootnoteReference"/>
          <w:rFonts w:ascii="Cambria" w:hAnsi="Cambria"/>
          <w:sz w:val="16"/>
          <w:szCs w:val="16"/>
        </w:rPr>
        <w:footnoteRef/>
      </w:r>
      <w:r w:rsidRPr="008C14AB">
        <w:rPr>
          <w:rFonts w:ascii="Cambria" w:hAnsi="Cambria"/>
          <w:sz w:val="16"/>
          <w:szCs w:val="16"/>
          <w:lang w:val="es-VE"/>
        </w:rPr>
        <w:t xml:space="preserve"> </w:t>
      </w:r>
      <w:r w:rsidRPr="008C14AB">
        <w:rPr>
          <w:rFonts w:ascii="Cambria" w:hAnsi="Cambria"/>
          <w:sz w:val="16"/>
          <w:szCs w:val="16"/>
          <w:lang w:val="es-AR"/>
        </w:rPr>
        <w:t>El artículo 8. 2 h establece el “derecho de recurrir del fallo ante juez o tribunal superior”.</w:t>
      </w:r>
    </w:p>
  </w:footnote>
  <w:footnote w:id="38">
    <w:p w14:paraId="64CEE360" w14:textId="77777777" w:rsidR="000D7A15" w:rsidRPr="008C14AB" w:rsidRDefault="000D7A15" w:rsidP="00AF64C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16"/>
          <w:szCs w:val="16"/>
          <w:lang w:val="es-VE"/>
        </w:rPr>
      </w:pPr>
      <w:r w:rsidRPr="008C14AB">
        <w:rPr>
          <w:rStyle w:val="FootnoteReference"/>
          <w:rFonts w:ascii="Cambria" w:hAnsi="Cambria"/>
          <w:sz w:val="16"/>
          <w:szCs w:val="16"/>
        </w:rPr>
        <w:footnoteRef/>
      </w:r>
      <w:r w:rsidRPr="008C14AB">
        <w:rPr>
          <w:rFonts w:ascii="Cambria" w:hAnsi="Cambria"/>
          <w:sz w:val="16"/>
          <w:szCs w:val="16"/>
          <w:lang w:val="es-VE"/>
        </w:rPr>
        <w:t xml:space="preserve"> </w:t>
      </w:r>
      <w:r w:rsidRPr="008C14AB">
        <w:rPr>
          <w:rFonts w:ascii="Cambria" w:hAnsi="Cambria"/>
          <w:sz w:val="16"/>
          <w:szCs w:val="16"/>
          <w:lang w:val="es-AR"/>
        </w:rPr>
        <w:t>El artículo 25.1 de la Convención estipula que:</w:t>
      </w:r>
      <w:r w:rsidRPr="008C14AB">
        <w:rPr>
          <w:rFonts w:ascii="Cambria" w:hAnsi="Cambria"/>
          <w:sz w:val="16"/>
          <w:szCs w:val="16"/>
          <w:lang w:val="es-VE"/>
        </w:rPr>
        <w:t xml:space="preserve"> </w:t>
      </w:r>
      <w:r w:rsidRPr="008C14AB">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9">
    <w:p w14:paraId="6FF5D488" w14:textId="77777777" w:rsidR="000D7A15" w:rsidRPr="008C14AB" w:rsidRDefault="000D7A15" w:rsidP="00AF64C0">
      <w:pPr>
        <w:pStyle w:val="FootnoteText"/>
        <w:jc w:val="both"/>
        <w:rPr>
          <w:rFonts w:ascii="Cambria" w:hAnsi="Cambria"/>
          <w:sz w:val="16"/>
          <w:szCs w:val="16"/>
          <w:lang w:val="es-VE"/>
        </w:rPr>
      </w:pPr>
      <w:r w:rsidRPr="008C14AB">
        <w:rPr>
          <w:rStyle w:val="FootnoteReference"/>
          <w:rFonts w:ascii="Cambria" w:hAnsi="Cambria"/>
          <w:sz w:val="16"/>
          <w:szCs w:val="16"/>
        </w:rPr>
        <w:footnoteRef/>
      </w:r>
      <w:r w:rsidRPr="008C14AB">
        <w:rPr>
          <w:rStyle w:val="FootnoteReference"/>
          <w:rFonts w:ascii="Cambria" w:hAnsi="Cambria"/>
          <w:sz w:val="16"/>
          <w:szCs w:val="16"/>
          <w:lang w:val="es-VE"/>
        </w:rPr>
        <w:t xml:space="preserve"> </w:t>
      </w:r>
      <w:r w:rsidRPr="008C14AB">
        <w:rPr>
          <w:rFonts w:ascii="Cambria" w:hAnsi="Cambria"/>
          <w:sz w:val="16"/>
          <w:szCs w:val="16"/>
          <w:lang w:val="es-VE"/>
        </w:rPr>
        <w:t xml:space="preserve">CIDH, Garantías para la independencia de las y los operadores de justicia. Hacia el fortalecimiento del acceso a la justicia y el estado de derecho en las Américas, OEA/ser.L/V/II.Doc.44, 5 de diciembre de 2013, párr. 235; Corte IDH, </w:t>
      </w:r>
      <w:r w:rsidRPr="008C14AB">
        <w:rPr>
          <w:rFonts w:ascii="Cambria" w:hAnsi="Cambria"/>
          <w:bCs/>
          <w:i/>
          <w:sz w:val="16"/>
          <w:szCs w:val="16"/>
          <w:lang w:val="es-VE"/>
        </w:rPr>
        <w:t>Caso Vélez Loor Vs. Panamá</w:t>
      </w:r>
      <w:r w:rsidRPr="008C14AB">
        <w:rPr>
          <w:rFonts w:ascii="Cambria" w:hAnsi="Cambria"/>
          <w:bCs/>
          <w:sz w:val="16"/>
          <w:szCs w:val="16"/>
          <w:lang w:val="es-VE"/>
        </w:rPr>
        <w:t xml:space="preserve">. </w:t>
      </w:r>
      <w:r w:rsidRPr="008C14AB">
        <w:rPr>
          <w:rFonts w:ascii="Cambria" w:hAnsi="Cambria"/>
          <w:sz w:val="16"/>
          <w:szCs w:val="16"/>
          <w:lang w:val="es-VE"/>
        </w:rPr>
        <w:t xml:space="preserve">Excepciones Preliminares, Fondo, Reparaciones y Costas. Sentencia de 23 de noviembre de 2010. Serie C No. 218. </w:t>
      </w:r>
      <w:r w:rsidRPr="008C14AB">
        <w:rPr>
          <w:rFonts w:ascii="Cambria" w:hAnsi="Cambria"/>
          <w:sz w:val="16"/>
          <w:szCs w:val="16"/>
          <w:lang w:val="es-ES_tradnl"/>
        </w:rPr>
        <w:t>Párr. 179.</w:t>
      </w:r>
    </w:p>
  </w:footnote>
  <w:footnote w:id="40">
    <w:p w14:paraId="44E74C82" w14:textId="77777777" w:rsidR="000D7A15" w:rsidRPr="008C14AB" w:rsidRDefault="000D7A15" w:rsidP="00AF64C0">
      <w:pPr>
        <w:pStyle w:val="FootnoteText"/>
        <w:jc w:val="both"/>
        <w:rPr>
          <w:rFonts w:ascii="Cambria" w:hAnsi="Cambria"/>
          <w:sz w:val="16"/>
          <w:szCs w:val="16"/>
          <w:lang w:val="es-VE"/>
        </w:rPr>
      </w:pPr>
      <w:r w:rsidRPr="008C14AB">
        <w:rPr>
          <w:rStyle w:val="FootnoteReference"/>
          <w:rFonts w:ascii="Cambria" w:hAnsi="Cambria"/>
          <w:sz w:val="16"/>
          <w:szCs w:val="16"/>
        </w:rPr>
        <w:footnoteRef/>
      </w:r>
      <w:r w:rsidRPr="008C14AB">
        <w:rPr>
          <w:rFonts w:ascii="Cambria" w:hAnsi="Cambria"/>
          <w:sz w:val="16"/>
          <w:szCs w:val="16"/>
          <w:lang w:val="es-VE"/>
        </w:rPr>
        <w:t>CIDH, Informe No. 33/14, Caso 12.820, Manfred Amrhein y otros, Costa Rica. 4 de abril de 2014, párr.186.</w:t>
      </w:r>
    </w:p>
  </w:footnote>
  <w:footnote w:id="41">
    <w:p w14:paraId="786EEEAA" w14:textId="77777777" w:rsidR="000D7A15" w:rsidRPr="008C14AB" w:rsidRDefault="000D7A15" w:rsidP="00AF64C0">
      <w:pPr>
        <w:pStyle w:val="FootnoteText"/>
        <w:jc w:val="both"/>
        <w:rPr>
          <w:rFonts w:ascii="Cambria" w:hAnsi="Cambria"/>
          <w:sz w:val="16"/>
          <w:szCs w:val="16"/>
          <w:lang w:val="es-VE"/>
        </w:rPr>
      </w:pPr>
      <w:r w:rsidRPr="008C14AB">
        <w:rPr>
          <w:rStyle w:val="FootnoteReference"/>
          <w:rFonts w:ascii="Cambria" w:hAnsi="Cambria"/>
          <w:sz w:val="16"/>
          <w:szCs w:val="16"/>
        </w:rPr>
        <w:footnoteRef/>
      </w:r>
      <w:r w:rsidRPr="008C14AB">
        <w:rPr>
          <w:rFonts w:ascii="Cambria" w:hAnsi="Cambria"/>
          <w:sz w:val="16"/>
          <w:szCs w:val="16"/>
          <w:lang w:val="es-VE"/>
        </w:rPr>
        <w:t>CIDH, Informe No. 33/14, Caso 12.820, Manfred Amrhein y otros, Costa Rica. 4 de abril de 2014, párr.186.</w:t>
      </w:r>
    </w:p>
  </w:footnote>
  <w:footnote w:id="42">
    <w:p w14:paraId="52C6EEFC" w14:textId="77777777" w:rsidR="000D7A15" w:rsidRPr="008C14AB" w:rsidRDefault="000D7A15" w:rsidP="00AF64C0">
      <w:pPr>
        <w:pStyle w:val="FootnoteText"/>
        <w:jc w:val="both"/>
        <w:rPr>
          <w:rFonts w:ascii="Cambria" w:hAnsi="Cambria"/>
          <w:sz w:val="16"/>
          <w:szCs w:val="16"/>
          <w:lang w:val="es-VE"/>
        </w:rPr>
      </w:pPr>
      <w:r w:rsidRPr="008C14AB">
        <w:rPr>
          <w:rStyle w:val="FootnoteReference"/>
          <w:rFonts w:ascii="Cambria" w:hAnsi="Cambria"/>
          <w:sz w:val="16"/>
          <w:szCs w:val="16"/>
        </w:rPr>
        <w:footnoteRef/>
      </w:r>
      <w:r w:rsidRPr="008C14AB">
        <w:rPr>
          <w:rFonts w:ascii="Cambria" w:hAnsi="Cambria"/>
          <w:sz w:val="16"/>
          <w:szCs w:val="16"/>
          <w:lang w:val="es-VE"/>
        </w:rPr>
        <w:t>CIDH, Informe No. 33/14, Caso 12.820, Manfred Amrhein y otros, Costa Rica. 4 de abril de 2014, párr.186 y ss.</w:t>
      </w:r>
    </w:p>
  </w:footnote>
  <w:footnote w:id="43">
    <w:p w14:paraId="34CB23DF" w14:textId="77777777" w:rsidR="000D7A15" w:rsidRPr="008C14AB" w:rsidRDefault="000D7A15" w:rsidP="00AF64C0">
      <w:pPr>
        <w:tabs>
          <w:tab w:val="left" w:pos="180"/>
          <w:tab w:val="left" w:pos="900"/>
          <w:tab w:val="left" w:pos="1080"/>
        </w:tabs>
        <w:jc w:val="both"/>
        <w:rPr>
          <w:rFonts w:ascii="Cambria" w:hAnsi="Cambria"/>
          <w:sz w:val="16"/>
          <w:szCs w:val="16"/>
          <w:lang w:val="es-CO"/>
        </w:rPr>
      </w:pPr>
      <w:r w:rsidRPr="008C14AB">
        <w:rPr>
          <w:rStyle w:val="FootnoteReference"/>
          <w:rFonts w:ascii="Cambria" w:hAnsi="Cambria"/>
          <w:sz w:val="16"/>
          <w:szCs w:val="16"/>
        </w:rPr>
        <w:footnoteRef/>
      </w:r>
      <w:r w:rsidRPr="008C14AB">
        <w:rPr>
          <w:rFonts w:ascii="Cambria" w:hAnsi="Cambria"/>
          <w:color w:val="000000"/>
          <w:sz w:val="16"/>
          <w:szCs w:val="16"/>
          <w:lang w:val="es-CO"/>
        </w:rPr>
        <w:t xml:space="preserve">Corte IDH, </w:t>
      </w:r>
      <w:r w:rsidRPr="008C14AB">
        <w:rPr>
          <w:rFonts w:ascii="Cambria" w:hAnsi="Cambria"/>
          <w:bCs/>
          <w:color w:val="000000"/>
          <w:sz w:val="16"/>
          <w:szCs w:val="16"/>
          <w:lang w:val="es-CO"/>
        </w:rPr>
        <w:t xml:space="preserve">Caso Trabajadores Cesados del Congreso (Aguado Alfaro y otros). </w:t>
      </w:r>
      <w:r w:rsidRPr="008C14AB">
        <w:rPr>
          <w:rFonts w:ascii="Cambria" w:hAnsi="Cambria"/>
          <w:color w:val="000000"/>
          <w:sz w:val="16"/>
          <w:szCs w:val="16"/>
          <w:lang w:val="es-CO"/>
        </w:rPr>
        <w:t xml:space="preserve">Sentencia sobre Excepciones Preliminares, Fondo, Reparaciones y Costas. Sentencia de 24 de Noviembre de 2006. Serie C No. 158. Párr. 125; Corte IDH, </w:t>
      </w:r>
      <w:r w:rsidRPr="008C14AB">
        <w:rPr>
          <w:rFonts w:ascii="Cambria" w:hAnsi="Cambria"/>
          <w:bCs/>
          <w:color w:val="000000"/>
          <w:sz w:val="16"/>
          <w:szCs w:val="16"/>
          <w:lang w:val="es-CO"/>
        </w:rPr>
        <w:t xml:space="preserve">Caso Comunidad Indígena Yakye Axa. </w:t>
      </w:r>
      <w:r w:rsidRPr="008C14AB">
        <w:rPr>
          <w:rFonts w:ascii="Cambria" w:hAnsi="Cambria"/>
          <w:color w:val="000000"/>
          <w:sz w:val="16"/>
          <w:szCs w:val="16"/>
          <w:lang w:val="es-CO"/>
        </w:rPr>
        <w:t>Sentencia 17 de junio de 2005. Serie C No. 125</w:t>
      </w:r>
      <w:r w:rsidRPr="008C14AB">
        <w:rPr>
          <w:rFonts w:ascii="Cambria" w:hAnsi="Cambria"/>
          <w:sz w:val="16"/>
          <w:szCs w:val="16"/>
          <w:lang w:val="es-CO"/>
        </w:rPr>
        <w:t xml:space="preserve">. Párr.  61; </w:t>
      </w:r>
      <w:r w:rsidRPr="008C14AB">
        <w:rPr>
          <w:rFonts w:ascii="Cambria" w:hAnsi="Cambria"/>
          <w:color w:val="000000"/>
          <w:sz w:val="16"/>
          <w:szCs w:val="16"/>
          <w:lang w:val="es-CO"/>
        </w:rPr>
        <w:t xml:space="preserve">Corte IDH, </w:t>
      </w:r>
      <w:r w:rsidRPr="008C14AB">
        <w:rPr>
          <w:rFonts w:ascii="Cambria" w:hAnsi="Cambria"/>
          <w:bCs/>
          <w:color w:val="000000"/>
          <w:sz w:val="16"/>
          <w:szCs w:val="16"/>
          <w:lang w:val="es-CO"/>
        </w:rPr>
        <w:t xml:space="preserve">Caso "Cinco Pensionistas". </w:t>
      </w:r>
      <w:r w:rsidRPr="008C14AB">
        <w:rPr>
          <w:rFonts w:ascii="Cambria" w:hAnsi="Cambria"/>
          <w:color w:val="000000"/>
          <w:sz w:val="16"/>
          <w:szCs w:val="16"/>
          <w:lang w:val="es-CO"/>
        </w:rPr>
        <w:t>Sentencia de 28 de febrero de 2003. Serie C No. 98</w:t>
      </w:r>
      <w:r w:rsidRPr="008C14AB">
        <w:rPr>
          <w:rFonts w:ascii="Cambria" w:hAnsi="Cambria"/>
          <w:sz w:val="16"/>
          <w:szCs w:val="16"/>
          <w:lang w:val="es-CO"/>
        </w:rPr>
        <w:t>. Párr. 136.</w:t>
      </w:r>
    </w:p>
  </w:footnote>
  <w:footnote w:id="44">
    <w:p w14:paraId="702BF22F" w14:textId="77777777" w:rsidR="000D7A15" w:rsidRPr="003A5091" w:rsidRDefault="000D7A15">
      <w:pPr>
        <w:pStyle w:val="FootnoteText"/>
        <w:rPr>
          <w:rFonts w:ascii="Cambria" w:hAnsi="Cambria"/>
          <w:sz w:val="16"/>
          <w:szCs w:val="16"/>
          <w:lang w:val="pt-BR"/>
        </w:rPr>
      </w:pPr>
      <w:r w:rsidRPr="003A5091">
        <w:rPr>
          <w:rStyle w:val="FootnoteReference"/>
          <w:rFonts w:ascii="Cambria" w:hAnsi="Cambria"/>
          <w:sz w:val="16"/>
          <w:szCs w:val="16"/>
        </w:rPr>
        <w:footnoteRef/>
      </w:r>
      <w:r w:rsidRPr="003A5091">
        <w:rPr>
          <w:rFonts w:ascii="Cambria" w:hAnsi="Cambria"/>
          <w:sz w:val="16"/>
          <w:szCs w:val="16"/>
          <w:lang w:val="es-VE"/>
        </w:rPr>
        <w:t xml:space="preserve"> Ver CIDH, Informe No. 99/11, Caso 12.597, Informe de Fondo, Miguel Camba Campos y otros “Vocales del Tribunal Constitucional”, Ecuador, 22 de julio de 2011, párrs. </w:t>
      </w:r>
      <w:r w:rsidRPr="003A5091">
        <w:rPr>
          <w:rFonts w:ascii="Cambria" w:hAnsi="Cambria"/>
          <w:sz w:val="16"/>
          <w:szCs w:val="16"/>
          <w:lang w:val="pt-BR"/>
        </w:rPr>
        <w:t>134-136.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FC2C" w14:textId="77777777" w:rsidR="000D7A15" w:rsidRDefault="000D7A15"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9A12490" w14:textId="77777777" w:rsidR="000D7A15" w:rsidRDefault="000D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7804" w14:textId="77777777" w:rsidR="000D7A15" w:rsidRDefault="000D7A15" w:rsidP="00430348">
    <w:pPr>
      <w:pStyle w:val="Header"/>
      <w:tabs>
        <w:tab w:val="clear" w:pos="4320"/>
        <w:tab w:val="clear" w:pos="8640"/>
      </w:tabs>
      <w:jc w:val="center"/>
      <w:rPr>
        <w:sz w:val="22"/>
        <w:szCs w:val="22"/>
      </w:rPr>
    </w:pPr>
    <w:r>
      <w:rPr>
        <w:noProof/>
        <w:sz w:val="22"/>
        <w:szCs w:val="22"/>
      </w:rPr>
      <w:drawing>
        <wp:inline distT="0" distB="0" distL="0" distR="0" wp14:anchorId="6B987D4A" wp14:editId="540B686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EA601B3" w14:textId="77777777" w:rsidR="000D7A15" w:rsidRPr="00EC7D62" w:rsidRDefault="00D150B7" w:rsidP="00430348">
    <w:pPr>
      <w:pStyle w:val="Header"/>
      <w:tabs>
        <w:tab w:val="clear" w:pos="4320"/>
        <w:tab w:val="clear" w:pos="8640"/>
      </w:tabs>
      <w:jc w:val="center"/>
      <w:rPr>
        <w:sz w:val="22"/>
        <w:szCs w:val="22"/>
      </w:rPr>
    </w:pPr>
    <w:r>
      <w:rPr>
        <w:sz w:val="22"/>
        <w:szCs w:val="22"/>
      </w:rPr>
      <w:pict w14:anchorId="54B1469B">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3DFA" w14:textId="77777777" w:rsidR="006F3BE6" w:rsidRDefault="006F3BE6" w:rsidP="006F3BE6">
    <w:pPr>
      <w:pStyle w:val="Header"/>
      <w:tabs>
        <w:tab w:val="clear" w:pos="4320"/>
        <w:tab w:val="clear" w:pos="8640"/>
      </w:tabs>
      <w:jc w:val="center"/>
      <w:rPr>
        <w:sz w:val="22"/>
        <w:szCs w:val="22"/>
      </w:rPr>
    </w:pPr>
    <w:r>
      <w:rPr>
        <w:noProof/>
        <w:sz w:val="22"/>
        <w:szCs w:val="22"/>
      </w:rPr>
      <w:drawing>
        <wp:inline distT="0" distB="0" distL="0" distR="0" wp14:anchorId="0E176F60" wp14:editId="34187065">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FD79FB9" w14:textId="77777777" w:rsidR="006F3BE6" w:rsidRPr="00EC7D62" w:rsidRDefault="00D150B7" w:rsidP="006F3BE6">
    <w:pPr>
      <w:pStyle w:val="Header"/>
      <w:tabs>
        <w:tab w:val="clear" w:pos="4320"/>
        <w:tab w:val="clear" w:pos="8640"/>
      </w:tabs>
      <w:jc w:val="center"/>
      <w:rPr>
        <w:sz w:val="22"/>
        <w:szCs w:val="22"/>
      </w:rPr>
    </w:pPr>
    <w:r>
      <w:rPr>
        <w:sz w:val="22"/>
        <w:szCs w:val="22"/>
      </w:rPr>
      <w:pict w14:anchorId="0232BC7A">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6C5B1D"/>
    <w:multiLevelType w:val="hybridMultilevel"/>
    <w:tmpl w:val="ABF2DEFC"/>
    <w:lvl w:ilvl="0" w:tplc="90CC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AD25FE"/>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0127D8"/>
    <w:multiLevelType w:val="hybridMultilevel"/>
    <w:tmpl w:val="7AE87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F48E9"/>
    <w:multiLevelType w:val="hybridMultilevel"/>
    <w:tmpl w:val="74A688C2"/>
    <w:lvl w:ilvl="0" w:tplc="F85C6D24">
      <w:start w:val="1"/>
      <w:numFmt w:val="decimal"/>
      <w:lvlText w:val="%1."/>
      <w:lvlJc w:val="left"/>
      <w:pPr>
        <w:ind w:left="1440" w:hanging="360"/>
      </w:pPr>
      <w:rPr>
        <w:rFonts w:ascii="Cambria" w:hAnsi="Cambria"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63228A"/>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B379D5"/>
    <w:multiLevelType w:val="hybridMultilevel"/>
    <w:tmpl w:val="EE14313E"/>
    <w:lvl w:ilvl="0" w:tplc="0409000F">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3941E23"/>
    <w:multiLevelType w:val="hybridMultilevel"/>
    <w:tmpl w:val="CA02416E"/>
    <w:lvl w:ilvl="0" w:tplc="EB1C4E64">
      <w:start w:val="54"/>
      <w:numFmt w:val="decimal"/>
      <w:lvlText w:val="%1."/>
      <w:lvlJc w:val="left"/>
      <w:pPr>
        <w:ind w:left="1080" w:hanging="360"/>
      </w:pPr>
      <w:rPr>
        <w:rFonts w:ascii="Cambria" w:hAnsi="Cambria"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D7D4B9D"/>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947C89"/>
    <w:multiLevelType w:val="hybridMultilevel"/>
    <w:tmpl w:val="D5885C68"/>
    <w:lvl w:ilvl="0" w:tplc="540A5BEC">
      <w:start w:val="94"/>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C67D1C"/>
    <w:multiLevelType w:val="hybridMultilevel"/>
    <w:tmpl w:val="CF801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67362B"/>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F54C1E42"/>
    <w:lvl w:ilvl="0" w:tplc="548600FA">
      <w:start w:val="1"/>
      <w:numFmt w:val="upperRoman"/>
      <w:pStyle w:val="Heading1"/>
      <w:lvlText w:val="%1."/>
      <w:lvlJc w:val="left"/>
      <w:pPr>
        <w:ind w:left="720" w:hanging="360"/>
      </w:pPr>
      <w:rPr>
        <w:rFonts w:hint="default"/>
        <w:lang w:val="es-VE"/>
      </w:rPr>
    </w:lvl>
    <w:lvl w:ilvl="1" w:tplc="5D9A6BAE">
      <w:start w:val="4"/>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2D4DE4"/>
    <w:multiLevelType w:val="hybridMultilevel"/>
    <w:tmpl w:val="75862D38"/>
    <w:lvl w:ilvl="0" w:tplc="35A674F0">
      <w:start w:val="88"/>
      <w:numFmt w:val="decimal"/>
      <w:lvlText w:val="%1."/>
      <w:lvlJc w:val="left"/>
      <w:pPr>
        <w:ind w:left="1440" w:hanging="360"/>
      </w:pPr>
      <w:rPr>
        <w:rFonts w:ascii="Cambria" w:hAnsi="Cambria" w:hint="default"/>
        <w:b w:val="0"/>
        <w:color w:val="auto"/>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E64D32"/>
    <w:multiLevelType w:val="hybridMultilevel"/>
    <w:tmpl w:val="C2086348"/>
    <w:lvl w:ilvl="0" w:tplc="04090015">
      <w:start w:val="1"/>
      <w:numFmt w:val="decimal"/>
      <w:lvlText w:val="%1."/>
      <w:lvlJc w:val="left"/>
      <w:pPr>
        <w:tabs>
          <w:tab w:val="num" w:pos="1247"/>
        </w:tabs>
        <w:ind w:left="0" w:firstLine="0"/>
      </w:pPr>
      <w:rPr>
        <w:rFonts w:ascii="Verdana" w:eastAsia="Times" w:hAnsi="Verdana" w:cs="Times New Roman"/>
        <w:b w:val="0"/>
        <w:i w:val="0"/>
        <w:sz w:val="20"/>
      </w:rPr>
    </w:lvl>
    <w:lvl w:ilvl="1" w:tplc="04090019">
      <w:start w:val="1"/>
      <w:numFmt w:val="lowerLetter"/>
      <w:lvlText w:val="%2)"/>
      <w:lvlJc w:val="left"/>
      <w:pPr>
        <w:tabs>
          <w:tab w:val="num" w:pos="1080"/>
        </w:tabs>
        <w:ind w:left="1080" w:hanging="360"/>
      </w:pPr>
      <w:rPr>
        <w:rFonts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E431AA9"/>
    <w:multiLevelType w:val="hybridMultilevel"/>
    <w:tmpl w:val="EF4CC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7" w15:restartNumberingAfterBreak="0">
    <w:nsid w:val="7FA24CF9"/>
    <w:multiLevelType w:val="hybridMultilevel"/>
    <w:tmpl w:val="4A3C5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8"/>
  </w:num>
  <w:num w:numId="4">
    <w:abstractNumId w:val="22"/>
  </w:num>
  <w:num w:numId="5">
    <w:abstractNumId w:val="51"/>
  </w:num>
  <w:num w:numId="6">
    <w:abstractNumId w:val="27"/>
  </w:num>
  <w:num w:numId="7">
    <w:abstractNumId w:val="9"/>
  </w:num>
  <w:num w:numId="8">
    <w:abstractNumId w:val="19"/>
  </w:num>
  <w:num w:numId="9">
    <w:abstractNumId w:val="45"/>
  </w:num>
  <w:num w:numId="10">
    <w:abstractNumId w:val="0"/>
  </w:num>
  <w:num w:numId="11">
    <w:abstractNumId w:val="40"/>
  </w:num>
  <w:num w:numId="12">
    <w:abstractNumId w:val="41"/>
  </w:num>
  <w:num w:numId="13">
    <w:abstractNumId w:val="46"/>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3"/>
  </w:num>
  <w:num w:numId="28">
    <w:abstractNumId w:val="24"/>
  </w:num>
  <w:num w:numId="29">
    <w:abstractNumId w:val="25"/>
  </w:num>
  <w:num w:numId="30">
    <w:abstractNumId w:val="26"/>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4"/>
  </w:num>
  <w:num w:numId="43">
    <w:abstractNumId w:val="55"/>
  </w:num>
  <w:num w:numId="44">
    <w:abstractNumId w:val="57"/>
  </w:num>
  <w:num w:numId="45">
    <w:abstractNumId w:val="59"/>
  </w:num>
  <w:num w:numId="46">
    <w:abstractNumId w:val="61"/>
  </w:num>
  <w:num w:numId="47">
    <w:abstractNumId w:val="62"/>
  </w:num>
  <w:num w:numId="48">
    <w:abstractNumId w:val="65"/>
  </w:num>
  <w:num w:numId="49">
    <w:abstractNumId w:val="66"/>
  </w:num>
  <w:num w:numId="50">
    <w:abstractNumId w:val="56"/>
  </w:num>
  <w:num w:numId="51">
    <w:abstractNumId w:val="47"/>
  </w:num>
  <w:num w:numId="52">
    <w:abstractNumId w:val="30"/>
  </w:num>
  <w:num w:numId="53">
    <w:abstractNumId w:val="53"/>
  </w:num>
  <w:num w:numId="54">
    <w:abstractNumId w:val="7"/>
  </w:num>
  <w:num w:numId="55">
    <w:abstractNumId w:val="67"/>
  </w:num>
  <w:num w:numId="56">
    <w:abstractNumId w:val="8"/>
  </w:num>
  <w:num w:numId="57">
    <w:abstractNumId w:val="50"/>
  </w:num>
  <w:num w:numId="58">
    <w:abstractNumId w:val="64"/>
  </w:num>
  <w:num w:numId="59">
    <w:abstractNumId w:val="44"/>
  </w:num>
  <w:num w:numId="60">
    <w:abstractNumId w:val="60"/>
  </w:num>
  <w:num w:numId="61">
    <w:abstractNumId w:val="56"/>
    <w:lvlOverride w:ilvl="0">
      <w:startOverride w:val="5"/>
    </w:lvlOverride>
  </w:num>
  <w:num w:numId="62">
    <w:abstractNumId w:val="52"/>
  </w:num>
  <w:num w:numId="63">
    <w:abstractNumId w:val="48"/>
  </w:num>
  <w:num w:numId="64">
    <w:abstractNumId w:val="39"/>
  </w:num>
  <w:num w:numId="65">
    <w:abstractNumId w:val="28"/>
  </w:num>
  <w:num w:numId="66">
    <w:abstractNumId w:val="5"/>
  </w:num>
  <w:num w:numId="67">
    <w:abstractNumId w:val="56"/>
  </w:num>
  <w:num w:numId="68">
    <w:abstractNumId w:val="3"/>
  </w:num>
  <w:num w:numId="69">
    <w:abstractNumId w:val="63"/>
  </w:num>
  <w:num w:numId="70">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638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15"/>
    <w:rsid w:val="00001CC5"/>
    <w:rsid w:val="0000413D"/>
    <w:rsid w:val="00005B87"/>
    <w:rsid w:val="00007841"/>
    <w:rsid w:val="00013E46"/>
    <w:rsid w:val="000142AE"/>
    <w:rsid w:val="000162BA"/>
    <w:rsid w:val="00016C86"/>
    <w:rsid w:val="00017406"/>
    <w:rsid w:val="00017D85"/>
    <w:rsid w:val="000222F4"/>
    <w:rsid w:val="0002233A"/>
    <w:rsid w:val="00022AA3"/>
    <w:rsid w:val="00026A10"/>
    <w:rsid w:val="00030BFA"/>
    <w:rsid w:val="00031309"/>
    <w:rsid w:val="0003171F"/>
    <w:rsid w:val="0003285F"/>
    <w:rsid w:val="00032F38"/>
    <w:rsid w:val="00034A5C"/>
    <w:rsid w:val="00034E50"/>
    <w:rsid w:val="0003573C"/>
    <w:rsid w:val="00036B98"/>
    <w:rsid w:val="00036EA7"/>
    <w:rsid w:val="0003703A"/>
    <w:rsid w:val="00037EC1"/>
    <w:rsid w:val="00040BB9"/>
    <w:rsid w:val="0004111F"/>
    <w:rsid w:val="00041547"/>
    <w:rsid w:val="0004386B"/>
    <w:rsid w:val="000446EB"/>
    <w:rsid w:val="00044D5E"/>
    <w:rsid w:val="00045B6C"/>
    <w:rsid w:val="000464BD"/>
    <w:rsid w:val="00051300"/>
    <w:rsid w:val="000528E2"/>
    <w:rsid w:val="00053717"/>
    <w:rsid w:val="00054511"/>
    <w:rsid w:val="00055573"/>
    <w:rsid w:val="00055963"/>
    <w:rsid w:val="00060F6A"/>
    <w:rsid w:val="000622D9"/>
    <w:rsid w:val="000629E4"/>
    <w:rsid w:val="00062D3F"/>
    <w:rsid w:val="0006365E"/>
    <w:rsid w:val="00063738"/>
    <w:rsid w:val="000658EF"/>
    <w:rsid w:val="00066471"/>
    <w:rsid w:val="0006708D"/>
    <w:rsid w:val="000700F5"/>
    <w:rsid w:val="00071078"/>
    <w:rsid w:val="000742AC"/>
    <w:rsid w:val="00074748"/>
    <w:rsid w:val="00076930"/>
    <w:rsid w:val="000774D5"/>
    <w:rsid w:val="000776D1"/>
    <w:rsid w:val="00082CBC"/>
    <w:rsid w:val="000904DE"/>
    <w:rsid w:val="000909C3"/>
    <w:rsid w:val="00090BFB"/>
    <w:rsid w:val="00091479"/>
    <w:rsid w:val="00092171"/>
    <w:rsid w:val="00093C1A"/>
    <w:rsid w:val="00094EAF"/>
    <w:rsid w:val="00097288"/>
    <w:rsid w:val="000A0564"/>
    <w:rsid w:val="000A09DB"/>
    <w:rsid w:val="000A64C2"/>
    <w:rsid w:val="000A6859"/>
    <w:rsid w:val="000A702B"/>
    <w:rsid w:val="000A7F25"/>
    <w:rsid w:val="000B610E"/>
    <w:rsid w:val="000C1B97"/>
    <w:rsid w:val="000C2575"/>
    <w:rsid w:val="000C44C2"/>
    <w:rsid w:val="000C5020"/>
    <w:rsid w:val="000C572C"/>
    <w:rsid w:val="000C5FFD"/>
    <w:rsid w:val="000C7605"/>
    <w:rsid w:val="000D232F"/>
    <w:rsid w:val="000D2940"/>
    <w:rsid w:val="000D3118"/>
    <w:rsid w:val="000D4BA6"/>
    <w:rsid w:val="000D50A2"/>
    <w:rsid w:val="000D5262"/>
    <w:rsid w:val="000D6FFE"/>
    <w:rsid w:val="000D7A15"/>
    <w:rsid w:val="000E0A78"/>
    <w:rsid w:val="000E1F32"/>
    <w:rsid w:val="000E4097"/>
    <w:rsid w:val="000E41B5"/>
    <w:rsid w:val="000E614C"/>
    <w:rsid w:val="000E753F"/>
    <w:rsid w:val="000F2267"/>
    <w:rsid w:val="000F2611"/>
    <w:rsid w:val="000F2EAA"/>
    <w:rsid w:val="000F4755"/>
    <w:rsid w:val="000F5CC5"/>
    <w:rsid w:val="000F62D6"/>
    <w:rsid w:val="00101E3D"/>
    <w:rsid w:val="001043E5"/>
    <w:rsid w:val="00105111"/>
    <w:rsid w:val="0010627C"/>
    <w:rsid w:val="00107AEF"/>
    <w:rsid w:val="001106D5"/>
    <w:rsid w:val="001117C0"/>
    <w:rsid w:val="00113043"/>
    <w:rsid w:val="001131F3"/>
    <w:rsid w:val="0011410B"/>
    <w:rsid w:val="0011410C"/>
    <w:rsid w:val="00121682"/>
    <w:rsid w:val="00123DDD"/>
    <w:rsid w:val="00124F6E"/>
    <w:rsid w:val="001253B4"/>
    <w:rsid w:val="00125DAD"/>
    <w:rsid w:val="00132771"/>
    <w:rsid w:val="001337D0"/>
    <w:rsid w:val="001355C2"/>
    <w:rsid w:val="00137570"/>
    <w:rsid w:val="00140A4E"/>
    <w:rsid w:val="00141024"/>
    <w:rsid w:val="001419F4"/>
    <w:rsid w:val="0014205D"/>
    <w:rsid w:val="001427B3"/>
    <w:rsid w:val="00143A5A"/>
    <w:rsid w:val="001508C1"/>
    <w:rsid w:val="00151204"/>
    <w:rsid w:val="001521EA"/>
    <w:rsid w:val="00154ED3"/>
    <w:rsid w:val="00155471"/>
    <w:rsid w:val="00160E5D"/>
    <w:rsid w:val="00162933"/>
    <w:rsid w:val="00162AD4"/>
    <w:rsid w:val="00163A33"/>
    <w:rsid w:val="001644C3"/>
    <w:rsid w:val="001645C4"/>
    <w:rsid w:val="0016762C"/>
    <w:rsid w:val="00170DF2"/>
    <w:rsid w:val="0017114C"/>
    <w:rsid w:val="00171900"/>
    <w:rsid w:val="0017199E"/>
    <w:rsid w:val="00171BA6"/>
    <w:rsid w:val="001734E0"/>
    <w:rsid w:val="00176469"/>
    <w:rsid w:val="00176900"/>
    <w:rsid w:val="00177413"/>
    <w:rsid w:val="00181755"/>
    <w:rsid w:val="001820A2"/>
    <w:rsid w:val="00182615"/>
    <w:rsid w:val="00183B94"/>
    <w:rsid w:val="00183F68"/>
    <w:rsid w:val="00184D2E"/>
    <w:rsid w:val="001860EA"/>
    <w:rsid w:val="00187B9E"/>
    <w:rsid w:val="00190855"/>
    <w:rsid w:val="00192C26"/>
    <w:rsid w:val="001934E8"/>
    <w:rsid w:val="001935BB"/>
    <w:rsid w:val="0019408B"/>
    <w:rsid w:val="00194824"/>
    <w:rsid w:val="0019656F"/>
    <w:rsid w:val="001A0717"/>
    <w:rsid w:val="001A187D"/>
    <w:rsid w:val="001A18C1"/>
    <w:rsid w:val="001A2507"/>
    <w:rsid w:val="001A2590"/>
    <w:rsid w:val="001A61B4"/>
    <w:rsid w:val="001B1832"/>
    <w:rsid w:val="001B2830"/>
    <w:rsid w:val="001B29F1"/>
    <w:rsid w:val="001B2EA2"/>
    <w:rsid w:val="001B5895"/>
    <w:rsid w:val="001B6B03"/>
    <w:rsid w:val="001C01D3"/>
    <w:rsid w:val="001C291D"/>
    <w:rsid w:val="001C2E45"/>
    <w:rsid w:val="001C3A89"/>
    <w:rsid w:val="001C62C5"/>
    <w:rsid w:val="001C6B0D"/>
    <w:rsid w:val="001C6BA4"/>
    <w:rsid w:val="001C6F4D"/>
    <w:rsid w:val="001C6FC4"/>
    <w:rsid w:val="001C7632"/>
    <w:rsid w:val="001D085B"/>
    <w:rsid w:val="001D27CD"/>
    <w:rsid w:val="001D44D0"/>
    <w:rsid w:val="001D4550"/>
    <w:rsid w:val="001D4C5E"/>
    <w:rsid w:val="001D78C1"/>
    <w:rsid w:val="001E1F4E"/>
    <w:rsid w:val="001E3078"/>
    <w:rsid w:val="001E3D60"/>
    <w:rsid w:val="001E4A8B"/>
    <w:rsid w:val="001E4C88"/>
    <w:rsid w:val="001E50DF"/>
    <w:rsid w:val="001E6D70"/>
    <w:rsid w:val="001E736D"/>
    <w:rsid w:val="001E751A"/>
    <w:rsid w:val="001F1013"/>
    <w:rsid w:val="001F1578"/>
    <w:rsid w:val="001F1E2C"/>
    <w:rsid w:val="001F2AF1"/>
    <w:rsid w:val="001F37E8"/>
    <w:rsid w:val="001F5DA8"/>
    <w:rsid w:val="001F6C65"/>
    <w:rsid w:val="001F7BF0"/>
    <w:rsid w:val="0020086B"/>
    <w:rsid w:val="00201B45"/>
    <w:rsid w:val="00201F0D"/>
    <w:rsid w:val="00201F5E"/>
    <w:rsid w:val="00203167"/>
    <w:rsid w:val="002032D3"/>
    <w:rsid w:val="0020486C"/>
    <w:rsid w:val="00206601"/>
    <w:rsid w:val="00210810"/>
    <w:rsid w:val="00212544"/>
    <w:rsid w:val="00212AFB"/>
    <w:rsid w:val="00213A95"/>
    <w:rsid w:val="0021687B"/>
    <w:rsid w:val="00216B73"/>
    <w:rsid w:val="00217221"/>
    <w:rsid w:val="00221388"/>
    <w:rsid w:val="00221712"/>
    <w:rsid w:val="002217A5"/>
    <w:rsid w:val="002227F5"/>
    <w:rsid w:val="00225FB5"/>
    <w:rsid w:val="00226453"/>
    <w:rsid w:val="00230401"/>
    <w:rsid w:val="0023208C"/>
    <w:rsid w:val="00232F61"/>
    <w:rsid w:val="0023326F"/>
    <w:rsid w:val="00233B3D"/>
    <w:rsid w:val="00236235"/>
    <w:rsid w:val="002413ED"/>
    <w:rsid w:val="00242A9A"/>
    <w:rsid w:val="00242F79"/>
    <w:rsid w:val="0024444F"/>
    <w:rsid w:val="00250466"/>
    <w:rsid w:val="00250560"/>
    <w:rsid w:val="002513BE"/>
    <w:rsid w:val="00251D3C"/>
    <w:rsid w:val="00256493"/>
    <w:rsid w:val="002566D0"/>
    <w:rsid w:val="0025719D"/>
    <w:rsid w:val="0025722D"/>
    <w:rsid w:val="00260537"/>
    <w:rsid w:val="0026110B"/>
    <w:rsid w:val="00263B40"/>
    <w:rsid w:val="00263F7B"/>
    <w:rsid w:val="0026490D"/>
    <w:rsid w:val="00264EDC"/>
    <w:rsid w:val="00265D48"/>
    <w:rsid w:val="00266550"/>
    <w:rsid w:val="0026748D"/>
    <w:rsid w:val="00267BEA"/>
    <w:rsid w:val="00270954"/>
    <w:rsid w:val="002720D1"/>
    <w:rsid w:val="00272234"/>
    <w:rsid w:val="00272983"/>
    <w:rsid w:val="002748E9"/>
    <w:rsid w:val="00274CF3"/>
    <w:rsid w:val="00274E18"/>
    <w:rsid w:val="00275093"/>
    <w:rsid w:val="0027683B"/>
    <w:rsid w:val="00277115"/>
    <w:rsid w:val="00277A03"/>
    <w:rsid w:val="00280437"/>
    <w:rsid w:val="00281995"/>
    <w:rsid w:val="00282144"/>
    <w:rsid w:val="002843C1"/>
    <w:rsid w:val="0029106D"/>
    <w:rsid w:val="00291602"/>
    <w:rsid w:val="00292721"/>
    <w:rsid w:val="002928DC"/>
    <w:rsid w:val="00293532"/>
    <w:rsid w:val="0029761A"/>
    <w:rsid w:val="002A0C6D"/>
    <w:rsid w:val="002A4FCC"/>
    <w:rsid w:val="002A62BA"/>
    <w:rsid w:val="002A6C84"/>
    <w:rsid w:val="002A7194"/>
    <w:rsid w:val="002B05CC"/>
    <w:rsid w:val="002B1017"/>
    <w:rsid w:val="002B1D2F"/>
    <w:rsid w:val="002B2EC4"/>
    <w:rsid w:val="002B41C6"/>
    <w:rsid w:val="002B4891"/>
    <w:rsid w:val="002B58BA"/>
    <w:rsid w:val="002B596B"/>
    <w:rsid w:val="002B5FD2"/>
    <w:rsid w:val="002B7E65"/>
    <w:rsid w:val="002C019D"/>
    <w:rsid w:val="002C0928"/>
    <w:rsid w:val="002C1E26"/>
    <w:rsid w:val="002C254B"/>
    <w:rsid w:val="002C45D9"/>
    <w:rsid w:val="002C4798"/>
    <w:rsid w:val="002C59D7"/>
    <w:rsid w:val="002C6D7F"/>
    <w:rsid w:val="002C79D8"/>
    <w:rsid w:val="002D1E78"/>
    <w:rsid w:val="002D2CC4"/>
    <w:rsid w:val="002D2F2F"/>
    <w:rsid w:val="002E17A4"/>
    <w:rsid w:val="002E293E"/>
    <w:rsid w:val="002E5E79"/>
    <w:rsid w:val="002E6955"/>
    <w:rsid w:val="002E69BE"/>
    <w:rsid w:val="002E7622"/>
    <w:rsid w:val="002F13DA"/>
    <w:rsid w:val="002F210F"/>
    <w:rsid w:val="002F2AF1"/>
    <w:rsid w:val="002F3AE6"/>
    <w:rsid w:val="002F3B9D"/>
    <w:rsid w:val="002F63F9"/>
    <w:rsid w:val="002F683E"/>
    <w:rsid w:val="00301A61"/>
    <w:rsid w:val="00306409"/>
    <w:rsid w:val="00306518"/>
    <w:rsid w:val="00306563"/>
    <w:rsid w:val="0030744E"/>
    <w:rsid w:val="00307F11"/>
    <w:rsid w:val="00310947"/>
    <w:rsid w:val="0031302C"/>
    <w:rsid w:val="00313E57"/>
    <w:rsid w:val="00320A31"/>
    <w:rsid w:val="00321622"/>
    <w:rsid w:val="003228C5"/>
    <w:rsid w:val="00322E09"/>
    <w:rsid w:val="00323325"/>
    <w:rsid w:val="003233F7"/>
    <w:rsid w:val="003238CB"/>
    <w:rsid w:val="00324EE8"/>
    <w:rsid w:val="00326B93"/>
    <w:rsid w:val="00327014"/>
    <w:rsid w:val="00331B0C"/>
    <w:rsid w:val="00332844"/>
    <w:rsid w:val="003357E9"/>
    <w:rsid w:val="003377B8"/>
    <w:rsid w:val="00340E84"/>
    <w:rsid w:val="0034234C"/>
    <w:rsid w:val="003425C3"/>
    <w:rsid w:val="00343B09"/>
    <w:rsid w:val="00345282"/>
    <w:rsid w:val="00346575"/>
    <w:rsid w:val="003470A3"/>
    <w:rsid w:val="003471CF"/>
    <w:rsid w:val="00350D4F"/>
    <w:rsid w:val="003515BD"/>
    <w:rsid w:val="003521A9"/>
    <w:rsid w:val="00353A2F"/>
    <w:rsid w:val="00353B89"/>
    <w:rsid w:val="00354085"/>
    <w:rsid w:val="003549A5"/>
    <w:rsid w:val="00355688"/>
    <w:rsid w:val="00357F6E"/>
    <w:rsid w:val="00361016"/>
    <w:rsid w:val="003617DF"/>
    <w:rsid w:val="0036281D"/>
    <w:rsid w:val="00362943"/>
    <w:rsid w:val="00362EE0"/>
    <w:rsid w:val="00364445"/>
    <w:rsid w:val="003657E0"/>
    <w:rsid w:val="003660E2"/>
    <w:rsid w:val="003661C1"/>
    <w:rsid w:val="003675D0"/>
    <w:rsid w:val="00367F6A"/>
    <w:rsid w:val="0037080D"/>
    <w:rsid w:val="0037126C"/>
    <w:rsid w:val="00371733"/>
    <w:rsid w:val="0037375D"/>
    <w:rsid w:val="00374191"/>
    <w:rsid w:val="00382074"/>
    <w:rsid w:val="003828B0"/>
    <w:rsid w:val="00384D4D"/>
    <w:rsid w:val="00385D11"/>
    <w:rsid w:val="00385EBB"/>
    <w:rsid w:val="003876A6"/>
    <w:rsid w:val="00387CEF"/>
    <w:rsid w:val="00390C27"/>
    <w:rsid w:val="00390CD1"/>
    <w:rsid w:val="0039387D"/>
    <w:rsid w:val="00393A7D"/>
    <w:rsid w:val="00397AAE"/>
    <w:rsid w:val="003A02DF"/>
    <w:rsid w:val="003A0322"/>
    <w:rsid w:val="003A1CD5"/>
    <w:rsid w:val="003A3CDF"/>
    <w:rsid w:val="003A3F07"/>
    <w:rsid w:val="003A5091"/>
    <w:rsid w:val="003A7D9D"/>
    <w:rsid w:val="003B0407"/>
    <w:rsid w:val="003B0D09"/>
    <w:rsid w:val="003B13A6"/>
    <w:rsid w:val="003B1E18"/>
    <w:rsid w:val="003B7769"/>
    <w:rsid w:val="003C1CE6"/>
    <w:rsid w:val="003C44D7"/>
    <w:rsid w:val="003C519B"/>
    <w:rsid w:val="003C52DB"/>
    <w:rsid w:val="003C6790"/>
    <w:rsid w:val="003D08E9"/>
    <w:rsid w:val="003D11CC"/>
    <w:rsid w:val="003D2A3D"/>
    <w:rsid w:val="003D3A8A"/>
    <w:rsid w:val="003D59E2"/>
    <w:rsid w:val="003D5B39"/>
    <w:rsid w:val="003D68A8"/>
    <w:rsid w:val="003D7D98"/>
    <w:rsid w:val="003E04D1"/>
    <w:rsid w:val="003E28E7"/>
    <w:rsid w:val="003E5DAC"/>
    <w:rsid w:val="003F0A7B"/>
    <w:rsid w:val="003F2050"/>
    <w:rsid w:val="003F216A"/>
    <w:rsid w:val="003F2C93"/>
    <w:rsid w:val="003F345C"/>
    <w:rsid w:val="003F384F"/>
    <w:rsid w:val="003F450A"/>
    <w:rsid w:val="003F6474"/>
    <w:rsid w:val="0040029A"/>
    <w:rsid w:val="00404EDE"/>
    <w:rsid w:val="00404FC1"/>
    <w:rsid w:val="00405CB0"/>
    <w:rsid w:val="004101D8"/>
    <w:rsid w:val="0041069F"/>
    <w:rsid w:val="0041123D"/>
    <w:rsid w:val="004112A3"/>
    <w:rsid w:val="0041155E"/>
    <w:rsid w:val="00415497"/>
    <w:rsid w:val="0041569F"/>
    <w:rsid w:val="004160F0"/>
    <w:rsid w:val="0042131E"/>
    <w:rsid w:val="004226AA"/>
    <w:rsid w:val="00423F48"/>
    <w:rsid w:val="00423F4D"/>
    <w:rsid w:val="00425EC1"/>
    <w:rsid w:val="0042608E"/>
    <w:rsid w:val="0042621C"/>
    <w:rsid w:val="004268E5"/>
    <w:rsid w:val="00427999"/>
    <w:rsid w:val="00430348"/>
    <w:rsid w:val="004324B4"/>
    <w:rsid w:val="00432924"/>
    <w:rsid w:val="00432A12"/>
    <w:rsid w:val="0043425F"/>
    <w:rsid w:val="00435534"/>
    <w:rsid w:val="004359DF"/>
    <w:rsid w:val="00435C1E"/>
    <w:rsid w:val="00435DF7"/>
    <w:rsid w:val="00437AE4"/>
    <w:rsid w:val="00437D17"/>
    <w:rsid w:val="00441354"/>
    <w:rsid w:val="0044204F"/>
    <w:rsid w:val="00442B93"/>
    <w:rsid w:val="004434AF"/>
    <w:rsid w:val="00445986"/>
    <w:rsid w:val="00445D31"/>
    <w:rsid w:val="00446EB6"/>
    <w:rsid w:val="00450709"/>
    <w:rsid w:val="004530E2"/>
    <w:rsid w:val="00455E58"/>
    <w:rsid w:val="0045738F"/>
    <w:rsid w:val="004604F9"/>
    <w:rsid w:val="00460D9C"/>
    <w:rsid w:val="00462333"/>
    <w:rsid w:val="0046565B"/>
    <w:rsid w:val="00466871"/>
    <w:rsid w:val="0046722D"/>
    <w:rsid w:val="00471693"/>
    <w:rsid w:val="00472C48"/>
    <w:rsid w:val="00473DA7"/>
    <w:rsid w:val="00480C46"/>
    <w:rsid w:val="00481823"/>
    <w:rsid w:val="004826C3"/>
    <w:rsid w:val="00483BA0"/>
    <w:rsid w:val="004841D2"/>
    <w:rsid w:val="00484E38"/>
    <w:rsid w:val="004862C3"/>
    <w:rsid w:val="004867F9"/>
    <w:rsid w:val="00491B21"/>
    <w:rsid w:val="00492709"/>
    <w:rsid w:val="00492C48"/>
    <w:rsid w:val="00492F90"/>
    <w:rsid w:val="0049413A"/>
    <w:rsid w:val="004943EB"/>
    <w:rsid w:val="004956E3"/>
    <w:rsid w:val="00495BBF"/>
    <w:rsid w:val="00496500"/>
    <w:rsid w:val="00497946"/>
    <w:rsid w:val="00497BD3"/>
    <w:rsid w:val="00497FFB"/>
    <w:rsid w:val="004A3F45"/>
    <w:rsid w:val="004A4C03"/>
    <w:rsid w:val="004A5071"/>
    <w:rsid w:val="004A5B6D"/>
    <w:rsid w:val="004A6910"/>
    <w:rsid w:val="004A6B8F"/>
    <w:rsid w:val="004B0285"/>
    <w:rsid w:val="004B0927"/>
    <w:rsid w:val="004B3610"/>
    <w:rsid w:val="004B3AF6"/>
    <w:rsid w:val="004B3C1E"/>
    <w:rsid w:val="004B59D5"/>
    <w:rsid w:val="004B6168"/>
    <w:rsid w:val="004B635D"/>
    <w:rsid w:val="004B7769"/>
    <w:rsid w:val="004B7A49"/>
    <w:rsid w:val="004B7FBF"/>
    <w:rsid w:val="004C0048"/>
    <w:rsid w:val="004C0C7D"/>
    <w:rsid w:val="004C0FC2"/>
    <w:rsid w:val="004C1102"/>
    <w:rsid w:val="004C32C9"/>
    <w:rsid w:val="004C32F8"/>
    <w:rsid w:val="004C343B"/>
    <w:rsid w:val="004C57BB"/>
    <w:rsid w:val="004D0D4D"/>
    <w:rsid w:val="004D26C8"/>
    <w:rsid w:val="004D6F82"/>
    <w:rsid w:val="004E5C67"/>
    <w:rsid w:val="004E6BBA"/>
    <w:rsid w:val="004F08FA"/>
    <w:rsid w:val="004F093F"/>
    <w:rsid w:val="004F2A05"/>
    <w:rsid w:val="004F38BB"/>
    <w:rsid w:val="004F3BB4"/>
    <w:rsid w:val="004F4336"/>
    <w:rsid w:val="004F4608"/>
    <w:rsid w:val="004F4C5C"/>
    <w:rsid w:val="004F5FBD"/>
    <w:rsid w:val="004F623F"/>
    <w:rsid w:val="004F634D"/>
    <w:rsid w:val="004F6E19"/>
    <w:rsid w:val="004F737D"/>
    <w:rsid w:val="004F74CB"/>
    <w:rsid w:val="005010DE"/>
    <w:rsid w:val="005016EF"/>
    <w:rsid w:val="005019C4"/>
    <w:rsid w:val="005020EA"/>
    <w:rsid w:val="005029CA"/>
    <w:rsid w:val="00503FFC"/>
    <w:rsid w:val="005044A2"/>
    <w:rsid w:val="00505AE0"/>
    <w:rsid w:val="005063CB"/>
    <w:rsid w:val="00510482"/>
    <w:rsid w:val="00510F43"/>
    <w:rsid w:val="00511C91"/>
    <w:rsid w:val="00512D33"/>
    <w:rsid w:val="00512E34"/>
    <w:rsid w:val="005136F2"/>
    <w:rsid w:val="005138AD"/>
    <w:rsid w:val="00514C36"/>
    <w:rsid w:val="00515137"/>
    <w:rsid w:val="005162B5"/>
    <w:rsid w:val="00516CAA"/>
    <w:rsid w:val="00520849"/>
    <w:rsid w:val="00521B7B"/>
    <w:rsid w:val="00522516"/>
    <w:rsid w:val="005228B0"/>
    <w:rsid w:val="005229EA"/>
    <w:rsid w:val="005234B1"/>
    <w:rsid w:val="005239EC"/>
    <w:rsid w:val="00523EA8"/>
    <w:rsid w:val="00525F7F"/>
    <w:rsid w:val="0052716E"/>
    <w:rsid w:val="00531582"/>
    <w:rsid w:val="00533179"/>
    <w:rsid w:val="00534BFF"/>
    <w:rsid w:val="00534F5D"/>
    <w:rsid w:val="0053513A"/>
    <w:rsid w:val="00535C0D"/>
    <w:rsid w:val="00536642"/>
    <w:rsid w:val="0053671A"/>
    <w:rsid w:val="0054044C"/>
    <w:rsid w:val="00540760"/>
    <w:rsid w:val="0054132A"/>
    <w:rsid w:val="005415F6"/>
    <w:rsid w:val="00541F27"/>
    <w:rsid w:val="005425CC"/>
    <w:rsid w:val="00543515"/>
    <w:rsid w:val="00543B15"/>
    <w:rsid w:val="005450F5"/>
    <w:rsid w:val="00547293"/>
    <w:rsid w:val="00547DAE"/>
    <w:rsid w:val="00550CDE"/>
    <w:rsid w:val="005516B2"/>
    <w:rsid w:val="005601CF"/>
    <w:rsid w:val="00560281"/>
    <w:rsid w:val="00561354"/>
    <w:rsid w:val="00562649"/>
    <w:rsid w:val="005658CC"/>
    <w:rsid w:val="00570D63"/>
    <w:rsid w:val="005723D1"/>
    <w:rsid w:val="0057241F"/>
    <w:rsid w:val="005736B7"/>
    <w:rsid w:val="00573789"/>
    <w:rsid w:val="00574340"/>
    <w:rsid w:val="00574378"/>
    <w:rsid w:val="00575982"/>
    <w:rsid w:val="00576A83"/>
    <w:rsid w:val="00582A10"/>
    <w:rsid w:val="00583810"/>
    <w:rsid w:val="00584354"/>
    <w:rsid w:val="005844E0"/>
    <w:rsid w:val="0058583B"/>
    <w:rsid w:val="0058617D"/>
    <w:rsid w:val="00586A63"/>
    <w:rsid w:val="00586E34"/>
    <w:rsid w:val="00590ACA"/>
    <w:rsid w:val="00591371"/>
    <w:rsid w:val="0059157A"/>
    <w:rsid w:val="00592859"/>
    <w:rsid w:val="00592C02"/>
    <w:rsid w:val="00592E86"/>
    <w:rsid w:val="0059357A"/>
    <w:rsid w:val="005944E0"/>
    <w:rsid w:val="00594A11"/>
    <w:rsid w:val="00595A3D"/>
    <w:rsid w:val="00595B15"/>
    <w:rsid w:val="005961DE"/>
    <w:rsid w:val="005968E6"/>
    <w:rsid w:val="005979E4"/>
    <w:rsid w:val="005A11E5"/>
    <w:rsid w:val="005A196F"/>
    <w:rsid w:val="005A4879"/>
    <w:rsid w:val="005A550E"/>
    <w:rsid w:val="005A5D31"/>
    <w:rsid w:val="005A6D5C"/>
    <w:rsid w:val="005B0147"/>
    <w:rsid w:val="005B09FA"/>
    <w:rsid w:val="005B3264"/>
    <w:rsid w:val="005B4089"/>
    <w:rsid w:val="005B44F6"/>
    <w:rsid w:val="005B4A7B"/>
    <w:rsid w:val="005B6642"/>
    <w:rsid w:val="005B7225"/>
    <w:rsid w:val="005B727C"/>
    <w:rsid w:val="005B7D55"/>
    <w:rsid w:val="005C2805"/>
    <w:rsid w:val="005C317F"/>
    <w:rsid w:val="005C4FC4"/>
    <w:rsid w:val="005C67C9"/>
    <w:rsid w:val="005C698A"/>
    <w:rsid w:val="005D2FF9"/>
    <w:rsid w:val="005D3307"/>
    <w:rsid w:val="005D3632"/>
    <w:rsid w:val="005D3AE1"/>
    <w:rsid w:val="005D5143"/>
    <w:rsid w:val="005E0660"/>
    <w:rsid w:val="005E14EE"/>
    <w:rsid w:val="005E331B"/>
    <w:rsid w:val="005E5648"/>
    <w:rsid w:val="005E7CB0"/>
    <w:rsid w:val="005F0F67"/>
    <w:rsid w:val="005F217D"/>
    <w:rsid w:val="005F320C"/>
    <w:rsid w:val="005F41BE"/>
    <w:rsid w:val="005F43FB"/>
    <w:rsid w:val="005F66E0"/>
    <w:rsid w:val="005F68F7"/>
    <w:rsid w:val="005F7F24"/>
    <w:rsid w:val="0060097B"/>
    <w:rsid w:val="006015F4"/>
    <w:rsid w:val="00601731"/>
    <w:rsid w:val="006019D0"/>
    <w:rsid w:val="00601A72"/>
    <w:rsid w:val="00601FEF"/>
    <w:rsid w:val="00604B7D"/>
    <w:rsid w:val="00610A15"/>
    <w:rsid w:val="00610ADF"/>
    <w:rsid w:val="00611DBD"/>
    <w:rsid w:val="00612D3C"/>
    <w:rsid w:val="0061347F"/>
    <w:rsid w:val="00614131"/>
    <w:rsid w:val="00615A70"/>
    <w:rsid w:val="00617630"/>
    <w:rsid w:val="00621BB5"/>
    <w:rsid w:val="00621E7B"/>
    <w:rsid w:val="00622E5D"/>
    <w:rsid w:val="00622F74"/>
    <w:rsid w:val="0062415B"/>
    <w:rsid w:val="006244E2"/>
    <w:rsid w:val="00627FA8"/>
    <w:rsid w:val="006303E6"/>
    <w:rsid w:val="006324B1"/>
    <w:rsid w:val="00632B27"/>
    <w:rsid w:val="00633373"/>
    <w:rsid w:val="00636EAA"/>
    <w:rsid w:val="00637730"/>
    <w:rsid w:val="00640078"/>
    <w:rsid w:val="006402C6"/>
    <w:rsid w:val="00640628"/>
    <w:rsid w:val="00641FA4"/>
    <w:rsid w:val="0064521C"/>
    <w:rsid w:val="006456AE"/>
    <w:rsid w:val="006468DC"/>
    <w:rsid w:val="00647BCC"/>
    <w:rsid w:val="00647EC5"/>
    <w:rsid w:val="006515DF"/>
    <w:rsid w:val="00651E06"/>
    <w:rsid w:val="0065221B"/>
    <w:rsid w:val="00652695"/>
    <w:rsid w:val="006532C9"/>
    <w:rsid w:val="00654612"/>
    <w:rsid w:val="00656B94"/>
    <w:rsid w:val="00656BEA"/>
    <w:rsid w:val="006648EB"/>
    <w:rsid w:val="00664E77"/>
    <w:rsid w:val="00666014"/>
    <w:rsid w:val="00666F6B"/>
    <w:rsid w:val="0066797B"/>
    <w:rsid w:val="00667A86"/>
    <w:rsid w:val="00670136"/>
    <w:rsid w:val="00671D71"/>
    <w:rsid w:val="006745BF"/>
    <w:rsid w:val="00674E68"/>
    <w:rsid w:val="00674EF8"/>
    <w:rsid w:val="006766F4"/>
    <w:rsid w:val="00681A99"/>
    <w:rsid w:val="00681F95"/>
    <w:rsid w:val="006831CE"/>
    <w:rsid w:val="006852D7"/>
    <w:rsid w:val="006859B5"/>
    <w:rsid w:val="00686600"/>
    <w:rsid w:val="00686D0F"/>
    <w:rsid w:val="006927D4"/>
    <w:rsid w:val="00692815"/>
    <w:rsid w:val="00694527"/>
    <w:rsid w:val="00695964"/>
    <w:rsid w:val="00696498"/>
    <w:rsid w:val="00696B68"/>
    <w:rsid w:val="006A1F34"/>
    <w:rsid w:val="006A3955"/>
    <w:rsid w:val="006A6783"/>
    <w:rsid w:val="006A6813"/>
    <w:rsid w:val="006A710B"/>
    <w:rsid w:val="006A710D"/>
    <w:rsid w:val="006A75EE"/>
    <w:rsid w:val="006A76A7"/>
    <w:rsid w:val="006B1B0B"/>
    <w:rsid w:val="006B1BE6"/>
    <w:rsid w:val="006B2DE0"/>
    <w:rsid w:val="006B481D"/>
    <w:rsid w:val="006B56B2"/>
    <w:rsid w:val="006B58F1"/>
    <w:rsid w:val="006B6E80"/>
    <w:rsid w:val="006C31E4"/>
    <w:rsid w:val="006C4B2D"/>
    <w:rsid w:val="006C7B09"/>
    <w:rsid w:val="006D191F"/>
    <w:rsid w:val="006D369C"/>
    <w:rsid w:val="006D4007"/>
    <w:rsid w:val="006D53D2"/>
    <w:rsid w:val="006D6455"/>
    <w:rsid w:val="006D692D"/>
    <w:rsid w:val="006D6FFB"/>
    <w:rsid w:val="006D7687"/>
    <w:rsid w:val="006E0DFF"/>
    <w:rsid w:val="006E19C8"/>
    <w:rsid w:val="006E22A6"/>
    <w:rsid w:val="006E24AF"/>
    <w:rsid w:val="006E2718"/>
    <w:rsid w:val="006E2E54"/>
    <w:rsid w:val="006E3673"/>
    <w:rsid w:val="006E3B4D"/>
    <w:rsid w:val="006E3F50"/>
    <w:rsid w:val="006E5726"/>
    <w:rsid w:val="006E62BD"/>
    <w:rsid w:val="006E6766"/>
    <w:rsid w:val="006E677B"/>
    <w:rsid w:val="006E753D"/>
    <w:rsid w:val="006E755C"/>
    <w:rsid w:val="006E7883"/>
    <w:rsid w:val="006F0677"/>
    <w:rsid w:val="006F1862"/>
    <w:rsid w:val="006F380A"/>
    <w:rsid w:val="006F3BE6"/>
    <w:rsid w:val="006F7555"/>
    <w:rsid w:val="006F75EF"/>
    <w:rsid w:val="007012D9"/>
    <w:rsid w:val="00701B69"/>
    <w:rsid w:val="00701C86"/>
    <w:rsid w:val="00701DAF"/>
    <w:rsid w:val="00703549"/>
    <w:rsid w:val="0070419B"/>
    <w:rsid w:val="00706917"/>
    <w:rsid w:val="00707171"/>
    <w:rsid w:val="0070743E"/>
    <w:rsid w:val="007105D0"/>
    <w:rsid w:val="0071072E"/>
    <w:rsid w:val="00712B36"/>
    <w:rsid w:val="007138CB"/>
    <w:rsid w:val="00713FB7"/>
    <w:rsid w:val="00714ADB"/>
    <w:rsid w:val="00715999"/>
    <w:rsid w:val="007167FA"/>
    <w:rsid w:val="0071741F"/>
    <w:rsid w:val="00721C83"/>
    <w:rsid w:val="007220C9"/>
    <w:rsid w:val="00722683"/>
    <w:rsid w:val="00723AE3"/>
    <w:rsid w:val="00725198"/>
    <w:rsid w:val="00725FB5"/>
    <w:rsid w:val="007277DB"/>
    <w:rsid w:val="00730B65"/>
    <w:rsid w:val="007336AA"/>
    <w:rsid w:val="00733E48"/>
    <w:rsid w:val="00734817"/>
    <w:rsid w:val="00734F0E"/>
    <w:rsid w:val="00734F96"/>
    <w:rsid w:val="00736290"/>
    <w:rsid w:val="00740230"/>
    <w:rsid w:val="007408A6"/>
    <w:rsid w:val="00744F61"/>
    <w:rsid w:val="007450A8"/>
    <w:rsid w:val="007468E8"/>
    <w:rsid w:val="00746A99"/>
    <w:rsid w:val="00747367"/>
    <w:rsid w:val="00747880"/>
    <w:rsid w:val="00751EF8"/>
    <w:rsid w:val="00752471"/>
    <w:rsid w:val="007551AB"/>
    <w:rsid w:val="00755994"/>
    <w:rsid w:val="00757564"/>
    <w:rsid w:val="00757836"/>
    <w:rsid w:val="00761A05"/>
    <w:rsid w:val="00764C58"/>
    <w:rsid w:val="00765AA3"/>
    <w:rsid w:val="00766454"/>
    <w:rsid w:val="007678B9"/>
    <w:rsid w:val="00771F9A"/>
    <w:rsid w:val="007729B9"/>
    <w:rsid w:val="00774F7C"/>
    <w:rsid w:val="007768AF"/>
    <w:rsid w:val="007773D2"/>
    <w:rsid w:val="00777B02"/>
    <w:rsid w:val="00777DBB"/>
    <w:rsid w:val="00777ECD"/>
    <w:rsid w:val="00781407"/>
    <w:rsid w:val="00784ED8"/>
    <w:rsid w:val="00786606"/>
    <w:rsid w:val="007935FA"/>
    <w:rsid w:val="0079452C"/>
    <w:rsid w:val="007950FB"/>
    <w:rsid w:val="0079526D"/>
    <w:rsid w:val="00796F6F"/>
    <w:rsid w:val="00797E6D"/>
    <w:rsid w:val="007A0D07"/>
    <w:rsid w:val="007A1194"/>
    <w:rsid w:val="007A1B8A"/>
    <w:rsid w:val="007A2161"/>
    <w:rsid w:val="007A23CF"/>
    <w:rsid w:val="007A319C"/>
    <w:rsid w:val="007A352F"/>
    <w:rsid w:val="007A3F94"/>
    <w:rsid w:val="007A3FEF"/>
    <w:rsid w:val="007A43BA"/>
    <w:rsid w:val="007A737A"/>
    <w:rsid w:val="007B031B"/>
    <w:rsid w:val="007B1567"/>
    <w:rsid w:val="007B19EB"/>
    <w:rsid w:val="007B225A"/>
    <w:rsid w:val="007B45AE"/>
    <w:rsid w:val="007B534E"/>
    <w:rsid w:val="007B5671"/>
    <w:rsid w:val="007B65C8"/>
    <w:rsid w:val="007B6784"/>
    <w:rsid w:val="007C1371"/>
    <w:rsid w:val="007C4A2B"/>
    <w:rsid w:val="007C68AD"/>
    <w:rsid w:val="007C6CDA"/>
    <w:rsid w:val="007C6EA5"/>
    <w:rsid w:val="007D0191"/>
    <w:rsid w:val="007D174D"/>
    <w:rsid w:val="007D1802"/>
    <w:rsid w:val="007D250B"/>
    <w:rsid w:val="007D27D2"/>
    <w:rsid w:val="007D3404"/>
    <w:rsid w:val="007D3AAD"/>
    <w:rsid w:val="007D3ABC"/>
    <w:rsid w:val="007D6C54"/>
    <w:rsid w:val="007D7A0F"/>
    <w:rsid w:val="007D7AF0"/>
    <w:rsid w:val="007E53E6"/>
    <w:rsid w:val="007E61E5"/>
    <w:rsid w:val="007E63D7"/>
    <w:rsid w:val="007E779B"/>
    <w:rsid w:val="007F09B3"/>
    <w:rsid w:val="007F203C"/>
    <w:rsid w:val="007F4207"/>
    <w:rsid w:val="007F5CF8"/>
    <w:rsid w:val="007F685E"/>
    <w:rsid w:val="007F6C76"/>
    <w:rsid w:val="007F6FD5"/>
    <w:rsid w:val="007F77F3"/>
    <w:rsid w:val="008002FE"/>
    <w:rsid w:val="0080182C"/>
    <w:rsid w:val="008037EA"/>
    <w:rsid w:val="00803B0D"/>
    <w:rsid w:val="00805083"/>
    <w:rsid w:val="00805A6A"/>
    <w:rsid w:val="00805C72"/>
    <w:rsid w:val="008073B7"/>
    <w:rsid w:val="00807C76"/>
    <w:rsid w:val="00807CD4"/>
    <w:rsid w:val="0081003E"/>
    <w:rsid w:val="008147FA"/>
    <w:rsid w:val="008218F6"/>
    <w:rsid w:val="0082192C"/>
    <w:rsid w:val="00821E9B"/>
    <w:rsid w:val="0082295C"/>
    <w:rsid w:val="008242DA"/>
    <w:rsid w:val="00825A99"/>
    <w:rsid w:val="00826B16"/>
    <w:rsid w:val="0083124F"/>
    <w:rsid w:val="00832D69"/>
    <w:rsid w:val="0083492E"/>
    <w:rsid w:val="0083586F"/>
    <w:rsid w:val="00840D00"/>
    <w:rsid w:val="00842594"/>
    <w:rsid w:val="00842F2D"/>
    <w:rsid w:val="008448FC"/>
    <w:rsid w:val="00847B48"/>
    <w:rsid w:val="00847FDB"/>
    <w:rsid w:val="008552F3"/>
    <w:rsid w:val="00855A1F"/>
    <w:rsid w:val="00857D2B"/>
    <w:rsid w:val="00860400"/>
    <w:rsid w:val="008605FB"/>
    <w:rsid w:val="00863062"/>
    <w:rsid w:val="00866832"/>
    <w:rsid w:val="0086761E"/>
    <w:rsid w:val="008678FF"/>
    <w:rsid w:val="00867A75"/>
    <w:rsid w:val="008715CB"/>
    <w:rsid w:val="00872AEB"/>
    <w:rsid w:val="00873226"/>
    <w:rsid w:val="00875DE0"/>
    <w:rsid w:val="008773E4"/>
    <w:rsid w:val="008800D0"/>
    <w:rsid w:val="008818B7"/>
    <w:rsid w:val="00882134"/>
    <w:rsid w:val="00883F6F"/>
    <w:rsid w:val="008841CB"/>
    <w:rsid w:val="0088493A"/>
    <w:rsid w:val="008852AF"/>
    <w:rsid w:val="008859BD"/>
    <w:rsid w:val="00886F10"/>
    <w:rsid w:val="00887066"/>
    <w:rsid w:val="00887097"/>
    <w:rsid w:val="00890073"/>
    <w:rsid w:val="00890F34"/>
    <w:rsid w:val="008935E2"/>
    <w:rsid w:val="008947F6"/>
    <w:rsid w:val="00896AE1"/>
    <w:rsid w:val="008A04BD"/>
    <w:rsid w:val="008A0C71"/>
    <w:rsid w:val="008A0E64"/>
    <w:rsid w:val="008A1E74"/>
    <w:rsid w:val="008A3B72"/>
    <w:rsid w:val="008A65F4"/>
    <w:rsid w:val="008A6BBE"/>
    <w:rsid w:val="008A7B55"/>
    <w:rsid w:val="008B03C0"/>
    <w:rsid w:val="008B28F4"/>
    <w:rsid w:val="008B36DE"/>
    <w:rsid w:val="008B4628"/>
    <w:rsid w:val="008B4B8A"/>
    <w:rsid w:val="008B5CE7"/>
    <w:rsid w:val="008B6D28"/>
    <w:rsid w:val="008B7B4C"/>
    <w:rsid w:val="008D129A"/>
    <w:rsid w:val="008D34F3"/>
    <w:rsid w:val="008D37CE"/>
    <w:rsid w:val="008E31AE"/>
    <w:rsid w:val="008E3544"/>
    <w:rsid w:val="008E4263"/>
    <w:rsid w:val="008E6D97"/>
    <w:rsid w:val="008E6EBF"/>
    <w:rsid w:val="008E78CC"/>
    <w:rsid w:val="008E7B56"/>
    <w:rsid w:val="008E7D7D"/>
    <w:rsid w:val="008F0E9F"/>
    <w:rsid w:val="008F0FA1"/>
    <w:rsid w:val="008F2BBE"/>
    <w:rsid w:val="008F3190"/>
    <w:rsid w:val="008F3D3D"/>
    <w:rsid w:val="008F74F3"/>
    <w:rsid w:val="00900CF7"/>
    <w:rsid w:val="00900EBA"/>
    <w:rsid w:val="00902438"/>
    <w:rsid w:val="009037C7"/>
    <w:rsid w:val="00904A36"/>
    <w:rsid w:val="00905238"/>
    <w:rsid w:val="00905725"/>
    <w:rsid w:val="00907410"/>
    <w:rsid w:val="009117C6"/>
    <w:rsid w:val="00911F8E"/>
    <w:rsid w:val="00912B5D"/>
    <w:rsid w:val="00914321"/>
    <w:rsid w:val="009148CE"/>
    <w:rsid w:val="009156D6"/>
    <w:rsid w:val="009158B7"/>
    <w:rsid w:val="0091635C"/>
    <w:rsid w:val="00920DC7"/>
    <w:rsid w:val="009217FA"/>
    <w:rsid w:val="00924231"/>
    <w:rsid w:val="00924852"/>
    <w:rsid w:val="00924BDC"/>
    <w:rsid w:val="00926ACF"/>
    <w:rsid w:val="00926EAD"/>
    <w:rsid w:val="0092779C"/>
    <w:rsid w:val="00934799"/>
    <w:rsid w:val="00934B23"/>
    <w:rsid w:val="00935064"/>
    <w:rsid w:val="00935C07"/>
    <w:rsid w:val="00937B73"/>
    <w:rsid w:val="00937F98"/>
    <w:rsid w:val="0094098B"/>
    <w:rsid w:val="009409BE"/>
    <w:rsid w:val="00940D1A"/>
    <w:rsid w:val="00942646"/>
    <w:rsid w:val="00944420"/>
    <w:rsid w:val="009448F3"/>
    <w:rsid w:val="00944F2A"/>
    <w:rsid w:val="00945090"/>
    <w:rsid w:val="00951348"/>
    <w:rsid w:val="00951A53"/>
    <w:rsid w:val="00953FEC"/>
    <w:rsid w:val="00954AAE"/>
    <w:rsid w:val="009557C2"/>
    <w:rsid w:val="00955FA5"/>
    <w:rsid w:val="009560FB"/>
    <w:rsid w:val="009568BB"/>
    <w:rsid w:val="0096011A"/>
    <w:rsid w:val="00964DC3"/>
    <w:rsid w:val="00964EE0"/>
    <w:rsid w:val="00965DE5"/>
    <w:rsid w:val="00966CC7"/>
    <w:rsid w:val="00973432"/>
    <w:rsid w:val="00973E85"/>
    <w:rsid w:val="00974F3F"/>
    <w:rsid w:val="00975B86"/>
    <w:rsid w:val="00981E73"/>
    <w:rsid w:val="00983E9A"/>
    <w:rsid w:val="0098493C"/>
    <w:rsid w:val="00985892"/>
    <w:rsid w:val="0098612E"/>
    <w:rsid w:val="00987932"/>
    <w:rsid w:val="00990ACC"/>
    <w:rsid w:val="009920F2"/>
    <w:rsid w:val="00992B58"/>
    <w:rsid w:val="009933FB"/>
    <w:rsid w:val="00995B59"/>
    <w:rsid w:val="00996F49"/>
    <w:rsid w:val="00997B0E"/>
    <w:rsid w:val="009A0952"/>
    <w:rsid w:val="009A1594"/>
    <w:rsid w:val="009A15C5"/>
    <w:rsid w:val="009A2ACB"/>
    <w:rsid w:val="009A33A0"/>
    <w:rsid w:val="009A4EFE"/>
    <w:rsid w:val="009A5466"/>
    <w:rsid w:val="009A7CA4"/>
    <w:rsid w:val="009B05DD"/>
    <w:rsid w:val="009B12D6"/>
    <w:rsid w:val="009B3DD0"/>
    <w:rsid w:val="009B4034"/>
    <w:rsid w:val="009B4A06"/>
    <w:rsid w:val="009B726F"/>
    <w:rsid w:val="009B7C97"/>
    <w:rsid w:val="009C0524"/>
    <w:rsid w:val="009C06CA"/>
    <w:rsid w:val="009C0FF9"/>
    <w:rsid w:val="009C1ED7"/>
    <w:rsid w:val="009C3DA6"/>
    <w:rsid w:val="009C4694"/>
    <w:rsid w:val="009C4CCC"/>
    <w:rsid w:val="009C60C3"/>
    <w:rsid w:val="009C7992"/>
    <w:rsid w:val="009D017B"/>
    <w:rsid w:val="009D0723"/>
    <w:rsid w:val="009D2407"/>
    <w:rsid w:val="009D486B"/>
    <w:rsid w:val="009D4D35"/>
    <w:rsid w:val="009D6449"/>
    <w:rsid w:val="009D70A3"/>
    <w:rsid w:val="009E1EC4"/>
    <w:rsid w:val="009E1F96"/>
    <w:rsid w:val="009E274B"/>
    <w:rsid w:val="009E3BAE"/>
    <w:rsid w:val="009E5953"/>
    <w:rsid w:val="009E59D8"/>
    <w:rsid w:val="009E7874"/>
    <w:rsid w:val="009E7EA9"/>
    <w:rsid w:val="009F0092"/>
    <w:rsid w:val="009F02C3"/>
    <w:rsid w:val="009F0934"/>
    <w:rsid w:val="009F132D"/>
    <w:rsid w:val="009F21FC"/>
    <w:rsid w:val="009F3586"/>
    <w:rsid w:val="009F5413"/>
    <w:rsid w:val="009F5F2F"/>
    <w:rsid w:val="009F5FA0"/>
    <w:rsid w:val="00A017F7"/>
    <w:rsid w:val="00A036E5"/>
    <w:rsid w:val="00A052F6"/>
    <w:rsid w:val="00A05318"/>
    <w:rsid w:val="00A109F3"/>
    <w:rsid w:val="00A11243"/>
    <w:rsid w:val="00A1201F"/>
    <w:rsid w:val="00A12658"/>
    <w:rsid w:val="00A16E82"/>
    <w:rsid w:val="00A2021B"/>
    <w:rsid w:val="00A21F00"/>
    <w:rsid w:val="00A24BF8"/>
    <w:rsid w:val="00A2506A"/>
    <w:rsid w:val="00A26660"/>
    <w:rsid w:val="00A26F14"/>
    <w:rsid w:val="00A272FC"/>
    <w:rsid w:val="00A27C5C"/>
    <w:rsid w:val="00A31B1D"/>
    <w:rsid w:val="00A31E05"/>
    <w:rsid w:val="00A34169"/>
    <w:rsid w:val="00A34C7E"/>
    <w:rsid w:val="00A37115"/>
    <w:rsid w:val="00A406ED"/>
    <w:rsid w:val="00A4087B"/>
    <w:rsid w:val="00A4174E"/>
    <w:rsid w:val="00A42081"/>
    <w:rsid w:val="00A42D5E"/>
    <w:rsid w:val="00A43CF3"/>
    <w:rsid w:val="00A46FED"/>
    <w:rsid w:val="00A47000"/>
    <w:rsid w:val="00A4716A"/>
    <w:rsid w:val="00A50675"/>
    <w:rsid w:val="00A52CAA"/>
    <w:rsid w:val="00A541F0"/>
    <w:rsid w:val="00A55FF0"/>
    <w:rsid w:val="00A57639"/>
    <w:rsid w:val="00A578D8"/>
    <w:rsid w:val="00A57A6D"/>
    <w:rsid w:val="00A57B85"/>
    <w:rsid w:val="00A609A9"/>
    <w:rsid w:val="00A610DA"/>
    <w:rsid w:val="00A6264F"/>
    <w:rsid w:val="00A6406B"/>
    <w:rsid w:val="00A6490A"/>
    <w:rsid w:val="00A6513A"/>
    <w:rsid w:val="00A654FF"/>
    <w:rsid w:val="00A739AC"/>
    <w:rsid w:val="00A73FD4"/>
    <w:rsid w:val="00A74516"/>
    <w:rsid w:val="00A74C27"/>
    <w:rsid w:val="00A75F49"/>
    <w:rsid w:val="00A76192"/>
    <w:rsid w:val="00A7756A"/>
    <w:rsid w:val="00A77FAF"/>
    <w:rsid w:val="00A800F9"/>
    <w:rsid w:val="00A80B03"/>
    <w:rsid w:val="00A810C0"/>
    <w:rsid w:val="00A81EE5"/>
    <w:rsid w:val="00A832F3"/>
    <w:rsid w:val="00A835CF"/>
    <w:rsid w:val="00A85097"/>
    <w:rsid w:val="00A85543"/>
    <w:rsid w:val="00A856DE"/>
    <w:rsid w:val="00A907EC"/>
    <w:rsid w:val="00A91FA9"/>
    <w:rsid w:val="00A92D3C"/>
    <w:rsid w:val="00A92E4A"/>
    <w:rsid w:val="00A94551"/>
    <w:rsid w:val="00A94C66"/>
    <w:rsid w:val="00A957DE"/>
    <w:rsid w:val="00AA2640"/>
    <w:rsid w:val="00AA2CA9"/>
    <w:rsid w:val="00AA3942"/>
    <w:rsid w:val="00AA3DBA"/>
    <w:rsid w:val="00AA6BE8"/>
    <w:rsid w:val="00AA71EF"/>
    <w:rsid w:val="00AB32BC"/>
    <w:rsid w:val="00AB473D"/>
    <w:rsid w:val="00AB4A63"/>
    <w:rsid w:val="00AB7F1F"/>
    <w:rsid w:val="00AC1260"/>
    <w:rsid w:val="00AC147D"/>
    <w:rsid w:val="00AC272E"/>
    <w:rsid w:val="00AC4D9B"/>
    <w:rsid w:val="00AC6533"/>
    <w:rsid w:val="00AD0306"/>
    <w:rsid w:val="00AD2D2B"/>
    <w:rsid w:val="00AD380E"/>
    <w:rsid w:val="00AD4559"/>
    <w:rsid w:val="00AD67F5"/>
    <w:rsid w:val="00AE04BB"/>
    <w:rsid w:val="00AE25F3"/>
    <w:rsid w:val="00AE2DC5"/>
    <w:rsid w:val="00AE3EBA"/>
    <w:rsid w:val="00AE60E5"/>
    <w:rsid w:val="00AE6650"/>
    <w:rsid w:val="00AE7058"/>
    <w:rsid w:val="00AF0EAF"/>
    <w:rsid w:val="00AF1FE7"/>
    <w:rsid w:val="00AF3373"/>
    <w:rsid w:val="00AF40D7"/>
    <w:rsid w:val="00AF64C0"/>
    <w:rsid w:val="00AF7579"/>
    <w:rsid w:val="00B008EF"/>
    <w:rsid w:val="00B01664"/>
    <w:rsid w:val="00B01733"/>
    <w:rsid w:val="00B01A7A"/>
    <w:rsid w:val="00B0423F"/>
    <w:rsid w:val="00B07010"/>
    <w:rsid w:val="00B11366"/>
    <w:rsid w:val="00B11530"/>
    <w:rsid w:val="00B12211"/>
    <w:rsid w:val="00B131C8"/>
    <w:rsid w:val="00B1382F"/>
    <w:rsid w:val="00B13950"/>
    <w:rsid w:val="00B14703"/>
    <w:rsid w:val="00B14766"/>
    <w:rsid w:val="00B14934"/>
    <w:rsid w:val="00B15E43"/>
    <w:rsid w:val="00B1614F"/>
    <w:rsid w:val="00B16F2E"/>
    <w:rsid w:val="00B17B12"/>
    <w:rsid w:val="00B20CE3"/>
    <w:rsid w:val="00B20F52"/>
    <w:rsid w:val="00B22F4D"/>
    <w:rsid w:val="00B235BE"/>
    <w:rsid w:val="00B25A7D"/>
    <w:rsid w:val="00B25CDB"/>
    <w:rsid w:val="00B25ED6"/>
    <w:rsid w:val="00B25FEB"/>
    <w:rsid w:val="00B278D0"/>
    <w:rsid w:val="00B30166"/>
    <w:rsid w:val="00B40181"/>
    <w:rsid w:val="00B41FF4"/>
    <w:rsid w:val="00B42113"/>
    <w:rsid w:val="00B43D57"/>
    <w:rsid w:val="00B442FE"/>
    <w:rsid w:val="00B444AF"/>
    <w:rsid w:val="00B458DA"/>
    <w:rsid w:val="00B46385"/>
    <w:rsid w:val="00B467A0"/>
    <w:rsid w:val="00B50D3E"/>
    <w:rsid w:val="00B52298"/>
    <w:rsid w:val="00B538DD"/>
    <w:rsid w:val="00B53945"/>
    <w:rsid w:val="00B53F00"/>
    <w:rsid w:val="00B54FBC"/>
    <w:rsid w:val="00B578ED"/>
    <w:rsid w:val="00B601C4"/>
    <w:rsid w:val="00B6072C"/>
    <w:rsid w:val="00B6386E"/>
    <w:rsid w:val="00B6518A"/>
    <w:rsid w:val="00B65C40"/>
    <w:rsid w:val="00B66622"/>
    <w:rsid w:val="00B66B20"/>
    <w:rsid w:val="00B7141F"/>
    <w:rsid w:val="00B722D1"/>
    <w:rsid w:val="00B72ECB"/>
    <w:rsid w:val="00B73EC1"/>
    <w:rsid w:val="00B73FC6"/>
    <w:rsid w:val="00B751FF"/>
    <w:rsid w:val="00B77A7C"/>
    <w:rsid w:val="00B77BD4"/>
    <w:rsid w:val="00B8048C"/>
    <w:rsid w:val="00B8157A"/>
    <w:rsid w:val="00B81A14"/>
    <w:rsid w:val="00B82E06"/>
    <w:rsid w:val="00B833D1"/>
    <w:rsid w:val="00B8348D"/>
    <w:rsid w:val="00B83AD3"/>
    <w:rsid w:val="00B853A2"/>
    <w:rsid w:val="00B85FBD"/>
    <w:rsid w:val="00B86EDC"/>
    <w:rsid w:val="00B919E8"/>
    <w:rsid w:val="00B91CEF"/>
    <w:rsid w:val="00B92A36"/>
    <w:rsid w:val="00B9315F"/>
    <w:rsid w:val="00B93C6E"/>
    <w:rsid w:val="00B94BF1"/>
    <w:rsid w:val="00B95C34"/>
    <w:rsid w:val="00B9617B"/>
    <w:rsid w:val="00BA0288"/>
    <w:rsid w:val="00BA0DAB"/>
    <w:rsid w:val="00BA2029"/>
    <w:rsid w:val="00BA2280"/>
    <w:rsid w:val="00BA25BF"/>
    <w:rsid w:val="00BA3CEA"/>
    <w:rsid w:val="00BA4B2A"/>
    <w:rsid w:val="00BA52BB"/>
    <w:rsid w:val="00BA612D"/>
    <w:rsid w:val="00BB0B1D"/>
    <w:rsid w:val="00BB1EBD"/>
    <w:rsid w:val="00BB2183"/>
    <w:rsid w:val="00BB3DC0"/>
    <w:rsid w:val="00BB5ACC"/>
    <w:rsid w:val="00BC0445"/>
    <w:rsid w:val="00BC0A9C"/>
    <w:rsid w:val="00BC0F2E"/>
    <w:rsid w:val="00BC2E36"/>
    <w:rsid w:val="00BC40FA"/>
    <w:rsid w:val="00BC71D0"/>
    <w:rsid w:val="00BD038C"/>
    <w:rsid w:val="00BD14AA"/>
    <w:rsid w:val="00BD18BB"/>
    <w:rsid w:val="00BD2DD4"/>
    <w:rsid w:val="00BD3893"/>
    <w:rsid w:val="00BD45A6"/>
    <w:rsid w:val="00BD5901"/>
    <w:rsid w:val="00BD60CC"/>
    <w:rsid w:val="00BE1D1E"/>
    <w:rsid w:val="00BE228A"/>
    <w:rsid w:val="00BE29B3"/>
    <w:rsid w:val="00BE41D3"/>
    <w:rsid w:val="00BE6014"/>
    <w:rsid w:val="00BE7076"/>
    <w:rsid w:val="00BF076F"/>
    <w:rsid w:val="00BF08F1"/>
    <w:rsid w:val="00BF0AD6"/>
    <w:rsid w:val="00BF184C"/>
    <w:rsid w:val="00BF268E"/>
    <w:rsid w:val="00BF44F2"/>
    <w:rsid w:val="00BF66CC"/>
    <w:rsid w:val="00BF7BDF"/>
    <w:rsid w:val="00BF7E2A"/>
    <w:rsid w:val="00C03A07"/>
    <w:rsid w:val="00C06305"/>
    <w:rsid w:val="00C070E0"/>
    <w:rsid w:val="00C1036B"/>
    <w:rsid w:val="00C118DF"/>
    <w:rsid w:val="00C11AFB"/>
    <w:rsid w:val="00C12807"/>
    <w:rsid w:val="00C12DCE"/>
    <w:rsid w:val="00C14CF2"/>
    <w:rsid w:val="00C14CF8"/>
    <w:rsid w:val="00C15DA4"/>
    <w:rsid w:val="00C1672E"/>
    <w:rsid w:val="00C16812"/>
    <w:rsid w:val="00C21179"/>
    <w:rsid w:val="00C21E42"/>
    <w:rsid w:val="00C2411C"/>
    <w:rsid w:val="00C27082"/>
    <w:rsid w:val="00C33D42"/>
    <w:rsid w:val="00C34235"/>
    <w:rsid w:val="00C36E74"/>
    <w:rsid w:val="00C37666"/>
    <w:rsid w:val="00C404DC"/>
    <w:rsid w:val="00C40EDA"/>
    <w:rsid w:val="00C430B2"/>
    <w:rsid w:val="00C47399"/>
    <w:rsid w:val="00C502DB"/>
    <w:rsid w:val="00C50B98"/>
    <w:rsid w:val="00C521D1"/>
    <w:rsid w:val="00C5226B"/>
    <w:rsid w:val="00C55924"/>
    <w:rsid w:val="00C562B7"/>
    <w:rsid w:val="00C56EE4"/>
    <w:rsid w:val="00C6013B"/>
    <w:rsid w:val="00C63068"/>
    <w:rsid w:val="00C64194"/>
    <w:rsid w:val="00C642C3"/>
    <w:rsid w:val="00C662BD"/>
    <w:rsid w:val="00C66E9D"/>
    <w:rsid w:val="00C701A7"/>
    <w:rsid w:val="00C70392"/>
    <w:rsid w:val="00C732BA"/>
    <w:rsid w:val="00C7339D"/>
    <w:rsid w:val="00C759E6"/>
    <w:rsid w:val="00C76168"/>
    <w:rsid w:val="00C7771E"/>
    <w:rsid w:val="00C807B7"/>
    <w:rsid w:val="00C80E8E"/>
    <w:rsid w:val="00C81201"/>
    <w:rsid w:val="00C819C6"/>
    <w:rsid w:val="00C82533"/>
    <w:rsid w:val="00C82E3D"/>
    <w:rsid w:val="00C85ABA"/>
    <w:rsid w:val="00C87148"/>
    <w:rsid w:val="00C87204"/>
    <w:rsid w:val="00C87A5F"/>
    <w:rsid w:val="00C912E1"/>
    <w:rsid w:val="00C91D12"/>
    <w:rsid w:val="00C91F66"/>
    <w:rsid w:val="00C93141"/>
    <w:rsid w:val="00CA1B83"/>
    <w:rsid w:val="00CA1F8B"/>
    <w:rsid w:val="00CA238E"/>
    <w:rsid w:val="00CA243E"/>
    <w:rsid w:val="00CA2FD8"/>
    <w:rsid w:val="00CA3198"/>
    <w:rsid w:val="00CA41DF"/>
    <w:rsid w:val="00CA5D0D"/>
    <w:rsid w:val="00CA635C"/>
    <w:rsid w:val="00CA78A5"/>
    <w:rsid w:val="00CA7E6C"/>
    <w:rsid w:val="00CB10E3"/>
    <w:rsid w:val="00CB1470"/>
    <w:rsid w:val="00CB34B5"/>
    <w:rsid w:val="00CB37D9"/>
    <w:rsid w:val="00CB38C3"/>
    <w:rsid w:val="00CB3F41"/>
    <w:rsid w:val="00CB4272"/>
    <w:rsid w:val="00CB4707"/>
    <w:rsid w:val="00CB4909"/>
    <w:rsid w:val="00CB7661"/>
    <w:rsid w:val="00CC1FA0"/>
    <w:rsid w:val="00CC34B2"/>
    <w:rsid w:val="00CC3824"/>
    <w:rsid w:val="00CC5777"/>
    <w:rsid w:val="00CC57DB"/>
    <w:rsid w:val="00CC677D"/>
    <w:rsid w:val="00CD1DAE"/>
    <w:rsid w:val="00CD1DDC"/>
    <w:rsid w:val="00CD217A"/>
    <w:rsid w:val="00CD2FF4"/>
    <w:rsid w:val="00CD4089"/>
    <w:rsid w:val="00CD4D7F"/>
    <w:rsid w:val="00CD5C68"/>
    <w:rsid w:val="00CD624B"/>
    <w:rsid w:val="00CE06AB"/>
    <w:rsid w:val="00CE0AF6"/>
    <w:rsid w:val="00CE1EB2"/>
    <w:rsid w:val="00CE3D94"/>
    <w:rsid w:val="00CE4053"/>
    <w:rsid w:val="00CE4A1B"/>
    <w:rsid w:val="00CE534B"/>
    <w:rsid w:val="00CE72B6"/>
    <w:rsid w:val="00CE7956"/>
    <w:rsid w:val="00CF02F4"/>
    <w:rsid w:val="00CF16C1"/>
    <w:rsid w:val="00CF3A0B"/>
    <w:rsid w:val="00CF7FD6"/>
    <w:rsid w:val="00D011F5"/>
    <w:rsid w:val="00D01FC0"/>
    <w:rsid w:val="00D02933"/>
    <w:rsid w:val="00D02DD7"/>
    <w:rsid w:val="00D03BB0"/>
    <w:rsid w:val="00D03DF7"/>
    <w:rsid w:val="00D042E7"/>
    <w:rsid w:val="00D0574E"/>
    <w:rsid w:val="00D07A6C"/>
    <w:rsid w:val="00D07B42"/>
    <w:rsid w:val="00D10B46"/>
    <w:rsid w:val="00D10DC7"/>
    <w:rsid w:val="00D11434"/>
    <w:rsid w:val="00D11C24"/>
    <w:rsid w:val="00D144BF"/>
    <w:rsid w:val="00D145DE"/>
    <w:rsid w:val="00D149D9"/>
    <w:rsid w:val="00D150B7"/>
    <w:rsid w:val="00D15DA5"/>
    <w:rsid w:val="00D1684F"/>
    <w:rsid w:val="00D171B9"/>
    <w:rsid w:val="00D17EEE"/>
    <w:rsid w:val="00D22589"/>
    <w:rsid w:val="00D2435C"/>
    <w:rsid w:val="00D3058D"/>
    <w:rsid w:val="00D3083D"/>
    <w:rsid w:val="00D30C16"/>
    <w:rsid w:val="00D330C6"/>
    <w:rsid w:val="00D338FD"/>
    <w:rsid w:val="00D349F4"/>
    <w:rsid w:val="00D35306"/>
    <w:rsid w:val="00D35DA1"/>
    <w:rsid w:val="00D36A0E"/>
    <w:rsid w:val="00D42FDE"/>
    <w:rsid w:val="00D43691"/>
    <w:rsid w:val="00D43927"/>
    <w:rsid w:val="00D4468F"/>
    <w:rsid w:val="00D46FDB"/>
    <w:rsid w:val="00D50BD6"/>
    <w:rsid w:val="00D52CFD"/>
    <w:rsid w:val="00D542F0"/>
    <w:rsid w:val="00D565EC"/>
    <w:rsid w:val="00D5796C"/>
    <w:rsid w:val="00D57A35"/>
    <w:rsid w:val="00D57E8E"/>
    <w:rsid w:val="00D63580"/>
    <w:rsid w:val="00D63A81"/>
    <w:rsid w:val="00D7187D"/>
    <w:rsid w:val="00D71A00"/>
    <w:rsid w:val="00D72DE6"/>
    <w:rsid w:val="00D73A7D"/>
    <w:rsid w:val="00D742C4"/>
    <w:rsid w:val="00D74F3A"/>
    <w:rsid w:val="00D752CF"/>
    <w:rsid w:val="00D75466"/>
    <w:rsid w:val="00D75A05"/>
    <w:rsid w:val="00D774EE"/>
    <w:rsid w:val="00D805EA"/>
    <w:rsid w:val="00D80650"/>
    <w:rsid w:val="00D809A0"/>
    <w:rsid w:val="00D80C31"/>
    <w:rsid w:val="00D81C39"/>
    <w:rsid w:val="00D83EBC"/>
    <w:rsid w:val="00D85CBD"/>
    <w:rsid w:val="00D91F14"/>
    <w:rsid w:val="00D932F0"/>
    <w:rsid w:val="00D95528"/>
    <w:rsid w:val="00D95E4D"/>
    <w:rsid w:val="00DA0A5F"/>
    <w:rsid w:val="00DA1187"/>
    <w:rsid w:val="00DA1E83"/>
    <w:rsid w:val="00DA235C"/>
    <w:rsid w:val="00DA2B1E"/>
    <w:rsid w:val="00DA394C"/>
    <w:rsid w:val="00DA398A"/>
    <w:rsid w:val="00DB0BFB"/>
    <w:rsid w:val="00DB2E07"/>
    <w:rsid w:val="00DB3D5F"/>
    <w:rsid w:val="00DB40ED"/>
    <w:rsid w:val="00DB412C"/>
    <w:rsid w:val="00DB43C0"/>
    <w:rsid w:val="00DB5E33"/>
    <w:rsid w:val="00DB65A4"/>
    <w:rsid w:val="00DC195F"/>
    <w:rsid w:val="00DC1F32"/>
    <w:rsid w:val="00DC48AB"/>
    <w:rsid w:val="00DC6903"/>
    <w:rsid w:val="00DC79D1"/>
    <w:rsid w:val="00DD06AB"/>
    <w:rsid w:val="00DD2752"/>
    <w:rsid w:val="00DD3CF8"/>
    <w:rsid w:val="00DD4953"/>
    <w:rsid w:val="00DD4C72"/>
    <w:rsid w:val="00DD54FF"/>
    <w:rsid w:val="00DD55B3"/>
    <w:rsid w:val="00DD62EF"/>
    <w:rsid w:val="00DE0D75"/>
    <w:rsid w:val="00DE4C63"/>
    <w:rsid w:val="00DE4E27"/>
    <w:rsid w:val="00DE5314"/>
    <w:rsid w:val="00DE60F0"/>
    <w:rsid w:val="00DE7AAF"/>
    <w:rsid w:val="00DF20CE"/>
    <w:rsid w:val="00DF24D5"/>
    <w:rsid w:val="00DF29B5"/>
    <w:rsid w:val="00DF3393"/>
    <w:rsid w:val="00DF3AC2"/>
    <w:rsid w:val="00E01B8C"/>
    <w:rsid w:val="00E03283"/>
    <w:rsid w:val="00E0359A"/>
    <w:rsid w:val="00E06B4A"/>
    <w:rsid w:val="00E06C8D"/>
    <w:rsid w:val="00E0790F"/>
    <w:rsid w:val="00E1002C"/>
    <w:rsid w:val="00E10650"/>
    <w:rsid w:val="00E1320A"/>
    <w:rsid w:val="00E14A51"/>
    <w:rsid w:val="00E1703D"/>
    <w:rsid w:val="00E21A39"/>
    <w:rsid w:val="00E21D0A"/>
    <w:rsid w:val="00E21F76"/>
    <w:rsid w:val="00E22EA0"/>
    <w:rsid w:val="00E232DC"/>
    <w:rsid w:val="00E2401D"/>
    <w:rsid w:val="00E2406F"/>
    <w:rsid w:val="00E250E9"/>
    <w:rsid w:val="00E26B71"/>
    <w:rsid w:val="00E2718D"/>
    <w:rsid w:val="00E27E05"/>
    <w:rsid w:val="00E27E6F"/>
    <w:rsid w:val="00E31761"/>
    <w:rsid w:val="00E332F7"/>
    <w:rsid w:val="00E33B22"/>
    <w:rsid w:val="00E35501"/>
    <w:rsid w:val="00E416A1"/>
    <w:rsid w:val="00E41CB1"/>
    <w:rsid w:val="00E42BC7"/>
    <w:rsid w:val="00E447D7"/>
    <w:rsid w:val="00E45E52"/>
    <w:rsid w:val="00E46801"/>
    <w:rsid w:val="00E47C8F"/>
    <w:rsid w:val="00E53AD9"/>
    <w:rsid w:val="00E5781F"/>
    <w:rsid w:val="00E57ABF"/>
    <w:rsid w:val="00E57B06"/>
    <w:rsid w:val="00E6160F"/>
    <w:rsid w:val="00E62878"/>
    <w:rsid w:val="00E645FF"/>
    <w:rsid w:val="00E70121"/>
    <w:rsid w:val="00E70C8D"/>
    <w:rsid w:val="00E71A86"/>
    <w:rsid w:val="00E71E6D"/>
    <w:rsid w:val="00E73564"/>
    <w:rsid w:val="00E735DA"/>
    <w:rsid w:val="00E74BB0"/>
    <w:rsid w:val="00E82031"/>
    <w:rsid w:val="00E831C7"/>
    <w:rsid w:val="00E832EB"/>
    <w:rsid w:val="00E83304"/>
    <w:rsid w:val="00E86E5A"/>
    <w:rsid w:val="00E87B0D"/>
    <w:rsid w:val="00E901F7"/>
    <w:rsid w:val="00E91280"/>
    <w:rsid w:val="00E94AB7"/>
    <w:rsid w:val="00E95823"/>
    <w:rsid w:val="00E963F2"/>
    <w:rsid w:val="00E96B62"/>
    <w:rsid w:val="00E97144"/>
    <w:rsid w:val="00E972A7"/>
    <w:rsid w:val="00EA2763"/>
    <w:rsid w:val="00EA5614"/>
    <w:rsid w:val="00EA5859"/>
    <w:rsid w:val="00EA598C"/>
    <w:rsid w:val="00EA5A38"/>
    <w:rsid w:val="00EA7772"/>
    <w:rsid w:val="00EB1ACF"/>
    <w:rsid w:val="00EB54E4"/>
    <w:rsid w:val="00EB5533"/>
    <w:rsid w:val="00EB6E88"/>
    <w:rsid w:val="00EB7385"/>
    <w:rsid w:val="00EC2A26"/>
    <w:rsid w:val="00EC3A39"/>
    <w:rsid w:val="00EC3B1D"/>
    <w:rsid w:val="00ED1400"/>
    <w:rsid w:val="00ED1FE5"/>
    <w:rsid w:val="00ED2A8B"/>
    <w:rsid w:val="00ED32DF"/>
    <w:rsid w:val="00ED42AD"/>
    <w:rsid w:val="00ED47E1"/>
    <w:rsid w:val="00ED4E1D"/>
    <w:rsid w:val="00ED791F"/>
    <w:rsid w:val="00EE2DEB"/>
    <w:rsid w:val="00EE3011"/>
    <w:rsid w:val="00EE3F54"/>
    <w:rsid w:val="00EE470D"/>
    <w:rsid w:val="00EE57F7"/>
    <w:rsid w:val="00EE6B95"/>
    <w:rsid w:val="00EE6BEE"/>
    <w:rsid w:val="00EE6E0B"/>
    <w:rsid w:val="00EF17E0"/>
    <w:rsid w:val="00EF1EF0"/>
    <w:rsid w:val="00EF33D5"/>
    <w:rsid w:val="00EF5081"/>
    <w:rsid w:val="00EF5685"/>
    <w:rsid w:val="00EF6A8C"/>
    <w:rsid w:val="00F009A7"/>
    <w:rsid w:val="00F00FF2"/>
    <w:rsid w:val="00F03F79"/>
    <w:rsid w:val="00F05856"/>
    <w:rsid w:val="00F05A02"/>
    <w:rsid w:val="00F06031"/>
    <w:rsid w:val="00F07C75"/>
    <w:rsid w:val="00F10093"/>
    <w:rsid w:val="00F10733"/>
    <w:rsid w:val="00F10BFD"/>
    <w:rsid w:val="00F119F4"/>
    <w:rsid w:val="00F13151"/>
    <w:rsid w:val="00F14C25"/>
    <w:rsid w:val="00F159FF"/>
    <w:rsid w:val="00F16421"/>
    <w:rsid w:val="00F16FBB"/>
    <w:rsid w:val="00F20A11"/>
    <w:rsid w:val="00F21273"/>
    <w:rsid w:val="00F21517"/>
    <w:rsid w:val="00F22D75"/>
    <w:rsid w:val="00F268FB"/>
    <w:rsid w:val="00F26D88"/>
    <w:rsid w:val="00F26E5E"/>
    <w:rsid w:val="00F275F1"/>
    <w:rsid w:val="00F27740"/>
    <w:rsid w:val="00F30DDB"/>
    <w:rsid w:val="00F30E47"/>
    <w:rsid w:val="00F31682"/>
    <w:rsid w:val="00F33206"/>
    <w:rsid w:val="00F33402"/>
    <w:rsid w:val="00F3582A"/>
    <w:rsid w:val="00F368AC"/>
    <w:rsid w:val="00F40218"/>
    <w:rsid w:val="00F44B06"/>
    <w:rsid w:val="00F477CA"/>
    <w:rsid w:val="00F479FD"/>
    <w:rsid w:val="00F500C2"/>
    <w:rsid w:val="00F51068"/>
    <w:rsid w:val="00F5168B"/>
    <w:rsid w:val="00F51868"/>
    <w:rsid w:val="00F52AB0"/>
    <w:rsid w:val="00F53F95"/>
    <w:rsid w:val="00F552C5"/>
    <w:rsid w:val="00F55846"/>
    <w:rsid w:val="00F636C0"/>
    <w:rsid w:val="00F65829"/>
    <w:rsid w:val="00F65B04"/>
    <w:rsid w:val="00F65DEF"/>
    <w:rsid w:val="00F67EEB"/>
    <w:rsid w:val="00F722A2"/>
    <w:rsid w:val="00F72FDE"/>
    <w:rsid w:val="00F73497"/>
    <w:rsid w:val="00F744ED"/>
    <w:rsid w:val="00F745E5"/>
    <w:rsid w:val="00F74B82"/>
    <w:rsid w:val="00F74BA6"/>
    <w:rsid w:val="00F750B5"/>
    <w:rsid w:val="00F75855"/>
    <w:rsid w:val="00F7666B"/>
    <w:rsid w:val="00F76E06"/>
    <w:rsid w:val="00F82C37"/>
    <w:rsid w:val="00F83EAA"/>
    <w:rsid w:val="00F84343"/>
    <w:rsid w:val="00F85E8E"/>
    <w:rsid w:val="00F90C2E"/>
    <w:rsid w:val="00F910C7"/>
    <w:rsid w:val="00F913F4"/>
    <w:rsid w:val="00F929FC"/>
    <w:rsid w:val="00F94464"/>
    <w:rsid w:val="00F94667"/>
    <w:rsid w:val="00F951A2"/>
    <w:rsid w:val="00F95D78"/>
    <w:rsid w:val="00F966F3"/>
    <w:rsid w:val="00F974A0"/>
    <w:rsid w:val="00F97911"/>
    <w:rsid w:val="00FA3A7D"/>
    <w:rsid w:val="00FB1A8E"/>
    <w:rsid w:val="00FB226A"/>
    <w:rsid w:val="00FB629F"/>
    <w:rsid w:val="00FB6394"/>
    <w:rsid w:val="00FB6DB3"/>
    <w:rsid w:val="00FB6FF1"/>
    <w:rsid w:val="00FB7609"/>
    <w:rsid w:val="00FB7705"/>
    <w:rsid w:val="00FC019B"/>
    <w:rsid w:val="00FC0396"/>
    <w:rsid w:val="00FC37BC"/>
    <w:rsid w:val="00FC37DA"/>
    <w:rsid w:val="00FC45DA"/>
    <w:rsid w:val="00FC67A5"/>
    <w:rsid w:val="00FC7DCE"/>
    <w:rsid w:val="00FC7E2B"/>
    <w:rsid w:val="00FD2FAE"/>
    <w:rsid w:val="00FD384D"/>
    <w:rsid w:val="00FD3A76"/>
    <w:rsid w:val="00FD5AB7"/>
    <w:rsid w:val="00FD787C"/>
    <w:rsid w:val="00FD7F3E"/>
    <w:rsid w:val="00FD7F50"/>
    <w:rsid w:val="00FE0423"/>
    <w:rsid w:val="00FE0A4C"/>
    <w:rsid w:val="00FE1261"/>
    <w:rsid w:val="00FE48E4"/>
    <w:rsid w:val="00FE60A7"/>
    <w:rsid w:val="00FF0138"/>
    <w:rsid w:val="00FF0215"/>
    <w:rsid w:val="00FF0F3D"/>
    <w:rsid w:val="00FF13EF"/>
    <w:rsid w:val="00FF3949"/>
    <w:rsid w:val="00FF3C5D"/>
    <w:rsid w:val="00FF4B7E"/>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14:docId w14:val="7FC7B4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40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List Paragraph2,Lista vistosa - Énfasis 11"/>
    <w:link w:val="ListParagraph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6518A"/>
    <w:pPr>
      <w:tabs>
        <w:tab w:val="left" w:pos="1440"/>
        <w:tab w:val="right" w:leader="dot" w:pos="9350"/>
      </w:tabs>
      <w:spacing w:after="100"/>
      <w:ind w:left="1440" w:hanging="720"/>
      <w:jc w:val="both"/>
    </w:pPr>
    <w:rPr>
      <w:rFonts w:ascii="Cambria" w:eastAsia="Cambria" w:hAnsi="Cambria"/>
      <w:noProof/>
      <w:sz w:val="20"/>
      <w:szCs w:val="20"/>
      <w:u w:color="000000"/>
      <w:lang w:val="es-ES_tradnl" w:eastAsia="es-ES"/>
    </w:rPr>
  </w:style>
  <w:style w:type="paragraph" w:styleId="TOC1">
    <w:name w:val="toc 1"/>
    <w:basedOn w:val="Normal"/>
    <w:next w:val="Normal"/>
    <w:autoRedefine/>
    <w:uiPriority w:val="39"/>
    <w:unhideWhenUsed/>
    <w:rsid w:val="00761A05"/>
    <w:pPr>
      <w:tabs>
        <w:tab w:val="left" w:pos="1440"/>
        <w:tab w:val="right" w:leader="dot" w:pos="9350"/>
      </w:tabs>
      <w:spacing w:after="100"/>
    </w:pPr>
    <w:rPr>
      <w:rFonts w:ascii="Cambria" w:eastAsia="Yu Gothic Light" w:hAnsi="Cambria"/>
      <w:b/>
      <w:bCs/>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Lista vistosa - Énfasis 11 Char"/>
    <w:link w:val="ListParagraph"/>
    <w:uiPriority w:val="99"/>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semiHidden/>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uiPriority w:val="1"/>
    <w:qFormat/>
    <w:rsid w:val="00B54FBC"/>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B45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D78C1"/>
    <w:rPr>
      <w:color w:val="954F72" w:themeColor="followedHyperlink"/>
      <w:u w:val="single"/>
    </w:rPr>
  </w:style>
  <w:style w:type="character" w:styleId="PlaceholderText">
    <w:name w:val="Placeholder Text"/>
    <w:basedOn w:val="DefaultParagraphFont"/>
    <w:uiPriority w:val="99"/>
    <w:semiHidden/>
    <w:rsid w:val="00E90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2"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 Type="http://schemas.openxmlformats.org/officeDocument/2006/relationships/hyperlink" Target="http://www.historia.ec/1/marzo/consti.htm" TargetMode="External"/><Relationship Id="rId5"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C2BC-BBEF-4292-BDAD-4E1F4D3B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6158</Words>
  <Characters>35103</Characters>
  <Application>Microsoft Office Word</Application>
  <DocSecurity>0</DocSecurity>
  <Lines>292</Lines>
  <Paragraphs>82</Paragraphs>
  <ScaleCrop>false</ScaleCrop>
  <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2021-06-17T18:34:00Z</dcterms:created>
  <dcterms:modified xsi:type="dcterms:W3CDTF">2021-06-17T18:34:00Z</dcterms:modified>
</cp:coreProperties>
</file>